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EDBCD" w14:textId="77777777" w:rsidR="0038698E" w:rsidRPr="00B34E15" w:rsidRDefault="0038698E" w:rsidP="00B24187">
      <w:pPr>
        <w:widowControl/>
        <w:suppressAutoHyphens/>
        <w:jc w:val="center"/>
        <w:rPr>
          <w:b/>
          <w:sz w:val="26"/>
          <w:szCs w:val="26"/>
        </w:rPr>
      </w:pPr>
      <w:r w:rsidRPr="00B34E15">
        <w:rPr>
          <w:b/>
          <w:sz w:val="26"/>
          <w:szCs w:val="26"/>
        </w:rPr>
        <w:t>PENNSYLVANIA</w:t>
      </w:r>
    </w:p>
    <w:p w14:paraId="30D31061" w14:textId="77777777" w:rsidR="0038698E" w:rsidRPr="00B34E15" w:rsidRDefault="0038698E" w:rsidP="00B24187">
      <w:pPr>
        <w:widowControl/>
        <w:suppressAutoHyphens/>
        <w:jc w:val="center"/>
        <w:rPr>
          <w:sz w:val="26"/>
          <w:szCs w:val="26"/>
        </w:rPr>
      </w:pPr>
      <w:r w:rsidRPr="00B34E15">
        <w:rPr>
          <w:b/>
          <w:sz w:val="26"/>
          <w:szCs w:val="26"/>
        </w:rPr>
        <w:t>PUBLIC UTILITY COMMISSION</w:t>
      </w:r>
    </w:p>
    <w:p w14:paraId="2C2828F7" w14:textId="602A6EE0" w:rsidR="0038698E" w:rsidRPr="00B34E15" w:rsidRDefault="0038698E" w:rsidP="00B24187">
      <w:pPr>
        <w:widowControl/>
        <w:suppressAutoHyphens/>
        <w:jc w:val="center"/>
        <w:rPr>
          <w:b/>
          <w:sz w:val="26"/>
          <w:szCs w:val="26"/>
        </w:rPr>
      </w:pPr>
      <w:r w:rsidRPr="00B34E15">
        <w:rPr>
          <w:b/>
          <w:sz w:val="26"/>
          <w:szCs w:val="26"/>
        </w:rPr>
        <w:t>Harrisburg, PA 171</w:t>
      </w:r>
      <w:r w:rsidR="00821B7F">
        <w:rPr>
          <w:b/>
          <w:sz w:val="26"/>
          <w:szCs w:val="26"/>
        </w:rPr>
        <w:t>20</w:t>
      </w:r>
    </w:p>
    <w:p w14:paraId="1BB84966" w14:textId="77777777" w:rsidR="0038698E" w:rsidRPr="00B34E15" w:rsidRDefault="0038698E" w:rsidP="00B24187">
      <w:pPr>
        <w:widowControl/>
        <w:suppressAutoHyphens/>
        <w:rPr>
          <w:sz w:val="26"/>
          <w:szCs w:val="26"/>
        </w:rPr>
      </w:pPr>
    </w:p>
    <w:p w14:paraId="07E49457" w14:textId="77777777" w:rsidR="0038698E" w:rsidRPr="00B34E15" w:rsidRDefault="0038698E" w:rsidP="00B24187">
      <w:pPr>
        <w:widowControl/>
        <w:suppressAutoHyphens/>
        <w:jc w:val="right"/>
        <w:rPr>
          <w:sz w:val="26"/>
          <w:szCs w:val="26"/>
        </w:rPr>
      </w:pPr>
      <w:r w:rsidRPr="00B34E15">
        <w:rPr>
          <w:sz w:val="26"/>
          <w:szCs w:val="26"/>
        </w:rPr>
        <w:t xml:space="preserve">Public Meeting held </w:t>
      </w:r>
      <w:r w:rsidR="000A339A">
        <w:rPr>
          <w:sz w:val="26"/>
          <w:szCs w:val="26"/>
        </w:rPr>
        <w:t>January 16</w:t>
      </w:r>
      <w:r w:rsidRPr="00B34E15">
        <w:rPr>
          <w:sz w:val="26"/>
          <w:szCs w:val="26"/>
        </w:rPr>
        <w:t>, 20</w:t>
      </w:r>
      <w:r w:rsidR="00B104A2">
        <w:rPr>
          <w:sz w:val="26"/>
          <w:szCs w:val="26"/>
        </w:rPr>
        <w:t>20</w:t>
      </w:r>
    </w:p>
    <w:p w14:paraId="671B8F9E" w14:textId="77777777" w:rsidR="0038698E" w:rsidRDefault="0038698E" w:rsidP="00B24187">
      <w:pPr>
        <w:widowControl/>
        <w:suppressAutoHyphens/>
        <w:rPr>
          <w:sz w:val="26"/>
          <w:szCs w:val="26"/>
        </w:rPr>
      </w:pPr>
    </w:p>
    <w:p w14:paraId="27617B37" w14:textId="77777777" w:rsidR="00FE2807" w:rsidRPr="00B34E15" w:rsidRDefault="00FE2807" w:rsidP="00B24187">
      <w:pPr>
        <w:widowControl/>
        <w:suppressAutoHyphens/>
        <w:rPr>
          <w:sz w:val="26"/>
          <w:szCs w:val="26"/>
        </w:rPr>
      </w:pPr>
    </w:p>
    <w:p w14:paraId="61C0A626" w14:textId="77777777" w:rsidR="0038698E" w:rsidRPr="00B34E15" w:rsidRDefault="0038698E" w:rsidP="00B24187">
      <w:pPr>
        <w:widowControl/>
        <w:suppressAutoHyphens/>
        <w:rPr>
          <w:sz w:val="26"/>
          <w:szCs w:val="26"/>
        </w:rPr>
      </w:pPr>
      <w:r w:rsidRPr="00B34E15">
        <w:rPr>
          <w:sz w:val="26"/>
          <w:szCs w:val="26"/>
        </w:rPr>
        <w:t>Commissioners Present:</w:t>
      </w:r>
    </w:p>
    <w:p w14:paraId="36B2F059" w14:textId="77777777" w:rsidR="0038698E" w:rsidRPr="00B34E15" w:rsidRDefault="0038698E" w:rsidP="00B24187">
      <w:pPr>
        <w:widowControl/>
        <w:suppressAutoHyphens/>
        <w:rPr>
          <w:sz w:val="26"/>
          <w:szCs w:val="26"/>
        </w:rPr>
      </w:pPr>
    </w:p>
    <w:p w14:paraId="09BB596E" w14:textId="08EF0A78" w:rsidR="0038698E" w:rsidRPr="00B34E15" w:rsidRDefault="000D7B91" w:rsidP="00B24187">
      <w:pPr>
        <w:widowControl/>
        <w:ind w:firstLine="720"/>
        <w:rPr>
          <w:sz w:val="26"/>
          <w:szCs w:val="26"/>
        </w:rPr>
      </w:pPr>
      <w:r>
        <w:rPr>
          <w:sz w:val="26"/>
          <w:szCs w:val="26"/>
        </w:rPr>
        <w:t>Gladys Brown Dutrieuille, Chairman</w:t>
      </w:r>
      <w:r w:rsidR="00724BDC">
        <w:rPr>
          <w:sz w:val="26"/>
          <w:szCs w:val="26"/>
        </w:rPr>
        <w:t>, Statement</w:t>
      </w:r>
    </w:p>
    <w:p w14:paraId="7362954B" w14:textId="77777777" w:rsidR="0038698E" w:rsidRPr="00B34E15" w:rsidRDefault="0038698E" w:rsidP="00B24187">
      <w:pPr>
        <w:widowControl/>
        <w:ind w:firstLine="720"/>
        <w:rPr>
          <w:sz w:val="26"/>
          <w:szCs w:val="26"/>
        </w:rPr>
      </w:pPr>
      <w:r w:rsidRPr="00B34E15">
        <w:rPr>
          <w:sz w:val="26"/>
          <w:szCs w:val="26"/>
        </w:rPr>
        <w:t>David W. Sweet, Vice Chairman</w:t>
      </w:r>
    </w:p>
    <w:p w14:paraId="28065143" w14:textId="199C23ED" w:rsidR="0038698E" w:rsidRPr="00B34E15" w:rsidRDefault="0038698E" w:rsidP="00B24187">
      <w:pPr>
        <w:widowControl/>
        <w:ind w:firstLine="720"/>
        <w:rPr>
          <w:sz w:val="26"/>
          <w:szCs w:val="26"/>
        </w:rPr>
      </w:pPr>
      <w:r w:rsidRPr="00B34E15">
        <w:rPr>
          <w:sz w:val="26"/>
          <w:szCs w:val="26"/>
        </w:rPr>
        <w:t>Andrew G. Place</w:t>
      </w:r>
      <w:r w:rsidR="00C67CE3">
        <w:rPr>
          <w:sz w:val="26"/>
          <w:szCs w:val="26"/>
        </w:rPr>
        <w:t>, Statement, Dissenting</w:t>
      </w:r>
    </w:p>
    <w:p w14:paraId="15684A4A" w14:textId="77777777" w:rsidR="0038698E" w:rsidRDefault="0038698E" w:rsidP="00B24187">
      <w:pPr>
        <w:widowControl/>
        <w:ind w:firstLine="720"/>
        <w:rPr>
          <w:sz w:val="26"/>
          <w:szCs w:val="26"/>
        </w:rPr>
      </w:pPr>
      <w:r w:rsidRPr="00B34E15">
        <w:rPr>
          <w:sz w:val="26"/>
          <w:szCs w:val="26"/>
        </w:rPr>
        <w:t>John F. Coleman, Jr.</w:t>
      </w:r>
    </w:p>
    <w:p w14:paraId="5CF6AF48" w14:textId="77777777" w:rsidR="0038698E" w:rsidRDefault="00B01567" w:rsidP="00B24187">
      <w:pPr>
        <w:widowControl/>
        <w:ind w:firstLine="720"/>
        <w:rPr>
          <w:sz w:val="26"/>
          <w:szCs w:val="26"/>
        </w:rPr>
      </w:pPr>
      <w:r>
        <w:rPr>
          <w:sz w:val="26"/>
          <w:szCs w:val="26"/>
        </w:rPr>
        <w:t>Ralph V. Yanora</w:t>
      </w:r>
    </w:p>
    <w:p w14:paraId="7EAF320C" w14:textId="77777777" w:rsidR="0038698E" w:rsidRDefault="0038698E" w:rsidP="00B24187">
      <w:pPr>
        <w:widowControl/>
        <w:suppressAutoHyphens/>
        <w:rPr>
          <w:sz w:val="26"/>
          <w:szCs w:val="26"/>
        </w:rPr>
      </w:pPr>
    </w:p>
    <w:p w14:paraId="221FEED9" w14:textId="77777777" w:rsidR="00FE2807" w:rsidRPr="00B34E15" w:rsidRDefault="00FE2807" w:rsidP="00B24187">
      <w:pPr>
        <w:widowControl/>
        <w:suppressAutoHyphens/>
        <w:rPr>
          <w:sz w:val="26"/>
          <w:szCs w:val="26"/>
        </w:rPr>
      </w:pPr>
    </w:p>
    <w:tbl>
      <w:tblPr>
        <w:tblW w:w="0" w:type="auto"/>
        <w:tblLook w:val="04A0" w:firstRow="1" w:lastRow="0" w:firstColumn="1" w:lastColumn="0" w:noHBand="0" w:noVBand="1"/>
      </w:tblPr>
      <w:tblGrid>
        <w:gridCol w:w="5580"/>
        <w:gridCol w:w="3770"/>
      </w:tblGrid>
      <w:tr w:rsidR="0038698E" w:rsidRPr="00B34E15" w14:paraId="4CBDCC66" w14:textId="77777777" w:rsidTr="00540231">
        <w:tc>
          <w:tcPr>
            <w:tcW w:w="5580" w:type="dxa"/>
          </w:tcPr>
          <w:p w14:paraId="3E1AB14E" w14:textId="77777777" w:rsidR="00683A2F" w:rsidRPr="00ED2C8C" w:rsidRDefault="00540231" w:rsidP="00B24187">
            <w:pPr>
              <w:widowControl/>
              <w:rPr>
                <w:sz w:val="26"/>
                <w:szCs w:val="26"/>
              </w:rPr>
            </w:pPr>
            <w:bookmarkStart w:id="0" w:name="_Hlk25067621"/>
            <w:r>
              <w:rPr>
                <w:bCs/>
                <w:spacing w:val="-1"/>
                <w:sz w:val="26"/>
                <w:szCs w:val="26"/>
              </w:rPr>
              <w:t>Joint Application of Aqua America Inc., Aqua Pennsylvania Inc., Aqua Pennsylvania Wastewater Inc., and Peoples Natural Gas Company LLC for All of the Authority and Necessary Certificates of Public Convenience to Approve a Change in Control of Peoples Natural Gas Company LLC by Way of the Purchase of All of LDC Funding LLC’s Membership Interests by Aqua America Inc.</w:t>
            </w:r>
            <w:r w:rsidR="00E4335C">
              <w:rPr>
                <w:bCs/>
                <w:spacing w:val="-1"/>
                <w:sz w:val="26"/>
                <w:szCs w:val="26"/>
              </w:rPr>
              <w:t xml:space="preserve"> </w:t>
            </w:r>
          </w:p>
        </w:tc>
        <w:tc>
          <w:tcPr>
            <w:tcW w:w="3770" w:type="dxa"/>
          </w:tcPr>
          <w:p w14:paraId="2110D933" w14:textId="77777777" w:rsidR="0038698E" w:rsidRDefault="00540231" w:rsidP="00B24187">
            <w:pPr>
              <w:widowControl/>
              <w:jc w:val="right"/>
              <w:rPr>
                <w:sz w:val="26"/>
                <w:szCs w:val="26"/>
              </w:rPr>
            </w:pPr>
            <w:r>
              <w:rPr>
                <w:sz w:val="26"/>
                <w:szCs w:val="26"/>
              </w:rPr>
              <w:t>A-2018-3006061</w:t>
            </w:r>
          </w:p>
          <w:p w14:paraId="1E694788" w14:textId="77777777" w:rsidR="00683A2F" w:rsidRPr="00683A2F" w:rsidRDefault="00683A2F" w:rsidP="00B24187">
            <w:pPr>
              <w:widowControl/>
              <w:rPr>
                <w:sz w:val="26"/>
                <w:szCs w:val="26"/>
              </w:rPr>
            </w:pPr>
          </w:p>
          <w:p w14:paraId="47E9E341" w14:textId="77777777" w:rsidR="00683A2F" w:rsidRDefault="00683A2F" w:rsidP="00B24187">
            <w:pPr>
              <w:widowControl/>
              <w:rPr>
                <w:sz w:val="26"/>
                <w:szCs w:val="26"/>
              </w:rPr>
            </w:pPr>
          </w:p>
          <w:p w14:paraId="72C00CF3" w14:textId="77777777" w:rsidR="00683A2F" w:rsidRPr="00683A2F" w:rsidRDefault="00683A2F" w:rsidP="00B24187">
            <w:pPr>
              <w:widowControl/>
              <w:jc w:val="center"/>
              <w:rPr>
                <w:sz w:val="26"/>
                <w:szCs w:val="26"/>
              </w:rPr>
            </w:pPr>
            <w:r>
              <w:rPr>
                <w:sz w:val="26"/>
                <w:szCs w:val="26"/>
              </w:rPr>
              <w:t xml:space="preserve">                                  </w:t>
            </w:r>
          </w:p>
        </w:tc>
      </w:tr>
      <w:bookmarkEnd w:id="0"/>
    </w:tbl>
    <w:p w14:paraId="2857444A" w14:textId="77777777" w:rsidR="00344C68" w:rsidRDefault="00344C68" w:rsidP="00B24187">
      <w:pPr>
        <w:widowControl/>
        <w:rPr>
          <w:b/>
          <w:sz w:val="26"/>
          <w:szCs w:val="26"/>
        </w:rPr>
      </w:pPr>
    </w:p>
    <w:tbl>
      <w:tblPr>
        <w:tblW w:w="0" w:type="auto"/>
        <w:tblLook w:val="04A0" w:firstRow="1" w:lastRow="0" w:firstColumn="1" w:lastColumn="0" w:noHBand="0" w:noVBand="1"/>
      </w:tblPr>
      <w:tblGrid>
        <w:gridCol w:w="5580"/>
        <w:gridCol w:w="3770"/>
      </w:tblGrid>
      <w:tr w:rsidR="00540231" w:rsidRPr="00B34E15" w14:paraId="464147BB" w14:textId="77777777" w:rsidTr="00540231">
        <w:tc>
          <w:tcPr>
            <w:tcW w:w="5580" w:type="dxa"/>
          </w:tcPr>
          <w:p w14:paraId="36E39F8D" w14:textId="77777777" w:rsidR="00540231" w:rsidRPr="00ED2C8C" w:rsidRDefault="00540231" w:rsidP="00B24187">
            <w:pPr>
              <w:widowControl/>
              <w:rPr>
                <w:sz w:val="26"/>
                <w:szCs w:val="26"/>
              </w:rPr>
            </w:pPr>
            <w:r>
              <w:rPr>
                <w:bCs/>
                <w:spacing w:val="-1"/>
                <w:sz w:val="26"/>
                <w:szCs w:val="26"/>
              </w:rPr>
              <w:t xml:space="preserve">Joint Application of Aqua America Inc., Aqua Pennsylvania Inc., Aqua Pennsylvania Wastewater Inc., and Peoples Natural Gas Company LLC Equitable Division for All of the Authority and Necessary Certificates of Public Convenience to Approve a Change in Control of Peoples Natural Gas Company LLC Equitable Division by Way of the Purchase of All of LDC Funding LLC’s Membership Interests by Aqua America Inc. </w:t>
            </w:r>
          </w:p>
        </w:tc>
        <w:tc>
          <w:tcPr>
            <w:tcW w:w="3770" w:type="dxa"/>
          </w:tcPr>
          <w:p w14:paraId="556CC7CD" w14:textId="77777777" w:rsidR="00540231" w:rsidRDefault="00540231" w:rsidP="00B24187">
            <w:pPr>
              <w:widowControl/>
              <w:jc w:val="right"/>
              <w:rPr>
                <w:sz w:val="26"/>
                <w:szCs w:val="26"/>
              </w:rPr>
            </w:pPr>
            <w:r>
              <w:rPr>
                <w:sz w:val="26"/>
                <w:szCs w:val="26"/>
              </w:rPr>
              <w:t>A-2018-3006062</w:t>
            </w:r>
          </w:p>
          <w:p w14:paraId="4939ECAC" w14:textId="77777777" w:rsidR="00540231" w:rsidRPr="00683A2F" w:rsidRDefault="00540231" w:rsidP="00B24187">
            <w:pPr>
              <w:widowControl/>
              <w:rPr>
                <w:sz w:val="26"/>
                <w:szCs w:val="26"/>
              </w:rPr>
            </w:pPr>
          </w:p>
          <w:p w14:paraId="4E395D39" w14:textId="77777777" w:rsidR="00540231" w:rsidRDefault="00540231" w:rsidP="00B24187">
            <w:pPr>
              <w:widowControl/>
              <w:rPr>
                <w:sz w:val="26"/>
                <w:szCs w:val="26"/>
              </w:rPr>
            </w:pPr>
          </w:p>
          <w:p w14:paraId="09BA2C47" w14:textId="77777777" w:rsidR="00540231" w:rsidRPr="00683A2F" w:rsidRDefault="00540231" w:rsidP="00B24187">
            <w:pPr>
              <w:widowControl/>
              <w:jc w:val="center"/>
              <w:rPr>
                <w:sz w:val="26"/>
                <w:szCs w:val="26"/>
              </w:rPr>
            </w:pPr>
            <w:r>
              <w:rPr>
                <w:sz w:val="26"/>
                <w:szCs w:val="26"/>
              </w:rPr>
              <w:t xml:space="preserve">                                  </w:t>
            </w:r>
          </w:p>
        </w:tc>
      </w:tr>
    </w:tbl>
    <w:p w14:paraId="5169A3A7" w14:textId="77777777" w:rsidR="00540231" w:rsidRDefault="00540231" w:rsidP="00B24187">
      <w:pPr>
        <w:widowControl/>
        <w:rPr>
          <w:b/>
          <w:sz w:val="26"/>
          <w:szCs w:val="26"/>
        </w:rPr>
      </w:pPr>
    </w:p>
    <w:tbl>
      <w:tblPr>
        <w:tblW w:w="0" w:type="auto"/>
        <w:tblLook w:val="04A0" w:firstRow="1" w:lastRow="0" w:firstColumn="1" w:lastColumn="0" w:noHBand="0" w:noVBand="1"/>
      </w:tblPr>
      <w:tblGrid>
        <w:gridCol w:w="5580"/>
        <w:gridCol w:w="3770"/>
      </w:tblGrid>
      <w:tr w:rsidR="00540231" w:rsidRPr="00B34E15" w14:paraId="4E1046FC" w14:textId="77777777" w:rsidTr="007D701A">
        <w:tc>
          <w:tcPr>
            <w:tcW w:w="5580" w:type="dxa"/>
          </w:tcPr>
          <w:p w14:paraId="5CB82BE3" w14:textId="77777777" w:rsidR="00540231" w:rsidRPr="00ED2C8C" w:rsidRDefault="00540231" w:rsidP="00B24187">
            <w:pPr>
              <w:widowControl/>
              <w:rPr>
                <w:sz w:val="26"/>
                <w:szCs w:val="26"/>
              </w:rPr>
            </w:pPr>
            <w:r>
              <w:rPr>
                <w:bCs/>
                <w:spacing w:val="-1"/>
                <w:sz w:val="26"/>
                <w:szCs w:val="26"/>
              </w:rPr>
              <w:t xml:space="preserve">Joint Application of Aqua America Inc., Aqua Pennsylvania Inc., Aqua Pennsylvania Wastewater Inc., and Peoples Gas Company LLC for All of the Authority and Necessary Certificates of Public Convenience to Approve a Change in Control of Peoples Gas Company LLC by Way of the Purchase of All of LDC Funding LLC’s Membership Interests by Aqua America Inc. </w:t>
            </w:r>
          </w:p>
        </w:tc>
        <w:tc>
          <w:tcPr>
            <w:tcW w:w="3770" w:type="dxa"/>
          </w:tcPr>
          <w:p w14:paraId="207884B9" w14:textId="77777777" w:rsidR="00540231" w:rsidRDefault="00540231" w:rsidP="00B24187">
            <w:pPr>
              <w:widowControl/>
              <w:jc w:val="right"/>
              <w:rPr>
                <w:sz w:val="26"/>
                <w:szCs w:val="26"/>
              </w:rPr>
            </w:pPr>
            <w:r>
              <w:rPr>
                <w:sz w:val="26"/>
                <w:szCs w:val="26"/>
              </w:rPr>
              <w:t>A-2018-3006063</w:t>
            </w:r>
          </w:p>
          <w:p w14:paraId="4A887E34" w14:textId="77777777" w:rsidR="00540231" w:rsidRPr="00683A2F" w:rsidRDefault="00540231" w:rsidP="00B24187">
            <w:pPr>
              <w:widowControl/>
              <w:rPr>
                <w:sz w:val="26"/>
                <w:szCs w:val="26"/>
              </w:rPr>
            </w:pPr>
          </w:p>
          <w:p w14:paraId="715E784A" w14:textId="77777777" w:rsidR="00540231" w:rsidRDefault="00540231" w:rsidP="00B24187">
            <w:pPr>
              <w:widowControl/>
              <w:rPr>
                <w:sz w:val="26"/>
                <w:szCs w:val="26"/>
              </w:rPr>
            </w:pPr>
          </w:p>
          <w:p w14:paraId="5039A232" w14:textId="77777777" w:rsidR="00540231" w:rsidRPr="00683A2F" w:rsidRDefault="00540231" w:rsidP="00B24187">
            <w:pPr>
              <w:widowControl/>
              <w:jc w:val="center"/>
              <w:rPr>
                <w:sz w:val="26"/>
                <w:szCs w:val="26"/>
              </w:rPr>
            </w:pPr>
            <w:r>
              <w:rPr>
                <w:sz w:val="26"/>
                <w:szCs w:val="26"/>
              </w:rPr>
              <w:t xml:space="preserve">                                  </w:t>
            </w:r>
          </w:p>
        </w:tc>
      </w:tr>
    </w:tbl>
    <w:bookmarkStart w:id="1" w:name="_Hlk523834991" w:displacedByCustomXml="next"/>
    <w:sdt>
      <w:sdtPr>
        <w:rPr>
          <w:sz w:val="26"/>
          <w:szCs w:val="26"/>
        </w:rPr>
        <w:id w:val="934635144"/>
        <w:docPartObj>
          <w:docPartGallery w:val="Table of Contents"/>
          <w:docPartUnique/>
        </w:docPartObj>
      </w:sdtPr>
      <w:sdtEndPr>
        <w:rPr>
          <w:noProof/>
        </w:rPr>
      </w:sdtEndPr>
      <w:sdtContent>
        <w:p w14:paraId="617FFDD2" w14:textId="77777777" w:rsidR="00A32A88" w:rsidRDefault="00A32A88" w:rsidP="00B24187">
          <w:pPr>
            <w:widowControl/>
            <w:spacing w:before="480" w:line="360" w:lineRule="auto"/>
            <w:jc w:val="center"/>
            <w:rPr>
              <w:sz w:val="26"/>
              <w:szCs w:val="26"/>
            </w:rPr>
            <w:sectPr w:rsidR="00A32A88" w:rsidSect="003742CF">
              <w:footerReference w:type="even" r:id="rId11"/>
              <w:footerReference w:type="default" r:id="rId12"/>
              <w:footerReference w:type="first" r:id="rId13"/>
              <w:pgSz w:w="12240" w:h="15840"/>
              <w:pgMar w:top="1440" w:right="1440" w:bottom="1440" w:left="1440" w:header="720" w:footer="720" w:gutter="0"/>
              <w:cols w:space="720"/>
              <w:titlePg/>
              <w:docGrid w:linePitch="360"/>
            </w:sectPr>
          </w:pPr>
        </w:p>
        <w:p w14:paraId="06395E0C" w14:textId="77777777" w:rsidR="005A74D5" w:rsidRPr="0008272C" w:rsidRDefault="005A74D5" w:rsidP="00B24187">
          <w:pPr>
            <w:widowControl/>
            <w:spacing w:before="480" w:line="360" w:lineRule="auto"/>
            <w:jc w:val="center"/>
            <w:rPr>
              <w:b/>
              <w:bCs/>
              <w:sz w:val="26"/>
              <w:szCs w:val="26"/>
              <w:lang w:eastAsia="ja-JP"/>
            </w:rPr>
          </w:pPr>
          <w:r w:rsidRPr="0008272C">
            <w:rPr>
              <w:b/>
              <w:sz w:val="26"/>
              <w:szCs w:val="26"/>
            </w:rPr>
            <w:lastRenderedPageBreak/>
            <w:t>Table of</w:t>
          </w:r>
          <w:r w:rsidRPr="0008272C">
            <w:rPr>
              <w:sz w:val="26"/>
              <w:szCs w:val="26"/>
            </w:rPr>
            <w:t xml:space="preserve"> </w:t>
          </w:r>
          <w:r w:rsidRPr="0008272C">
            <w:rPr>
              <w:b/>
              <w:bCs/>
              <w:sz w:val="26"/>
              <w:szCs w:val="26"/>
              <w:lang w:eastAsia="ja-JP"/>
            </w:rPr>
            <w:t>Contents</w:t>
          </w:r>
        </w:p>
        <w:p w14:paraId="61D9B664" w14:textId="77777777" w:rsidR="005A74D5" w:rsidRPr="0008272C" w:rsidRDefault="005A74D5" w:rsidP="00B24187">
          <w:pPr>
            <w:widowControl/>
            <w:ind w:firstLine="1440"/>
            <w:rPr>
              <w:sz w:val="26"/>
              <w:szCs w:val="26"/>
              <w:lang w:eastAsia="ja-JP"/>
            </w:rPr>
          </w:pPr>
        </w:p>
        <w:p w14:paraId="06122CA9" w14:textId="3E8A79A9" w:rsidR="002818A6" w:rsidRDefault="005A74D5">
          <w:pPr>
            <w:pStyle w:val="TOC1"/>
            <w:rPr>
              <w:rFonts w:asciiTheme="minorHAnsi" w:eastAsiaTheme="minorEastAsia" w:hAnsiTheme="minorHAnsi" w:cstheme="minorBidi"/>
              <w:noProof/>
              <w:sz w:val="22"/>
              <w:szCs w:val="22"/>
            </w:rPr>
          </w:pPr>
          <w:r w:rsidRPr="0008272C">
            <w:rPr>
              <w:szCs w:val="26"/>
            </w:rPr>
            <w:fldChar w:fldCharType="begin"/>
          </w:r>
          <w:r w:rsidRPr="0008272C">
            <w:rPr>
              <w:szCs w:val="26"/>
            </w:rPr>
            <w:instrText xml:space="preserve"> TOC \o "1-4" \h \z \u </w:instrText>
          </w:r>
          <w:r w:rsidRPr="0008272C">
            <w:rPr>
              <w:szCs w:val="26"/>
            </w:rPr>
            <w:fldChar w:fldCharType="separate"/>
          </w:r>
          <w:hyperlink w:anchor="_Toc29278171" w:history="1">
            <w:r w:rsidR="002818A6" w:rsidRPr="00186508">
              <w:rPr>
                <w:rStyle w:val="Hyperlink"/>
                <w:noProof/>
              </w:rPr>
              <w:t>I.</w:t>
            </w:r>
            <w:r w:rsidR="002818A6">
              <w:rPr>
                <w:rFonts w:asciiTheme="minorHAnsi" w:eastAsiaTheme="minorEastAsia" w:hAnsiTheme="minorHAnsi" w:cstheme="minorBidi"/>
                <w:noProof/>
                <w:sz w:val="22"/>
                <w:szCs w:val="22"/>
              </w:rPr>
              <w:tab/>
            </w:r>
            <w:r w:rsidR="002818A6" w:rsidRPr="00186508">
              <w:rPr>
                <w:rStyle w:val="Hyperlink"/>
                <w:noProof/>
              </w:rPr>
              <w:t>Background</w:t>
            </w:r>
            <w:r w:rsidR="002818A6">
              <w:rPr>
                <w:noProof/>
                <w:webHidden/>
              </w:rPr>
              <w:tab/>
            </w:r>
            <w:r w:rsidR="002818A6">
              <w:rPr>
                <w:noProof/>
                <w:webHidden/>
              </w:rPr>
              <w:fldChar w:fldCharType="begin"/>
            </w:r>
            <w:r w:rsidR="002818A6">
              <w:rPr>
                <w:noProof/>
                <w:webHidden/>
              </w:rPr>
              <w:instrText xml:space="preserve"> PAGEREF _Toc29278171 \h </w:instrText>
            </w:r>
            <w:r w:rsidR="002818A6">
              <w:rPr>
                <w:noProof/>
                <w:webHidden/>
              </w:rPr>
            </w:r>
            <w:r w:rsidR="002818A6">
              <w:rPr>
                <w:noProof/>
                <w:webHidden/>
              </w:rPr>
              <w:fldChar w:fldCharType="separate"/>
            </w:r>
            <w:r w:rsidR="00CA6F88">
              <w:rPr>
                <w:noProof/>
                <w:webHidden/>
              </w:rPr>
              <w:t>2</w:t>
            </w:r>
            <w:r w:rsidR="002818A6">
              <w:rPr>
                <w:noProof/>
                <w:webHidden/>
              </w:rPr>
              <w:fldChar w:fldCharType="end"/>
            </w:r>
          </w:hyperlink>
        </w:p>
        <w:p w14:paraId="0248093E" w14:textId="20DEA4C4" w:rsidR="002818A6" w:rsidRDefault="00121E52">
          <w:pPr>
            <w:pStyle w:val="TOC2"/>
            <w:tabs>
              <w:tab w:val="left" w:pos="1440"/>
            </w:tabs>
            <w:rPr>
              <w:rFonts w:asciiTheme="minorHAnsi" w:eastAsiaTheme="minorEastAsia" w:hAnsiTheme="minorHAnsi" w:cstheme="minorBidi"/>
              <w:noProof/>
              <w:sz w:val="22"/>
              <w:szCs w:val="22"/>
            </w:rPr>
          </w:pPr>
          <w:hyperlink w:anchor="_Toc29278172" w:history="1">
            <w:r w:rsidR="002818A6" w:rsidRPr="00186508">
              <w:rPr>
                <w:rStyle w:val="Hyperlink"/>
                <w:noProof/>
              </w:rPr>
              <w:t>A.</w:t>
            </w:r>
            <w:r w:rsidR="002818A6">
              <w:rPr>
                <w:rFonts w:asciiTheme="minorHAnsi" w:eastAsiaTheme="minorEastAsia" w:hAnsiTheme="minorHAnsi" w:cstheme="minorBidi"/>
                <w:noProof/>
                <w:sz w:val="22"/>
                <w:szCs w:val="22"/>
              </w:rPr>
              <w:tab/>
            </w:r>
            <w:r w:rsidR="002818A6" w:rsidRPr="00186508">
              <w:rPr>
                <w:rStyle w:val="Hyperlink"/>
                <w:noProof/>
              </w:rPr>
              <w:t>Description of the Companies</w:t>
            </w:r>
            <w:r w:rsidR="002818A6">
              <w:rPr>
                <w:noProof/>
                <w:webHidden/>
              </w:rPr>
              <w:tab/>
            </w:r>
            <w:r w:rsidR="002818A6">
              <w:rPr>
                <w:noProof/>
                <w:webHidden/>
              </w:rPr>
              <w:fldChar w:fldCharType="begin"/>
            </w:r>
            <w:r w:rsidR="002818A6">
              <w:rPr>
                <w:noProof/>
                <w:webHidden/>
              </w:rPr>
              <w:instrText xml:space="preserve"> PAGEREF _Toc29278172 \h </w:instrText>
            </w:r>
            <w:r w:rsidR="002818A6">
              <w:rPr>
                <w:noProof/>
                <w:webHidden/>
              </w:rPr>
            </w:r>
            <w:r w:rsidR="002818A6">
              <w:rPr>
                <w:noProof/>
                <w:webHidden/>
              </w:rPr>
              <w:fldChar w:fldCharType="separate"/>
            </w:r>
            <w:r w:rsidR="00CA6F88">
              <w:rPr>
                <w:noProof/>
                <w:webHidden/>
              </w:rPr>
              <w:t>2</w:t>
            </w:r>
            <w:r w:rsidR="002818A6">
              <w:rPr>
                <w:noProof/>
                <w:webHidden/>
              </w:rPr>
              <w:fldChar w:fldCharType="end"/>
            </w:r>
          </w:hyperlink>
        </w:p>
        <w:p w14:paraId="20974BB1" w14:textId="6BB3DA0A" w:rsidR="002818A6" w:rsidRDefault="00121E52">
          <w:pPr>
            <w:pStyle w:val="TOC2"/>
            <w:tabs>
              <w:tab w:val="left" w:pos="1440"/>
            </w:tabs>
            <w:rPr>
              <w:rFonts w:asciiTheme="minorHAnsi" w:eastAsiaTheme="minorEastAsia" w:hAnsiTheme="minorHAnsi" w:cstheme="minorBidi"/>
              <w:noProof/>
              <w:sz w:val="22"/>
              <w:szCs w:val="22"/>
            </w:rPr>
          </w:pPr>
          <w:hyperlink w:anchor="_Toc29278173" w:history="1">
            <w:r w:rsidR="002818A6" w:rsidRPr="00186508">
              <w:rPr>
                <w:rStyle w:val="Hyperlink"/>
                <w:noProof/>
              </w:rPr>
              <w:t>B.</w:t>
            </w:r>
            <w:r w:rsidR="002818A6">
              <w:rPr>
                <w:rFonts w:asciiTheme="minorHAnsi" w:eastAsiaTheme="minorEastAsia" w:hAnsiTheme="minorHAnsi" w:cstheme="minorBidi"/>
                <w:noProof/>
                <w:sz w:val="22"/>
                <w:szCs w:val="22"/>
              </w:rPr>
              <w:tab/>
            </w:r>
            <w:r w:rsidR="002818A6" w:rsidRPr="00186508">
              <w:rPr>
                <w:rStyle w:val="Hyperlink"/>
                <w:noProof/>
              </w:rPr>
              <w:t>Description of the Transfer of Control</w:t>
            </w:r>
            <w:r w:rsidR="002818A6">
              <w:rPr>
                <w:noProof/>
                <w:webHidden/>
              </w:rPr>
              <w:tab/>
            </w:r>
            <w:r w:rsidR="002818A6">
              <w:rPr>
                <w:noProof/>
                <w:webHidden/>
              </w:rPr>
              <w:fldChar w:fldCharType="begin"/>
            </w:r>
            <w:r w:rsidR="002818A6">
              <w:rPr>
                <w:noProof/>
                <w:webHidden/>
              </w:rPr>
              <w:instrText xml:space="preserve"> PAGEREF _Toc29278173 \h </w:instrText>
            </w:r>
            <w:r w:rsidR="002818A6">
              <w:rPr>
                <w:noProof/>
                <w:webHidden/>
              </w:rPr>
            </w:r>
            <w:r w:rsidR="002818A6">
              <w:rPr>
                <w:noProof/>
                <w:webHidden/>
              </w:rPr>
              <w:fldChar w:fldCharType="separate"/>
            </w:r>
            <w:r w:rsidR="00CA6F88">
              <w:rPr>
                <w:noProof/>
                <w:webHidden/>
              </w:rPr>
              <w:t>4</w:t>
            </w:r>
            <w:r w:rsidR="002818A6">
              <w:rPr>
                <w:noProof/>
                <w:webHidden/>
              </w:rPr>
              <w:fldChar w:fldCharType="end"/>
            </w:r>
          </w:hyperlink>
        </w:p>
        <w:p w14:paraId="673F99AC" w14:textId="6DC093A4" w:rsidR="002818A6" w:rsidRDefault="00121E52">
          <w:pPr>
            <w:pStyle w:val="TOC2"/>
            <w:tabs>
              <w:tab w:val="left" w:pos="1440"/>
            </w:tabs>
            <w:rPr>
              <w:rFonts w:asciiTheme="minorHAnsi" w:eastAsiaTheme="minorEastAsia" w:hAnsiTheme="minorHAnsi" w:cstheme="minorBidi"/>
              <w:noProof/>
              <w:sz w:val="22"/>
              <w:szCs w:val="22"/>
            </w:rPr>
          </w:pPr>
          <w:hyperlink w:anchor="_Toc29278174" w:history="1">
            <w:r w:rsidR="002818A6" w:rsidRPr="00186508">
              <w:rPr>
                <w:rStyle w:val="Hyperlink"/>
                <w:noProof/>
              </w:rPr>
              <w:t>C.</w:t>
            </w:r>
            <w:r w:rsidR="002818A6">
              <w:rPr>
                <w:rFonts w:asciiTheme="minorHAnsi" w:eastAsiaTheme="minorEastAsia" w:hAnsiTheme="minorHAnsi" w:cstheme="minorBidi"/>
                <w:noProof/>
                <w:sz w:val="22"/>
                <w:szCs w:val="22"/>
              </w:rPr>
              <w:tab/>
            </w:r>
            <w:r w:rsidR="002818A6" w:rsidRPr="00186508">
              <w:rPr>
                <w:rStyle w:val="Hyperlink"/>
                <w:noProof/>
              </w:rPr>
              <w:t>Settlement</w:t>
            </w:r>
            <w:r w:rsidR="002818A6">
              <w:rPr>
                <w:noProof/>
                <w:webHidden/>
              </w:rPr>
              <w:tab/>
            </w:r>
            <w:r w:rsidR="002818A6">
              <w:rPr>
                <w:noProof/>
                <w:webHidden/>
              </w:rPr>
              <w:fldChar w:fldCharType="begin"/>
            </w:r>
            <w:r w:rsidR="002818A6">
              <w:rPr>
                <w:noProof/>
                <w:webHidden/>
              </w:rPr>
              <w:instrText xml:space="preserve"> PAGEREF _Toc29278174 \h </w:instrText>
            </w:r>
            <w:r w:rsidR="002818A6">
              <w:rPr>
                <w:noProof/>
                <w:webHidden/>
              </w:rPr>
            </w:r>
            <w:r w:rsidR="002818A6">
              <w:rPr>
                <w:noProof/>
                <w:webHidden/>
              </w:rPr>
              <w:fldChar w:fldCharType="separate"/>
            </w:r>
            <w:r w:rsidR="00CA6F88">
              <w:rPr>
                <w:noProof/>
                <w:webHidden/>
              </w:rPr>
              <w:t>7</w:t>
            </w:r>
            <w:r w:rsidR="002818A6">
              <w:rPr>
                <w:noProof/>
                <w:webHidden/>
              </w:rPr>
              <w:fldChar w:fldCharType="end"/>
            </w:r>
          </w:hyperlink>
        </w:p>
        <w:p w14:paraId="0DF73A32" w14:textId="3CFE0013" w:rsidR="002818A6" w:rsidRDefault="00121E52">
          <w:pPr>
            <w:pStyle w:val="TOC1"/>
            <w:rPr>
              <w:rFonts w:asciiTheme="minorHAnsi" w:eastAsiaTheme="minorEastAsia" w:hAnsiTheme="minorHAnsi" w:cstheme="minorBidi"/>
              <w:noProof/>
              <w:sz w:val="22"/>
              <w:szCs w:val="22"/>
            </w:rPr>
          </w:pPr>
          <w:hyperlink w:anchor="_Toc29278175" w:history="1">
            <w:r w:rsidR="002818A6" w:rsidRPr="00186508">
              <w:rPr>
                <w:rStyle w:val="Hyperlink"/>
                <w:noProof/>
              </w:rPr>
              <w:t>II.</w:t>
            </w:r>
            <w:r w:rsidR="002818A6">
              <w:rPr>
                <w:rFonts w:asciiTheme="minorHAnsi" w:eastAsiaTheme="minorEastAsia" w:hAnsiTheme="minorHAnsi" w:cstheme="minorBidi"/>
                <w:noProof/>
                <w:sz w:val="22"/>
                <w:szCs w:val="22"/>
              </w:rPr>
              <w:tab/>
            </w:r>
            <w:r w:rsidR="002818A6" w:rsidRPr="00186508">
              <w:rPr>
                <w:rStyle w:val="Hyperlink"/>
                <w:noProof/>
              </w:rPr>
              <w:t>History of the Proceeding</w:t>
            </w:r>
            <w:r w:rsidR="002818A6">
              <w:rPr>
                <w:noProof/>
                <w:webHidden/>
              </w:rPr>
              <w:tab/>
            </w:r>
            <w:r w:rsidR="002818A6">
              <w:rPr>
                <w:noProof/>
                <w:webHidden/>
              </w:rPr>
              <w:fldChar w:fldCharType="begin"/>
            </w:r>
            <w:r w:rsidR="002818A6">
              <w:rPr>
                <w:noProof/>
                <w:webHidden/>
              </w:rPr>
              <w:instrText xml:space="preserve"> PAGEREF _Toc29278175 \h </w:instrText>
            </w:r>
            <w:r w:rsidR="002818A6">
              <w:rPr>
                <w:noProof/>
                <w:webHidden/>
              </w:rPr>
            </w:r>
            <w:r w:rsidR="002818A6">
              <w:rPr>
                <w:noProof/>
                <w:webHidden/>
              </w:rPr>
              <w:fldChar w:fldCharType="separate"/>
            </w:r>
            <w:r w:rsidR="00CA6F88">
              <w:rPr>
                <w:noProof/>
                <w:webHidden/>
              </w:rPr>
              <w:t>8</w:t>
            </w:r>
            <w:r w:rsidR="002818A6">
              <w:rPr>
                <w:noProof/>
                <w:webHidden/>
              </w:rPr>
              <w:fldChar w:fldCharType="end"/>
            </w:r>
          </w:hyperlink>
        </w:p>
        <w:p w14:paraId="60805A6B" w14:textId="0FECDB9D" w:rsidR="002818A6" w:rsidRDefault="00121E52">
          <w:pPr>
            <w:pStyle w:val="TOC1"/>
            <w:rPr>
              <w:rFonts w:asciiTheme="minorHAnsi" w:eastAsiaTheme="minorEastAsia" w:hAnsiTheme="minorHAnsi" w:cstheme="minorBidi"/>
              <w:noProof/>
              <w:sz w:val="22"/>
              <w:szCs w:val="22"/>
            </w:rPr>
          </w:pPr>
          <w:hyperlink w:anchor="_Toc29278176" w:history="1">
            <w:r w:rsidR="002818A6" w:rsidRPr="00186508">
              <w:rPr>
                <w:rStyle w:val="Hyperlink"/>
                <w:noProof/>
              </w:rPr>
              <w:t>III.</w:t>
            </w:r>
            <w:r w:rsidR="002818A6">
              <w:rPr>
                <w:rFonts w:asciiTheme="minorHAnsi" w:eastAsiaTheme="minorEastAsia" w:hAnsiTheme="minorHAnsi" w:cstheme="minorBidi"/>
                <w:noProof/>
                <w:sz w:val="22"/>
                <w:szCs w:val="22"/>
              </w:rPr>
              <w:tab/>
            </w:r>
            <w:r w:rsidR="002818A6" w:rsidRPr="00186508">
              <w:rPr>
                <w:rStyle w:val="Hyperlink"/>
                <w:noProof/>
              </w:rPr>
              <w:t>Discussion</w:t>
            </w:r>
            <w:r w:rsidR="002818A6">
              <w:rPr>
                <w:noProof/>
                <w:webHidden/>
              </w:rPr>
              <w:tab/>
            </w:r>
            <w:r w:rsidR="002818A6">
              <w:rPr>
                <w:noProof/>
                <w:webHidden/>
              </w:rPr>
              <w:fldChar w:fldCharType="begin"/>
            </w:r>
            <w:r w:rsidR="002818A6">
              <w:rPr>
                <w:noProof/>
                <w:webHidden/>
              </w:rPr>
              <w:instrText xml:space="preserve"> PAGEREF _Toc29278176 \h </w:instrText>
            </w:r>
            <w:r w:rsidR="002818A6">
              <w:rPr>
                <w:noProof/>
                <w:webHidden/>
              </w:rPr>
            </w:r>
            <w:r w:rsidR="002818A6">
              <w:rPr>
                <w:noProof/>
                <w:webHidden/>
              </w:rPr>
              <w:fldChar w:fldCharType="separate"/>
            </w:r>
            <w:r w:rsidR="00CA6F88">
              <w:rPr>
                <w:noProof/>
                <w:webHidden/>
              </w:rPr>
              <w:t>10</w:t>
            </w:r>
            <w:r w:rsidR="002818A6">
              <w:rPr>
                <w:noProof/>
                <w:webHidden/>
              </w:rPr>
              <w:fldChar w:fldCharType="end"/>
            </w:r>
          </w:hyperlink>
        </w:p>
        <w:p w14:paraId="371994F0" w14:textId="0CB1D235" w:rsidR="002818A6" w:rsidRDefault="00121E52">
          <w:pPr>
            <w:pStyle w:val="TOC2"/>
            <w:tabs>
              <w:tab w:val="left" w:pos="1440"/>
            </w:tabs>
            <w:rPr>
              <w:rFonts w:asciiTheme="minorHAnsi" w:eastAsiaTheme="minorEastAsia" w:hAnsiTheme="minorHAnsi" w:cstheme="minorBidi"/>
              <w:noProof/>
              <w:sz w:val="22"/>
              <w:szCs w:val="22"/>
            </w:rPr>
          </w:pPr>
          <w:hyperlink w:anchor="_Toc29278177" w:history="1">
            <w:r w:rsidR="002818A6" w:rsidRPr="00186508">
              <w:rPr>
                <w:rStyle w:val="Hyperlink"/>
                <w:rFonts w:eastAsiaTheme="minorHAnsi"/>
                <w:noProof/>
              </w:rPr>
              <w:t>A.</w:t>
            </w:r>
            <w:r w:rsidR="002818A6">
              <w:rPr>
                <w:rFonts w:asciiTheme="minorHAnsi" w:eastAsiaTheme="minorEastAsia" w:hAnsiTheme="minorHAnsi" w:cstheme="minorBidi"/>
                <w:noProof/>
                <w:sz w:val="22"/>
                <w:szCs w:val="22"/>
              </w:rPr>
              <w:tab/>
            </w:r>
            <w:r w:rsidR="002818A6" w:rsidRPr="00186508">
              <w:rPr>
                <w:rStyle w:val="Hyperlink"/>
                <w:rFonts w:eastAsiaTheme="minorHAnsi"/>
                <w:noProof/>
              </w:rPr>
              <w:t>Legal Standards</w:t>
            </w:r>
            <w:r w:rsidR="002818A6">
              <w:rPr>
                <w:noProof/>
                <w:webHidden/>
              </w:rPr>
              <w:tab/>
            </w:r>
            <w:r w:rsidR="002818A6">
              <w:rPr>
                <w:noProof/>
                <w:webHidden/>
              </w:rPr>
              <w:fldChar w:fldCharType="begin"/>
            </w:r>
            <w:r w:rsidR="002818A6">
              <w:rPr>
                <w:noProof/>
                <w:webHidden/>
              </w:rPr>
              <w:instrText xml:space="preserve"> PAGEREF _Toc29278177 \h </w:instrText>
            </w:r>
            <w:r w:rsidR="002818A6">
              <w:rPr>
                <w:noProof/>
                <w:webHidden/>
              </w:rPr>
            </w:r>
            <w:r w:rsidR="002818A6">
              <w:rPr>
                <w:noProof/>
                <w:webHidden/>
              </w:rPr>
              <w:fldChar w:fldCharType="separate"/>
            </w:r>
            <w:r w:rsidR="00CA6F88">
              <w:rPr>
                <w:noProof/>
                <w:webHidden/>
              </w:rPr>
              <w:t>10</w:t>
            </w:r>
            <w:r w:rsidR="002818A6">
              <w:rPr>
                <w:noProof/>
                <w:webHidden/>
              </w:rPr>
              <w:fldChar w:fldCharType="end"/>
            </w:r>
          </w:hyperlink>
        </w:p>
        <w:p w14:paraId="6B737B66" w14:textId="1CD9E943" w:rsidR="002818A6" w:rsidRDefault="00121E52">
          <w:pPr>
            <w:pStyle w:val="TOC2"/>
            <w:tabs>
              <w:tab w:val="left" w:pos="1440"/>
            </w:tabs>
            <w:rPr>
              <w:rFonts w:asciiTheme="minorHAnsi" w:eastAsiaTheme="minorEastAsia" w:hAnsiTheme="minorHAnsi" w:cstheme="minorBidi"/>
              <w:noProof/>
              <w:sz w:val="22"/>
              <w:szCs w:val="22"/>
            </w:rPr>
          </w:pPr>
          <w:hyperlink w:anchor="_Toc29278178" w:history="1">
            <w:r w:rsidR="002818A6" w:rsidRPr="00186508">
              <w:rPr>
                <w:rStyle w:val="Hyperlink"/>
                <w:noProof/>
              </w:rPr>
              <w:t>B.</w:t>
            </w:r>
            <w:r w:rsidR="002818A6">
              <w:rPr>
                <w:rFonts w:asciiTheme="minorHAnsi" w:eastAsiaTheme="minorEastAsia" w:hAnsiTheme="minorHAnsi" w:cstheme="minorBidi"/>
                <w:noProof/>
                <w:sz w:val="22"/>
                <w:szCs w:val="22"/>
              </w:rPr>
              <w:tab/>
            </w:r>
            <w:r w:rsidR="002818A6" w:rsidRPr="00186508">
              <w:rPr>
                <w:rStyle w:val="Hyperlink"/>
                <w:noProof/>
              </w:rPr>
              <w:t>Fitness of Aqua America</w:t>
            </w:r>
            <w:r w:rsidR="002818A6">
              <w:rPr>
                <w:noProof/>
                <w:webHidden/>
              </w:rPr>
              <w:tab/>
            </w:r>
            <w:r w:rsidR="002818A6">
              <w:rPr>
                <w:noProof/>
                <w:webHidden/>
              </w:rPr>
              <w:fldChar w:fldCharType="begin"/>
            </w:r>
            <w:r w:rsidR="002818A6">
              <w:rPr>
                <w:noProof/>
                <w:webHidden/>
              </w:rPr>
              <w:instrText xml:space="preserve"> PAGEREF _Toc29278178 \h </w:instrText>
            </w:r>
            <w:r w:rsidR="002818A6">
              <w:rPr>
                <w:noProof/>
                <w:webHidden/>
              </w:rPr>
            </w:r>
            <w:r w:rsidR="002818A6">
              <w:rPr>
                <w:noProof/>
                <w:webHidden/>
              </w:rPr>
              <w:fldChar w:fldCharType="separate"/>
            </w:r>
            <w:r w:rsidR="00CA6F88">
              <w:rPr>
                <w:noProof/>
                <w:webHidden/>
              </w:rPr>
              <w:t>14</w:t>
            </w:r>
            <w:r w:rsidR="002818A6">
              <w:rPr>
                <w:noProof/>
                <w:webHidden/>
              </w:rPr>
              <w:fldChar w:fldCharType="end"/>
            </w:r>
          </w:hyperlink>
        </w:p>
        <w:p w14:paraId="4851EB72" w14:textId="6ED6770B" w:rsidR="002818A6" w:rsidRDefault="00121E52" w:rsidP="00320F87">
          <w:pPr>
            <w:pStyle w:val="TOC3"/>
            <w:rPr>
              <w:rFonts w:asciiTheme="minorHAnsi" w:eastAsiaTheme="minorEastAsia" w:hAnsiTheme="minorHAnsi" w:cstheme="minorBidi"/>
              <w:noProof/>
              <w:sz w:val="22"/>
              <w:szCs w:val="22"/>
            </w:rPr>
          </w:pPr>
          <w:hyperlink w:anchor="_Toc29278179" w:history="1">
            <w:r w:rsidR="002818A6" w:rsidRPr="00186508">
              <w:rPr>
                <w:rStyle w:val="Hyperlink"/>
                <w:rFonts w:eastAsiaTheme="majorEastAsia"/>
                <w:noProof/>
              </w:rPr>
              <w:t>1.</w:t>
            </w:r>
            <w:r w:rsidR="002818A6">
              <w:rPr>
                <w:rFonts w:asciiTheme="minorHAnsi" w:eastAsiaTheme="minorEastAsia" w:hAnsiTheme="minorHAnsi" w:cstheme="minorBidi"/>
                <w:noProof/>
                <w:sz w:val="22"/>
                <w:szCs w:val="22"/>
              </w:rPr>
              <w:tab/>
            </w:r>
            <w:r w:rsidR="002818A6" w:rsidRPr="00186508">
              <w:rPr>
                <w:rStyle w:val="Hyperlink"/>
                <w:rFonts w:eastAsiaTheme="majorEastAsia"/>
                <w:noProof/>
              </w:rPr>
              <w:t>Presumption of Fitness</w:t>
            </w:r>
            <w:r w:rsidR="002818A6">
              <w:rPr>
                <w:noProof/>
                <w:webHidden/>
              </w:rPr>
              <w:tab/>
            </w:r>
            <w:r w:rsidR="002818A6">
              <w:rPr>
                <w:noProof/>
                <w:webHidden/>
              </w:rPr>
              <w:fldChar w:fldCharType="begin"/>
            </w:r>
            <w:r w:rsidR="002818A6">
              <w:rPr>
                <w:noProof/>
                <w:webHidden/>
              </w:rPr>
              <w:instrText xml:space="preserve"> PAGEREF _Toc29278179 \h </w:instrText>
            </w:r>
            <w:r w:rsidR="002818A6">
              <w:rPr>
                <w:noProof/>
                <w:webHidden/>
              </w:rPr>
            </w:r>
            <w:r w:rsidR="002818A6">
              <w:rPr>
                <w:noProof/>
                <w:webHidden/>
              </w:rPr>
              <w:fldChar w:fldCharType="separate"/>
            </w:r>
            <w:r w:rsidR="00CA6F88">
              <w:rPr>
                <w:noProof/>
                <w:webHidden/>
              </w:rPr>
              <w:t>14</w:t>
            </w:r>
            <w:r w:rsidR="002818A6">
              <w:rPr>
                <w:noProof/>
                <w:webHidden/>
              </w:rPr>
              <w:fldChar w:fldCharType="end"/>
            </w:r>
          </w:hyperlink>
        </w:p>
        <w:p w14:paraId="09C243C4" w14:textId="34A1DAAE" w:rsidR="002818A6" w:rsidRDefault="00121E52" w:rsidP="00320F87">
          <w:pPr>
            <w:pStyle w:val="TOC3"/>
            <w:rPr>
              <w:rFonts w:asciiTheme="minorHAnsi" w:eastAsiaTheme="minorEastAsia" w:hAnsiTheme="minorHAnsi" w:cstheme="minorBidi"/>
              <w:noProof/>
              <w:sz w:val="22"/>
              <w:szCs w:val="22"/>
            </w:rPr>
          </w:pPr>
          <w:hyperlink w:anchor="_Toc29278180" w:history="1">
            <w:r w:rsidR="002818A6" w:rsidRPr="00186508">
              <w:rPr>
                <w:rStyle w:val="Hyperlink"/>
                <w:rFonts w:eastAsiaTheme="majorEastAsia"/>
                <w:noProof/>
              </w:rPr>
              <w:t>2.</w:t>
            </w:r>
            <w:r w:rsidR="002818A6">
              <w:rPr>
                <w:rFonts w:asciiTheme="minorHAnsi" w:eastAsiaTheme="minorEastAsia" w:hAnsiTheme="minorHAnsi" w:cstheme="minorBidi"/>
                <w:noProof/>
                <w:sz w:val="22"/>
                <w:szCs w:val="22"/>
              </w:rPr>
              <w:tab/>
            </w:r>
            <w:r w:rsidR="002818A6" w:rsidRPr="00186508">
              <w:rPr>
                <w:rStyle w:val="Hyperlink"/>
                <w:rFonts w:eastAsiaTheme="majorEastAsia"/>
                <w:noProof/>
              </w:rPr>
              <w:t>Technical Fitness</w:t>
            </w:r>
            <w:r w:rsidR="002818A6">
              <w:rPr>
                <w:noProof/>
                <w:webHidden/>
              </w:rPr>
              <w:tab/>
            </w:r>
            <w:r w:rsidR="002818A6">
              <w:rPr>
                <w:noProof/>
                <w:webHidden/>
              </w:rPr>
              <w:fldChar w:fldCharType="begin"/>
            </w:r>
            <w:r w:rsidR="002818A6">
              <w:rPr>
                <w:noProof/>
                <w:webHidden/>
              </w:rPr>
              <w:instrText xml:space="preserve"> PAGEREF _Toc29278180 \h </w:instrText>
            </w:r>
            <w:r w:rsidR="002818A6">
              <w:rPr>
                <w:noProof/>
                <w:webHidden/>
              </w:rPr>
            </w:r>
            <w:r w:rsidR="002818A6">
              <w:rPr>
                <w:noProof/>
                <w:webHidden/>
              </w:rPr>
              <w:fldChar w:fldCharType="separate"/>
            </w:r>
            <w:r w:rsidR="00CA6F88">
              <w:rPr>
                <w:noProof/>
                <w:webHidden/>
              </w:rPr>
              <w:t>15</w:t>
            </w:r>
            <w:r w:rsidR="002818A6">
              <w:rPr>
                <w:noProof/>
                <w:webHidden/>
              </w:rPr>
              <w:fldChar w:fldCharType="end"/>
            </w:r>
          </w:hyperlink>
        </w:p>
        <w:p w14:paraId="7CAE7763" w14:textId="7B33FFE5" w:rsidR="002818A6" w:rsidRDefault="00121E52">
          <w:pPr>
            <w:pStyle w:val="TOC4"/>
            <w:tabs>
              <w:tab w:val="left" w:pos="2880"/>
            </w:tabs>
            <w:rPr>
              <w:rFonts w:asciiTheme="minorHAnsi" w:hAnsiTheme="minorHAnsi" w:cstheme="minorBidi"/>
            </w:rPr>
          </w:pPr>
          <w:hyperlink w:anchor="_Toc29278181" w:history="1">
            <w:r w:rsidR="002818A6" w:rsidRPr="00186508">
              <w:rPr>
                <w:rStyle w:val="Hyperlink"/>
              </w:rPr>
              <w:t>a.</w:t>
            </w:r>
            <w:r w:rsidR="002818A6">
              <w:rPr>
                <w:rFonts w:asciiTheme="minorHAnsi" w:hAnsiTheme="minorHAnsi" w:cstheme="minorBidi"/>
              </w:rPr>
              <w:tab/>
            </w:r>
            <w:r w:rsidR="002818A6" w:rsidRPr="00186508">
              <w:rPr>
                <w:rStyle w:val="Hyperlink"/>
              </w:rPr>
              <w:t>Positions of the Parties</w:t>
            </w:r>
            <w:r w:rsidR="002818A6">
              <w:rPr>
                <w:webHidden/>
              </w:rPr>
              <w:tab/>
            </w:r>
            <w:r w:rsidR="002818A6">
              <w:rPr>
                <w:webHidden/>
              </w:rPr>
              <w:fldChar w:fldCharType="begin"/>
            </w:r>
            <w:r w:rsidR="002818A6">
              <w:rPr>
                <w:webHidden/>
              </w:rPr>
              <w:instrText xml:space="preserve"> PAGEREF _Toc29278181 \h </w:instrText>
            </w:r>
            <w:r w:rsidR="002818A6">
              <w:rPr>
                <w:webHidden/>
              </w:rPr>
            </w:r>
            <w:r w:rsidR="002818A6">
              <w:rPr>
                <w:webHidden/>
              </w:rPr>
              <w:fldChar w:fldCharType="separate"/>
            </w:r>
            <w:r w:rsidR="00CA6F88">
              <w:rPr>
                <w:webHidden/>
              </w:rPr>
              <w:t>16</w:t>
            </w:r>
            <w:r w:rsidR="002818A6">
              <w:rPr>
                <w:webHidden/>
              </w:rPr>
              <w:fldChar w:fldCharType="end"/>
            </w:r>
          </w:hyperlink>
        </w:p>
        <w:p w14:paraId="4C271237" w14:textId="404F1E73" w:rsidR="002818A6" w:rsidRDefault="00121E52">
          <w:pPr>
            <w:pStyle w:val="TOC4"/>
            <w:tabs>
              <w:tab w:val="left" w:pos="2880"/>
            </w:tabs>
            <w:rPr>
              <w:rFonts w:asciiTheme="minorHAnsi" w:hAnsiTheme="minorHAnsi" w:cstheme="minorBidi"/>
            </w:rPr>
          </w:pPr>
          <w:hyperlink w:anchor="_Toc29278182" w:history="1">
            <w:r w:rsidR="002818A6" w:rsidRPr="00186508">
              <w:rPr>
                <w:rStyle w:val="Hyperlink"/>
              </w:rPr>
              <w:t>b.</w:t>
            </w:r>
            <w:r w:rsidR="002818A6">
              <w:rPr>
                <w:rFonts w:asciiTheme="minorHAnsi" w:hAnsiTheme="minorHAnsi" w:cstheme="minorBidi"/>
              </w:rPr>
              <w:tab/>
            </w:r>
            <w:r w:rsidR="002818A6" w:rsidRPr="00186508">
              <w:rPr>
                <w:rStyle w:val="Hyperlink"/>
              </w:rPr>
              <w:t>Recommended Decision</w:t>
            </w:r>
            <w:r w:rsidR="002818A6">
              <w:rPr>
                <w:webHidden/>
              </w:rPr>
              <w:tab/>
            </w:r>
            <w:r w:rsidR="002818A6">
              <w:rPr>
                <w:webHidden/>
              </w:rPr>
              <w:fldChar w:fldCharType="begin"/>
            </w:r>
            <w:r w:rsidR="002818A6">
              <w:rPr>
                <w:webHidden/>
              </w:rPr>
              <w:instrText xml:space="preserve"> PAGEREF _Toc29278182 \h </w:instrText>
            </w:r>
            <w:r w:rsidR="002818A6">
              <w:rPr>
                <w:webHidden/>
              </w:rPr>
            </w:r>
            <w:r w:rsidR="002818A6">
              <w:rPr>
                <w:webHidden/>
              </w:rPr>
              <w:fldChar w:fldCharType="separate"/>
            </w:r>
            <w:r w:rsidR="00CA6F88">
              <w:rPr>
                <w:webHidden/>
              </w:rPr>
              <w:t>20</w:t>
            </w:r>
            <w:r w:rsidR="002818A6">
              <w:rPr>
                <w:webHidden/>
              </w:rPr>
              <w:fldChar w:fldCharType="end"/>
            </w:r>
          </w:hyperlink>
        </w:p>
        <w:p w14:paraId="11F2AE8F" w14:textId="3650086E" w:rsidR="002818A6" w:rsidRDefault="00121E52">
          <w:pPr>
            <w:pStyle w:val="TOC4"/>
            <w:tabs>
              <w:tab w:val="left" w:pos="2880"/>
            </w:tabs>
            <w:rPr>
              <w:rFonts w:asciiTheme="minorHAnsi" w:hAnsiTheme="minorHAnsi" w:cstheme="minorBidi"/>
            </w:rPr>
          </w:pPr>
          <w:hyperlink w:anchor="_Toc29278183" w:history="1">
            <w:r w:rsidR="002818A6" w:rsidRPr="00186508">
              <w:rPr>
                <w:rStyle w:val="Hyperlink"/>
              </w:rPr>
              <w:t>c.</w:t>
            </w:r>
            <w:r w:rsidR="002818A6">
              <w:rPr>
                <w:rFonts w:asciiTheme="minorHAnsi" w:hAnsiTheme="minorHAnsi" w:cstheme="minorBidi"/>
              </w:rPr>
              <w:tab/>
            </w:r>
            <w:r w:rsidR="002818A6" w:rsidRPr="00186508">
              <w:rPr>
                <w:rStyle w:val="Hyperlink"/>
              </w:rPr>
              <w:t>Exceptions and Replies</w:t>
            </w:r>
            <w:r w:rsidR="002818A6">
              <w:rPr>
                <w:webHidden/>
              </w:rPr>
              <w:tab/>
            </w:r>
            <w:r w:rsidR="002818A6">
              <w:rPr>
                <w:webHidden/>
              </w:rPr>
              <w:fldChar w:fldCharType="begin"/>
            </w:r>
            <w:r w:rsidR="002818A6">
              <w:rPr>
                <w:webHidden/>
              </w:rPr>
              <w:instrText xml:space="preserve"> PAGEREF _Toc29278183 \h </w:instrText>
            </w:r>
            <w:r w:rsidR="002818A6">
              <w:rPr>
                <w:webHidden/>
              </w:rPr>
            </w:r>
            <w:r w:rsidR="002818A6">
              <w:rPr>
                <w:webHidden/>
              </w:rPr>
              <w:fldChar w:fldCharType="separate"/>
            </w:r>
            <w:r w:rsidR="00CA6F88">
              <w:rPr>
                <w:webHidden/>
              </w:rPr>
              <w:t>22</w:t>
            </w:r>
            <w:r w:rsidR="002818A6">
              <w:rPr>
                <w:webHidden/>
              </w:rPr>
              <w:fldChar w:fldCharType="end"/>
            </w:r>
          </w:hyperlink>
        </w:p>
        <w:p w14:paraId="261F70FA" w14:textId="376037F5" w:rsidR="002818A6" w:rsidRDefault="00121E52">
          <w:pPr>
            <w:pStyle w:val="TOC4"/>
            <w:tabs>
              <w:tab w:val="left" w:pos="2880"/>
            </w:tabs>
            <w:rPr>
              <w:rFonts w:asciiTheme="minorHAnsi" w:hAnsiTheme="minorHAnsi" w:cstheme="minorBidi"/>
            </w:rPr>
          </w:pPr>
          <w:hyperlink w:anchor="_Toc29278184" w:history="1">
            <w:r w:rsidR="002818A6" w:rsidRPr="00186508">
              <w:rPr>
                <w:rStyle w:val="Hyperlink"/>
                <w:rFonts w:eastAsiaTheme="minorHAnsi"/>
              </w:rPr>
              <w:t>d.</w:t>
            </w:r>
            <w:r w:rsidR="002818A6">
              <w:rPr>
                <w:rFonts w:asciiTheme="minorHAnsi" w:hAnsiTheme="minorHAnsi" w:cstheme="minorBidi"/>
              </w:rPr>
              <w:tab/>
            </w:r>
            <w:r w:rsidR="002818A6" w:rsidRPr="00186508">
              <w:rPr>
                <w:rStyle w:val="Hyperlink"/>
                <w:rFonts w:eastAsiaTheme="minorHAnsi"/>
              </w:rPr>
              <w:t>Disposition</w:t>
            </w:r>
            <w:r w:rsidR="002818A6">
              <w:rPr>
                <w:webHidden/>
              </w:rPr>
              <w:tab/>
            </w:r>
            <w:r w:rsidR="002818A6">
              <w:rPr>
                <w:webHidden/>
              </w:rPr>
              <w:fldChar w:fldCharType="begin"/>
            </w:r>
            <w:r w:rsidR="002818A6">
              <w:rPr>
                <w:webHidden/>
              </w:rPr>
              <w:instrText xml:space="preserve"> PAGEREF _Toc29278184 \h </w:instrText>
            </w:r>
            <w:r w:rsidR="002818A6">
              <w:rPr>
                <w:webHidden/>
              </w:rPr>
            </w:r>
            <w:r w:rsidR="002818A6">
              <w:rPr>
                <w:webHidden/>
              </w:rPr>
              <w:fldChar w:fldCharType="separate"/>
            </w:r>
            <w:r w:rsidR="00CA6F88">
              <w:rPr>
                <w:webHidden/>
              </w:rPr>
              <w:t>23</w:t>
            </w:r>
            <w:r w:rsidR="002818A6">
              <w:rPr>
                <w:webHidden/>
              </w:rPr>
              <w:fldChar w:fldCharType="end"/>
            </w:r>
          </w:hyperlink>
        </w:p>
        <w:p w14:paraId="1F3DF62C" w14:textId="0845C9C5" w:rsidR="002818A6" w:rsidRDefault="00121E52" w:rsidP="00320F87">
          <w:pPr>
            <w:pStyle w:val="TOC3"/>
            <w:rPr>
              <w:rFonts w:asciiTheme="minorHAnsi" w:eastAsiaTheme="minorEastAsia" w:hAnsiTheme="minorHAnsi" w:cstheme="minorBidi"/>
              <w:noProof/>
              <w:sz w:val="22"/>
              <w:szCs w:val="22"/>
            </w:rPr>
          </w:pPr>
          <w:hyperlink w:anchor="_Toc29278185" w:history="1">
            <w:r w:rsidR="002818A6" w:rsidRPr="00186508">
              <w:rPr>
                <w:rStyle w:val="Hyperlink"/>
                <w:rFonts w:eastAsiaTheme="majorEastAsia"/>
                <w:noProof/>
              </w:rPr>
              <w:t>3.</w:t>
            </w:r>
            <w:r w:rsidR="002818A6">
              <w:rPr>
                <w:rFonts w:asciiTheme="minorHAnsi" w:eastAsiaTheme="minorEastAsia" w:hAnsiTheme="minorHAnsi" w:cstheme="minorBidi"/>
                <w:noProof/>
                <w:sz w:val="22"/>
                <w:szCs w:val="22"/>
              </w:rPr>
              <w:tab/>
            </w:r>
            <w:r w:rsidR="002818A6" w:rsidRPr="00186508">
              <w:rPr>
                <w:rStyle w:val="Hyperlink"/>
                <w:rFonts w:eastAsiaTheme="majorEastAsia"/>
                <w:noProof/>
              </w:rPr>
              <w:t>Financial Fitness, Purchase Price, and Financing</w:t>
            </w:r>
            <w:r w:rsidR="002818A6">
              <w:rPr>
                <w:noProof/>
                <w:webHidden/>
              </w:rPr>
              <w:tab/>
            </w:r>
            <w:r w:rsidR="002818A6">
              <w:rPr>
                <w:noProof/>
                <w:webHidden/>
              </w:rPr>
              <w:fldChar w:fldCharType="begin"/>
            </w:r>
            <w:r w:rsidR="002818A6">
              <w:rPr>
                <w:noProof/>
                <w:webHidden/>
              </w:rPr>
              <w:instrText xml:space="preserve"> PAGEREF _Toc29278185 \h </w:instrText>
            </w:r>
            <w:r w:rsidR="002818A6">
              <w:rPr>
                <w:noProof/>
                <w:webHidden/>
              </w:rPr>
            </w:r>
            <w:r w:rsidR="002818A6">
              <w:rPr>
                <w:noProof/>
                <w:webHidden/>
              </w:rPr>
              <w:fldChar w:fldCharType="separate"/>
            </w:r>
            <w:r w:rsidR="00CA6F88">
              <w:rPr>
                <w:noProof/>
                <w:webHidden/>
              </w:rPr>
              <w:t>28</w:t>
            </w:r>
            <w:r w:rsidR="002818A6">
              <w:rPr>
                <w:noProof/>
                <w:webHidden/>
              </w:rPr>
              <w:fldChar w:fldCharType="end"/>
            </w:r>
          </w:hyperlink>
        </w:p>
        <w:p w14:paraId="2719B72D" w14:textId="38C8E0A5" w:rsidR="002818A6" w:rsidRDefault="00121E52">
          <w:pPr>
            <w:pStyle w:val="TOC4"/>
            <w:tabs>
              <w:tab w:val="left" w:pos="2880"/>
            </w:tabs>
            <w:rPr>
              <w:rFonts w:asciiTheme="minorHAnsi" w:hAnsiTheme="minorHAnsi" w:cstheme="minorBidi"/>
            </w:rPr>
          </w:pPr>
          <w:hyperlink w:anchor="_Toc29278186" w:history="1">
            <w:r w:rsidR="002818A6" w:rsidRPr="00186508">
              <w:rPr>
                <w:rStyle w:val="Hyperlink"/>
                <w:rFonts w:eastAsiaTheme="minorHAnsi"/>
              </w:rPr>
              <w:t>a.</w:t>
            </w:r>
            <w:r w:rsidR="002818A6">
              <w:rPr>
                <w:rFonts w:asciiTheme="minorHAnsi" w:hAnsiTheme="minorHAnsi" w:cstheme="minorBidi"/>
              </w:rPr>
              <w:tab/>
            </w:r>
            <w:r w:rsidR="002818A6" w:rsidRPr="00186508">
              <w:rPr>
                <w:rStyle w:val="Hyperlink"/>
                <w:rFonts w:eastAsiaTheme="minorHAnsi"/>
              </w:rPr>
              <w:t>Settlement Terms</w:t>
            </w:r>
            <w:r w:rsidR="002818A6">
              <w:rPr>
                <w:webHidden/>
              </w:rPr>
              <w:tab/>
            </w:r>
            <w:r w:rsidR="002818A6">
              <w:rPr>
                <w:webHidden/>
              </w:rPr>
              <w:fldChar w:fldCharType="begin"/>
            </w:r>
            <w:r w:rsidR="002818A6">
              <w:rPr>
                <w:webHidden/>
              </w:rPr>
              <w:instrText xml:space="preserve"> PAGEREF _Toc29278186 \h </w:instrText>
            </w:r>
            <w:r w:rsidR="002818A6">
              <w:rPr>
                <w:webHidden/>
              </w:rPr>
            </w:r>
            <w:r w:rsidR="002818A6">
              <w:rPr>
                <w:webHidden/>
              </w:rPr>
              <w:fldChar w:fldCharType="separate"/>
            </w:r>
            <w:r w:rsidR="00CA6F88">
              <w:rPr>
                <w:webHidden/>
              </w:rPr>
              <w:t>28</w:t>
            </w:r>
            <w:r w:rsidR="002818A6">
              <w:rPr>
                <w:webHidden/>
              </w:rPr>
              <w:fldChar w:fldCharType="end"/>
            </w:r>
          </w:hyperlink>
        </w:p>
        <w:p w14:paraId="2094EDE0" w14:textId="0BA1B507" w:rsidR="002818A6" w:rsidRDefault="00121E52">
          <w:pPr>
            <w:pStyle w:val="TOC4"/>
            <w:tabs>
              <w:tab w:val="left" w:pos="2880"/>
            </w:tabs>
            <w:rPr>
              <w:rFonts w:asciiTheme="minorHAnsi" w:hAnsiTheme="minorHAnsi" w:cstheme="minorBidi"/>
            </w:rPr>
          </w:pPr>
          <w:hyperlink w:anchor="_Toc29278187" w:history="1">
            <w:r w:rsidR="002818A6" w:rsidRPr="00186508">
              <w:rPr>
                <w:rStyle w:val="Hyperlink"/>
                <w:rFonts w:eastAsiaTheme="minorHAnsi"/>
              </w:rPr>
              <w:t>b.</w:t>
            </w:r>
            <w:r w:rsidR="002818A6">
              <w:rPr>
                <w:rFonts w:asciiTheme="minorHAnsi" w:hAnsiTheme="minorHAnsi" w:cstheme="minorBidi"/>
              </w:rPr>
              <w:tab/>
            </w:r>
            <w:r w:rsidR="002818A6" w:rsidRPr="00186508">
              <w:rPr>
                <w:rStyle w:val="Hyperlink"/>
                <w:rFonts w:eastAsiaTheme="minorHAnsi"/>
              </w:rPr>
              <w:t>Positions of the Parties</w:t>
            </w:r>
            <w:r w:rsidR="002818A6">
              <w:rPr>
                <w:webHidden/>
              </w:rPr>
              <w:tab/>
            </w:r>
            <w:r w:rsidR="002818A6">
              <w:rPr>
                <w:webHidden/>
              </w:rPr>
              <w:fldChar w:fldCharType="begin"/>
            </w:r>
            <w:r w:rsidR="002818A6">
              <w:rPr>
                <w:webHidden/>
              </w:rPr>
              <w:instrText xml:space="preserve"> PAGEREF _Toc29278187 \h </w:instrText>
            </w:r>
            <w:r w:rsidR="002818A6">
              <w:rPr>
                <w:webHidden/>
              </w:rPr>
            </w:r>
            <w:r w:rsidR="002818A6">
              <w:rPr>
                <w:webHidden/>
              </w:rPr>
              <w:fldChar w:fldCharType="separate"/>
            </w:r>
            <w:r w:rsidR="00CA6F88">
              <w:rPr>
                <w:webHidden/>
              </w:rPr>
              <w:t>33</w:t>
            </w:r>
            <w:r w:rsidR="002818A6">
              <w:rPr>
                <w:webHidden/>
              </w:rPr>
              <w:fldChar w:fldCharType="end"/>
            </w:r>
          </w:hyperlink>
        </w:p>
        <w:p w14:paraId="0C766A84" w14:textId="070DC68C" w:rsidR="002818A6" w:rsidRDefault="00121E52">
          <w:pPr>
            <w:pStyle w:val="TOC4"/>
            <w:tabs>
              <w:tab w:val="left" w:pos="2880"/>
            </w:tabs>
            <w:rPr>
              <w:rFonts w:asciiTheme="minorHAnsi" w:hAnsiTheme="minorHAnsi" w:cstheme="minorBidi"/>
            </w:rPr>
          </w:pPr>
          <w:hyperlink w:anchor="_Toc29278188" w:history="1">
            <w:r w:rsidR="002818A6" w:rsidRPr="00186508">
              <w:rPr>
                <w:rStyle w:val="Hyperlink"/>
                <w:rFonts w:eastAsiaTheme="minorHAnsi"/>
              </w:rPr>
              <w:t>c.</w:t>
            </w:r>
            <w:r w:rsidR="002818A6">
              <w:rPr>
                <w:rFonts w:asciiTheme="minorHAnsi" w:hAnsiTheme="minorHAnsi" w:cstheme="minorBidi"/>
              </w:rPr>
              <w:tab/>
            </w:r>
            <w:r w:rsidR="002818A6" w:rsidRPr="00186508">
              <w:rPr>
                <w:rStyle w:val="Hyperlink"/>
                <w:rFonts w:eastAsiaTheme="minorHAnsi"/>
              </w:rPr>
              <w:t>Recommended Decision</w:t>
            </w:r>
            <w:r w:rsidR="002818A6">
              <w:rPr>
                <w:webHidden/>
              </w:rPr>
              <w:tab/>
            </w:r>
            <w:r w:rsidR="002818A6">
              <w:rPr>
                <w:webHidden/>
              </w:rPr>
              <w:fldChar w:fldCharType="begin"/>
            </w:r>
            <w:r w:rsidR="002818A6">
              <w:rPr>
                <w:webHidden/>
              </w:rPr>
              <w:instrText xml:space="preserve"> PAGEREF _Toc29278188 \h </w:instrText>
            </w:r>
            <w:r w:rsidR="002818A6">
              <w:rPr>
                <w:webHidden/>
              </w:rPr>
            </w:r>
            <w:r w:rsidR="002818A6">
              <w:rPr>
                <w:webHidden/>
              </w:rPr>
              <w:fldChar w:fldCharType="separate"/>
            </w:r>
            <w:r w:rsidR="00CA6F88">
              <w:rPr>
                <w:webHidden/>
              </w:rPr>
              <w:t>38</w:t>
            </w:r>
            <w:r w:rsidR="002818A6">
              <w:rPr>
                <w:webHidden/>
              </w:rPr>
              <w:fldChar w:fldCharType="end"/>
            </w:r>
          </w:hyperlink>
        </w:p>
        <w:p w14:paraId="35E11003" w14:textId="64FA62FB" w:rsidR="002818A6" w:rsidRDefault="00121E52">
          <w:pPr>
            <w:pStyle w:val="TOC4"/>
            <w:tabs>
              <w:tab w:val="left" w:pos="2880"/>
            </w:tabs>
            <w:rPr>
              <w:rFonts w:asciiTheme="minorHAnsi" w:hAnsiTheme="minorHAnsi" w:cstheme="minorBidi"/>
            </w:rPr>
          </w:pPr>
          <w:hyperlink w:anchor="_Toc29278189" w:history="1">
            <w:r w:rsidR="002818A6" w:rsidRPr="00186508">
              <w:rPr>
                <w:rStyle w:val="Hyperlink"/>
              </w:rPr>
              <w:t>d.</w:t>
            </w:r>
            <w:r w:rsidR="002818A6">
              <w:rPr>
                <w:rFonts w:asciiTheme="minorHAnsi" w:hAnsiTheme="minorHAnsi" w:cstheme="minorBidi"/>
              </w:rPr>
              <w:tab/>
            </w:r>
            <w:r w:rsidR="002818A6" w:rsidRPr="00186508">
              <w:rPr>
                <w:rStyle w:val="Hyperlink"/>
                <w:rFonts w:eastAsiaTheme="minorHAnsi"/>
              </w:rPr>
              <w:t>Exceptions and Replies</w:t>
            </w:r>
            <w:r w:rsidR="002818A6">
              <w:rPr>
                <w:webHidden/>
              </w:rPr>
              <w:tab/>
            </w:r>
            <w:r w:rsidR="002818A6">
              <w:rPr>
                <w:webHidden/>
              </w:rPr>
              <w:fldChar w:fldCharType="begin"/>
            </w:r>
            <w:r w:rsidR="002818A6">
              <w:rPr>
                <w:webHidden/>
              </w:rPr>
              <w:instrText xml:space="preserve"> PAGEREF _Toc29278189 \h </w:instrText>
            </w:r>
            <w:r w:rsidR="002818A6">
              <w:rPr>
                <w:webHidden/>
              </w:rPr>
            </w:r>
            <w:r w:rsidR="002818A6">
              <w:rPr>
                <w:webHidden/>
              </w:rPr>
              <w:fldChar w:fldCharType="separate"/>
            </w:r>
            <w:r w:rsidR="00CA6F88">
              <w:rPr>
                <w:webHidden/>
              </w:rPr>
              <w:t>41</w:t>
            </w:r>
            <w:r w:rsidR="002818A6">
              <w:rPr>
                <w:webHidden/>
              </w:rPr>
              <w:fldChar w:fldCharType="end"/>
            </w:r>
          </w:hyperlink>
        </w:p>
        <w:p w14:paraId="16301690" w14:textId="3F0E7609" w:rsidR="002818A6" w:rsidRDefault="00121E52">
          <w:pPr>
            <w:pStyle w:val="TOC4"/>
            <w:tabs>
              <w:tab w:val="left" w:pos="2880"/>
            </w:tabs>
            <w:rPr>
              <w:rFonts w:asciiTheme="minorHAnsi" w:hAnsiTheme="minorHAnsi" w:cstheme="minorBidi"/>
            </w:rPr>
          </w:pPr>
          <w:hyperlink w:anchor="_Toc29278190" w:history="1">
            <w:r w:rsidR="002818A6" w:rsidRPr="00186508">
              <w:rPr>
                <w:rStyle w:val="Hyperlink"/>
                <w:rFonts w:eastAsiaTheme="minorHAnsi"/>
              </w:rPr>
              <w:t>e.</w:t>
            </w:r>
            <w:r w:rsidR="002818A6">
              <w:rPr>
                <w:rFonts w:asciiTheme="minorHAnsi" w:hAnsiTheme="minorHAnsi" w:cstheme="minorBidi"/>
              </w:rPr>
              <w:tab/>
            </w:r>
            <w:r w:rsidR="002818A6" w:rsidRPr="00186508">
              <w:rPr>
                <w:rStyle w:val="Hyperlink"/>
                <w:rFonts w:eastAsiaTheme="minorHAnsi"/>
              </w:rPr>
              <w:t>Disposition</w:t>
            </w:r>
            <w:r w:rsidR="002818A6">
              <w:rPr>
                <w:webHidden/>
              </w:rPr>
              <w:tab/>
            </w:r>
            <w:r w:rsidR="002818A6">
              <w:rPr>
                <w:webHidden/>
              </w:rPr>
              <w:fldChar w:fldCharType="begin"/>
            </w:r>
            <w:r w:rsidR="002818A6">
              <w:rPr>
                <w:webHidden/>
              </w:rPr>
              <w:instrText xml:space="preserve"> PAGEREF _Toc29278190 \h </w:instrText>
            </w:r>
            <w:r w:rsidR="002818A6">
              <w:rPr>
                <w:webHidden/>
              </w:rPr>
            </w:r>
            <w:r w:rsidR="002818A6">
              <w:rPr>
                <w:webHidden/>
              </w:rPr>
              <w:fldChar w:fldCharType="separate"/>
            </w:r>
            <w:r w:rsidR="00CA6F88">
              <w:rPr>
                <w:webHidden/>
              </w:rPr>
              <w:t>45</w:t>
            </w:r>
            <w:r w:rsidR="002818A6">
              <w:rPr>
                <w:webHidden/>
              </w:rPr>
              <w:fldChar w:fldCharType="end"/>
            </w:r>
          </w:hyperlink>
        </w:p>
        <w:p w14:paraId="4DDE5320" w14:textId="44D9AA1E" w:rsidR="002818A6" w:rsidRDefault="00121E52" w:rsidP="00320F87">
          <w:pPr>
            <w:pStyle w:val="TOC3"/>
            <w:rPr>
              <w:rFonts w:asciiTheme="minorHAnsi" w:eastAsiaTheme="minorEastAsia" w:hAnsiTheme="minorHAnsi" w:cstheme="minorBidi"/>
              <w:noProof/>
              <w:sz w:val="22"/>
              <w:szCs w:val="22"/>
            </w:rPr>
          </w:pPr>
          <w:hyperlink w:anchor="_Toc29278191" w:history="1">
            <w:r w:rsidR="002818A6" w:rsidRPr="00186508">
              <w:rPr>
                <w:rStyle w:val="Hyperlink"/>
                <w:noProof/>
              </w:rPr>
              <w:t>4.</w:t>
            </w:r>
            <w:r w:rsidR="002818A6">
              <w:rPr>
                <w:rFonts w:asciiTheme="minorHAnsi" w:eastAsiaTheme="minorEastAsia" w:hAnsiTheme="minorHAnsi" w:cstheme="minorBidi"/>
                <w:noProof/>
                <w:sz w:val="22"/>
                <w:szCs w:val="22"/>
              </w:rPr>
              <w:tab/>
            </w:r>
            <w:r w:rsidR="002818A6" w:rsidRPr="00186508">
              <w:rPr>
                <w:rStyle w:val="Hyperlink"/>
                <w:noProof/>
              </w:rPr>
              <w:t>Legal Fitness</w:t>
            </w:r>
            <w:r w:rsidR="002818A6">
              <w:rPr>
                <w:noProof/>
                <w:webHidden/>
              </w:rPr>
              <w:tab/>
            </w:r>
            <w:r w:rsidR="002818A6">
              <w:rPr>
                <w:noProof/>
                <w:webHidden/>
              </w:rPr>
              <w:fldChar w:fldCharType="begin"/>
            </w:r>
            <w:r w:rsidR="002818A6">
              <w:rPr>
                <w:noProof/>
                <w:webHidden/>
              </w:rPr>
              <w:instrText xml:space="preserve"> PAGEREF _Toc29278191 \h </w:instrText>
            </w:r>
            <w:r w:rsidR="002818A6">
              <w:rPr>
                <w:noProof/>
                <w:webHidden/>
              </w:rPr>
            </w:r>
            <w:r w:rsidR="002818A6">
              <w:rPr>
                <w:noProof/>
                <w:webHidden/>
              </w:rPr>
              <w:fldChar w:fldCharType="separate"/>
            </w:r>
            <w:r w:rsidR="00CA6F88">
              <w:rPr>
                <w:noProof/>
                <w:webHidden/>
              </w:rPr>
              <w:t>49</w:t>
            </w:r>
            <w:r w:rsidR="002818A6">
              <w:rPr>
                <w:noProof/>
                <w:webHidden/>
              </w:rPr>
              <w:fldChar w:fldCharType="end"/>
            </w:r>
          </w:hyperlink>
        </w:p>
        <w:p w14:paraId="6527D108" w14:textId="1D3EBBB1" w:rsidR="002818A6" w:rsidRDefault="00121E52">
          <w:pPr>
            <w:pStyle w:val="TOC2"/>
            <w:tabs>
              <w:tab w:val="left" w:pos="1440"/>
            </w:tabs>
            <w:rPr>
              <w:rFonts w:asciiTheme="minorHAnsi" w:eastAsiaTheme="minorEastAsia" w:hAnsiTheme="minorHAnsi" w:cstheme="minorBidi"/>
              <w:noProof/>
              <w:sz w:val="22"/>
              <w:szCs w:val="22"/>
            </w:rPr>
          </w:pPr>
          <w:hyperlink w:anchor="_Toc29278192" w:history="1">
            <w:r w:rsidR="002818A6" w:rsidRPr="00186508">
              <w:rPr>
                <w:rStyle w:val="Hyperlink"/>
                <w:noProof/>
              </w:rPr>
              <w:t>C.</w:t>
            </w:r>
            <w:r w:rsidR="002818A6">
              <w:rPr>
                <w:rFonts w:asciiTheme="minorHAnsi" w:eastAsiaTheme="minorEastAsia" w:hAnsiTheme="minorHAnsi" w:cstheme="minorBidi"/>
                <w:noProof/>
                <w:sz w:val="22"/>
                <w:szCs w:val="22"/>
              </w:rPr>
              <w:tab/>
            </w:r>
            <w:r w:rsidR="002818A6" w:rsidRPr="00186508">
              <w:rPr>
                <w:rStyle w:val="Hyperlink"/>
                <w:noProof/>
              </w:rPr>
              <w:t>Benefits Identified in the Joint Application and Settlement</w:t>
            </w:r>
            <w:r w:rsidR="002818A6">
              <w:rPr>
                <w:noProof/>
                <w:webHidden/>
              </w:rPr>
              <w:tab/>
            </w:r>
            <w:r w:rsidR="002818A6">
              <w:rPr>
                <w:noProof/>
                <w:webHidden/>
              </w:rPr>
              <w:fldChar w:fldCharType="begin"/>
            </w:r>
            <w:r w:rsidR="002818A6">
              <w:rPr>
                <w:noProof/>
                <w:webHidden/>
              </w:rPr>
              <w:instrText xml:space="preserve"> PAGEREF _Toc29278192 \h </w:instrText>
            </w:r>
            <w:r w:rsidR="002818A6">
              <w:rPr>
                <w:noProof/>
                <w:webHidden/>
              </w:rPr>
            </w:r>
            <w:r w:rsidR="002818A6">
              <w:rPr>
                <w:noProof/>
                <w:webHidden/>
              </w:rPr>
              <w:fldChar w:fldCharType="separate"/>
            </w:r>
            <w:r w:rsidR="00CA6F88">
              <w:rPr>
                <w:noProof/>
                <w:webHidden/>
              </w:rPr>
              <w:t>50</w:t>
            </w:r>
            <w:r w:rsidR="002818A6">
              <w:rPr>
                <w:noProof/>
                <w:webHidden/>
              </w:rPr>
              <w:fldChar w:fldCharType="end"/>
            </w:r>
          </w:hyperlink>
        </w:p>
        <w:p w14:paraId="438B1B03" w14:textId="1B20F310" w:rsidR="002818A6" w:rsidRDefault="00121E52" w:rsidP="00320F87">
          <w:pPr>
            <w:pStyle w:val="TOC3"/>
            <w:rPr>
              <w:rFonts w:asciiTheme="minorHAnsi" w:eastAsiaTheme="minorEastAsia" w:hAnsiTheme="minorHAnsi" w:cstheme="minorBidi"/>
              <w:noProof/>
              <w:sz w:val="22"/>
              <w:szCs w:val="22"/>
            </w:rPr>
          </w:pPr>
          <w:hyperlink w:anchor="_Toc29278193" w:history="1">
            <w:r w:rsidR="002818A6" w:rsidRPr="00186508">
              <w:rPr>
                <w:rStyle w:val="Hyperlink"/>
                <w:noProof/>
              </w:rPr>
              <w:t>1.</w:t>
            </w:r>
            <w:r w:rsidR="002818A6">
              <w:rPr>
                <w:rFonts w:asciiTheme="minorHAnsi" w:eastAsiaTheme="minorEastAsia" w:hAnsiTheme="minorHAnsi" w:cstheme="minorBidi"/>
                <w:noProof/>
                <w:sz w:val="22"/>
                <w:szCs w:val="22"/>
              </w:rPr>
              <w:tab/>
            </w:r>
            <w:r w:rsidR="002818A6" w:rsidRPr="00186508">
              <w:rPr>
                <w:rStyle w:val="Hyperlink"/>
                <w:noProof/>
              </w:rPr>
              <w:t>Goodwin and Tombaugh Gathering Systems</w:t>
            </w:r>
            <w:r w:rsidR="002818A6">
              <w:rPr>
                <w:noProof/>
                <w:webHidden/>
              </w:rPr>
              <w:tab/>
            </w:r>
            <w:r w:rsidR="002818A6">
              <w:rPr>
                <w:noProof/>
                <w:webHidden/>
              </w:rPr>
              <w:fldChar w:fldCharType="begin"/>
            </w:r>
            <w:r w:rsidR="002818A6">
              <w:rPr>
                <w:noProof/>
                <w:webHidden/>
              </w:rPr>
              <w:instrText xml:space="preserve"> PAGEREF _Toc29278193 \h </w:instrText>
            </w:r>
            <w:r w:rsidR="002818A6">
              <w:rPr>
                <w:noProof/>
                <w:webHidden/>
              </w:rPr>
            </w:r>
            <w:r w:rsidR="002818A6">
              <w:rPr>
                <w:noProof/>
                <w:webHidden/>
              </w:rPr>
              <w:fldChar w:fldCharType="separate"/>
            </w:r>
            <w:r w:rsidR="00CA6F88">
              <w:rPr>
                <w:noProof/>
                <w:webHidden/>
              </w:rPr>
              <w:t>50</w:t>
            </w:r>
            <w:r w:rsidR="002818A6">
              <w:rPr>
                <w:noProof/>
                <w:webHidden/>
              </w:rPr>
              <w:fldChar w:fldCharType="end"/>
            </w:r>
          </w:hyperlink>
        </w:p>
        <w:p w14:paraId="4A982CA3" w14:textId="1EB758B5" w:rsidR="002818A6" w:rsidRDefault="00121E52">
          <w:pPr>
            <w:pStyle w:val="TOC4"/>
            <w:tabs>
              <w:tab w:val="left" w:pos="2880"/>
            </w:tabs>
            <w:rPr>
              <w:rFonts w:asciiTheme="minorHAnsi" w:hAnsiTheme="minorHAnsi" w:cstheme="minorBidi"/>
            </w:rPr>
          </w:pPr>
          <w:hyperlink w:anchor="_Toc29278194" w:history="1">
            <w:r w:rsidR="002818A6" w:rsidRPr="00186508">
              <w:rPr>
                <w:rStyle w:val="Hyperlink"/>
              </w:rPr>
              <w:t>a.</w:t>
            </w:r>
            <w:r w:rsidR="002818A6">
              <w:rPr>
                <w:rFonts w:asciiTheme="minorHAnsi" w:hAnsiTheme="minorHAnsi" w:cstheme="minorBidi"/>
              </w:rPr>
              <w:tab/>
            </w:r>
            <w:r w:rsidR="002818A6" w:rsidRPr="00186508">
              <w:rPr>
                <w:rStyle w:val="Hyperlink"/>
              </w:rPr>
              <w:t>Background and Description of the G/T Systems</w:t>
            </w:r>
            <w:r w:rsidR="002818A6">
              <w:rPr>
                <w:webHidden/>
              </w:rPr>
              <w:tab/>
            </w:r>
            <w:r w:rsidR="002818A6">
              <w:rPr>
                <w:webHidden/>
              </w:rPr>
              <w:fldChar w:fldCharType="begin"/>
            </w:r>
            <w:r w:rsidR="002818A6">
              <w:rPr>
                <w:webHidden/>
              </w:rPr>
              <w:instrText xml:space="preserve"> PAGEREF _Toc29278194 \h </w:instrText>
            </w:r>
            <w:r w:rsidR="002818A6">
              <w:rPr>
                <w:webHidden/>
              </w:rPr>
            </w:r>
            <w:r w:rsidR="002818A6">
              <w:rPr>
                <w:webHidden/>
              </w:rPr>
              <w:fldChar w:fldCharType="separate"/>
            </w:r>
            <w:r w:rsidR="00CA6F88">
              <w:rPr>
                <w:webHidden/>
              </w:rPr>
              <w:t>50</w:t>
            </w:r>
            <w:r w:rsidR="002818A6">
              <w:rPr>
                <w:webHidden/>
              </w:rPr>
              <w:fldChar w:fldCharType="end"/>
            </w:r>
          </w:hyperlink>
        </w:p>
        <w:p w14:paraId="4AF54E4B" w14:textId="052FD813" w:rsidR="002818A6" w:rsidRDefault="00121E52">
          <w:pPr>
            <w:pStyle w:val="TOC4"/>
            <w:tabs>
              <w:tab w:val="left" w:pos="2880"/>
            </w:tabs>
            <w:rPr>
              <w:rFonts w:asciiTheme="minorHAnsi" w:hAnsiTheme="minorHAnsi" w:cstheme="minorBidi"/>
            </w:rPr>
          </w:pPr>
          <w:hyperlink w:anchor="_Toc29278195" w:history="1">
            <w:r w:rsidR="002818A6" w:rsidRPr="00186508">
              <w:rPr>
                <w:rStyle w:val="Hyperlink"/>
              </w:rPr>
              <w:t>b.</w:t>
            </w:r>
            <w:r w:rsidR="002818A6">
              <w:rPr>
                <w:rFonts w:asciiTheme="minorHAnsi" w:hAnsiTheme="minorHAnsi" w:cstheme="minorBidi"/>
              </w:rPr>
              <w:tab/>
            </w:r>
            <w:r w:rsidR="002818A6" w:rsidRPr="00186508">
              <w:rPr>
                <w:rStyle w:val="Hyperlink"/>
              </w:rPr>
              <w:t>2013 Equitable Settlement Terms</w:t>
            </w:r>
            <w:r w:rsidR="002818A6">
              <w:rPr>
                <w:webHidden/>
              </w:rPr>
              <w:tab/>
            </w:r>
            <w:r w:rsidR="002818A6">
              <w:rPr>
                <w:webHidden/>
              </w:rPr>
              <w:fldChar w:fldCharType="begin"/>
            </w:r>
            <w:r w:rsidR="002818A6">
              <w:rPr>
                <w:webHidden/>
              </w:rPr>
              <w:instrText xml:space="preserve"> PAGEREF _Toc29278195 \h </w:instrText>
            </w:r>
            <w:r w:rsidR="002818A6">
              <w:rPr>
                <w:webHidden/>
              </w:rPr>
            </w:r>
            <w:r w:rsidR="002818A6">
              <w:rPr>
                <w:webHidden/>
              </w:rPr>
              <w:fldChar w:fldCharType="separate"/>
            </w:r>
            <w:r w:rsidR="00CA6F88">
              <w:rPr>
                <w:webHidden/>
              </w:rPr>
              <w:t>52</w:t>
            </w:r>
            <w:r w:rsidR="002818A6">
              <w:rPr>
                <w:webHidden/>
              </w:rPr>
              <w:fldChar w:fldCharType="end"/>
            </w:r>
          </w:hyperlink>
        </w:p>
        <w:p w14:paraId="3FC96E5C" w14:textId="49AEE4A3" w:rsidR="002818A6" w:rsidRDefault="00121E52">
          <w:pPr>
            <w:pStyle w:val="TOC4"/>
            <w:tabs>
              <w:tab w:val="left" w:pos="2880"/>
            </w:tabs>
            <w:rPr>
              <w:rFonts w:asciiTheme="minorHAnsi" w:hAnsiTheme="minorHAnsi" w:cstheme="minorBidi"/>
            </w:rPr>
          </w:pPr>
          <w:hyperlink w:anchor="_Toc29278196" w:history="1">
            <w:r w:rsidR="002818A6" w:rsidRPr="00186508">
              <w:rPr>
                <w:rStyle w:val="Hyperlink"/>
              </w:rPr>
              <w:t>c.</w:t>
            </w:r>
            <w:r w:rsidR="002818A6">
              <w:rPr>
                <w:rFonts w:asciiTheme="minorHAnsi" w:hAnsiTheme="minorHAnsi" w:cstheme="minorBidi"/>
              </w:rPr>
              <w:tab/>
            </w:r>
            <w:r w:rsidR="002818A6" w:rsidRPr="00186508">
              <w:rPr>
                <w:rStyle w:val="Hyperlink"/>
              </w:rPr>
              <w:t>Settlement Terms in this Proceeding</w:t>
            </w:r>
            <w:r w:rsidR="002818A6">
              <w:rPr>
                <w:webHidden/>
              </w:rPr>
              <w:tab/>
            </w:r>
            <w:r w:rsidR="002818A6">
              <w:rPr>
                <w:webHidden/>
              </w:rPr>
              <w:fldChar w:fldCharType="begin"/>
            </w:r>
            <w:r w:rsidR="002818A6">
              <w:rPr>
                <w:webHidden/>
              </w:rPr>
              <w:instrText xml:space="preserve"> PAGEREF _Toc29278196 \h </w:instrText>
            </w:r>
            <w:r w:rsidR="002818A6">
              <w:rPr>
                <w:webHidden/>
              </w:rPr>
            </w:r>
            <w:r w:rsidR="002818A6">
              <w:rPr>
                <w:webHidden/>
              </w:rPr>
              <w:fldChar w:fldCharType="separate"/>
            </w:r>
            <w:r w:rsidR="00CA6F88">
              <w:rPr>
                <w:webHidden/>
              </w:rPr>
              <w:t>56</w:t>
            </w:r>
            <w:r w:rsidR="002818A6">
              <w:rPr>
                <w:webHidden/>
              </w:rPr>
              <w:fldChar w:fldCharType="end"/>
            </w:r>
          </w:hyperlink>
        </w:p>
        <w:p w14:paraId="2D9B9478" w14:textId="14FC776F" w:rsidR="002818A6" w:rsidRDefault="00121E52">
          <w:pPr>
            <w:pStyle w:val="TOC4"/>
            <w:tabs>
              <w:tab w:val="left" w:pos="2880"/>
            </w:tabs>
            <w:rPr>
              <w:rFonts w:asciiTheme="minorHAnsi" w:hAnsiTheme="minorHAnsi" w:cstheme="minorBidi"/>
            </w:rPr>
          </w:pPr>
          <w:hyperlink w:anchor="_Toc29278197" w:history="1">
            <w:r w:rsidR="002818A6" w:rsidRPr="00186508">
              <w:rPr>
                <w:rStyle w:val="Hyperlink"/>
              </w:rPr>
              <w:t>d.</w:t>
            </w:r>
            <w:r w:rsidR="002818A6">
              <w:rPr>
                <w:rFonts w:asciiTheme="minorHAnsi" w:hAnsiTheme="minorHAnsi" w:cstheme="minorBidi"/>
              </w:rPr>
              <w:tab/>
            </w:r>
            <w:r w:rsidR="002818A6" w:rsidRPr="00186508">
              <w:rPr>
                <w:rStyle w:val="Hyperlink"/>
              </w:rPr>
              <w:t>Positions of the Parties</w:t>
            </w:r>
            <w:r w:rsidR="002818A6">
              <w:rPr>
                <w:webHidden/>
              </w:rPr>
              <w:tab/>
            </w:r>
            <w:r w:rsidR="002818A6">
              <w:rPr>
                <w:webHidden/>
              </w:rPr>
              <w:fldChar w:fldCharType="begin"/>
            </w:r>
            <w:r w:rsidR="002818A6">
              <w:rPr>
                <w:webHidden/>
              </w:rPr>
              <w:instrText xml:space="preserve"> PAGEREF _Toc29278197 \h </w:instrText>
            </w:r>
            <w:r w:rsidR="002818A6">
              <w:rPr>
                <w:webHidden/>
              </w:rPr>
            </w:r>
            <w:r w:rsidR="002818A6">
              <w:rPr>
                <w:webHidden/>
              </w:rPr>
              <w:fldChar w:fldCharType="separate"/>
            </w:r>
            <w:r w:rsidR="00CA6F88">
              <w:rPr>
                <w:webHidden/>
              </w:rPr>
              <w:t>59</w:t>
            </w:r>
            <w:r w:rsidR="002818A6">
              <w:rPr>
                <w:webHidden/>
              </w:rPr>
              <w:fldChar w:fldCharType="end"/>
            </w:r>
          </w:hyperlink>
        </w:p>
        <w:p w14:paraId="449B794A" w14:textId="76D65685" w:rsidR="002818A6" w:rsidRDefault="00121E52">
          <w:pPr>
            <w:pStyle w:val="TOC4"/>
            <w:tabs>
              <w:tab w:val="left" w:pos="2880"/>
            </w:tabs>
            <w:rPr>
              <w:rFonts w:asciiTheme="minorHAnsi" w:hAnsiTheme="minorHAnsi" w:cstheme="minorBidi"/>
            </w:rPr>
          </w:pPr>
          <w:hyperlink w:anchor="_Toc29278198" w:history="1">
            <w:r w:rsidR="002818A6" w:rsidRPr="00186508">
              <w:rPr>
                <w:rStyle w:val="Hyperlink"/>
              </w:rPr>
              <w:t>e.</w:t>
            </w:r>
            <w:r w:rsidR="002818A6">
              <w:rPr>
                <w:rFonts w:asciiTheme="minorHAnsi" w:hAnsiTheme="minorHAnsi" w:cstheme="minorBidi"/>
              </w:rPr>
              <w:tab/>
            </w:r>
            <w:r w:rsidR="002818A6" w:rsidRPr="00186508">
              <w:rPr>
                <w:rStyle w:val="Hyperlink"/>
              </w:rPr>
              <w:t>Recommended Decision</w:t>
            </w:r>
            <w:r w:rsidR="002818A6">
              <w:rPr>
                <w:webHidden/>
              </w:rPr>
              <w:tab/>
            </w:r>
            <w:r w:rsidR="002818A6">
              <w:rPr>
                <w:webHidden/>
              </w:rPr>
              <w:fldChar w:fldCharType="begin"/>
            </w:r>
            <w:r w:rsidR="002818A6">
              <w:rPr>
                <w:webHidden/>
              </w:rPr>
              <w:instrText xml:space="preserve"> PAGEREF _Toc29278198 \h </w:instrText>
            </w:r>
            <w:r w:rsidR="002818A6">
              <w:rPr>
                <w:webHidden/>
              </w:rPr>
            </w:r>
            <w:r w:rsidR="002818A6">
              <w:rPr>
                <w:webHidden/>
              </w:rPr>
              <w:fldChar w:fldCharType="separate"/>
            </w:r>
            <w:r w:rsidR="00CA6F88">
              <w:rPr>
                <w:webHidden/>
              </w:rPr>
              <w:t>63</w:t>
            </w:r>
            <w:r w:rsidR="002818A6">
              <w:rPr>
                <w:webHidden/>
              </w:rPr>
              <w:fldChar w:fldCharType="end"/>
            </w:r>
          </w:hyperlink>
        </w:p>
        <w:p w14:paraId="1B88E07B" w14:textId="0F15FD5C" w:rsidR="002818A6" w:rsidRDefault="00121E52">
          <w:pPr>
            <w:pStyle w:val="TOC4"/>
            <w:tabs>
              <w:tab w:val="left" w:pos="2880"/>
            </w:tabs>
            <w:rPr>
              <w:rFonts w:asciiTheme="minorHAnsi" w:hAnsiTheme="minorHAnsi" w:cstheme="minorBidi"/>
            </w:rPr>
          </w:pPr>
          <w:hyperlink w:anchor="_Toc29278199" w:history="1">
            <w:r w:rsidR="002818A6" w:rsidRPr="00186508">
              <w:rPr>
                <w:rStyle w:val="Hyperlink"/>
              </w:rPr>
              <w:t>f.</w:t>
            </w:r>
            <w:r w:rsidR="002818A6">
              <w:rPr>
                <w:rFonts w:asciiTheme="minorHAnsi" w:hAnsiTheme="minorHAnsi" w:cstheme="minorBidi"/>
              </w:rPr>
              <w:tab/>
            </w:r>
            <w:r w:rsidR="002818A6" w:rsidRPr="00186508">
              <w:rPr>
                <w:rStyle w:val="Hyperlink"/>
              </w:rPr>
              <w:t>I&amp;E Exception No. 2, OSBA Exceptions Nos. 5, 6, and 8, the Joint Applicants’ and the OCA’s Replies, and Disposition</w:t>
            </w:r>
            <w:r w:rsidR="002818A6">
              <w:rPr>
                <w:webHidden/>
              </w:rPr>
              <w:tab/>
            </w:r>
            <w:r w:rsidR="002818A6">
              <w:rPr>
                <w:webHidden/>
              </w:rPr>
              <w:fldChar w:fldCharType="begin"/>
            </w:r>
            <w:r w:rsidR="002818A6">
              <w:rPr>
                <w:webHidden/>
              </w:rPr>
              <w:instrText xml:space="preserve"> PAGEREF _Toc29278199 \h </w:instrText>
            </w:r>
            <w:r w:rsidR="002818A6">
              <w:rPr>
                <w:webHidden/>
              </w:rPr>
            </w:r>
            <w:r w:rsidR="002818A6">
              <w:rPr>
                <w:webHidden/>
              </w:rPr>
              <w:fldChar w:fldCharType="separate"/>
            </w:r>
            <w:r w:rsidR="00CA6F88">
              <w:rPr>
                <w:webHidden/>
              </w:rPr>
              <w:t>66</w:t>
            </w:r>
            <w:r w:rsidR="002818A6">
              <w:rPr>
                <w:webHidden/>
              </w:rPr>
              <w:fldChar w:fldCharType="end"/>
            </w:r>
          </w:hyperlink>
        </w:p>
        <w:p w14:paraId="6D1884EE" w14:textId="3AAA4A10" w:rsidR="002818A6" w:rsidRDefault="00121E52">
          <w:pPr>
            <w:pStyle w:val="TOC4"/>
            <w:tabs>
              <w:tab w:val="left" w:pos="2880"/>
            </w:tabs>
            <w:rPr>
              <w:rFonts w:asciiTheme="minorHAnsi" w:hAnsiTheme="minorHAnsi" w:cstheme="minorBidi"/>
            </w:rPr>
          </w:pPr>
          <w:hyperlink w:anchor="_Toc29278200" w:history="1">
            <w:r w:rsidR="002818A6" w:rsidRPr="00186508">
              <w:rPr>
                <w:rStyle w:val="Hyperlink"/>
              </w:rPr>
              <w:t>g.</w:t>
            </w:r>
            <w:r w:rsidR="002818A6">
              <w:rPr>
                <w:rFonts w:asciiTheme="minorHAnsi" w:hAnsiTheme="minorHAnsi" w:cstheme="minorBidi"/>
              </w:rPr>
              <w:tab/>
            </w:r>
            <w:r w:rsidR="002818A6" w:rsidRPr="00186508">
              <w:rPr>
                <w:rStyle w:val="Hyperlink"/>
              </w:rPr>
              <w:t>OSBA Exception No. 9, Replies of the Joint Applicants and the OCA, and Disposition</w:t>
            </w:r>
            <w:r w:rsidR="002818A6">
              <w:rPr>
                <w:webHidden/>
              </w:rPr>
              <w:tab/>
            </w:r>
            <w:r w:rsidR="002818A6">
              <w:rPr>
                <w:webHidden/>
              </w:rPr>
              <w:fldChar w:fldCharType="begin"/>
            </w:r>
            <w:r w:rsidR="002818A6">
              <w:rPr>
                <w:webHidden/>
              </w:rPr>
              <w:instrText xml:space="preserve"> PAGEREF _Toc29278200 \h </w:instrText>
            </w:r>
            <w:r w:rsidR="002818A6">
              <w:rPr>
                <w:webHidden/>
              </w:rPr>
            </w:r>
            <w:r w:rsidR="002818A6">
              <w:rPr>
                <w:webHidden/>
              </w:rPr>
              <w:fldChar w:fldCharType="separate"/>
            </w:r>
            <w:r w:rsidR="00CA6F88">
              <w:rPr>
                <w:webHidden/>
              </w:rPr>
              <w:t>77</w:t>
            </w:r>
            <w:r w:rsidR="002818A6">
              <w:rPr>
                <w:webHidden/>
              </w:rPr>
              <w:fldChar w:fldCharType="end"/>
            </w:r>
          </w:hyperlink>
        </w:p>
        <w:p w14:paraId="60B08BC8" w14:textId="014F7D3C" w:rsidR="002818A6" w:rsidRDefault="00121E52">
          <w:pPr>
            <w:pStyle w:val="TOC4"/>
            <w:tabs>
              <w:tab w:val="left" w:pos="2880"/>
            </w:tabs>
            <w:rPr>
              <w:rFonts w:asciiTheme="minorHAnsi" w:hAnsiTheme="minorHAnsi" w:cstheme="minorBidi"/>
            </w:rPr>
          </w:pPr>
          <w:hyperlink w:anchor="_Toc29278201" w:history="1">
            <w:r w:rsidR="002818A6" w:rsidRPr="00186508">
              <w:rPr>
                <w:rStyle w:val="Hyperlink"/>
              </w:rPr>
              <w:t>h.</w:t>
            </w:r>
            <w:r w:rsidR="002818A6">
              <w:rPr>
                <w:rFonts w:asciiTheme="minorHAnsi" w:hAnsiTheme="minorHAnsi" w:cstheme="minorBidi"/>
              </w:rPr>
              <w:tab/>
            </w:r>
            <w:r w:rsidR="002818A6" w:rsidRPr="00186508">
              <w:rPr>
                <w:rStyle w:val="Hyperlink"/>
              </w:rPr>
              <w:t>I&amp;E Exception No. 3, OSBA Exceptions Nos. 10 and 11, the Joint Applicants and the OCA’s Replies, and Disposition</w:t>
            </w:r>
            <w:r w:rsidR="002818A6">
              <w:rPr>
                <w:webHidden/>
              </w:rPr>
              <w:tab/>
            </w:r>
            <w:r w:rsidR="002818A6">
              <w:rPr>
                <w:webHidden/>
              </w:rPr>
              <w:fldChar w:fldCharType="begin"/>
            </w:r>
            <w:r w:rsidR="002818A6">
              <w:rPr>
                <w:webHidden/>
              </w:rPr>
              <w:instrText xml:space="preserve"> PAGEREF _Toc29278201 \h </w:instrText>
            </w:r>
            <w:r w:rsidR="002818A6">
              <w:rPr>
                <w:webHidden/>
              </w:rPr>
            </w:r>
            <w:r w:rsidR="002818A6">
              <w:rPr>
                <w:webHidden/>
              </w:rPr>
              <w:fldChar w:fldCharType="separate"/>
            </w:r>
            <w:r w:rsidR="00CA6F88">
              <w:rPr>
                <w:webHidden/>
              </w:rPr>
              <w:t>83</w:t>
            </w:r>
            <w:r w:rsidR="002818A6">
              <w:rPr>
                <w:webHidden/>
              </w:rPr>
              <w:fldChar w:fldCharType="end"/>
            </w:r>
          </w:hyperlink>
        </w:p>
        <w:p w14:paraId="6FEF5218" w14:textId="6184285B" w:rsidR="002818A6" w:rsidRDefault="00121E52">
          <w:pPr>
            <w:pStyle w:val="TOC4"/>
            <w:tabs>
              <w:tab w:val="left" w:pos="2880"/>
            </w:tabs>
            <w:rPr>
              <w:rFonts w:asciiTheme="minorHAnsi" w:hAnsiTheme="minorHAnsi" w:cstheme="minorBidi"/>
            </w:rPr>
          </w:pPr>
          <w:hyperlink w:anchor="_Toc29278202" w:history="1">
            <w:r w:rsidR="002818A6" w:rsidRPr="00186508">
              <w:rPr>
                <w:rStyle w:val="Hyperlink"/>
                <w:rFonts w:eastAsiaTheme="minorHAnsi"/>
                <w:w w:val="105"/>
              </w:rPr>
              <w:t>i.</w:t>
            </w:r>
            <w:r w:rsidR="002818A6">
              <w:rPr>
                <w:rFonts w:asciiTheme="minorHAnsi" w:hAnsiTheme="minorHAnsi" w:cstheme="minorBidi"/>
              </w:rPr>
              <w:tab/>
            </w:r>
            <w:r w:rsidR="002818A6" w:rsidRPr="00186508">
              <w:rPr>
                <w:rStyle w:val="Hyperlink"/>
                <w:rFonts w:eastAsiaTheme="minorHAnsi"/>
                <w:w w:val="105"/>
              </w:rPr>
              <w:t>I&amp;E Exception No. 4, OSBA Exception Nos. 7 and 12, the Joint Applicants and the OCA’s Replies, and Disposition</w:t>
            </w:r>
            <w:r w:rsidR="002818A6">
              <w:rPr>
                <w:webHidden/>
              </w:rPr>
              <w:tab/>
            </w:r>
            <w:r w:rsidR="002818A6">
              <w:rPr>
                <w:webHidden/>
              </w:rPr>
              <w:fldChar w:fldCharType="begin"/>
            </w:r>
            <w:r w:rsidR="002818A6">
              <w:rPr>
                <w:webHidden/>
              </w:rPr>
              <w:instrText xml:space="preserve"> PAGEREF _Toc29278202 \h </w:instrText>
            </w:r>
            <w:r w:rsidR="002818A6">
              <w:rPr>
                <w:webHidden/>
              </w:rPr>
            </w:r>
            <w:r w:rsidR="002818A6">
              <w:rPr>
                <w:webHidden/>
              </w:rPr>
              <w:fldChar w:fldCharType="separate"/>
            </w:r>
            <w:r w:rsidR="00CA6F88">
              <w:rPr>
                <w:webHidden/>
              </w:rPr>
              <w:t>93</w:t>
            </w:r>
            <w:r w:rsidR="002818A6">
              <w:rPr>
                <w:webHidden/>
              </w:rPr>
              <w:fldChar w:fldCharType="end"/>
            </w:r>
          </w:hyperlink>
        </w:p>
        <w:p w14:paraId="4B2D45C6" w14:textId="260D28CB" w:rsidR="002818A6" w:rsidRDefault="00121E52" w:rsidP="00320F87">
          <w:pPr>
            <w:pStyle w:val="TOC3"/>
            <w:rPr>
              <w:rFonts w:asciiTheme="minorHAnsi" w:eastAsiaTheme="minorEastAsia" w:hAnsiTheme="minorHAnsi" w:cstheme="minorBidi"/>
              <w:noProof/>
              <w:sz w:val="22"/>
              <w:szCs w:val="22"/>
            </w:rPr>
          </w:pPr>
          <w:hyperlink w:anchor="_Toc29278203" w:history="1">
            <w:r w:rsidR="002818A6" w:rsidRPr="00186508">
              <w:rPr>
                <w:rStyle w:val="Hyperlink"/>
                <w:noProof/>
              </w:rPr>
              <w:t>2.</w:t>
            </w:r>
            <w:r w:rsidR="002818A6">
              <w:rPr>
                <w:rFonts w:asciiTheme="minorHAnsi" w:eastAsiaTheme="minorEastAsia" w:hAnsiTheme="minorHAnsi" w:cstheme="minorBidi"/>
                <w:noProof/>
                <w:sz w:val="22"/>
                <w:szCs w:val="22"/>
              </w:rPr>
              <w:tab/>
            </w:r>
            <w:r w:rsidR="002818A6" w:rsidRPr="00186508">
              <w:rPr>
                <w:rStyle w:val="Hyperlink"/>
                <w:noProof/>
              </w:rPr>
              <w:t>Reliability and Pipe Replacement</w:t>
            </w:r>
            <w:r w:rsidR="002818A6">
              <w:rPr>
                <w:noProof/>
                <w:webHidden/>
              </w:rPr>
              <w:tab/>
            </w:r>
            <w:r w:rsidR="002818A6">
              <w:rPr>
                <w:noProof/>
                <w:webHidden/>
              </w:rPr>
              <w:fldChar w:fldCharType="begin"/>
            </w:r>
            <w:r w:rsidR="002818A6">
              <w:rPr>
                <w:noProof/>
                <w:webHidden/>
              </w:rPr>
              <w:instrText xml:space="preserve"> PAGEREF _Toc29278203 \h </w:instrText>
            </w:r>
            <w:r w:rsidR="002818A6">
              <w:rPr>
                <w:noProof/>
                <w:webHidden/>
              </w:rPr>
            </w:r>
            <w:r w:rsidR="002818A6">
              <w:rPr>
                <w:noProof/>
                <w:webHidden/>
              </w:rPr>
              <w:fldChar w:fldCharType="separate"/>
            </w:r>
            <w:r w:rsidR="00CA6F88">
              <w:rPr>
                <w:noProof/>
                <w:webHidden/>
              </w:rPr>
              <w:t>102</w:t>
            </w:r>
            <w:r w:rsidR="002818A6">
              <w:rPr>
                <w:noProof/>
                <w:webHidden/>
              </w:rPr>
              <w:fldChar w:fldCharType="end"/>
            </w:r>
          </w:hyperlink>
        </w:p>
        <w:p w14:paraId="22DA9BDE" w14:textId="61E2AABE" w:rsidR="002818A6" w:rsidRDefault="00121E52">
          <w:pPr>
            <w:pStyle w:val="TOC4"/>
            <w:tabs>
              <w:tab w:val="left" w:pos="2880"/>
            </w:tabs>
            <w:rPr>
              <w:rFonts w:asciiTheme="minorHAnsi" w:hAnsiTheme="minorHAnsi" w:cstheme="minorBidi"/>
            </w:rPr>
          </w:pPr>
          <w:hyperlink w:anchor="_Toc29278204" w:history="1">
            <w:r w:rsidR="002818A6" w:rsidRPr="00186508">
              <w:rPr>
                <w:rStyle w:val="Hyperlink"/>
              </w:rPr>
              <w:t>a.</w:t>
            </w:r>
            <w:r w:rsidR="002818A6">
              <w:rPr>
                <w:rFonts w:asciiTheme="minorHAnsi" w:hAnsiTheme="minorHAnsi" w:cstheme="minorBidi"/>
              </w:rPr>
              <w:tab/>
            </w:r>
            <w:r w:rsidR="002818A6" w:rsidRPr="00186508">
              <w:rPr>
                <w:rStyle w:val="Hyperlink"/>
              </w:rPr>
              <w:t>Settlement Terms</w:t>
            </w:r>
            <w:r w:rsidR="002818A6">
              <w:rPr>
                <w:webHidden/>
              </w:rPr>
              <w:tab/>
            </w:r>
            <w:r w:rsidR="002818A6">
              <w:rPr>
                <w:webHidden/>
              </w:rPr>
              <w:fldChar w:fldCharType="begin"/>
            </w:r>
            <w:r w:rsidR="002818A6">
              <w:rPr>
                <w:webHidden/>
              </w:rPr>
              <w:instrText xml:space="preserve"> PAGEREF _Toc29278204 \h </w:instrText>
            </w:r>
            <w:r w:rsidR="002818A6">
              <w:rPr>
                <w:webHidden/>
              </w:rPr>
            </w:r>
            <w:r w:rsidR="002818A6">
              <w:rPr>
                <w:webHidden/>
              </w:rPr>
              <w:fldChar w:fldCharType="separate"/>
            </w:r>
            <w:r w:rsidR="00CA6F88">
              <w:rPr>
                <w:webHidden/>
              </w:rPr>
              <w:t>102</w:t>
            </w:r>
            <w:r w:rsidR="002818A6">
              <w:rPr>
                <w:webHidden/>
              </w:rPr>
              <w:fldChar w:fldCharType="end"/>
            </w:r>
          </w:hyperlink>
        </w:p>
        <w:p w14:paraId="379A4C72" w14:textId="4FBD214D" w:rsidR="002818A6" w:rsidRDefault="00121E52">
          <w:pPr>
            <w:pStyle w:val="TOC4"/>
            <w:tabs>
              <w:tab w:val="left" w:pos="2880"/>
            </w:tabs>
            <w:rPr>
              <w:rFonts w:asciiTheme="minorHAnsi" w:hAnsiTheme="minorHAnsi" w:cstheme="minorBidi"/>
            </w:rPr>
          </w:pPr>
          <w:hyperlink w:anchor="_Toc29278205" w:history="1">
            <w:r w:rsidR="002818A6" w:rsidRPr="00186508">
              <w:rPr>
                <w:rStyle w:val="Hyperlink"/>
              </w:rPr>
              <w:t>b.</w:t>
            </w:r>
            <w:r w:rsidR="002818A6">
              <w:rPr>
                <w:rFonts w:asciiTheme="minorHAnsi" w:hAnsiTheme="minorHAnsi" w:cstheme="minorBidi"/>
              </w:rPr>
              <w:tab/>
            </w:r>
            <w:r w:rsidR="002818A6" w:rsidRPr="00186508">
              <w:rPr>
                <w:rStyle w:val="Hyperlink"/>
              </w:rPr>
              <w:t>Positions of the Parties</w:t>
            </w:r>
            <w:r w:rsidR="002818A6">
              <w:rPr>
                <w:webHidden/>
              </w:rPr>
              <w:tab/>
            </w:r>
            <w:r w:rsidR="002818A6">
              <w:rPr>
                <w:webHidden/>
              </w:rPr>
              <w:fldChar w:fldCharType="begin"/>
            </w:r>
            <w:r w:rsidR="002818A6">
              <w:rPr>
                <w:webHidden/>
              </w:rPr>
              <w:instrText xml:space="preserve"> PAGEREF _Toc29278205 \h </w:instrText>
            </w:r>
            <w:r w:rsidR="002818A6">
              <w:rPr>
                <w:webHidden/>
              </w:rPr>
            </w:r>
            <w:r w:rsidR="002818A6">
              <w:rPr>
                <w:webHidden/>
              </w:rPr>
              <w:fldChar w:fldCharType="separate"/>
            </w:r>
            <w:r w:rsidR="00CA6F88">
              <w:rPr>
                <w:webHidden/>
              </w:rPr>
              <w:t>103</w:t>
            </w:r>
            <w:r w:rsidR="002818A6">
              <w:rPr>
                <w:webHidden/>
              </w:rPr>
              <w:fldChar w:fldCharType="end"/>
            </w:r>
          </w:hyperlink>
        </w:p>
        <w:p w14:paraId="35737F1E" w14:textId="25B35E7E" w:rsidR="002818A6" w:rsidRDefault="00121E52">
          <w:pPr>
            <w:pStyle w:val="TOC4"/>
            <w:tabs>
              <w:tab w:val="left" w:pos="2880"/>
            </w:tabs>
            <w:rPr>
              <w:rFonts w:asciiTheme="minorHAnsi" w:hAnsiTheme="minorHAnsi" w:cstheme="minorBidi"/>
            </w:rPr>
          </w:pPr>
          <w:hyperlink w:anchor="_Toc29278206" w:history="1">
            <w:r w:rsidR="002818A6" w:rsidRPr="00186508">
              <w:rPr>
                <w:rStyle w:val="Hyperlink"/>
              </w:rPr>
              <w:t>c.</w:t>
            </w:r>
            <w:r w:rsidR="002818A6">
              <w:rPr>
                <w:rFonts w:asciiTheme="minorHAnsi" w:hAnsiTheme="minorHAnsi" w:cstheme="minorBidi"/>
              </w:rPr>
              <w:tab/>
            </w:r>
            <w:r w:rsidR="002818A6" w:rsidRPr="00186508">
              <w:rPr>
                <w:rStyle w:val="Hyperlink"/>
              </w:rPr>
              <w:t>Recommended Decision</w:t>
            </w:r>
            <w:r w:rsidR="002818A6">
              <w:rPr>
                <w:webHidden/>
              </w:rPr>
              <w:tab/>
            </w:r>
            <w:r w:rsidR="002818A6">
              <w:rPr>
                <w:webHidden/>
              </w:rPr>
              <w:fldChar w:fldCharType="begin"/>
            </w:r>
            <w:r w:rsidR="002818A6">
              <w:rPr>
                <w:webHidden/>
              </w:rPr>
              <w:instrText xml:space="preserve"> PAGEREF _Toc29278206 \h </w:instrText>
            </w:r>
            <w:r w:rsidR="002818A6">
              <w:rPr>
                <w:webHidden/>
              </w:rPr>
            </w:r>
            <w:r w:rsidR="002818A6">
              <w:rPr>
                <w:webHidden/>
              </w:rPr>
              <w:fldChar w:fldCharType="separate"/>
            </w:r>
            <w:r w:rsidR="00CA6F88">
              <w:rPr>
                <w:webHidden/>
              </w:rPr>
              <w:t>105</w:t>
            </w:r>
            <w:r w:rsidR="002818A6">
              <w:rPr>
                <w:webHidden/>
              </w:rPr>
              <w:fldChar w:fldCharType="end"/>
            </w:r>
          </w:hyperlink>
        </w:p>
        <w:p w14:paraId="2AE0633D" w14:textId="6D3CC13E" w:rsidR="002818A6" w:rsidRDefault="00121E52">
          <w:pPr>
            <w:pStyle w:val="TOC4"/>
            <w:tabs>
              <w:tab w:val="left" w:pos="2880"/>
            </w:tabs>
            <w:rPr>
              <w:rFonts w:asciiTheme="minorHAnsi" w:hAnsiTheme="minorHAnsi" w:cstheme="minorBidi"/>
            </w:rPr>
          </w:pPr>
          <w:hyperlink w:anchor="_Toc29278207" w:history="1">
            <w:r w:rsidR="002818A6" w:rsidRPr="00186508">
              <w:rPr>
                <w:rStyle w:val="Hyperlink"/>
              </w:rPr>
              <w:t>d.</w:t>
            </w:r>
            <w:r w:rsidR="002818A6">
              <w:rPr>
                <w:rFonts w:asciiTheme="minorHAnsi" w:hAnsiTheme="minorHAnsi" w:cstheme="minorBidi"/>
              </w:rPr>
              <w:tab/>
            </w:r>
            <w:r w:rsidR="002818A6" w:rsidRPr="00186508">
              <w:rPr>
                <w:rStyle w:val="Hyperlink"/>
              </w:rPr>
              <w:t>Exceptions and Replies</w:t>
            </w:r>
            <w:r w:rsidR="002818A6">
              <w:rPr>
                <w:webHidden/>
              </w:rPr>
              <w:tab/>
            </w:r>
            <w:r w:rsidR="002818A6">
              <w:rPr>
                <w:webHidden/>
              </w:rPr>
              <w:fldChar w:fldCharType="begin"/>
            </w:r>
            <w:r w:rsidR="002818A6">
              <w:rPr>
                <w:webHidden/>
              </w:rPr>
              <w:instrText xml:space="preserve"> PAGEREF _Toc29278207 \h </w:instrText>
            </w:r>
            <w:r w:rsidR="002818A6">
              <w:rPr>
                <w:webHidden/>
              </w:rPr>
            </w:r>
            <w:r w:rsidR="002818A6">
              <w:rPr>
                <w:webHidden/>
              </w:rPr>
              <w:fldChar w:fldCharType="separate"/>
            </w:r>
            <w:r w:rsidR="00CA6F88">
              <w:rPr>
                <w:webHidden/>
              </w:rPr>
              <w:t>108</w:t>
            </w:r>
            <w:r w:rsidR="002818A6">
              <w:rPr>
                <w:webHidden/>
              </w:rPr>
              <w:fldChar w:fldCharType="end"/>
            </w:r>
          </w:hyperlink>
        </w:p>
        <w:p w14:paraId="7D4BDD9E" w14:textId="4ECE4D93" w:rsidR="002818A6" w:rsidRDefault="00121E52">
          <w:pPr>
            <w:pStyle w:val="TOC4"/>
            <w:tabs>
              <w:tab w:val="left" w:pos="2880"/>
            </w:tabs>
            <w:rPr>
              <w:rFonts w:asciiTheme="minorHAnsi" w:hAnsiTheme="minorHAnsi" w:cstheme="minorBidi"/>
            </w:rPr>
          </w:pPr>
          <w:hyperlink w:anchor="_Toc29278208" w:history="1">
            <w:r w:rsidR="002818A6" w:rsidRPr="00186508">
              <w:rPr>
                <w:rStyle w:val="Hyperlink"/>
              </w:rPr>
              <w:t>e.</w:t>
            </w:r>
            <w:r w:rsidR="002818A6">
              <w:rPr>
                <w:rFonts w:asciiTheme="minorHAnsi" w:hAnsiTheme="minorHAnsi" w:cstheme="minorBidi"/>
              </w:rPr>
              <w:tab/>
            </w:r>
            <w:r w:rsidR="002818A6" w:rsidRPr="00186508">
              <w:rPr>
                <w:rStyle w:val="Hyperlink"/>
              </w:rPr>
              <w:t>Disposition</w:t>
            </w:r>
            <w:r w:rsidR="002818A6">
              <w:rPr>
                <w:webHidden/>
              </w:rPr>
              <w:tab/>
            </w:r>
            <w:r w:rsidR="002818A6">
              <w:rPr>
                <w:webHidden/>
              </w:rPr>
              <w:fldChar w:fldCharType="begin"/>
            </w:r>
            <w:r w:rsidR="002818A6">
              <w:rPr>
                <w:webHidden/>
              </w:rPr>
              <w:instrText xml:space="preserve"> PAGEREF _Toc29278208 \h </w:instrText>
            </w:r>
            <w:r w:rsidR="002818A6">
              <w:rPr>
                <w:webHidden/>
              </w:rPr>
            </w:r>
            <w:r w:rsidR="002818A6">
              <w:rPr>
                <w:webHidden/>
              </w:rPr>
              <w:fldChar w:fldCharType="separate"/>
            </w:r>
            <w:r w:rsidR="00CA6F88">
              <w:rPr>
                <w:webHidden/>
              </w:rPr>
              <w:t>110</w:t>
            </w:r>
            <w:r w:rsidR="002818A6">
              <w:rPr>
                <w:webHidden/>
              </w:rPr>
              <w:fldChar w:fldCharType="end"/>
            </w:r>
          </w:hyperlink>
        </w:p>
        <w:p w14:paraId="6281FB05" w14:textId="5B82E986" w:rsidR="002818A6" w:rsidRDefault="00121E52" w:rsidP="00320F87">
          <w:pPr>
            <w:pStyle w:val="TOC3"/>
            <w:rPr>
              <w:rFonts w:asciiTheme="minorHAnsi" w:eastAsiaTheme="minorEastAsia" w:hAnsiTheme="minorHAnsi" w:cstheme="minorBidi"/>
              <w:noProof/>
              <w:sz w:val="22"/>
              <w:szCs w:val="22"/>
            </w:rPr>
          </w:pPr>
          <w:hyperlink w:anchor="_Toc29278209" w:history="1">
            <w:r w:rsidR="002818A6" w:rsidRPr="00186508">
              <w:rPr>
                <w:rStyle w:val="Hyperlink"/>
                <w:rFonts w:eastAsiaTheme="minorHAnsi"/>
                <w:noProof/>
              </w:rPr>
              <w:t>3.</w:t>
            </w:r>
            <w:r w:rsidR="002818A6">
              <w:rPr>
                <w:rFonts w:asciiTheme="minorHAnsi" w:eastAsiaTheme="minorEastAsia" w:hAnsiTheme="minorHAnsi" w:cstheme="minorBidi"/>
                <w:noProof/>
                <w:sz w:val="22"/>
                <w:szCs w:val="22"/>
              </w:rPr>
              <w:tab/>
            </w:r>
            <w:r w:rsidR="002818A6" w:rsidRPr="00186508">
              <w:rPr>
                <w:rStyle w:val="Hyperlink"/>
                <w:rFonts w:eastAsiaTheme="minorHAnsi"/>
                <w:noProof/>
              </w:rPr>
              <w:t>Public Ownership</w:t>
            </w:r>
            <w:r w:rsidR="002818A6">
              <w:rPr>
                <w:noProof/>
                <w:webHidden/>
              </w:rPr>
              <w:tab/>
            </w:r>
            <w:r w:rsidR="002818A6">
              <w:rPr>
                <w:noProof/>
                <w:webHidden/>
              </w:rPr>
              <w:fldChar w:fldCharType="begin"/>
            </w:r>
            <w:r w:rsidR="002818A6">
              <w:rPr>
                <w:noProof/>
                <w:webHidden/>
              </w:rPr>
              <w:instrText xml:space="preserve"> PAGEREF _Toc29278209 \h </w:instrText>
            </w:r>
            <w:r w:rsidR="002818A6">
              <w:rPr>
                <w:noProof/>
                <w:webHidden/>
              </w:rPr>
            </w:r>
            <w:r w:rsidR="002818A6">
              <w:rPr>
                <w:noProof/>
                <w:webHidden/>
              </w:rPr>
              <w:fldChar w:fldCharType="separate"/>
            </w:r>
            <w:r w:rsidR="00CA6F88">
              <w:rPr>
                <w:noProof/>
                <w:webHidden/>
              </w:rPr>
              <w:t>114</w:t>
            </w:r>
            <w:r w:rsidR="002818A6">
              <w:rPr>
                <w:noProof/>
                <w:webHidden/>
              </w:rPr>
              <w:fldChar w:fldCharType="end"/>
            </w:r>
          </w:hyperlink>
        </w:p>
        <w:p w14:paraId="2F87DC23" w14:textId="4845B3D0" w:rsidR="002818A6" w:rsidRDefault="00121E52">
          <w:pPr>
            <w:pStyle w:val="TOC4"/>
            <w:tabs>
              <w:tab w:val="left" w:pos="2880"/>
            </w:tabs>
            <w:rPr>
              <w:rFonts w:asciiTheme="minorHAnsi" w:hAnsiTheme="minorHAnsi" w:cstheme="minorBidi"/>
            </w:rPr>
          </w:pPr>
          <w:hyperlink w:anchor="_Toc29278210" w:history="1">
            <w:r w:rsidR="002818A6" w:rsidRPr="00186508">
              <w:rPr>
                <w:rStyle w:val="Hyperlink"/>
                <w:rFonts w:eastAsiaTheme="minorHAnsi"/>
              </w:rPr>
              <w:t>a.</w:t>
            </w:r>
            <w:r w:rsidR="002818A6">
              <w:rPr>
                <w:rFonts w:asciiTheme="minorHAnsi" w:hAnsiTheme="minorHAnsi" w:cstheme="minorBidi"/>
              </w:rPr>
              <w:tab/>
            </w:r>
            <w:r w:rsidR="002818A6" w:rsidRPr="00186508">
              <w:rPr>
                <w:rStyle w:val="Hyperlink"/>
                <w:rFonts w:eastAsiaTheme="minorHAnsi"/>
              </w:rPr>
              <w:t>Background</w:t>
            </w:r>
            <w:r w:rsidR="002818A6">
              <w:rPr>
                <w:webHidden/>
              </w:rPr>
              <w:tab/>
            </w:r>
            <w:r w:rsidR="002818A6">
              <w:rPr>
                <w:webHidden/>
              </w:rPr>
              <w:fldChar w:fldCharType="begin"/>
            </w:r>
            <w:r w:rsidR="002818A6">
              <w:rPr>
                <w:webHidden/>
              </w:rPr>
              <w:instrText xml:space="preserve"> PAGEREF _Toc29278210 \h </w:instrText>
            </w:r>
            <w:r w:rsidR="002818A6">
              <w:rPr>
                <w:webHidden/>
              </w:rPr>
            </w:r>
            <w:r w:rsidR="002818A6">
              <w:rPr>
                <w:webHidden/>
              </w:rPr>
              <w:fldChar w:fldCharType="separate"/>
            </w:r>
            <w:r w:rsidR="00CA6F88">
              <w:rPr>
                <w:webHidden/>
              </w:rPr>
              <w:t>114</w:t>
            </w:r>
            <w:r w:rsidR="002818A6">
              <w:rPr>
                <w:webHidden/>
              </w:rPr>
              <w:fldChar w:fldCharType="end"/>
            </w:r>
          </w:hyperlink>
        </w:p>
        <w:p w14:paraId="0A150515" w14:textId="35100F40" w:rsidR="002818A6" w:rsidRDefault="00121E52">
          <w:pPr>
            <w:pStyle w:val="TOC4"/>
            <w:tabs>
              <w:tab w:val="left" w:pos="2880"/>
            </w:tabs>
            <w:rPr>
              <w:rFonts w:asciiTheme="minorHAnsi" w:hAnsiTheme="minorHAnsi" w:cstheme="minorBidi"/>
            </w:rPr>
          </w:pPr>
          <w:hyperlink w:anchor="_Toc29278211" w:history="1">
            <w:r w:rsidR="002818A6" w:rsidRPr="00186508">
              <w:rPr>
                <w:rStyle w:val="Hyperlink"/>
                <w:rFonts w:eastAsiaTheme="minorHAnsi"/>
              </w:rPr>
              <w:t>b.</w:t>
            </w:r>
            <w:r w:rsidR="002818A6">
              <w:rPr>
                <w:rFonts w:asciiTheme="minorHAnsi" w:hAnsiTheme="minorHAnsi" w:cstheme="minorBidi"/>
              </w:rPr>
              <w:tab/>
            </w:r>
            <w:r w:rsidR="002818A6" w:rsidRPr="00186508">
              <w:rPr>
                <w:rStyle w:val="Hyperlink"/>
                <w:rFonts w:eastAsiaTheme="minorHAnsi"/>
              </w:rPr>
              <w:t>Positions of the Parties</w:t>
            </w:r>
            <w:r w:rsidR="002818A6">
              <w:rPr>
                <w:webHidden/>
              </w:rPr>
              <w:tab/>
            </w:r>
            <w:r w:rsidR="002818A6">
              <w:rPr>
                <w:webHidden/>
              </w:rPr>
              <w:fldChar w:fldCharType="begin"/>
            </w:r>
            <w:r w:rsidR="002818A6">
              <w:rPr>
                <w:webHidden/>
              </w:rPr>
              <w:instrText xml:space="preserve"> PAGEREF _Toc29278211 \h </w:instrText>
            </w:r>
            <w:r w:rsidR="002818A6">
              <w:rPr>
                <w:webHidden/>
              </w:rPr>
            </w:r>
            <w:r w:rsidR="002818A6">
              <w:rPr>
                <w:webHidden/>
              </w:rPr>
              <w:fldChar w:fldCharType="separate"/>
            </w:r>
            <w:r w:rsidR="00CA6F88">
              <w:rPr>
                <w:webHidden/>
              </w:rPr>
              <w:t>114</w:t>
            </w:r>
            <w:r w:rsidR="002818A6">
              <w:rPr>
                <w:webHidden/>
              </w:rPr>
              <w:fldChar w:fldCharType="end"/>
            </w:r>
          </w:hyperlink>
        </w:p>
        <w:p w14:paraId="6370AC5A" w14:textId="4425D82D" w:rsidR="002818A6" w:rsidRDefault="00121E52">
          <w:pPr>
            <w:pStyle w:val="TOC4"/>
            <w:tabs>
              <w:tab w:val="left" w:pos="2880"/>
            </w:tabs>
            <w:rPr>
              <w:rFonts w:asciiTheme="minorHAnsi" w:hAnsiTheme="minorHAnsi" w:cstheme="minorBidi"/>
            </w:rPr>
          </w:pPr>
          <w:hyperlink w:anchor="_Toc29278212" w:history="1">
            <w:r w:rsidR="002818A6" w:rsidRPr="00186508">
              <w:rPr>
                <w:rStyle w:val="Hyperlink"/>
                <w:rFonts w:eastAsiaTheme="minorHAnsi"/>
              </w:rPr>
              <w:t>c.</w:t>
            </w:r>
            <w:r w:rsidR="002818A6">
              <w:rPr>
                <w:rFonts w:asciiTheme="minorHAnsi" w:hAnsiTheme="minorHAnsi" w:cstheme="minorBidi"/>
              </w:rPr>
              <w:tab/>
            </w:r>
            <w:r w:rsidR="002818A6" w:rsidRPr="00186508">
              <w:rPr>
                <w:rStyle w:val="Hyperlink"/>
                <w:rFonts w:eastAsiaTheme="minorHAnsi"/>
              </w:rPr>
              <w:t>Recommended Decision</w:t>
            </w:r>
            <w:r w:rsidR="002818A6">
              <w:rPr>
                <w:webHidden/>
              </w:rPr>
              <w:tab/>
            </w:r>
            <w:r w:rsidR="002818A6">
              <w:rPr>
                <w:webHidden/>
              </w:rPr>
              <w:fldChar w:fldCharType="begin"/>
            </w:r>
            <w:r w:rsidR="002818A6">
              <w:rPr>
                <w:webHidden/>
              </w:rPr>
              <w:instrText xml:space="preserve"> PAGEREF _Toc29278212 \h </w:instrText>
            </w:r>
            <w:r w:rsidR="002818A6">
              <w:rPr>
                <w:webHidden/>
              </w:rPr>
            </w:r>
            <w:r w:rsidR="002818A6">
              <w:rPr>
                <w:webHidden/>
              </w:rPr>
              <w:fldChar w:fldCharType="separate"/>
            </w:r>
            <w:r w:rsidR="00CA6F88">
              <w:rPr>
                <w:webHidden/>
              </w:rPr>
              <w:t>118</w:t>
            </w:r>
            <w:r w:rsidR="002818A6">
              <w:rPr>
                <w:webHidden/>
              </w:rPr>
              <w:fldChar w:fldCharType="end"/>
            </w:r>
          </w:hyperlink>
        </w:p>
        <w:p w14:paraId="7490DB99" w14:textId="7AE30C96" w:rsidR="002818A6" w:rsidRDefault="00121E52">
          <w:pPr>
            <w:pStyle w:val="TOC4"/>
            <w:tabs>
              <w:tab w:val="left" w:pos="2880"/>
            </w:tabs>
            <w:rPr>
              <w:rFonts w:asciiTheme="minorHAnsi" w:hAnsiTheme="minorHAnsi" w:cstheme="minorBidi"/>
            </w:rPr>
          </w:pPr>
          <w:hyperlink w:anchor="_Toc29278213" w:history="1">
            <w:r w:rsidR="002818A6" w:rsidRPr="00186508">
              <w:rPr>
                <w:rStyle w:val="Hyperlink"/>
                <w:rFonts w:eastAsiaTheme="minorHAnsi"/>
              </w:rPr>
              <w:t>d.</w:t>
            </w:r>
            <w:r w:rsidR="002818A6">
              <w:rPr>
                <w:rFonts w:asciiTheme="minorHAnsi" w:hAnsiTheme="minorHAnsi" w:cstheme="minorBidi"/>
              </w:rPr>
              <w:tab/>
            </w:r>
            <w:r w:rsidR="002818A6" w:rsidRPr="00186508">
              <w:rPr>
                <w:rStyle w:val="Hyperlink"/>
                <w:rFonts w:eastAsiaTheme="minorHAnsi"/>
              </w:rPr>
              <w:t>Exceptions and Replies</w:t>
            </w:r>
            <w:r w:rsidR="002818A6">
              <w:rPr>
                <w:webHidden/>
              </w:rPr>
              <w:tab/>
            </w:r>
            <w:r w:rsidR="002818A6">
              <w:rPr>
                <w:webHidden/>
              </w:rPr>
              <w:fldChar w:fldCharType="begin"/>
            </w:r>
            <w:r w:rsidR="002818A6">
              <w:rPr>
                <w:webHidden/>
              </w:rPr>
              <w:instrText xml:space="preserve"> PAGEREF _Toc29278213 \h </w:instrText>
            </w:r>
            <w:r w:rsidR="002818A6">
              <w:rPr>
                <w:webHidden/>
              </w:rPr>
            </w:r>
            <w:r w:rsidR="002818A6">
              <w:rPr>
                <w:webHidden/>
              </w:rPr>
              <w:fldChar w:fldCharType="separate"/>
            </w:r>
            <w:r w:rsidR="00CA6F88">
              <w:rPr>
                <w:webHidden/>
              </w:rPr>
              <w:t>119</w:t>
            </w:r>
            <w:r w:rsidR="002818A6">
              <w:rPr>
                <w:webHidden/>
              </w:rPr>
              <w:fldChar w:fldCharType="end"/>
            </w:r>
          </w:hyperlink>
        </w:p>
        <w:p w14:paraId="744573CA" w14:textId="7366D950" w:rsidR="002818A6" w:rsidRDefault="00121E52">
          <w:pPr>
            <w:pStyle w:val="TOC4"/>
            <w:tabs>
              <w:tab w:val="left" w:pos="2880"/>
            </w:tabs>
            <w:rPr>
              <w:rFonts w:asciiTheme="minorHAnsi" w:hAnsiTheme="minorHAnsi" w:cstheme="minorBidi"/>
            </w:rPr>
          </w:pPr>
          <w:hyperlink w:anchor="_Toc29278214" w:history="1">
            <w:r w:rsidR="002818A6" w:rsidRPr="00186508">
              <w:rPr>
                <w:rStyle w:val="Hyperlink"/>
                <w:rFonts w:eastAsiaTheme="minorHAnsi"/>
              </w:rPr>
              <w:t>e.</w:t>
            </w:r>
            <w:r w:rsidR="002818A6">
              <w:rPr>
                <w:rFonts w:asciiTheme="minorHAnsi" w:hAnsiTheme="minorHAnsi" w:cstheme="minorBidi"/>
              </w:rPr>
              <w:tab/>
            </w:r>
            <w:r w:rsidR="002818A6" w:rsidRPr="00186508">
              <w:rPr>
                <w:rStyle w:val="Hyperlink"/>
                <w:rFonts w:eastAsiaTheme="minorHAnsi"/>
              </w:rPr>
              <w:t>Disposition</w:t>
            </w:r>
            <w:r w:rsidR="002818A6">
              <w:rPr>
                <w:webHidden/>
              </w:rPr>
              <w:tab/>
            </w:r>
            <w:r w:rsidR="002818A6">
              <w:rPr>
                <w:webHidden/>
              </w:rPr>
              <w:fldChar w:fldCharType="begin"/>
            </w:r>
            <w:r w:rsidR="002818A6">
              <w:rPr>
                <w:webHidden/>
              </w:rPr>
              <w:instrText xml:space="preserve"> PAGEREF _Toc29278214 \h </w:instrText>
            </w:r>
            <w:r w:rsidR="002818A6">
              <w:rPr>
                <w:webHidden/>
              </w:rPr>
            </w:r>
            <w:r w:rsidR="002818A6">
              <w:rPr>
                <w:webHidden/>
              </w:rPr>
              <w:fldChar w:fldCharType="separate"/>
            </w:r>
            <w:r w:rsidR="00CA6F88">
              <w:rPr>
                <w:webHidden/>
              </w:rPr>
              <w:t>122</w:t>
            </w:r>
            <w:r w:rsidR="002818A6">
              <w:rPr>
                <w:webHidden/>
              </w:rPr>
              <w:fldChar w:fldCharType="end"/>
            </w:r>
          </w:hyperlink>
        </w:p>
        <w:p w14:paraId="27780C4A" w14:textId="4BABD7F5" w:rsidR="002818A6" w:rsidRDefault="00121E52" w:rsidP="00320F87">
          <w:pPr>
            <w:pStyle w:val="TOC3"/>
            <w:rPr>
              <w:rFonts w:asciiTheme="minorHAnsi" w:eastAsiaTheme="minorEastAsia" w:hAnsiTheme="minorHAnsi" w:cstheme="minorBidi"/>
              <w:noProof/>
              <w:sz w:val="22"/>
              <w:szCs w:val="22"/>
            </w:rPr>
          </w:pPr>
          <w:hyperlink w:anchor="_Toc29278215" w:history="1">
            <w:r w:rsidR="002818A6" w:rsidRPr="00186508">
              <w:rPr>
                <w:rStyle w:val="Hyperlink"/>
                <w:rFonts w:eastAsiaTheme="minorHAnsi"/>
                <w:noProof/>
              </w:rPr>
              <w:t>4.</w:t>
            </w:r>
            <w:r w:rsidR="002818A6">
              <w:rPr>
                <w:rFonts w:asciiTheme="minorHAnsi" w:eastAsiaTheme="minorEastAsia" w:hAnsiTheme="minorHAnsi" w:cstheme="minorBidi"/>
                <w:noProof/>
                <w:sz w:val="22"/>
                <w:szCs w:val="22"/>
              </w:rPr>
              <w:tab/>
            </w:r>
            <w:r w:rsidR="002818A6" w:rsidRPr="00186508">
              <w:rPr>
                <w:rStyle w:val="Hyperlink"/>
                <w:rFonts w:eastAsiaTheme="minorHAnsi"/>
                <w:noProof/>
              </w:rPr>
              <w:t>Workforce Benefits</w:t>
            </w:r>
            <w:r w:rsidR="002818A6">
              <w:rPr>
                <w:noProof/>
                <w:webHidden/>
              </w:rPr>
              <w:tab/>
            </w:r>
            <w:r w:rsidR="002818A6">
              <w:rPr>
                <w:noProof/>
                <w:webHidden/>
              </w:rPr>
              <w:fldChar w:fldCharType="begin"/>
            </w:r>
            <w:r w:rsidR="002818A6">
              <w:rPr>
                <w:noProof/>
                <w:webHidden/>
              </w:rPr>
              <w:instrText xml:space="preserve"> PAGEREF _Toc29278215 \h </w:instrText>
            </w:r>
            <w:r w:rsidR="002818A6">
              <w:rPr>
                <w:noProof/>
                <w:webHidden/>
              </w:rPr>
            </w:r>
            <w:r w:rsidR="002818A6">
              <w:rPr>
                <w:noProof/>
                <w:webHidden/>
              </w:rPr>
              <w:fldChar w:fldCharType="separate"/>
            </w:r>
            <w:r w:rsidR="00CA6F88">
              <w:rPr>
                <w:noProof/>
                <w:webHidden/>
              </w:rPr>
              <w:t>125</w:t>
            </w:r>
            <w:r w:rsidR="002818A6">
              <w:rPr>
                <w:noProof/>
                <w:webHidden/>
              </w:rPr>
              <w:fldChar w:fldCharType="end"/>
            </w:r>
          </w:hyperlink>
        </w:p>
        <w:p w14:paraId="437C28C2" w14:textId="1A88C2A0" w:rsidR="002818A6" w:rsidRDefault="00121E52">
          <w:pPr>
            <w:pStyle w:val="TOC4"/>
            <w:tabs>
              <w:tab w:val="left" w:pos="2880"/>
            </w:tabs>
            <w:rPr>
              <w:rFonts w:asciiTheme="minorHAnsi" w:hAnsiTheme="minorHAnsi" w:cstheme="minorBidi"/>
            </w:rPr>
          </w:pPr>
          <w:hyperlink w:anchor="_Toc29278216" w:history="1">
            <w:r w:rsidR="002818A6" w:rsidRPr="00186508">
              <w:rPr>
                <w:rStyle w:val="Hyperlink"/>
                <w:rFonts w:eastAsiaTheme="minorHAnsi"/>
              </w:rPr>
              <w:t>a.</w:t>
            </w:r>
            <w:r w:rsidR="002818A6">
              <w:rPr>
                <w:rFonts w:asciiTheme="minorHAnsi" w:hAnsiTheme="minorHAnsi" w:cstheme="minorBidi"/>
              </w:rPr>
              <w:tab/>
            </w:r>
            <w:r w:rsidR="002818A6" w:rsidRPr="00186508">
              <w:rPr>
                <w:rStyle w:val="Hyperlink"/>
                <w:rFonts w:eastAsiaTheme="minorHAnsi"/>
              </w:rPr>
              <w:t>Settlement Terms</w:t>
            </w:r>
            <w:r w:rsidR="002818A6">
              <w:rPr>
                <w:webHidden/>
              </w:rPr>
              <w:tab/>
            </w:r>
            <w:r w:rsidR="002818A6">
              <w:rPr>
                <w:webHidden/>
              </w:rPr>
              <w:fldChar w:fldCharType="begin"/>
            </w:r>
            <w:r w:rsidR="002818A6">
              <w:rPr>
                <w:webHidden/>
              </w:rPr>
              <w:instrText xml:space="preserve"> PAGEREF _Toc29278216 \h </w:instrText>
            </w:r>
            <w:r w:rsidR="002818A6">
              <w:rPr>
                <w:webHidden/>
              </w:rPr>
            </w:r>
            <w:r w:rsidR="002818A6">
              <w:rPr>
                <w:webHidden/>
              </w:rPr>
              <w:fldChar w:fldCharType="separate"/>
            </w:r>
            <w:r w:rsidR="00CA6F88">
              <w:rPr>
                <w:webHidden/>
              </w:rPr>
              <w:t>125</w:t>
            </w:r>
            <w:r w:rsidR="002818A6">
              <w:rPr>
                <w:webHidden/>
              </w:rPr>
              <w:fldChar w:fldCharType="end"/>
            </w:r>
          </w:hyperlink>
        </w:p>
        <w:p w14:paraId="0D3464F5" w14:textId="0B9F27D4" w:rsidR="002818A6" w:rsidRDefault="00121E52">
          <w:pPr>
            <w:pStyle w:val="TOC4"/>
            <w:tabs>
              <w:tab w:val="left" w:pos="2880"/>
            </w:tabs>
            <w:rPr>
              <w:rFonts w:asciiTheme="minorHAnsi" w:hAnsiTheme="minorHAnsi" w:cstheme="minorBidi"/>
            </w:rPr>
          </w:pPr>
          <w:hyperlink w:anchor="_Toc29278217" w:history="1">
            <w:r w:rsidR="002818A6" w:rsidRPr="00186508">
              <w:rPr>
                <w:rStyle w:val="Hyperlink"/>
                <w:rFonts w:eastAsiaTheme="minorHAnsi"/>
              </w:rPr>
              <w:t>b.</w:t>
            </w:r>
            <w:r w:rsidR="002818A6">
              <w:rPr>
                <w:rFonts w:asciiTheme="minorHAnsi" w:hAnsiTheme="minorHAnsi" w:cstheme="minorBidi"/>
              </w:rPr>
              <w:tab/>
            </w:r>
            <w:r w:rsidR="002818A6" w:rsidRPr="00186508">
              <w:rPr>
                <w:rStyle w:val="Hyperlink"/>
                <w:rFonts w:eastAsiaTheme="minorHAnsi"/>
              </w:rPr>
              <w:t>Positions of the Parties</w:t>
            </w:r>
            <w:r w:rsidR="002818A6">
              <w:rPr>
                <w:webHidden/>
              </w:rPr>
              <w:tab/>
            </w:r>
            <w:r w:rsidR="002818A6">
              <w:rPr>
                <w:webHidden/>
              </w:rPr>
              <w:fldChar w:fldCharType="begin"/>
            </w:r>
            <w:r w:rsidR="002818A6">
              <w:rPr>
                <w:webHidden/>
              </w:rPr>
              <w:instrText xml:space="preserve"> PAGEREF _Toc29278217 \h </w:instrText>
            </w:r>
            <w:r w:rsidR="002818A6">
              <w:rPr>
                <w:webHidden/>
              </w:rPr>
            </w:r>
            <w:r w:rsidR="002818A6">
              <w:rPr>
                <w:webHidden/>
              </w:rPr>
              <w:fldChar w:fldCharType="separate"/>
            </w:r>
            <w:r w:rsidR="00CA6F88">
              <w:rPr>
                <w:webHidden/>
              </w:rPr>
              <w:t>126</w:t>
            </w:r>
            <w:r w:rsidR="002818A6">
              <w:rPr>
                <w:webHidden/>
              </w:rPr>
              <w:fldChar w:fldCharType="end"/>
            </w:r>
          </w:hyperlink>
        </w:p>
        <w:p w14:paraId="2E11D39C" w14:textId="73C7B03A" w:rsidR="002818A6" w:rsidRDefault="00121E52">
          <w:pPr>
            <w:pStyle w:val="TOC4"/>
            <w:tabs>
              <w:tab w:val="left" w:pos="2880"/>
            </w:tabs>
            <w:rPr>
              <w:rFonts w:asciiTheme="minorHAnsi" w:hAnsiTheme="minorHAnsi" w:cstheme="minorBidi"/>
            </w:rPr>
          </w:pPr>
          <w:hyperlink w:anchor="_Toc29278218" w:history="1">
            <w:r w:rsidR="002818A6" w:rsidRPr="00186508">
              <w:rPr>
                <w:rStyle w:val="Hyperlink"/>
                <w:rFonts w:eastAsiaTheme="minorHAnsi"/>
              </w:rPr>
              <w:t>c.</w:t>
            </w:r>
            <w:r w:rsidR="002818A6">
              <w:rPr>
                <w:rFonts w:asciiTheme="minorHAnsi" w:hAnsiTheme="minorHAnsi" w:cstheme="minorBidi"/>
              </w:rPr>
              <w:tab/>
            </w:r>
            <w:r w:rsidR="002818A6" w:rsidRPr="00186508">
              <w:rPr>
                <w:rStyle w:val="Hyperlink"/>
                <w:rFonts w:eastAsiaTheme="minorHAnsi"/>
              </w:rPr>
              <w:t>Recommended Decision</w:t>
            </w:r>
            <w:r w:rsidR="002818A6">
              <w:rPr>
                <w:webHidden/>
              </w:rPr>
              <w:tab/>
            </w:r>
            <w:r w:rsidR="002818A6">
              <w:rPr>
                <w:webHidden/>
              </w:rPr>
              <w:fldChar w:fldCharType="begin"/>
            </w:r>
            <w:r w:rsidR="002818A6">
              <w:rPr>
                <w:webHidden/>
              </w:rPr>
              <w:instrText xml:space="preserve"> PAGEREF _Toc29278218 \h </w:instrText>
            </w:r>
            <w:r w:rsidR="002818A6">
              <w:rPr>
                <w:webHidden/>
              </w:rPr>
            </w:r>
            <w:r w:rsidR="002818A6">
              <w:rPr>
                <w:webHidden/>
              </w:rPr>
              <w:fldChar w:fldCharType="separate"/>
            </w:r>
            <w:r w:rsidR="00CA6F88">
              <w:rPr>
                <w:webHidden/>
              </w:rPr>
              <w:t>128</w:t>
            </w:r>
            <w:r w:rsidR="002818A6">
              <w:rPr>
                <w:webHidden/>
              </w:rPr>
              <w:fldChar w:fldCharType="end"/>
            </w:r>
          </w:hyperlink>
        </w:p>
        <w:p w14:paraId="7CEFE1E2" w14:textId="4EC09476" w:rsidR="002818A6" w:rsidRDefault="00121E52">
          <w:pPr>
            <w:pStyle w:val="TOC4"/>
            <w:tabs>
              <w:tab w:val="left" w:pos="2880"/>
            </w:tabs>
            <w:rPr>
              <w:rFonts w:asciiTheme="minorHAnsi" w:hAnsiTheme="minorHAnsi" w:cstheme="minorBidi"/>
            </w:rPr>
          </w:pPr>
          <w:hyperlink w:anchor="_Toc29278219" w:history="1">
            <w:r w:rsidR="002818A6" w:rsidRPr="00186508">
              <w:rPr>
                <w:rStyle w:val="Hyperlink"/>
                <w:rFonts w:eastAsiaTheme="minorHAnsi"/>
              </w:rPr>
              <w:t>d.</w:t>
            </w:r>
            <w:r w:rsidR="002818A6">
              <w:rPr>
                <w:rFonts w:asciiTheme="minorHAnsi" w:hAnsiTheme="minorHAnsi" w:cstheme="minorBidi"/>
              </w:rPr>
              <w:tab/>
            </w:r>
            <w:r w:rsidR="002818A6" w:rsidRPr="00186508">
              <w:rPr>
                <w:rStyle w:val="Hyperlink"/>
                <w:rFonts w:eastAsiaTheme="minorHAnsi"/>
              </w:rPr>
              <w:t>Exceptions and Replies</w:t>
            </w:r>
            <w:r w:rsidR="002818A6">
              <w:rPr>
                <w:webHidden/>
              </w:rPr>
              <w:tab/>
            </w:r>
            <w:r w:rsidR="002818A6">
              <w:rPr>
                <w:webHidden/>
              </w:rPr>
              <w:fldChar w:fldCharType="begin"/>
            </w:r>
            <w:r w:rsidR="002818A6">
              <w:rPr>
                <w:webHidden/>
              </w:rPr>
              <w:instrText xml:space="preserve"> PAGEREF _Toc29278219 \h </w:instrText>
            </w:r>
            <w:r w:rsidR="002818A6">
              <w:rPr>
                <w:webHidden/>
              </w:rPr>
            </w:r>
            <w:r w:rsidR="002818A6">
              <w:rPr>
                <w:webHidden/>
              </w:rPr>
              <w:fldChar w:fldCharType="separate"/>
            </w:r>
            <w:r w:rsidR="00CA6F88">
              <w:rPr>
                <w:webHidden/>
              </w:rPr>
              <w:t>129</w:t>
            </w:r>
            <w:r w:rsidR="002818A6">
              <w:rPr>
                <w:webHidden/>
              </w:rPr>
              <w:fldChar w:fldCharType="end"/>
            </w:r>
          </w:hyperlink>
        </w:p>
        <w:p w14:paraId="19B98F9E" w14:textId="4D0C4237" w:rsidR="002818A6" w:rsidRDefault="00121E52">
          <w:pPr>
            <w:pStyle w:val="TOC4"/>
            <w:tabs>
              <w:tab w:val="left" w:pos="2880"/>
            </w:tabs>
            <w:rPr>
              <w:rFonts w:asciiTheme="minorHAnsi" w:hAnsiTheme="minorHAnsi" w:cstheme="minorBidi"/>
            </w:rPr>
          </w:pPr>
          <w:hyperlink w:anchor="_Toc29278220" w:history="1">
            <w:r w:rsidR="002818A6" w:rsidRPr="00186508">
              <w:rPr>
                <w:rStyle w:val="Hyperlink"/>
                <w:rFonts w:eastAsiaTheme="minorHAnsi"/>
              </w:rPr>
              <w:t>e.</w:t>
            </w:r>
            <w:r w:rsidR="002818A6">
              <w:rPr>
                <w:rFonts w:asciiTheme="minorHAnsi" w:hAnsiTheme="minorHAnsi" w:cstheme="minorBidi"/>
              </w:rPr>
              <w:tab/>
            </w:r>
            <w:r w:rsidR="002818A6" w:rsidRPr="00186508">
              <w:rPr>
                <w:rStyle w:val="Hyperlink"/>
                <w:rFonts w:eastAsiaTheme="minorHAnsi"/>
              </w:rPr>
              <w:t>Disposition</w:t>
            </w:r>
            <w:r w:rsidR="002818A6">
              <w:rPr>
                <w:webHidden/>
              </w:rPr>
              <w:tab/>
            </w:r>
            <w:r w:rsidR="002818A6">
              <w:rPr>
                <w:webHidden/>
              </w:rPr>
              <w:fldChar w:fldCharType="begin"/>
            </w:r>
            <w:r w:rsidR="002818A6">
              <w:rPr>
                <w:webHidden/>
              </w:rPr>
              <w:instrText xml:space="preserve"> PAGEREF _Toc29278220 \h </w:instrText>
            </w:r>
            <w:r w:rsidR="002818A6">
              <w:rPr>
                <w:webHidden/>
              </w:rPr>
            </w:r>
            <w:r w:rsidR="002818A6">
              <w:rPr>
                <w:webHidden/>
              </w:rPr>
              <w:fldChar w:fldCharType="separate"/>
            </w:r>
            <w:r w:rsidR="00CA6F88">
              <w:rPr>
                <w:webHidden/>
              </w:rPr>
              <w:t>130</w:t>
            </w:r>
            <w:r w:rsidR="002818A6">
              <w:rPr>
                <w:webHidden/>
              </w:rPr>
              <w:fldChar w:fldCharType="end"/>
            </w:r>
          </w:hyperlink>
        </w:p>
        <w:p w14:paraId="7EC76541" w14:textId="6A551F87" w:rsidR="002818A6" w:rsidRDefault="00121E52" w:rsidP="00320F87">
          <w:pPr>
            <w:pStyle w:val="TOC3"/>
            <w:rPr>
              <w:rFonts w:asciiTheme="minorHAnsi" w:eastAsiaTheme="minorEastAsia" w:hAnsiTheme="minorHAnsi" w:cstheme="minorBidi"/>
              <w:noProof/>
              <w:sz w:val="22"/>
              <w:szCs w:val="22"/>
            </w:rPr>
          </w:pPr>
          <w:hyperlink w:anchor="_Toc29278221" w:history="1">
            <w:r w:rsidR="002818A6" w:rsidRPr="00186508">
              <w:rPr>
                <w:rStyle w:val="Hyperlink"/>
                <w:rFonts w:eastAsiaTheme="minorHAnsi"/>
                <w:noProof/>
              </w:rPr>
              <w:t>5.</w:t>
            </w:r>
            <w:r w:rsidR="002818A6">
              <w:rPr>
                <w:rFonts w:asciiTheme="minorHAnsi" w:eastAsiaTheme="minorEastAsia" w:hAnsiTheme="minorHAnsi" w:cstheme="minorBidi"/>
                <w:noProof/>
                <w:sz w:val="22"/>
                <w:szCs w:val="22"/>
              </w:rPr>
              <w:tab/>
            </w:r>
            <w:r w:rsidR="002818A6" w:rsidRPr="00186508">
              <w:rPr>
                <w:rStyle w:val="Hyperlink"/>
                <w:rFonts w:eastAsiaTheme="minorHAnsi"/>
                <w:noProof/>
              </w:rPr>
              <w:t>Implementation of SAP at Aqua PA</w:t>
            </w:r>
            <w:r w:rsidR="002818A6">
              <w:rPr>
                <w:noProof/>
                <w:webHidden/>
              </w:rPr>
              <w:tab/>
            </w:r>
            <w:r w:rsidR="002818A6">
              <w:rPr>
                <w:noProof/>
                <w:webHidden/>
              </w:rPr>
              <w:fldChar w:fldCharType="begin"/>
            </w:r>
            <w:r w:rsidR="002818A6">
              <w:rPr>
                <w:noProof/>
                <w:webHidden/>
              </w:rPr>
              <w:instrText xml:space="preserve"> PAGEREF _Toc29278221 \h </w:instrText>
            </w:r>
            <w:r w:rsidR="002818A6">
              <w:rPr>
                <w:noProof/>
                <w:webHidden/>
              </w:rPr>
            </w:r>
            <w:r w:rsidR="002818A6">
              <w:rPr>
                <w:noProof/>
                <w:webHidden/>
              </w:rPr>
              <w:fldChar w:fldCharType="separate"/>
            </w:r>
            <w:r w:rsidR="00CA6F88">
              <w:rPr>
                <w:noProof/>
                <w:webHidden/>
              </w:rPr>
              <w:t>132</w:t>
            </w:r>
            <w:r w:rsidR="002818A6">
              <w:rPr>
                <w:noProof/>
                <w:webHidden/>
              </w:rPr>
              <w:fldChar w:fldCharType="end"/>
            </w:r>
          </w:hyperlink>
        </w:p>
        <w:p w14:paraId="42846C0B" w14:textId="5EA77F4B" w:rsidR="002818A6" w:rsidRDefault="00121E52">
          <w:pPr>
            <w:pStyle w:val="TOC4"/>
            <w:tabs>
              <w:tab w:val="left" w:pos="2880"/>
            </w:tabs>
            <w:rPr>
              <w:rFonts w:asciiTheme="minorHAnsi" w:hAnsiTheme="minorHAnsi" w:cstheme="minorBidi"/>
            </w:rPr>
          </w:pPr>
          <w:hyperlink w:anchor="_Toc29278222" w:history="1">
            <w:r w:rsidR="002818A6" w:rsidRPr="00186508">
              <w:rPr>
                <w:rStyle w:val="Hyperlink"/>
                <w:rFonts w:eastAsiaTheme="minorHAnsi"/>
              </w:rPr>
              <w:t>a.</w:t>
            </w:r>
            <w:r w:rsidR="002818A6">
              <w:rPr>
                <w:rFonts w:asciiTheme="minorHAnsi" w:hAnsiTheme="minorHAnsi" w:cstheme="minorBidi"/>
              </w:rPr>
              <w:tab/>
            </w:r>
            <w:r w:rsidR="002818A6" w:rsidRPr="00186508">
              <w:rPr>
                <w:rStyle w:val="Hyperlink"/>
                <w:rFonts w:eastAsiaTheme="minorHAnsi"/>
              </w:rPr>
              <w:t>Settlement Terms</w:t>
            </w:r>
            <w:r w:rsidR="002818A6">
              <w:rPr>
                <w:webHidden/>
              </w:rPr>
              <w:tab/>
            </w:r>
            <w:r w:rsidR="002818A6">
              <w:rPr>
                <w:webHidden/>
              </w:rPr>
              <w:fldChar w:fldCharType="begin"/>
            </w:r>
            <w:r w:rsidR="002818A6">
              <w:rPr>
                <w:webHidden/>
              </w:rPr>
              <w:instrText xml:space="preserve"> PAGEREF _Toc29278222 \h </w:instrText>
            </w:r>
            <w:r w:rsidR="002818A6">
              <w:rPr>
                <w:webHidden/>
              </w:rPr>
            </w:r>
            <w:r w:rsidR="002818A6">
              <w:rPr>
                <w:webHidden/>
              </w:rPr>
              <w:fldChar w:fldCharType="separate"/>
            </w:r>
            <w:r w:rsidR="00CA6F88">
              <w:rPr>
                <w:webHidden/>
              </w:rPr>
              <w:t>132</w:t>
            </w:r>
            <w:r w:rsidR="002818A6">
              <w:rPr>
                <w:webHidden/>
              </w:rPr>
              <w:fldChar w:fldCharType="end"/>
            </w:r>
          </w:hyperlink>
        </w:p>
        <w:p w14:paraId="6D31BE88" w14:textId="5ACB46BF" w:rsidR="002818A6" w:rsidRDefault="00121E52">
          <w:pPr>
            <w:pStyle w:val="TOC4"/>
            <w:tabs>
              <w:tab w:val="left" w:pos="2880"/>
            </w:tabs>
            <w:rPr>
              <w:rFonts w:asciiTheme="minorHAnsi" w:hAnsiTheme="minorHAnsi" w:cstheme="minorBidi"/>
            </w:rPr>
          </w:pPr>
          <w:hyperlink w:anchor="_Toc29278223" w:history="1">
            <w:r w:rsidR="002818A6" w:rsidRPr="00186508">
              <w:rPr>
                <w:rStyle w:val="Hyperlink"/>
                <w:rFonts w:eastAsiaTheme="minorHAnsi"/>
              </w:rPr>
              <w:t>b.</w:t>
            </w:r>
            <w:r w:rsidR="002818A6">
              <w:rPr>
                <w:rFonts w:asciiTheme="minorHAnsi" w:hAnsiTheme="minorHAnsi" w:cstheme="minorBidi"/>
              </w:rPr>
              <w:tab/>
            </w:r>
            <w:r w:rsidR="002818A6" w:rsidRPr="00186508">
              <w:rPr>
                <w:rStyle w:val="Hyperlink"/>
                <w:rFonts w:eastAsiaTheme="minorHAnsi"/>
              </w:rPr>
              <w:t>Positions of the Parties</w:t>
            </w:r>
            <w:r w:rsidR="002818A6">
              <w:rPr>
                <w:webHidden/>
              </w:rPr>
              <w:tab/>
            </w:r>
            <w:r w:rsidR="002818A6">
              <w:rPr>
                <w:webHidden/>
              </w:rPr>
              <w:fldChar w:fldCharType="begin"/>
            </w:r>
            <w:r w:rsidR="002818A6">
              <w:rPr>
                <w:webHidden/>
              </w:rPr>
              <w:instrText xml:space="preserve"> PAGEREF _Toc29278223 \h </w:instrText>
            </w:r>
            <w:r w:rsidR="002818A6">
              <w:rPr>
                <w:webHidden/>
              </w:rPr>
            </w:r>
            <w:r w:rsidR="002818A6">
              <w:rPr>
                <w:webHidden/>
              </w:rPr>
              <w:fldChar w:fldCharType="separate"/>
            </w:r>
            <w:r w:rsidR="00CA6F88">
              <w:rPr>
                <w:webHidden/>
              </w:rPr>
              <w:t>133</w:t>
            </w:r>
            <w:r w:rsidR="002818A6">
              <w:rPr>
                <w:webHidden/>
              </w:rPr>
              <w:fldChar w:fldCharType="end"/>
            </w:r>
          </w:hyperlink>
        </w:p>
        <w:p w14:paraId="28674DC3" w14:textId="4365F9CF" w:rsidR="002818A6" w:rsidRDefault="00121E52">
          <w:pPr>
            <w:pStyle w:val="TOC4"/>
            <w:tabs>
              <w:tab w:val="left" w:pos="2880"/>
            </w:tabs>
            <w:rPr>
              <w:rFonts w:asciiTheme="minorHAnsi" w:hAnsiTheme="minorHAnsi" w:cstheme="minorBidi"/>
            </w:rPr>
          </w:pPr>
          <w:hyperlink w:anchor="_Toc29278224" w:history="1">
            <w:r w:rsidR="002818A6" w:rsidRPr="00186508">
              <w:rPr>
                <w:rStyle w:val="Hyperlink"/>
                <w:rFonts w:eastAsiaTheme="minorHAnsi"/>
              </w:rPr>
              <w:t>c.</w:t>
            </w:r>
            <w:r w:rsidR="002818A6">
              <w:rPr>
                <w:rFonts w:asciiTheme="minorHAnsi" w:hAnsiTheme="minorHAnsi" w:cstheme="minorBidi"/>
              </w:rPr>
              <w:tab/>
            </w:r>
            <w:r w:rsidR="002818A6" w:rsidRPr="00186508">
              <w:rPr>
                <w:rStyle w:val="Hyperlink"/>
                <w:rFonts w:eastAsiaTheme="minorHAnsi"/>
              </w:rPr>
              <w:t>Recommended Decision</w:t>
            </w:r>
            <w:r w:rsidR="002818A6">
              <w:rPr>
                <w:webHidden/>
              </w:rPr>
              <w:tab/>
            </w:r>
            <w:r w:rsidR="002818A6">
              <w:rPr>
                <w:webHidden/>
              </w:rPr>
              <w:fldChar w:fldCharType="begin"/>
            </w:r>
            <w:r w:rsidR="002818A6">
              <w:rPr>
                <w:webHidden/>
              </w:rPr>
              <w:instrText xml:space="preserve"> PAGEREF _Toc29278224 \h </w:instrText>
            </w:r>
            <w:r w:rsidR="002818A6">
              <w:rPr>
                <w:webHidden/>
              </w:rPr>
            </w:r>
            <w:r w:rsidR="002818A6">
              <w:rPr>
                <w:webHidden/>
              </w:rPr>
              <w:fldChar w:fldCharType="separate"/>
            </w:r>
            <w:r w:rsidR="00CA6F88">
              <w:rPr>
                <w:webHidden/>
              </w:rPr>
              <w:t>134</w:t>
            </w:r>
            <w:r w:rsidR="002818A6">
              <w:rPr>
                <w:webHidden/>
              </w:rPr>
              <w:fldChar w:fldCharType="end"/>
            </w:r>
          </w:hyperlink>
        </w:p>
        <w:p w14:paraId="1E1EEA1D" w14:textId="3A2D4DAC" w:rsidR="002818A6" w:rsidRDefault="00121E52">
          <w:pPr>
            <w:pStyle w:val="TOC4"/>
            <w:tabs>
              <w:tab w:val="left" w:pos="2880"/>
            </w:tabs>
            <w:rPr>
              <w:rFonts w:asciiTheme="minorHAnsi" w:hAnsiTheme="minorHAnsi" w:cstheme="minorBidi"/>
            </w:rPr>
          </w:pPr>
          <w:hyperlink w:anchor="_Toc29278225" w:history="1">
            <w:r w:rsidR="002818A6" w:rsidRPr="00186508">
              <w:rPr>
                <w:rStyle w:val="Hyperlink"/>
                <w:rFonts w:eastAsiaTheme="minorHAnsi"/>
              </w:rPr>
              <w:t>d.</w:t>
            </w:r>
            <w:r w:rsidR="002818A6">
              <w:rPr>
                <w:rFonts w:asciiTheme="minorHAnsi" w:hAnsiTheme="minorHAnsi" w:cstheme="minorBidi"/>
              </w:rPr>
              <w:tab/>
            </w:r>
            <w:r w:rsidR="002818A6" w:rsidRPr="00186508">
              <w:rPr>
                <w:rStyle w:val="Hyperlink"/>
                <w:rFonts w:eastAsiaTheme="minorHAnsi"/>
              </w:rPr>
              <w:t>Exceptions and Replies</w:t>
            </w:r>
            <w:r w:rsidR="002818A6">
              <w:rPr>
                <w:webHidden/>
              </w:rPr>
              <w:tab/>
            </w:r>
            <w:r w:rsidR="002818A6">
              <w:rPr>
                <w:webHidden/>
              </w:rPr>
              <w:fldChar w:fldCharType="begin"/>
            </w:r>
            <w:r w:rsidR="002818A6">
              <w:rPr>
                <w:webHidden/>
              </w:rPr>
              <w:instrText xml:space="preserve"> PAGEREF _Toc29278225 \h </w:instrText>
            </w:r>
            <w:r w:rsidR="002818A6">
              <w:rPr>
                <w:webHidden/>
              </w:rPr>
            </w:r>
            <w:r w:rsidR="002818A6">
              <w:rPr>
                <w:webHidden/>
              </w:rPr>
              <w:fldChar w:fldCharType="separate"/>
            </w:r>
            <w:r w:rsidR="00CA6F88">
              <w:rPr>
                <w:webHidden/>
              </w:rPr>
              <w:t>135</w:t>
            </w:r>
            <w:r w:rsidR="002818A6">
              <w:rPr>
                <w:webHidden/>
              </w:rPr>
              <w:fldChar w:fldCharType="end"/>
            </w:r>
          </w:hyperlink>
        </w:p>
        <w:p w14:paraId="23081DD3" w14:textId="7709804B" w:rsidR="002818A6" w:rsidRDefault="00121E52">
          <w:pPr>
            <w:pStyle w:val="TOC4"/>
            <w:tabs>
              <w:tab w:val="left" w:pos="2880"/>
            </w:tabs>
            <w:rPr>
              <w:rFonts w:asciiTheme="minorHAnsi" w:hAnsiTheme="minorHAnsi" w:cstheme="minorBidi"/>
            </w:rPr>
          </w:pPr>
          <w:hyperlink w:anchor="_Toc29278226" w:history="1">
            <w:r w:rsidR="002818A6" w:rsidRPr="00186508">
              <w:rPr>
                <w:rStyle w:val="Hyperlink"/>
                <w:rFonts w:eastAsiaTheme="minorHAnsi"/>
              </w:rPr>
              <w:t>e.</w:t>
            </w:r>
            <w:r w:rsidR="002818A6">
              <w:rPr>
                <w:rFonts w:asciiTheme="minorHAnsi" w:hAnsiTheme="minorHAnsi" w:cstheme="minorBidi"/>
              </w:rPr>
              <w:tab/>
            </w:r>
            <w:r w:rsidR="002818A6" w:rsidRPr="00186508">
              <w:rPr>
                <w:rStyle w:val="Hyperlink"/>
                <w:rFonts w:eastAsiaTheme="minorHAnsi"/>
              </w:rPr>
              <w:t>Disposition</w:t>
            </w:r>
            <w:r w:rsidR="002818A6">
              <w:rPr>
                <w:webHidden/>
              </w:rPr>
              <w:tab/>
            </w:r>
            <w:r w:rsidR="002818A6">
              <w:rPr>
                <w:webHidden/>
              </w:rPr>
              <w:fldChar w:fldCharType="begin"/>
            </w:r>
            <w:r w:rsidR="002818A6">
              <w:rPr>
                <w:webHidden/>
              </w:rPr>
              <w:instrText xml:space="preserve"> PAGEREF _Toc29278226 \h </w:instrText>
            </w:r>
            <w:r w:rsidR="002818A6">
              <w:rPr>
                <w:webHidden/>
              </w:rPr>
            </w:r>
            <w:r w:rsidR="002818A6">
              <w:rPr>
                <w:webHidden/>
              </w:rPr>
              <w:fldChar w:fldCharType="separate"/>
            </w:r>
            <w:r w:rsidR="00CA6F88">
              <w:rPr>
                <w:webHidden/>
              </w:rPr>
              <w:t>137</w:t>
            </w:r>
            <w:r w:rsidR="002818A6">
              <w:rPr>
                <w:webHidden/>
              </w:rPr>
              <w:fldChar w:fldCharType="end"/>
            </w:r>
          </w:hyperlink>
        </w:p>
        <w:p w14:paraId="096CDF7A" w14:textId="428BC205" w:rsidR="002818A6" w:rsidRDefault="00121E52" w:rsidP="00320F87">
          <w:pPr>
            <w:pStyle w:val="TOC3"/>
            <w:rPr>
              <w:rFonts w:asciiTheme="minorHAnsi" w:eastAsiaTheme="minorEastAsia" w:hAnsiTheme="minorHAnsi" w:cstheme="minorBidi"/>
              <w:noProof/>
              <w:sz w:val="22"/>
              <w:szCs w:val="22"/>
            </w:rPr>
          </w:pPr>
          <w:hyperlink w:anchor="_Toc29278227" w:history="1">
            <w:r w:rsidR="002818A6" w:rsidRPr="00186508">
              <w:rPr>
                <w:rStyle w:val="Hyperlink"/>
                <w:noProof/>
              </w:rPr>
              <w:t>6.</w:t>
            </w:r>
            <w:r w:rsidR="002818A6">
              <w:rPr>
                <w:rFonts w:asciiTheme="minorHAnsi" w:eastAsiaTheme="minorEastAsia" w:hAnsiTheme="minorHAnsi" w:cstheme="minorBidi"/>
                <w:noProof/>
                <w:sz w:val="22"/>
                <w:szCs w:val="22"/>
              </w:rPr>
              <w:tab/>
            </w:r>
            <w:r w:rsidR="002818A6" w:rsidRPr="00186508">
              <w:rPr>
                <w:rStyle w:val="Hyperlink"/>
                <w:noProof/>
              </w:rPr>
              <w:t>Universal Service and Low-Income Commitments</w:t>
            </w:r>
            <w:r w:rsidR="002818A6">
              <w:rPr>
                <w:noProof/>
                <w:webHidden/>
              </w:rPr>
              <w:tab/>
            </w:r>
            <w:r w:rsidR="002818A6">
              <w:rPr>
                <w:noProof/>
                <w:webHidden/>
              </w:rPr>
              <w:fldChar w:fldCharType="begin"/>
            </w:r>
            <w:r w:rsidR="002818A6">
              <w:rPr>
                <w:noProof/>
                <w:webHidden/>
              </w:rPr>
              <w:instrText xml:space="preserve"> PAGEREF _Toc29278227 \h </w:instrText>
            </w:r>
            <w:r w:rsidR="002818A6">
              <w:rPr>
                <w:noProof/>
                <w:webHidden/>
              </w:rPr>
            </w:r>
            <w:r w:rsidR="002818A6">
              <w:rPr>
                <w:noProof/>
                <w:webHidden/>
              </w:rPr>
              <w:fldChar w:fldCharType="separate"/>
            </w:r>
            <w:r w:rsidR="00CA6F88">
              <w:rPr>
                <w:noProof/>
                <w:webHidden/>
              </w:rPr>
              <w:t>139</w:t>
            </w:r>
            <w:r w:rsidR="002818A6">
              <w:rPr>
                <w:noProof/>
                <w:webHidden/>
              </w:rPr>
              <w:fldChar w:fldCharType="end"/>
            </w:r>
          </w:hyperlink>
        </w:p>
        <w:p w14:paraId="30C60B29" w14:textId="069F0E90" w:rsidR="002818A6" w:rsidRDefault="00121E52">
          <w:pPr>
            <w:pStyle w:val="TOC4"/>
            <w:tabs>
              <w:tab w:val="left" w:pos="2880"/>
            </w:tabs>
            <w:rPr>
              <w:rFonts w:asciiTheme="minorHAnsi" w:hAnsiTheme="minorHAnsi" w:cstheme="minorBidi"/>
            </w:rPr>
          </w:pPr>
          <w:hyperlink w:anchor="_Toc29278228" w:history="1">
            <w:r w:rsidR="002818A6" w:rsidRPr="00186508">
              <w:rPr>
                <w:rStyle w:val="Hyperlink"/>
              </w:rPr>
              <w:t>a.</w:t>
            </w:r>
            <w:r w:rsidR="002818A6">
              <w:rPr>
                <w:rFonts w:asciiTheme="minorHAnsi" w:hAnsiTheme="minorHAnsi" w:cstheme="minorBidi"/>
              </w:rPr>
              <w:tab/>
            </w:r>
            <w:r w:rsidR="002818A6" w:rsidRPr="00186508">
              <w:rPr>
                <w:rStyle w:val="Hyperlink"/>
              </w:rPr>
              <w:t>Settlement Terms</w:t>
            </w:r>
            <w:r w:rsidR="002818A6">
              <w:rPr>
                <w:webHidden/>
              </w:rPr>
              <w:tab/>
            </w:r>
            <w:r w:rsidR="002818A6">
              <w:rPr>
                <w:webHidden/>
              </w:rPr>
              <w:fldChar w:fldCharType="begin"/>
            </w:r>
            <w:r w:rsidR="002818A6">
              <w:rPr>
                <w:webHidden/>
              </w:rPr>
              <w:instrText xml:space="preserve"> PAGEREF _Toc29278228 \h </w:instrText>
            </w:r>
            <w:r w:rsidR="002818A6">
              <w:rPr>
                <w:webHidden/>
              </w:rPr>
            </w:r>
            <w:r w:rsidR="002818A6">
              <w:rPr>
                <w:webHidden/>
              </w:rPr>
              <w:fldChar w:fldCharType="separate"/>
            </w:r>
            <w:r w:rsidR="00CA6F88">
              <w:rPr>
                <w:webHidden/>
              </w:rPr>
              <w:t>139</w:t>
            </w:r>
            <w:r w:rsidR="002818A6">
              <w:rPr>
                <w:webHidden/>
              </w:rPr>
              <w:fldChar w:fldCharType="end"/>
            </w:r>
          </w:hyperlink>
        </w:p>
        <w:p w14:paraId="38A6F471" w14:textId="1EFE6E80" w:rsidR="002818A6" w:rsidRDefault="00121E52">
          <w:pPr>
            <w:pStyle w:val="TOC4"/>
            <w:tabs>
              <w:tab w:val="left" w:pos="2880"/>
            </w:tabs>
            <w:rPr>
              <w:rFonts w:asciiTheme="minorHAnsi" w:hAnsiTheme="minorHAnsi" w:cstheme="minorBidi"/>
            </w:rPr>
          </w:pPr>
          <w:hyperlink w:anchor="_Toc29278229" w:history="1">
            <w:r w:rsidR="002818A6" w:rsidRPr="00186508">
              <w:rPr>
                <w:rStyle w:val="Hyperlink"/>
              </w:rPr>
              <w:t>b.</w:t>
            </w:r>
            <w:r w:rsidR="002818A6">
              <w:rPr>
                <w:rFonts w:asciiTheme="minorHAnsi" w:hAnsiTheme="minorHAnsi" w:cstheme="minorBidi"/>
              </w:rPr>
              <w:tab/>
            </w:r>
            <w:r w:rsidR="002818A6" w:rsidRPr="00186508">
              <w:rPr>
                <w:rStyle w:val="Hyperlink"/>
              </w:rPr>
              <w:t>Positions of the Parties</w:t>
            </w:r>
            <w:r w:rsidR="002818A6">
              <w:rPr>
                <w:webHidden/>
              </w:rPr>
              <w:tab/>
            </w:r>
            <w:r w:rsidR="002818A6">
              <w:rPr>
                <w:webHidden/>
              </w:rPr>
              <w:fldChar w:fldCharType="begin"/>
            </w:r>
            <w:r w:rsidR="002818A6">
              <w:rPr>
                <w:webHidden/>
              </w:rPr>
              <w:instrText xml:space="preserve"> PAGEREF _Toc29278229 \h </w:instrText>
            </w:r>
            <w:r w:rsidR="002818A6">
              <w:rPr>
                <w:webHidden/>
              </w:rPr>
            </w:r>
            <w:r w:rsidR="002818A6">
              <w:rPr>
                <w:webHidden/>
              </w:rPr>
              <w:fldChar w:fldCharType="separate"/>
            </w:r>
            <w:r w:rsidR="00CA6F88">
              <w:rPr>
                <w:webHidden/>
              </w:rPr>
              <w:t>143</w:t>
            </w:r>
            <w:r w:rsidR="002818A6">
              <w:rPr>
                <w:webHidden/>
              </w:rPr>
              <w:fldChar w:fldCharType="end"/>
            </w:r>
          </w:hyperlink>
        </w:p>
        <w:p w14:paraId="77FC7701" w14:textId="21E1E338" w:rsidR="002818A6" w:rsidRDefault="00121E52">
          <w:pPr>
            <w:pStyle w:val="TOC4"/>
            <w:tabs>
              <w:tab w:val="left" w:pos="2880"/>
            </w:tabs>
            <w:rPr>
              <w:rFonts w:asciiTheme="minorHAnsi" w:hAnsiTheme="minorHAnsi" w:cstheme="minorBidi"/>
            </w:rPr>
          </w:pPr>
          <w:hyperlink w:anchor="_Toc29278230" w:history="1">
            <w:r w:rsidR="002818A6" w:rsidRPr="00186508">
              <w:rPr>
                <w:rStyle w:val="Hyperlink"/>
              </w:rPr>
              <w:t>c.</w:t>
            </w:r>
            <w:r w:rsidR="002818A6">
              <w:rPr>
                <w:rFonts w:asciiTheme="minorHAnsi" w:hAnsiTheme="minorHAnsi" w:cstheme="minorBidi"/>
              </w:rPr>
              <w:tab/>
            </w:r>
            <w:r w:rsidR="002818A6" w:rsidRPr="00186508">
              <w:rPr>
                <w:rStyle w:val="Hyperlink"/>
              </w:rPr>
              <w:t>Recommended Decision</w:t>
            </w:r>
            <w:r w:rsidR="002818A6">
              <w:rPr>
                <w:webHidden/>
              </w:rPr>
              <w:tab/>
            </w:r>
            <w:r w:rsidR="002818A6">
              <w:rPr>
                <w:webHidden/>
              </w:rPr>
              <w:fldChar w:fldCharType="begin"/>
            </w:r>
            <w:r w:rsidR="002818A6">
              <w:rPr>
                <w:webHidden/>
              </w:rPr>
              <w:instrText xml:space="preserve"> PAGEREF _Toc29278230 \h </w:instrText>
            </w:r>
            <w:r w:rsidR="002818A6">
              <w:rPr>
                <w:webHidden/>
              </w:rPr>
            </w:r>
            <w:r w:rsidR="002818A6">
              <w:rPr>
                <w:webHidden/>
              </w:rPr>
              <w:fldChar w:fldCharType="separate"/>
            </w:r>
            <w:r w:rsidR="00CA6F88">
              <w:rPr>
                <w:webHidden/>
              </w:rPr>
              <w:t>145</w:t>
            </w:r>
            <w:r w:rsidR="002818A6">
              <w:rPr>
                <w:webHidden/>
              </w:rPr>
              <w:fldChar w:fldCharType="end"/>
            </w:r>
          </w:hyperlink>
        </w:p>
        <w:p w14:paraId="2B6E470B" w14:textId="71D69017" w:rsidR="002818A6" w:rsidRDefault="00121E52">
          <w:pPr>
            <w:pStyle w:val="TOC4"/>
            <w:tabs>
              <w:tab w:val="left" w:pos="2880"/>
            </w:tabs>
            <w:rPr>
              <w:rFonts w:asciiTheme="minorHAnsi" w:hAnsiTheme="minorHAnsi" w:cstheme="minorBidi"/>
            </w:rPr>
          </w:pPr>
          <w:hyperlink w:anchor="_Toc29278231" w:history="1">
            <w:r w:rsidR="002818A6" w:rsidRPr="00186508">
              <w:rPr>
                <w:rStyle w:val="Hyperlink"/>
              </w:rPr>
              <w:t>d.</w:t>
            </w:r>
            <w:r w:rsidR="002818A6">
              <w:rPr>
                <w:rFonts w:asciiTheme="minorHAnsi" w:hAnsiTheme="minorHAnsi" w:cstheme="minorBidi"/>
              </w:rPr>
              <w:tab/>
            </w:r>
            <w:r w:rsidR="002818A6" w:rsidRPr="00186508">
              <w:rPr>
                <w:rStyle w:val="Hyperlink"/>
              </w:rPr>
              <w:t>Exceptions and Replies</w:t>
            </w:r>
            <w:r w:rsidR="002818A6">
              <w:rPr>
                <w:webHidden/>
              </w:rPr>
              <w:tab/>
            </w:r>
            <w:r w:rsidR="002818A6">
              <w:rPr>
                <w:webHidden/>
              </w:rPr>
              <w:fldChar w:fldCharType="begin"/>
            </w:r>
            <w:r w:rsidR="002818A6">
              <w:rPr>
                <w:webHidden/>
              </w:rPr>
              <w:instrText xml:space="preserve"> PAGEREF _Toc29278231 \h </w:instrText>
            </w:r>
            <w:r w:rsidR="002818A6">
              <w:rPr>
                <w:webHidden/>
              </w:rPr>
            </w:r>
            <w:r w:rsidR="002818A6">
              <w:rPr>
                <w:webHidden/>
              </w:rPr>
              <w:fldChar w:fldCharType="separate"/>
            </w:r>
            <w:r w:rsidR="00CA6F88">
              <w:rPr>
                <w:webHidden/>
              </w:rPr>
              <w:t>148</w:t>
            </w:r>
            <w:r w:rsidR="002818A6">
              <w:rPr>
                <w:webHidden/>
              </w:rPr>
              <w:fldChar w:fldCharType="end"/>
            </w:r>
          </w:hyperlink>
        </w:p>
        <w:p w14:paraId="40A83734" w14:textId="4F62BDC3" w:rsidR="002818A6" w:rsidRDefault="00121E52">
          <w:pPr>
            <w:pStyle w:val="TOC4"/>
            <w:tabs>
              <w:tab w:val="left" w:pos="2880"/>
            </w:tabs>
            <w:rPr>
              <w:rFonts w:asciiTheme="minorHAnsi" w:hAnsiTheme="minorHAnsi" w:cstheme="minorBidi"/>
            </w:rPr>
          </w:pPr>
          <w:hyperlink w:anchor="_Toc29278232" w:history="1">
            <w:r w:rsidR="002818A6" w:rsidRPr="00186508">
              <w:rPr>
                <w:rStyle w:val="Hyperlink"/>
              </w:rPr>
              <w:t>e.</w:t>
            </w:r>
            <w:r w:rsidR="002818A6">
              <w:rPr>
                <w:rFonts w:asciiTheme="minorHAnsi" w:hAnsiTheme="minorHAnsi" w:cstheme="minorBidi"/>
              </w:rPr>
              <w:tab/>
            </w:r>
            <w:r w:rsidR="002818A6" w:rsidRPr="00186508">
              <w:rPr>
                <w:rStyle w:val="Hyperlink"/>
              </w:rPr>
              <w:t>Disposition</w:t>
            </w:r>
            <w:r w:rsidR="002818A6">
              <w:rPr>
                <w:webHidden/>
              </w:rPr>
              <w:tab/>
            </w:r>
            <w:r w:rsidR="002818A6">
              <w:rPr>
                <w:webHidden/>
              </w:rPr>
              <w:fldChar w:fldCharType="begin"/>
            </w:r>
            <w:r w:rsidR="002818A6">
              <w:rPr>
                <w:webHidden/>
              </w:rPr>
              <w:instrText xml:space="preserve"> PAGEREF _Toc29278232 \h </w:instrText>
            </w:r>
            <w:r w:rsidR="002818A6">
              <w:rPr>
                <w:webHidden/>
              </w:rPr>
            </w:r>
            <w:r w:rsidR="002818A6">
              <w:rPr>
                <w:webHidden/>
              </w:rPr>
              <w:fldChar w:fldCharType="separate"/>
            </w:r>
            <w:r w:rsidR="00CA6F88">
              <w:rPr>
                <w:webHidden/>
              </w:rPr>
              <w:t>152</w:t>
            </w:r>
            <w:r w:rsidR="002818A6">
              <w:rPr>
                <w:webHidden/>
              </w:rPr>
              <w:fldChar w:fldCharType="end"/>
            </w:r>
          </w:hyperlink>
        </w:p>
        <w:p w14:paraId="105AA74D" w14:textId="1A16C1FA" w:rsidR="002818A6" w:rsidRDefault="00121E52" w:rsidP="00320F87">
          <w:pPr>
            <w:pStyle w:val="TOC3"/>
            <w:rPr>
              <w:rFonts w:asciiTheme="minorHAnsi" w:eastAsiaTheme="minorEastAsia" w:hAnsiTheme="minorHAnsi" w:cstheme="minorBidi"/>
              <w:noProof/>
              <w:sz w:val="22"/>
              <w:szCs w:val="22"/>
            </w:rPr>
          </w:pPr>
          <w:hyperlink w:anchor="_Toc29278233" w:history="1">
            <w:r w:rsidR="002818A6" w:rsidRPr="00186508">
              <w:rPr>
                <w:rStyle w:val="Hyperlink"/>
                <w:noProof/>
              </w:rPr>
              <w:t>7.</w:t>
            </w:r>
            <w:r w:rsidR="002818A6">
              <w:rPr>
                <w:rFonts w:asciiTheme="minorHAnsi" w:eastAsiaTheme="minorEastAsia" w:hAnsiTheme="minorHAnsi" w:cstheme="minorBidi"/>
                <w:noProof/>
                <w:sz w:val="22"/>
                <w:szCs w:val="22"/>
              </w:rPr>
              <w:tab/>
            </w:r>
            <w:r w:rsidR="002818A6" w:rsidRPr="00186508">
              <w:rPr>
                <w:rStyle w:val="Hyperlink"/>
                <w:noProof/>
              </w:rPr>
              <w:t>Customer Service Improvements</w:t>
            </w:r>
            <w:r w:rsidR="002818A6">
              <w:rPr>
                <w:noProof/>
                <w:webHidden/>
              </w:rPr>
              <w:tab/>
            </w:r>
            <w:r w:rsidR="002818A6">
              <w:rPr>
                <w:noProof/>
                <w:webHidden/>
              </w:rPr>
              <w:fldChar w:fldCharType="begin"/>
            </w:r>
            <w:r w:rsidR="002818A6">
              <w:rPr>
                <w:noProof/>
                <w:webHidden/>
              </w:rPr>
              <w:instrText xml:space="preserve"> PAGEREF _Toc29278233 \h </w:instrText>
            </w:r>
            <w:r w:rsidR="002818A6">
              <w:rPr>
                <w:noProof/>
                <w:webHidden/>
              </w:rPr>
            </w:r>
            <w:r w:rsidR="002818A6">
              <w:rPr>
                <w:noProof/>
                <w:webHidden/>
              </w:rPr>
              <w:fldChar w:fldCharType="separate"/>
            </w:r>
            <w:r w:rsidR="00CA6F88">
              <w:rPr>
                <w:noProof/>
                <w:webHidden/>
              </w:rPr>
              <w:t>154</w:t>
            </w:r>
            <w:r w:rsidR="002818A6">
              <w:rPr>
                <w:noProof/>
                <w:webHidden/>
              </w:rPr>
              <w:fldChar w:fldCharType="end"/>
            </w:r>
          </w:hyperlink>
        </w:p>
        <w:p w14:paraId="00D0ED8C" w14:textId="761C4904" w:rsidR="002818A6" w:rsidRDefault="00121E52">
          <w:pPr>
            <w:pStyle w:val="TOC4"/>
            <w:tabs>
              <w:tab w:val="left" w:pos="2880"/>
            </w:tabs>
            <w:rPr>
              <w:rFonts w:asciiTheme="minorHAnsi" w:hAnsiTheme="minorHAnsi" w:cstheme="minorBidi"/>
            </w:rPr>
          </w:pPr>
          <w:hyperlink w:anchor="_Toc29278234" w:history="1">
            <w:r w:rsidR="002818A6" w:rsidRPr="00186508">
              <w:rPr>
                <w:rStyle w:val="Hyperlink"/>
              </w:rPr>
              <w:t>a.</w:t>
            </w:r>
            <w:r w:rsidR="002818A6">
              <w:rPr>
                <w:rFonts w:asciiTheme="minorHAnsi" w:hAnsiTheme="minorHAnsi" w:cstheme="minorBidi"/>
              </w:rPr>
              <w:tab/>
            </w:r>
            <w:r w:rsidR="002818A6" w:rsidRPr="00186508">
              <w:rPr>
                <w:rStyle w:val="Hyperlink"/>
              </w:rPr>
              <w:t>Settlement Terms</w:t>
            </w:r>
            <w:r w:rsidR="002818A6">
              <w:rPr>
                <w:webHidden/>
              </w:rPr>
              <w:tab/>
            </w:r>
            <w:r w:rsidR="002818A6">
              <w:rPr>
                <w:webHidden/>
              </w:rPr>
              <w:fldChar w:fldCharType="begin"/>
            </w:r>
            <w:r w:rsidR="002818A6">
              <w:rPr>
                <w:webHidden/>
              </w:rPr>
              <w:instrText xml:space="preserve"> PAGEREF _Toc29278234 \h </w:instrText>
            </w:r>
            <w:r w:rsidR="002818A6">
              <w:rPr>
                <w:webHidden/>
              </w:rPr>
            </w:r>
            <w:r w:rsidR="002818A6">
              <w:rPr>
                <w:webHidden/>
              </w:rPr>
              <w:fldChar w:fldCharType="separate"/>
            </w:r>
            <w:r w:rsidR="00CA6F88">
              <w:rPr>
                <w:webHidden/>
              </w:rPr>
              <w:t>154</w:t>
            </w:r>
            <w:r w:rsidR="002818A6">
              <w:rPr>
                <w:webHidden/>
              </w:rPr>
              <w:fldChar w:fldCharType="end"/>
            </w:r>
          </w:hyperlink>
        </w:p>
        <w:p w14:paraId="6A35CCA7" w14:textId="362A1D4F" w:rsidR="002818A6" w:rsidRDefault="00121E52">
          <w:pPr>
            <w:pStyle w:val="TOC4"/>
            <w:tabs>
              <w:tab w:val="left" w:pos="2880"/>
            </w:tabs>
            <w:rPr>
              <w:rFonts w:asciiTheme="minorHAnsi" w:hAnsiTheme="minorHAnsi" w:cstheme="minorBidi"/>
            </w:rPr>
          </w:pPr>
          <w:hyperlink w:anchor="_Toc29278235" w:history="1">
            <w:r w:rsidR="002818A6" w:rsidRPr="00186508">
              <w:rPr>
                <w:rStyle w:val="Hyperlink"/>
              </w:rPr>
              <w:t>b.</w:t>
            </w:r>
            <w:r w:rsidR="002818A6">
              <w:rPr>
                <w:rFonts w:asciiTheme="minorHAnsi" w:hAnsiTheme="minorHAnsi" w:cstheme="minorBidi"/>
              </w:rPr>
              <w:tab/>
            </w:r>
            <w:r w:rsidR="002818A6" w:rsidRPr="00186508">
              <w:rPr>
                <w:rStyle w:val="Hyperlink"/>
              </w:rPr>
              <w:t>Positions of the Parties</w:t>
            </w:r>
            <w:r w:rsidR="002818A6">
              <w:rPr>
                <w:webHidden/>
              </w:rPr>
              <w:tab/>
            </w:r>
            <w:r w:rsidR="002818A6">
              <w:rPr>
                <w:webHidden/>
              </w:rPr>
              <w:fldChar w:fldCharType="begin"/>
            </w:r>
            <w:r w:rsidR="002818A6">
              <w:rPr>
                <w:webHidden/>
              </w:rPr>
              <w:instrText xml:space="preserve"> PAGEREF _Toc29278235 \h </w:instrText>
            </w:r>
            <w:r w:rsidR="002818A6">
              <w:rPr>
                <w:webHidden/>
              </w:rPr>
            </w:r>
            <w:r w:rsidR="002818A6">
              <w:rPr>
                <w:webHidden/>
              </w:rPr>
              <w:fldChar w:fldCharType="separate"/>
            </w:r>
            <w:r w:rsidR="00CA6F88">
              <w:rPr>
                <w:webHidden/>
              </w:rPr>
              <w:t>157</w:t>
            </w:r>
            <w:r w:rsidR="002818A6">
              <w:rPr>
                <w:webHidden/>
              </w:rPr>
              <w:fldChar w:fldCharType="end"/>
            </w:r>
          </w:hyperlink>
        </w:p>
        <w:p w14:paraId="2CF916BC" w14:textId="08B3271C" w:rsidR="002818A6" w:rsidRDefault="00121E52">
          <w:pPr>
            <w:pStyle w:val="TOC4"/>
            <w:tabs>
              <w:tab w:val="left" w:pos="2880"/>
            </w:tabs>
            <w:rPr>
              <w:rFonts w:asciiTheme="minorHAnsi" w:hAnsiTheme="minorHAnsi" w:cstheme="minorBidi"/>
            </w:rPr>
          </w:pPr>
          <w:hyperlink w:anchor="_Toc29278236" w:history="1">
            <w:r w:rsidR="002818A6" w:rsidRPr="00186508">
              <w:rPr>
                <w:rStyle w:val="Hyperlink"/>
              </w:rPr>
              <w:t>c.</w:t>
            </w:r>
            <w:r w:rsidR="002818A6">
              <w:rPr>
                <w:rFonts w:asciiTheme="minorHAnsi" w:hAnsiTheme="minorHAnsi" w:cstheme="minorBidi"/>
              </w:rPr>
              <w:tab/>
            </w:r>
            <w:r w:rsidR="002818A6" w:rsidRPr="00186508">
              <w:rPr>
                <w:rStyle w:val="Hyperlink"/>
              </w:rPr>
              <w:t>Recommended Decision</w:t>
            </w:r>
            <w:r w:rsidR="002818A6">
              <w:rPr>
                <w:webHidden/>
              </w:rPr>
              <w:tab/>
            </w:r>
            <w:r w:rsidR="002818A6">
              <w:rPr>
                <w:webHidden/>
              </w:rPr>
              <w:fldChar w:fldCharType="begin"/>
            </w:r>
            <w:r w:rsidR="002818A6">
              <w:rPr>
                <w:webHidden/>
              </w:rPr>
              <w:instrText xml:space="preserve"> PAGEREF _Toc29278236 \h </w:instrText>
            </w:r>
            <w:r w:rsidR="002818A6">
              <w:rPr>
                <w:webHidden/>
              </w:rPr>
            </w:r>
            <w:r w:rsidR="002818A6">
              <w:rPr>
                <w:webHidden/>
              </w:rPr>
              <w:fldChar w:fldCharType="separate"/>
            </w:r>
            <w:r w:rsidR="00CA6F88">
              <w:rPr>
                <w:webHidden/>
              </w:rPr>
              <w:t>159</w:t>
            </w:r>
            <w:r w:rsidR="002818A6">
              <w:rPr>
                <w:webHidden/>
              </w:rPr>
              <w:fldChar w:fldCharType="end"/>
            </w:r>
          </w:hyperlink>
        </w:p>
        <w:p w14:paraId="6AE9F719" w14:textId="5BF0149E" w:rsidR="002818A6" w:rsidRDefault="00121E52">
          <w:pPr>
            <w:pStyle w:val="TOC4"/>
            <w:tabs>
              <w:tab w:val="left" w:pos="2880"/>
            </w:tabs>
            <w:rPr>
              <w:rFonts w:asciiTheme="minorHAnsi" w:hAnsiTheme="minorHAnsi" w:cstheme="minorBidi"/>
            </w:rPr>
          </w:pPr>
          <w:hyperlink w:anchor="_Toc29278237" w:history="1">
            <w:r w:rsidR="002818A6" w:rsidRPr="00186508">
              <w:rPr>
                <w:rStyle w:val="Hyperlink"/>
              </w:rPr>
              <w:t>d.</w:t>
            </w:r>
            <w:r w:rsidR="002818A6">
              <w:rPr>
                <w:rFonts w:asciiTheme="minorHAnsi" w:hAnsiTheme="minorHAnsi" w:cstheme="minorBidi"/>
              </w:rPr>
              <w:tab/>
            </w:r>
            <w:r w:rsidR="002818A6" w:rsidRPr="00186508">
              <w:rPr>
                <w:rStyle w:val="Hyperlink"/>
              </w:rPr>
              <w:t>Exceptions and Replies</w:t>
            </w:r>
            <w:r w:rsidR="002818A6">
              <w:rPr>
                <w:webHidden/>
              </w:rPr>
              <w:tab/>
            </w:r>
            <w:r w:rsidR="002818A6">
              <w:rPr>
                <w:webHidden/>
              </w:rPr>
              <w:fldChar w:fldCharType="begin"/>
            </w:r>
            <w:r w:rsidR="002818A6">
              <w:rPr>
                <w:webHidden/>
              </w:rPr>
              <w:instrText xml:space="preserve"> PAGEREF _Toc29278237 \h </w:instrText>
            </w:r>
            <w:r w:rsidR="002818A6">
              <w:rPr>
                <w:webHidden/>
              </w:rPr>
            </w:r>
            <w:r w:rsidR="002818A6">
              <w:rPr>
                <w:webHidden/>
              </w:rPr>
              <w:fldChar w:fldCharType="separate"/>
            </w:r>
            <w:r w:rsidR="00CA6F88">
              <w:rPr>
                <w:webHidden/>
              </w:rPr>
              <w:t>160</w:t>
            </w:r>
            <w:r w:rsidR="002818A6">
              <w:rPr>
                <w:webHidden/>
              </w:rPr>
              <w:fldChar w:fldCharType="end"/>
            </w:r>
          </w:hyperlink>
        </w:p>
        <w:p w14:paraId="2CB95AE4" w14:textId="2453DB20" w:rsidR="002818A6" w:rsidRDefault="00121E52">
          <w:pPr>
            <w:pStyle w:val="TOC4"/>
            <w:tabs>
              <w:tab w:val="left" w:pos="2880"/>
            </w:tabs>
            <w:rPr>
              <w:rFonts w:asciiTheme="minorHAnsi" w:hAnsiTheme="minorHAnsi" w:cstheme="minorBidi"/>
            </w:rPr>
          </w:pPr>
          <w:hyperlink w:anchor="_Toc29278238" w:history="1">
            <w:r w:rsidR="002818A6" w:rsidRPr="00186508">
              <w:rPr>
                <w:rStyle w:val="Hyperlink"/>
              </w:rPr>
              <w:t>e.</w:t>
            </w:r>
            <w:r w:rsidR="002818A6">
              <w:rPr>
                <w:rFonts w:asciiTheme="minorHAnsi" w:hAnsiTheme="minorHAnsi" w:cstheme="minorBidi"/>
              </w:rPr>
              <w:tab/>
            </w:r>
            <w:r w:rsidR="002818A6" w:rsidRPr="00186508">
              <w:rPr>
                <w:rStyle w:val="Hyperlink"/>
              </w:rPr>
              <w:t>Disposition</w:t>
            </w:r>
            <w:r w:rsidR="002818A6">
              <w:rPr>
                <w:webHidden/>
              </w:rPr>
              <w:tab/>
            </w:r>
            <w:r w:rsidR="002818A6">
              <w:rPr>
                <w:webHidden/>
              </w:rPr>
              <w:fldChar w:fldCharType="begin"/>
            </w:r>
            <w:r w:rsidR="002818A6">
              <w:rPr>
                <w:webHidden/>
              </w:rPr>
              <w:instrText xml:space="preserve"> PAGEREF _Toc29278238 \h </w:instrText>
            </w:r>
            <w:r w:rsidR="002818A6">
              <w:rPr>
                <w:webHidden/>
              </w:rPr>
            </w:r>
            <w:r w:rsidR="002818A6">
              <w:rPr>
                <w:webHidden/>
              </w:rPr>
              <w:fldChar w:fldCharType="separate"/>
            </w:r>
            <w:r w:rsidR="00CA6F88">
              <w:rPr>
                <w:webHidden/>
              </w:rPr>
              <w:t>163</w:t>
            </w:r>
            <w:r w:rsidR="002818A6">
              <w:rPr>
                <w:webHidden/>
              </w:rPr>
              <w:fldChar w:fldCharType="end"/>
            </w:r>
          </w:hyperlink>
        </w:p>
        <w:p w14:paraId="5DE0AA61" w14:textId="400A196A" w:rsidR="002818A6" w:rsidRDefault="00121E52" w:rsidP="00320F87">
          <w:pPr>
            <w:pStyle w:val="TOC3"/>
            <w:rPr>
              <w:rFonts w:asciiTheme="minorHAnsi" w:eastAsiaTheme="minorEastAsia" w:hAnsiTheme="minorHAnsi" w:cstheme="minorBidi"/>
              <w:noProof/>
              <w:sz w:val="22"/>
              <w:szCs w:val="22"/>
            </w:rPr>
          </w:pPr>
          <w:hyperlink w:anchor="_Toc29278239" w:history="1">
            <w:r w:rsidR="002818A6" w:rsidRPr="00186508">
              <w:rPr>
                <w:rStyle w:val="Hyperlink"/>
                <w:noProof/>
              </w:rPr>
              <w:t>8.</w:t>
            </w:r>
            <w:r w:rsidR="002818A6">
              <w:rPr>
                <w:rFonts w:asciiTheme="minorHAnsi" w:eastAsiaTheme="minorEastAsia" w:hAnsiTheme="minorHAnsi" w:cstheme="minorBidi"/>
                <w:noProof/>
                <w:sz w:val="22"/>
                <w:szCs w:val="22"/>
              </w:rPr>
              <w:tab/>
            </w:r>
            <w:r w:rsidR="002818A6" w:rsidRPr="00186508">
              <w:rPr>
                <w:rStyle w:val="Hyperlink"/>
                <w:noProof/>
              </w:rPr>
              <w:t>Supplier Improvements</w:t>
            </w:r>
            <w:r w:rsidR="002818A6">
              <w:rPr>
                <w:noProof/>
                <w:webHidden/>
              </w:rPr>
              <w:tab/>
            </w:r>
            <w:r w:rsidR="002818A6">
              <w:rPr>
                <w:noProof/>
                <w:webHidden/>
              </w:rPr>
              <w:fldChar w:fldCharType="begin"/>
            </w:r>
            <w:r w:rsidR="002818A6">
              <w:rPr>
                <w:noProof/>
                <w:webHidden/>
              </w:rPr>
              <w:instrText xml:space="preserve"> PAGEREF _Toc29278239 \h </w:instrText>
            </w:r>
            <w:r w:rsidR="002818A6">
              <w:rPr>
                <w:noProof/>
                <w:webHidden/>
              </w:rPr>
            </w:r>
            <w:r w:rsidR="002818A6">
              <w:rPr>
                <w:noProof/>
                <w:webHidden/>
              </w:rPr>
              <w:fldChar w:fldCharType="separate"/>
            </w:r>
            <w:r w:rsidR="00CA6F88">
              <w:rPr>
                <w:noProof/>
                <w:webHidden/>
              </w:rPr>
              <w:t>164</w:t>
            </w:r>
            <w:r w:rsidR="002818A6">
              <w:rPr>
                <w:noProof/>
                <w:webHidden/>
              </w:rPr>
              <w:fldChar w:fldCharType="end"/>
            </w:r>
          </w:hyperlink>
        </w:p>
        <w:p w14:paraId="0EF52501" w14:textId="5E7DD996" w:rsidR="002818A6" w:rsidRDefault="00121E52">
          <w:pPr>
            <w:pStyle w:val="TOC4"/>
            <w:tabs>
              <w:tab w:val="left" w:pos="2880"/>
            </w:tabs>
            <w:rPr>
              <w:rFonts w:asciiTheme="minorHAnsi" w:hAnsiTheme="minorHAnsi" w:cstheme="minorBidi"/>
            </w:rPr>
          </w:pPr>
          <w:hyperlink w:anchor="_Toc29278240" w:history="1">
            <w:r w:rsidR="002818A6" w:rsidRPr="00186508">
              <w:rPr>
                <w:rStyle w:val="Hyperlink"/>
              </w:rPr>
              <w:t>a.</w:t>
            </w:r>
            <w:r w:rsidR="002818A6">
              <w:rPr>
                <w:rFonts w:asciiTheme="minorHAnsi" w:hAnsiTheme="minorHAnsi" w:cstheme="minorBidi"/>
              </w:rPr>
              <w:tab/>
            </w:r>
            <w:r w:rsidR="002818A6" w:rsidRPr="00186508">
              <w:rPr>
                <w:rStyle w:val="Hyperlink"/>
              </w:rPr>
              <w:t>Settlement Terms</w:t>
            </w:r>
            <w:r w:rsidR="002818A6">
              <w:rPr>
                <w:webHidden/>
              </w:rPr>
              <w:tab/>
            </w:r>
            <w:r w:rsidR="002818A6">
              <w:rPr>
                <w:webHidden/>
              </w:rPr>
              <w:fldChar w:fldCharType="begin"/>
            </w:r>
            <w:r w:rsidR="002818A6">
              <w:rPr>
                <w:webHidden/>
              </w:rPr>
              <w:instrText xml:space="preserve"> PAGEREF _Toc29278240 \h </w:instrText>
            </w:r>
            <w:r w:rsidR="002818A6">
              <w:rPr>
                <w:webHidden/>
              </w:rPr>
            </w:r>
            <w:r w:rsidR="002818A6">
              <w:rPr>
                <w:webHidden/>
              </w:rPr>
              <w:fldChar w:fldCharType="separate"/>
            </w:r>
            <w:r w:rsidR="00CA6F88">
              <w:rPr>
                <w:webHidden/>
              </w:rPr>
              <w:t>164</w:t>
            </w:r>
            <w:r w:rsidR="002818A6">
              <w:rPr>
                <w:webHidden/>
              </w:rPr>
              <w:fldChar w:fldCharType="end"/>
            </w:r>
          </w:hyperlink>
        </w:p>
        <w:p w14:paraId="6D996210" w14:textId="1D1146C8" w:rsidR="002818A6" w:rsidRDefault="00121E52">
          <w:pPr>
            <w:pStyle w:val="TOC4"/>
            <w:tabs>
              <w:tab w:val="left" w:pos="2880"/>
            </w:tabs>
            <w:rPr>
              <w:rFonts w:asciiTheme="minorHAnsi" w:hAnsiTheme="minorHAnsi" w:cstheme="minorBidi"/>
            </w:rPr>
          </w:pPr>
          <w:hyperlink w:anchor="_Toc29278241" w:history="1">
            <w:r w:rsidR="002818A6" w:rsidRPr="00186508">
              <w:rPr>
                <w:rStyle w:val="Hyperlink"/>
              </w:rPr>
              <w:t>b.</w:t>
            </w:r>
            <w:r w:rsidR="002818A6">
              <w:rPr>
                <w:rFonts w:asciiTheme="minorHAnsi" w:hAnsiTheme="minorHAnsi" w:cstheme="minorBidi"/>
              </w:rPr>
              <w:tab/>
            </w:r>
            <w:r w:rsidR="002818A6" w:rsidRPr="00186508">
              <w:rPr>
                <w:rStyle w:val="Hyperlink"/>
              </w:rPr>
              <w:t>Positions of the Parties</w:t>
            </w:r>
            <w:r w:rsidR="002818A6">
              <w:rPr>
                <w:webHidden/>
              </w:rPr>
              <w:tab/>
            </w:r>
            <w:r w:rsidR="002818A6">
              <w:rPr>
                <w:webHidden/>
              </w:rPr>
              <w:fldChar w:fldCharType="begin"/>
            </w:r>
            <w:r w:rsidR="002818A6">
              <w:rPr>
                <w:webHidden/>
              </w:rPr>
              <w:instrText xml:space="preserve"> PAGEREF _Toc29278241 \h </w:instrText>
            </w:r>
            <w:r w:rsidR="002818A6">
              <w:rPr>
                <w:webHidden/>
              </w:rPr>
            </w:r>
            <w:r w:rsidR="002818A6">
              <w:rPr>
                <w:webHidden/>
              </w:rPr>
              <w:fldChar w:fldCharType="separate"/>
            </w:r>
            <w:r w:rsidR="00CA6F88">
              <w:rPr>
                <w:webHidden/>
              </w:rPr>
              <w:t>166</w:t>
            </w:r>
            <w:r w:rsidR="002818A6">
              <w:rPr>
                <w:webHidden/>
              </w:rPr>
              <w:fldChar w:fldCharType="end"/>
            </w:r>
          </w:hyperlink>
        </w:p>
        <w:p w14:paraId="305403B0" w14:textId="3AD520BA" w:rsidR="002818A6" w:rsidRDefault="00121E52">
          <w:pPr>
            <w:pStyle w:val="TOC4"/>
            <w:tabs>
              <w:tab w:val="left" w:pos="2880"/>
            </w:tabs>
            <w:rPr>
              <w:rFonts w:asciiTheme="minorHAnsi" w:hAnsiTheme="minorHAnsi" w:cstheme="minorBidi"/>
            </w:rPr>
          </w:pPr>
          <w:hyperlink w:anchor="_Toc29278242" w:history="1">
            <w:r w:rsidR="002818A6" w:rsidRPr="00186508">
              <w:rPr>
                <w:rStyle w:val="Hyperlink"/>
              </w:rPr>
              <w:t>c.</w:t>
            </w:r>
            <w:r w:rsidR="002818A6">
              <w:rPr>
                <w:rFonts w:asciiTheme="minorHAnsi" w:hAnsiTheme="minorHAnsi" w:cstheme="minorBidi"/>
              </w:rPr>
              <w:tab/>
            </w:r>
            <w:r w:rsidR="002818A6" w:rsidRPr="00186508">
              <w:rPr>
                <w:rStyle w:val="Hyperlink"/>
              </w:rPr>
              <w:t>Recommended Decision</w:t>
            </w:r>
            <w:r w:rsidR="002818A6">
              <w:rPr>
                <w:webHidden/>
              </w:rPr>
              <w:tab/>
            </w:r>
            <w:r w:rsidR="002818A6">
              <w:rPr>
                <w:webHidden/>
              </w:rPr>
              <w:fldChar w:fldCharType="begin"/>
            </w:r>
            <w:r w:rsidR="002818A6">
              <w:rPr>
                <w:webHidden/>
              </w:rPr>
              <w:instrText xml:space="preserve"> PAGEREF _Toc29278242 \h </w:instrText>
            </w:r>
            <w:r w:rsidR="002818A6">
              <w:rPr>
                <w:webHidden/>
              </w:rPr>
            </w:r>
            <w:r w:rsidR="002818A6">
              <w:rPr>
                <w:webHidden/>
              </w:rPr>
              <w:fldChar w:fldCharType="separate"/>
            </w:r>
            <w:r w:rsidR="00CA6F88">
              <w:rPr>
                <w:webHidden/>
              </w:rPr>
              <w:t>167</w:t>
            </w:r>
            <w:r w:rsidR="002818A6">
              <w:rPr>
                <w:webHidden/>
              </w:rPr>
              <w:fldChar w:fldCharType="end"/>
            </w:r>
          </w:hyperlink>
        </w:p>
        <w:p w14:paraId="221E44CA" w14:textId="1D5550A5" w:rsidR="002818A6" w:rsidRDefault="00121E52">
          <w:pPr>
            <w:pStyle w:val="TOC4"/>
            <w:tabs>
              <w:tab w:val="left" w:pos="2880"/>
            </w:tabs>
            <w:rPr>
              <w:rFonts w:asciiTheme="minorHAnsi" w:hAnsiTheme="minorHAnsi" w:cstheme="minorBidi"/>
            </w:rPr>
          </w:pPr>
          <w:hyperlink w:anchor="_Toc29278243" w:history="1">
            <w:r w:rsidR="002818A6" w:rsidRPr="00186508">
              <w:rPr>
                <w:rStyle w:val="Hyperlink"/>
              </w:rPr>
              <w:t>d.</w:t>
            </w:r>
            <w:r w:rsidR="002818A6">
              <w:rPr>
                <w:rFonts w:asciiTheme="minorHAnsi" w:hAnsiTheme="minorHAnsi" w:cstheme="minorBidi"/>
              </w:rPr>
              <w:tab/>
            </w:r>
            <w:r w:rsidR="002818A6" w:rsidRPr="00186508">
              <w:rPr>
                <w:rStyle w:val="Hyperlink"/>
              </w:rPr>
              <w:t>Exceptions and Replies</w:t>
            </w:r>
            <w:r w:rsidR="002818A6">
              <w:rPr>
                <w:webHidden/>
              </w:rPr>
              <w:tab/>
            </w:r>
            <w:r w:rsidR="002818A6">
              <w:rPr>
                <w:webHidden/>
              </w:rPr>
              <w:fldChar w:fldCharType="begin"/>
            </w:r>
            <w:r w:rsidR="002818A6">
              <w:rPr>
                <w:webHidden/>
              </w:rPr>
              <w:instrText xml:space="preserve"> PAGEREF _Toc29278243 \h </w:instrText>
            </w:r>
            <w:r w:rsidR="002818A6">
              <w:rPr>
                <w:webHidden/>
              </w:rPr>
            </w:r>
            <w:r w:rsidR="002818A6">
              <w:rPr>
                <w:webHidden/>
              </w:rPr>
              <w:fldChar w:fldCharType="separate"/>
            </w:r>
            <w:r w:rsidR="00CA6F88">
              <w:rPr>
                <w:webHidden/>
              </w:rPr>
              <w:t>168</w:t>
            </w:r>
            <w:r w:rsidR="002818A6">
              <w:rPr>
                <w:webHidden/>
              </w:rPr>
              <w:fldChar w:fldCharType="end"/>
            </w:r>
          </w:hyperlink>
        </w:p>
        <w:p w14:paraId="7E41C8A7" w14:textId="6D0391F2" w:rsidR="002818A6" w:rsidRDefault="00121E52">
          <w:pPr>
            <w:pStyle w:val="TOC4"/>
            <w:tabs>
              <w:tab w:val="left" w:pos="2880"/>
            </w:tabs>
            <w:rPr>
              <w:rFonts w:asciiTheme="minorHAnsi" w:hAnsiTheme="minorHAnsi" w:cstheme="minorBidi"/>
            </w:rPr>
          </w:pPr>
          <w:hyperlink w:anchor="_Toc29278244" w:history="1">
            <w:r w:rsidR="002818A6" w:rsidRPr="00186508">
              <w:rPr>
                <w:rStyle w:val="Hyperlink"/>
              </w:rPr>
              <w:t>e.</w:t>
            </w:r>
            <w:r w:rsidR="002818A6">
              <w:rPr>
                <w:rFonts w:asciiTheme="minorHAnsi" w:hAnsiTheme="minorHAnsi" w:cstheme="minorBidi"/>
              </w:rPr>
              <w:tab/>
            </w:r>
            <w:r w:rsidR="002818A6" w:rsidRPr="00186508">
              <w:rPr>
                <w:rStyle w:val="Hyperlink"/>
              </w:rPr>
              <w:t>Disposition</w:t>
            </w:r>
            <w:r w:rsidR="002818A6">
              <w:rPr>
                <w:webHidden/>
              </w:rPr>
              <w:tab/>
            </w:r>
            <w:r w:rsidR="002818A6">
              <w:rPr>
                <w:webHidden/>
              </w:rPr>
              <w:fldChar w:fldCharType="begin"/>
            </w:r>
            <w:r w:rsidR="002818A6">
              <w:rPr>
                <w:webHidden/>
              </w:rPr>
              <w:instrText xml:space="preserve"> PAGEREF _Toc29278244 \h </w:instrText>
            </w:r>
            <w:r w:rsidR="002818A6">
              <w:rPr>
                <w:webHidden/>
              </w:rPr>
            </w:r>
            <w:r w:rsidR="002818A6">
              <w:rPr>
                <w:webHidden/>
              </w:rPr>
              <w:fldChar w:fldCharType="separate"/>
            </w:r>
            <w:r w:rsidR="00CA6F88">
              <w:rPr>
                <w:webHidden/>
              </w:rPr>
              <w:t>170</w:t>
            </w:r>
            <w:r w:rsidR="002818A6">
              <w:rPr>
                <w:webHidden/>
              </w:rPr>
              <w:fldChar w:fldCharType="end"/>
            </w:r>
          </w:hyperlink>
        </w:p>
        <w:p w14:paraId="3CBBB59D" w14:textId="3D02E01C" w:rsidR="002818A6" w:rsidRDefault="00121E52" w:rsidP="00320F87">
          <w:pPr>
            <w:pStyle w:val="TOC3"/>
            <w:rPr>
              <w:rFonts w:asciiTheme="minorHAnsi" w:eastAsiaTheme="minorEastAsia" w:hAnsiTheme="minorHAnsi" w:cstheme="minorBidi"/>
              <w:noProof/>
              <w:sz w:val="22"/>
              <w:szCs w:val="22"/>
            </w:rPr>
          </w:pPr>
          <w:hyperlink w:anchor="_Toc29278245" w:history="1">
            <w:r w:rsidR="002818A6" w:rsidRPr="00186508">
              <w:rPr>
                <w:rStyle w:val="Hyperlink"/>
                <w:rFonts w:eastAsiaTheme="minorHAnsi"/>
                <w:noProof/>
              </w:rPr>
              <w:t>9.</w:t>
            </w:r>
            <w:r w:rsidR="002818A6">
              <w:rPr>
                <w:rFonts w:asciiTheme="minorHAnsi" w:eastAsiaTheme="minorEastAsia" w:hAnsiTheme="minorHAnsi" w:cstheme="minorBidi"/>
                <w:noProof/>
                <w:sz w:val="22"/>
                <w:szCs w:val="22"/>
              </w:rPr>
              <w:tab/>
            </w:r>
            <w:r w:rsidR="002818A6" w:rsidRPr="00186508">
              <w:rPr>
                <w:rStyle w:val="Hyperlink"/>
                <w:rFonts w:eastAsiaTheme="minorHAnsi"/>
                <w:noProof/>
              </w:rPr>
              <w:t>Other Miscellaneous Provisions of the Settlement</w:t>
            </w:r>
            <w:r w:rsidR="002818A6">
              <w:rPr>
                <w:noProof/>
                <w:webHidden/>
              </w:rPr>
              <w:tab/>
            </w:r>
            <w:r w:rsidR="002818A6">
              <w:rPr>
                <w:noProof/>
                <w:webHidden/>
              </w:rPr>
              <w:fldChar w:fldCharType="begin"/>
            </w:r>
            <w:r w:rsidR="002818A6">
              <w:rPr>
                <w:noProof/>
                <w:webHidden/>
              </w:rPr>
              <w:instrText xml:space="preserve"> PAGEREF _Toc29278245 \h </w:instrText>
            </w:r>
            <w:r w:rsidR="002818A6">
              <w:rPr>
                <w:noProof/>
                <w:webHidden/>
              </w:rPr>
            </w:r>
            <w:r w:rsidR="002818A6">
              <w:rPr>
                <w:noProof/>
                <w:webHidden/>
              </w:rPr>
              <w:fldChar w:fldCharType="separate"/>
            </w:r>
            <w:r w:rsidR="00CA6F88">
              <w:rPr>
                <w:noProof/>
                <w:webHidden/>
              </w:rPr>
              <w:t>171</w:t>
            </w:r>
            <w:r w:rsidR="002818A6">
              <w:rPr>
                <w:noProof/>
                <w:webHidden/>
              </w:rPr>
              <w:fldChar w:fldCharType="end"/>
            </w:r>
          </w:hyperlink>
        </w:p>
        <w:p w14:paraId="0833271F" w14:textId="325C5AEE" w:rsidR="002818A6" w:rsidRDefault="00121E52">
          <w:pPr>
            <w:pStyle w:val="TOC4"/>
            <w:tabs>
              <w:tab w:val="left" w:pos="2880"/>
            </w:tabs>
            <w:rPr>
              <w:rFonts w:asciiTheme="minorHAnsi" w:hAnsiTheme="minorHAnsi" w:cstheme="minorBidi"/>
            </w:rPr>
          </w:pPr>
          <w:hyperlink w:anchor="_Toc29278246" w:history="1">
            <w:r w:rsidR="002818A6" w:rsidRPr="00186508">
              <w:rPr>
                <w:rStyle w:val="Hyperlink"/>
              </w:rPr>
              <w:t>a.</w:t>
            </w:r>
            <w:r w:rsidR="002818A6">
              <w:rPr>
                <w:rFonts w:asciiTheme="minorHAnsi" w:hAnsiTheme="minorHAnsi" w:cstheme="minorBidi"/>
              </w:rPr>
              <w:tab/>
            </w:r>
            <w:r w:rsidR="002818A6" w:rsidRPr="00186508">
              <w:rPr>
                <w:rStyle w:val="Hyperlink"/>
              </w:rPr>
              <w:t>Rate Credit</w:t>
            </w:r>
            <w:r w:rsidR="002818A6">
              <w:rPr>
                <w:webHidden/>
              </w:rPr>
              <w:tab/>
            </w:r>
            <w:r w:rsidR="002818A6">
              <w:rPr>
                <w:webHidden/>
              </w:rPr>
              <w:fldChar w:fldCharType="begin"/>
            </w:r>
            <w:r w:rsidR="002818A6">
              <w:rPr>
                <w:webHidden/>
              </w:rPr>
              <w:instrText xml:space="preserve"> PAGEREF _Toc29278246 \h </w:instrText>
            </w:r>
            <w:r w:rsidR="002818A6">
              <w:rPr>
                <w:webHidden/>
              </w:rPr>
            </w:r>
            <w:r w:rsidR="002818A6">
              <w:rPr>
                <w:webHidden/>
              </w:rPr>
              <w:fldChar w:fldCharType="separate"/>
            </w:r>
            <w:r w:rsidR="00CA6F88">
              <w:rPr>
                <w:webHidden/>
              </w:rPr>
              <w:t>171</w:t>
            </w:r>
            <w:r w:rsidR="002818A6">
              <w:rPr>
                <w:webHidden/>
              </w:rPr>
              <w:fldChar w:fldCharType="end"/>
            </w:r>
          </w:hyperlink>
        </w:p>
        <w:p w14:paraId="2D7096FF" w14:textId="1C191E40" w:rsidR="002818A6" w:rsidRDefault="00121E52">
          <w:pPr>
            <w:pStyle w:val="TOC4"/>
            <w:tabs>
              <w:tab w:val="left" w:pos="2880"/>
            </w:tabs>
            <w:rPr>
              <w:rFonts w:asciiTheme="minorHAnsi" w:hAnsiTheme="minorHAnsi" w:cstheme="minorBidi"/>
            </w:rPr>
          </w:pPr>
          <w:hyperlink w:anchor="_Toc29278247" w:history="1">
            <w:r w:rsidR="002818A6" w:rsidRPr="00186508">
              <w:rPr>
                <w:rStyle w:val="Hyperlink"/>
              </w:rPr>
              <w:t>b.</w:t>
            </w:r>
            <w:r w:rsidR="002818A6">
              <w:rPr>
                <w:rFonts w:asciiTheme="minorHAnsi" w:hAnsiTheme="minorHAnsi" w:cstheme="minorBidi"/>
              </w:rPr>
              <w:tab/>
            </w:r>
            <w:r w:rsidR="002818A6" w:rsidRPr="00186508">
              <w:rPr>
                <w:rStyle w:val="Hyperlink"/>
              </w:rPr>
              <w:t>Aqua PA’s Acquisition of Troubled Water and Wastewater Systems and the Peoples Companies’ Intervention in Abandonments (I&amp;E Exc. No. 12)</w:t>
            </w:r>
            <w:r w:rsidR="002818A6">
              <w:rPr>
                <w:webHidden/>
              </w:rPr>
              <w:tab/>
            </w:r>
            <w:r w:rsidR="002818A6">
              <w:rPr>
                <w:webHidden/>
              </w:rPr>
              <w:fldChar w:fldCharType="begin"/>
            </w:r>
            <w:r w:rsidR="002818A6">
              <w:rPr>
                <w:webHidden/>
              </w:rPr>
              <w:instrText xml:space="preserve"> PAGEREF _Toc29278247 \h </w:instrText>
            </w:r>
            <w:r w:rsidR="002818A6">
              <w:rPr>
                <w:webHidden/>
              </w:rPr>
            </w:r>
            <w:r w:rsidR="002818A6">
              <w:rPr>
                <w:webHidden/>
              </w:rPr>
              <w:fldChar w:fldCharType="separate"/>
            </w:r>
            <w:r w:rsidR="00CA6F88">
              <w:rPr>
                <w:webHidden/>
              </w:rPr>
              <w:t>183</w:t>
            </w:r>
            <w:r w:rsidR="002818A6">
              <w:rPr>
                <w:webHidden/>
              </w:rPr>
              <w:fldChar w:fldCharType="end"/>
            </w:r>
          </w:hyperlink>
        </w:p>
        <w:p w14:paraId="535D7A18" w14:textId="0AAA4329" w:rsidR="002818A6" w:rsidRDefault="00121E52">
          <w:pPr>
            <w:pStyle w:val="TOC4"/>
            <w:tabs>
              <w:tab w:val="left" w:pos="2880"/>
            </w:tabs>
            <w:rPr>
              <w:rFonts w:asciiTheme="minorHAnsi" w:hAnsiTheme="minorHAnsi" w:cstheme="minorBidi"/>
            </w:rPr>
          </w:pPr>
          <w:hyperlink w:anchor="_Toc29278248" w:history="1">
            <w:r w:rsidR="002818A6" w:rsidRPr="00186508">
              <w:rPr>
                <w:rStyle w:val="Hyperlink"/>
              </w:rPr>
              <w:t>c.</w:t>
            </w:r>
            <w:r w:rsidR="002818A6">
              <w:rPr>
                <w:rFonts w:asciiTheme="minorHAnsi" w:hAnsiTheme="minorHAnsi" w:cstheme="minorBidi"/>
              </w:rPr>
              <w:tab/>
            </w:r>
            <w:r w:rsidR="002818A6" w:rsidRPr="00186508">
              <w:rPr>
                <w:rStyle w:val="Hyperlink"/>
              </w:rPr>
              <w:t>Community Connections and Charitable Contributions</w:t>
            </w:r>
            <w:r w:rsidR="002818A6">
              <w:rPr>
                <w:webHidden/>
              </w:rPr>
              <w:tab/>
            </w:r>
            <w:r w:rsidR="002818A6">
              <w:rPr>
                <w:webHidden/>
              </w:rPr>
              <w:fldChar w:fldCharType="begin"/>
            </w:r>
            <w:r w:rsidR="002818A6">
              <w:rPr>
                <w:webHidden/>
              </w:rPr>
              <w:instrText xml:space="preserve"> PAGEREF _Toc29278248 \h </w:instrText>
            </w:r>
            <w:r w:rsidR="002818A6">
              <w:rPr>
                <w:webHidden/>
              </w:rPr>
            </w:r>
            <w:r w:rsidR="002818A6">
              <w:rPr>
                <w:webHidden/>
              </w:rPr>
              <w:fldChar w:fldCharType="separate"/>
            </w:r>
            <w:r w:rsidR="00CA6F88">
              <w:rPr>
                <w:webHidden/>
              </w:rPr>
              <w:t>190</w:t>
            </w:r>
            <w:r w:rsidR="002818A6">
              <w:rPr>
                <w:webHidden/>
              </w:rPr>
              <w:fldChar w:fldCharType="end"/>
            </w:r>
          </w:hyperlink>
        </w:p>
        <w:p w14:paraId="4421D32B" w14:textId="40DF416E" w:rsidR="002818A6" w:rsidRDefault="00121E52">
          <w:pPr>
            <w:pStyle w:val="TOC2"/>
            <w:tabs>
              <w:tab w:val="left" w:pos="1440"/>
            </w:tabs>
            <w:rPr>
              <w:rFonts w:asciiTheme="minorHAnsi" w:eastAsiaTheme="minorEastAsia" w:hAnsiTheme="minorHAnsi" w:cstheme="minorBidi"/>
              <w:noProof/>
              <w:sz w:val="22"/>
              <w:szCs w:val="22"/>
            </w:rPr>
          </w:pPr>
          <w:hyperlink w:anchor="_Toc29278249" w:history="1">
            <w:r w:rsidR="002818A6" w:rsidRPr="00186508">
              <w:rPr>
                <w:rStyle w:val="Hyperlink"/>
                <w:noProof/>
              </w:rPr>
              <w:t>D.</w:t>
            </w:r>
            <w:r w:rsidR="002818A6">
              <w:rPr>
                <w:rFonts w:asciiTheme="minorHAnsi" w:eastAsiaTheme="minorEastAsia" w:hAnsiTheme="minorHAnsi" w:cstheme="minorBidi"/>
                <w:noProof/>
                <w:sz w:val="22"/>
                <w:szCs w:val="22"/>
              </w:rPr>
              <w:tab/>
            </w:r>
            <w:r w:rsidR="002818A6" w:rsidRPr="00186508">
              <w:rPr>
                <w:rStyle w:val="Hyperlink"/>
                <w:noProof/>
              </w:rPr>
              <w:t>Section 2210</w:t>
            </w:r>
            <w:r w:rsidR="002818A6">
              <w:rPr>
                <w:noProof/>
                <w:webHidden/>
              </w:rPr>
              <w:tab/>
            </w:r>
            <w:r w:rsidR="002818A6">
              <w:rPr>
                <w:noProof/>
                <w:webHidden/>
              </w:rPr>
              <w:fldChar w:fldCharType="begin"/>
            </w:r>
            <w:r w:rsidR="002818A6">
              <w:rPr>
                <w:noProof/>
                <w:webHidden/>
              </w:rPr>
              <w:instrText xml:space="preserve"> PAGEREF _Toc29278249 \h </w:instrText>
            </w:r>
            <w:r w:rsidR="002818A6">
              <w:rPr>
                <w:noProof/>
                <w:webHidden/>
              </w:rPr>
            </w:r>
            <w:r w:rsidR="002818A6">
              <w:rPr>
                <w:noProof/>
                <w:webHidden/>
              </w:rPr>
              <w:fldChar w:fldCharType="separate"/>
            </w:r>
            <w:r w:rsidR="00CA6F88">
              <w:rPr>
                <w:noProof/>
                <w:webHidden/>
              </w:rPr>
              <w:t>195</w:t>
            </w:r>
            <w:r w:rsidR="002818A6">
              <w:rPr>
                <w:noProof/>
                <w:webHidden/>
              </w:rPr>
              <w:fldChar w:fldCharType="end"/>
            </w:r>
          </w:hyperlink>
        </w:p>
        <w:p w14:paraId="60AEFA67" w14:textId="4FDDE204" w:rsidR="002818A6" w:rsidRDefault="00121E52" w:rsidP="00320F87">
          <w:pPr>
            <w:pStyle w:val="TOC3"/>
            <w:rPr>
              <w:rFonts w:asciiTheme="minorHAnsi" w:eastAsiaTheme="minorEastAsia" w:hAnsiTheme="minorHAnsi" w:cstheme="minorBidi"/>
              <w:noProof/>
              <w:sz w:val="22"/>
              <w:szCs w:val="22"/>
            </w:rPr>
          </w:pPr>
          <w:hyperlink w:anchor="_Toc29278250" w:history="1">
            <w:r w:rsidR="002818A6" w:rsidRPr="00186508">
              <w:rPr>
                <w:rStyle w:val="Hyperlink"/>
                <w:noProof/>
              </w:rPr>
              <w:t>1.</w:t>
            </w:r>
            <w:r w:rsidR="002818A6">
              <w:rPr>
                <w:rFonts w:asciiTheme="minorHAnsi" w:eastAsiaTheme="minorEastAsia" w:hAnsiTheme="minorHAnsi" w:cstheme="minorBidi"/>
                <w:noProof/>
                <w:sz w:val="22"/>
                <w:szCs w:val="22"/>
              </w:rPr>
              <w:tab/>
            </w:r>
            <w:r w:rsidR="002818A6" w:rsidRPr="00186508">
              <w:rPr>
                <w:rStyle w:val="Hyperlink"/>
                <w:noProof/>
              </w:rPr>
              <w:t>Section 2210(a)(1) – Anti-Competitive and Discriminatory Conduct</w:t>
            </w:r>
            <w:r w:rsidR="002818A6">
              <w:rPr>
                <w:noProof/>
                <w:webHidden/>
              </w:rPr>
              <w:tab/>
            </w:r>
            <w:r w:rsidR="002818A6">
              <w:rPr>
                <w:noProof/>
                <w:webHidden/>
              </w:rPr>
              <w:fldChar w:fldCharType="begin"/>
            </w:r>
            <w:r w:rsidR="002818A6">
              <w:rPr>
                <w:noProof/>
                <w:webHidden/>
              </w:rPr>
              <w:instrText xml:space="preserve"> PAGEREF _Toc29278250 \h </w:instrText>
            </w:r>
            <w:r w:rsidR="002818A6">
              <w:rPr>
                <w:noProof/>
                <w:webHidden/>
              </w:rPr>
            </w:r>
            <w:r w:rsidR="002818A6">
              <w:rPr>
                <w:noProof/>
                <w:webHidden/>
              </w:rPr>
              <w:fldChar w:fldCharType="separate"/>
            </w:r>
            <w:r w:rsidR="00CA6F88">
              <w:rPr>
                <w:noProof/>
                <w:webHidden/>
              </w:rPr>
              <w:t>195</w:t>
            </w:r>
            <w:r w:rsidR="002818A6">
              <w:rPr>
                <w:noProof/>
                <w:webHidden/>
              </w:rPr>
              <w:fldChar w:fldCharType="end"/>
            </w:r>
          </w:hyperlink>
        </w:p>
        <w:p w14:paraId="33C91CD5" w14:textId="0E34911E" w:rsidR="002818A6" w:rsidRDefault="00121E52" w:rsidP="00320F87">
          <w:pPr>
            <w:pStyle w:val="TOC3"/>
            <w:rPr>
              <w:rFonts w:asciiTheme="minorHAnsi" w:eastAsiaTheme="minorEastAsia" w:hAnsiTheme="minorHAnsi" w:cstheme="minorBidi"/>
              <w:noProof/>
              <w:sz w:val="22"/>
              <w:szCs w:val="22"/>
            </w:rPr>
          </w:pPr>
          <w:hyperlink w:anchor="_Toc29278251" w:history="1">
            <w:r w:rsidR="002818A6" w:rsidRPr="00186508">
              <w:rPr>
                <w:rStyle w:val="Hyperlink"/>
                <w:noProof/>
              </w:rPr>
              <w:t>2.</w:t>
            </w:r>
            <w:r w:rsidR="002818A6">
              <w:rPr>
                <w:rFonts w:asciiTheme="minorHAnsi" w:eastAsiaTheme="minorEastAsia" w:hAnsiTheme="minorHAnsi" w:cstheme="minorBidi"/>
                <w:noProof/>
                <w:sz w:val="22"/>
                <w:szCs w:val="22"/>
              </w:rPr>
              <w:tab/>
            </w:r>
            <w:r w:rsidR="002818A6" w:rsidRPr="00186508">
              <w:rPr>
                <w:rStyle w:val="Hyperlink"/>
                <w:noProof/>
              </w:rPr>
              <w:t>Section 2210(a)(2) – Unreasonable Adverse Effect on Employees  or Bargaining Agent</w:t>
            </w:r>
            <w:r w:rsidR="002818A6">
              <w:rPr>
                <w:noProof/>
                <w:webHidden/>
              </w:rPr>
              <w:tab/>
            </w:r>
            <w:r w:rsidR="002818A6">
              <w:rPr>
                <w:noProof/>
                <w:webHidden/>
              </w:rPr>
              <w:fldChar w:fldCharType="begin"/>
            </w:r>
            <w:r w:rsidR="002818A6">
              <w:rPr>
                <w:noProof/>
                <w:webHidden/>
              </w:rPr>
              <w:instrText xml:space="preserve"> PAGEREF _Toc29278251 \h </w:instrText>
            </w:r>
            <w:r w:rsidR="002818A6">
              <w:rPr>
                <w:noProof/>
                <w:webHidden/>
              </w:rPr>
            </w:r>
            <w:r w:rsidR="002818A6">
              <w:rPr>
                <w:noProof/>
                <w:webHidden/>
              </w:rPr>
              <w:fldChar w:fldCharType="separate"/>
            </w:r>
            <w:r w:rsidR="00CA6F88">
              <w:rPr>
                <w:noProof/>
                <w:webHidden/>
              </w:rPr>
              <w:t>196</w:t>
            </w:r>
            <w:r w:rsidR="002818A6">
              <w:rPr>
                <w:noProof/>
                <w:webHidden/>
              </w:rPr>
              <w:fldChar w:fldCharType="end"/>
            </w:r>
          </w:hyperlink>
        </w:p>
        <w:p w14:paraId="4563E1EF" w14:textId="11AFE153" w:rsidR="002818A6" w:rsidRDefault="00121E52">
          <w:pPr>
            <w:pStyle w:val="TOC4"/>
            <w:tabs>
              <w:tab w:val="left" w:pos="2880"/>
            </w:tabs>
            <w:rPr>
              <w:rFonts w:asciiTheme="minorHAnsi" w:hAnsiTheme="minorHAnsi" w:cstheme="minorBidi"/>
            </w:rPr>
          </w:pPr>
          <w:hyperlink w:anchor="_Toc29278252" w:history="1">
            <w:r w:rsidR="002818A6" w:rsidRPr="00186508">
              <w:rPr>
                <w:rStyle w:val="Hyperlink"/>
              </w:rPr>
              <w:t>a.</w:t>
            </w:r>
            <w:r w:rsidR="002818A6">
              <w:rPr>
                <w:rFonts w:asciiTheme="minorHAnsi" w:hAnsiTheme="minorHAnsi" w:cstheme="minorBidi"/>
              </w:rPr>
              <w:tab/>
            </w:r>
            <w:r w:rsidR="002818A6" w:rsidRPr="00186508">
              <w:rPr>
                <w:rStyle w:val="Hyperlink"/>
              </w:rPr>
              <w:t>Positions of the Parties</w:t>
            </w:r>
            <w:r w:rsidR="002818A6">
              <w:rPr>
                <w:webHidden/>
              </w:rPr>
              <w:tab/>
            </w:r>
            <w:r w:rsidR="002818A6">
              <w:rPr>
                <w:webHidden/>
              </w:rPr>
              <w:fldChar w:fldCharType="begin"/>
            </w:r>
            <w:r w:rsidR="002818A6">
              <w:rPr>
                <w:webHidden/>
              </w:rPr>
              <w:instrText xml:space="preserve"> PAGEREF _Toc29278252 \h </w:instrText>
            </w:r>
            <w:r w:rsidR="002818A6">
              <w:rPr>
                <w:webHidden/>
              </w:rPr>
            </w:r>
            <w:r w:rsidR="002818A6">
              <w:rPr>
                <w:webHidden/>
              </w:rPr>
              <w:fldChar w:fldCharType="separate"/>
            </w:r>
            <w:r w:rsidR="00CA6F88">
              <w:rPr>
                <w:webHidden/>
              </w:rPr>
              <w:t>197</w:t>
            </w:r>
            <w:r w:rsidR="002818A6">
              <w:rPr>
                <w:webHidden/>
              </w:rPr>
              <w:fldChar w:fldCharType="end"/>
            </w:r>
          </w:hyperlink>
        </w:p>
        <w:p w14:paraId="23DF5D66" w14:textId="2363F430" w:rsidR="002818A6" w:rsidRDefault="00121E52">
          <w:pPr>
            <w:pStyle w:val="TOC4"/>
            <w:tabs>
              <w:tab w:val="left" w:pos="2880"/>
            </w:tabs>
            <w:rPr>
              <w:rFonts w:asciiTheme="minorHAnsi" w:hAnsiTheme="minorHAnsi" w:cstheme="minorBidi"/>
            </w:rPr>
          </w:pPr>
          <w:hyperlink w:anchor="_Toc29278253" w:history="1">
            <w:r w:rsidR="002818A6" w:rsidRPr="00186508">
              <w:rPr>
                <w:rStyle w:val="Hyperlink"/>
              </w:rPr>
              <w:t>b.</w:t>
            </w:r>
            <w:r w:rsidR="002818A6">
              <w:rPr>
                <w:rFonts w:asciiTheme="minorHAnsi" w:hAnsiTheme="minorHAnsi" w:cstheme="minorBidi"/>
              </w:rPr>
              <w:tab/>
            </w:r>
            <w:r w:rsidR="002818A6" w:rsidRPr="00186508">
              <w:rPr>
                <w:rStyle w:val="Hyperlink"/>
              </w:rPr>
              <w:t>Recommended Decision</w:t>
            </w:r>
            <w:r w:rsidR="002818A6">
              <w:rPr>
                <w:webHidden/>
              </w:rPr>
              <w:tab/>
            </w:r>
            <w:r w:rsidR="002818A6">
              <w:rPr>
                <w:webHidden/>
              </w:rPr>
              <w:fldChar w:fldCharType="begin"/>
            </w:r>
            <w:r w:rsidR="002818A6">
              <w:rPr>
                <w:webHidden/>
              </w:rPr>
              <w:instrText xml:space="preserve"> PAGEREF _Toc29278253 \h </w:instrText>
            </w:r>
            <w:r w:rsidR="002818A6">
              <w:rPr>
                <w:webHidden/>
              </w:rPr>
            </w:r>
            <w:r w:rsidR="002818A6">
              <w:rPr>
                <w:webHidden/>
              </w:rPr>
              <w:fldChar w:fldCharType="separate"/>
            </w:r>
            <w:r w:rsidR="00CA6F88">
              <w:rPr>
                <w:webHidden/>
              </w:rPr>
              <w:t>198</w:t>
            </w:r>
            <w:r w:rsidR="002818A6">
              <w:rPr>
                <w:webHidden/>
              </w:rPr>
              <w:fldChar w:fldCharType="end"/>
            </w:r>
          </w:hyperlink>
        </w:p>
        <w:p w14:paraId="4B0EE826" w14:textId="4C9B9068" w:rsidR="002818A6" w:rsidRDefault="00121E52">
          <w:pPr>
            <w:pStyle w:val="TOC4"/>
            <w:tabs>
              <w:tab w:val="left" w:pos="2880"/>
            </w:tabs>
            <w:rPr>
              <w:rFonts w:asciiTheme="minorHAnsi" w:hAnsiTheme="minorHAnsi" w:cstheme="minorBidi"/>
            </w:rPr>
          </w:pPr>
          <w:hyperlink w:anchor="_Toc29278254" w:history="1">
            <w:r w:rsidR="002818A6" w:rsidRPr="00186508">
              <w:rPr>
                <w:rStyle w:val="Hyperlink"/>
              </w:rPr>
              <w:t>c.</w:t>
            </w:r>
            <w:r w:rsidR="002818A6">
              <w:rPr>
                <w:rFonts w:asciiTheme="minorHAnsi" w:hAnsiTheme="minorHAnsi" w:cstheme="minorBidi"/>
              </w:rPr>
              <w:tab/>
            </w:r>
            <w:r w:rsidR="002818A6" w:rsidRPr="00186508">
              <w:rPr>
                <w:rStyle w:val="Hyperlink"/>
              </w:rPr>
              <w:t>Exceptions and Replies to Exceptions</w:t>
            </w:r>
            <w:r w:rsidR="002818A6">
              <w:rPr>
                <w:webHidden/>
              </w:rPr>
              <w:tab/>
            </w:r>
            <w:r w:rsidR="002818A6">
              <w:rPr>
                <w:webHidden/>
              </w:rPr>
              <w:fldChar w:fldCharType="begin"/>
            </w:r>
            <w:r w:rsidR="002818A6">
              <w:rPr>
                <w:webHidden/>
              </w:rPr>
              <w:instrText xml:space="preserve"> PAGEREF _Toc29278254 \h </w:instrText>
            </w:r>
            <w:r w:rsidR="002818A6">
              <w:rPr>
                <w:webHidden/>
              </w:rPr>
            </w:r>
            <w:r w:rsidR="002818A6">
              <w:rPr>
                <w:webHidden/>
              </w:rPr>
              <w:fldChar w:fldCharType="separate"/>
            </w:r>
            <w:r w:rsidR="00CA6F88">
              <w:rPr>
                <w:webHidden/>
              </w:rPr>
              <w:t>199</w:t>
            </w:r>
            <w:r w:rsidR="002818A6">
              <w:rPr>
                <w:webHidden/>
              </w:rPr>
              <w:fldChar w:fldCharType="end"/>
            </w:r>
          </w:hyperlink>
        </w:p>
        <w:p w14:paraId="15ECC855" w14:textId="06FFBDC0" w:rsidR="002818A6" w:rsidRDefault="00121E52">
          <w:pPr>
            <w:pStyle w:val="TOC4"/>
            <w:tabs>
              <w:tab w:val="left" w:pos="2880"/>
            </w:tabs>
            <w:rPr>
              <w:rFonts w:asciiTheme="minorHAnsi" w:hAnsiTheme="minorHAnsi" w:cstheme="minorBidi"/>
            </w:rPr>
          </w:pPr>
          <w:hyperlink w:anchor="_Toc29278255" w:history="1">
            <w:r w:rsidR="002818A6" w:rsidRPr="00186508">
              <w:rPr>
                <w:rStyle w:val="Hyperlink"/>
              </w:rPr>
              <w:t>d.</w:t>
            </w:r>
            <w:r w:rsidR="002818A6">
              <w:rPr>
                <w:rFonts w:asciiTheme="minorHAnsi" w:hAnsiTheme="minorHAnsi" w:cstheme="minorBidi"/>
              </w:rPr>
              <w:tab/>
            </w:r>
            <w:r w:rsidR="002818A6" w:rsidRPr="00186508">
              <w:rPr>
                <w:rStyle w:val="Hyperlink"/>
              </w:rPr>
              <w:t>Disposition</w:t>
            </w:r>
            <w:r w:rsidR="002818A6">
              <w:rPr>
                <w:webHidden/>
              </w:rPr>
              <w:tab/>
            </w:r>
            <w:r w:rsidR="002818A6">
              <w:rPr>
                <w:webHidden/>
              </w:rPr>
              <w:fldChar w:fldCharType="begin"/>
            </w:r>
            <w:r w:rsidR="002818A6">
              <w:rPr>
                <w:webHidden/>
              </w:rPr>
              <w:instrText xml:space="preserve"> PAGEREF _Toc29278255 \h </w:instrText>
            </w:r>
            <w:r w:rsidR="002818A6">
              <w:rPr>
                <w:webHidden/>
              </w:rPr>
            </w:r>
            <w:r w:rsidR="002818A6">
              <w:rPr>
                <w:webHidden/>
              </w:rPr>
              <w:fldChar w:fldCharType="separate"/>
            </w:r>
            <w:r w:rsidR="00CA6F88">
              <w:rPr>
                <w:webHidden/>
              </w:rPr>
              <w:t>201</w:t>
            </w:r>
            <w:r w:rsidR="002818A6">
              <w:rPr>
                <w:webHidden/>
              </w:rPr>
              <w:fldChar w:fldCharType="end"/>
            </w:r>
          </w:hyperlink>
        </w:p>
        <w:p w14:paraId="37CE2624" w14:textId="1C1F2BAB" w:rsidR="002818A6" w:rsidRDefault="00121E52">
          <w:pPr>
            <w:pStyle w:val="TOC2"/>
            <w:tabs>
              <w:tab w:val="left" w:pos="1440"/>
            </w:tabs>
            <w:rPr>
              <w:rFonts w:asciiTheme="minorHAnsi" w:eastAsiaTheme="minorEastAsia" w:hAnsiTheme="minorHAnsi" w:cstheme="minorBidi"/>
              <w:noProof/>
              <w:sz w:val="22"/>
              <w:szCs w:val="22"/>
            </w:rPr>
          </w:pPr>
          <w:hyperlink w:anchor="_Toc29278256" w:history="1">
            <w:r w:rsidR="002818A6" w:rsidRPr="00186508">
              <w:rPr>
                <w:rStyle w:val="Hyperlink"/>
                <w:rFonts w:eastAsiaTheme="minorHAnsi"/>
                <w:noProof/>
                <w:w w:val="105"/>
              </w:rPr>
              <w:t>E.</w:t>
            </w:r>
            <w:r w:rsidR="002818A6">
              <w:rPr>
                <w:rFonts w:asciiTheme="minorHAnsi" w:eastAsiaTheme="minorEastAsia" w:hAnsiTheme="minorHAnsi" w:cstheme="minorBidi"/>
                <w:noProof/>
                <w:sz w:val="22"/>
                <w:szCs w:val="22"/>
              </w:rPr>
              <w:tab/>
            </w:r>
            <w:r w:rsidR="002818A6" w:rsidRPr="00186508">
              <w:rPr>
                <w:rStyle w:val="Hyperlink"/>
                <w:rFonts w:eastAsiaTheme="minorHAnsi"/>
                <w:noProof/>
              </w:rPr>
              <w:t>Conclusion on Proposed Transaction as Modified by the Settlement, and Modifications to the Settlement in this Opinion and Order</w:t>
            </w:r>
            <w:r w:rsidR="002818A6">
              <w:rPr>
                <w:noProof/>
                <w:webHidden/>
              </w:rPr>
              <w:tab/>
            </w:r>
            <w:r w:rsidR="002818A6">
              <w:rPr>
                <w:noProof/>
                <w:webHidden/>
              </w:rPr>
              <w:fldChar w:fldCharType="begin"/>
            </w:r>
            <w:r w:rsidR="002818A6">
              <w:rPr>
                <w:noProof/>
                <w:webHidden/>
              </w:rPr>
              <w:instrText xml:space="preserve"> PAGEREF _Toc29278256 \h </w:instrText>
            </w:r>
            <w:r w:rsidR="002818A6">
              <w:rPr>
                <w:noProof/>
                <w:webHidden/>
              </w:rPr>
            </w:r>
            <w:r w:rsidR="002818A6">
              <w:rPr>
                <w:noProof/>
                <w:webHidden/>
              </w:rPr>
              <w:fldChar w:fldCharType="separate"/>
            </w:r>
            <w:r w:rsidR="00CA6F88">
              <w:rPr>
                <w:noProof/>
                <w:webHidden/>
              </w:rPr>
              <w:t>206</w:t>
            </w:r>
            <w:r w:rsidR="002818A6">
              <w:rPr>
                <w:noProof/>
                <w:webHidden/>
              </w:rPr>
              <w:fldChar w:fldCharType="end"/>
            </w:r>
          </w:hyperlink>
        </w:p>
        <w:p w14:paraId="7A9A14EE" w14:textId="72DB0C72" w:rsidR="002818A6" w:rsidRDefault="00121E52" w:rsidP="00320F87">
          <w:pPr>
            <w:pStyle w:val="TOC3"/>
            <w:rPr>
              <w:rFonts w:asciiTheme="minorHAnsi" w:eastAsiaTheme="minorEastAsia" w:hAnsiTheme="minorHAnsi" w:cstheme="minorBidi"/>
              <w:noProof/>
              <w:sz w:val="22"/>
              <w:szCs w:val="22"/>
            </w:rPr>
          </w:pPr>
          <w:hyperlink w:anchor="_Toc29278257" w:history="1">
            <w:r w:rsidR="002818A6" w:rsidRPr="00186508">
              <w:rPr>
                <w:rStyle w:val="Hyperlink"/>
                <w:rFonts w:eastAsiaTheme="minorHAnsi"/>
                <w:noProof/>
              </w:rPr>
              <w:t>1.</w:t>
            </w:r>
            <w:r w:rsidR="002818A6">
              <w:rPr>
                <w:rFonts w:asciiTheme="minorHAnsi" w:eastAsiaTheme="minorEastAsia" w:hAnsiTheme="minorHAnsi" w:cstheme="minorBidi"/>
                <w:noProof/>
                <w:sz w:val="22"/>
                <w:szCs w:val="22"/>
              </w:rPr>
              <w:tab/>
            </w:r>
            <w:r w:rsidR="002818A6" w:rsidRPr="00186508">
              <w:rPr>
                <w:rStyle w:val="Hyperlink"/>
                <w:rFonts w:eastAsiaTheme="minorHAnsi"/>
                <w:noProof/>
              </w:rPr>
              <w:t>ALJ’s Recommendation</w:t>
            </w:r>
            <w:r w:rsidR="002818A6">
              <w:rPr>
                <w:noProof/>
                <w:webHidden/>
              </w:rPr>
              <w:tab/>
            </w:r>
            <w:r w:rsidR="002818A6">
              <w:rPr>
                <w:noProof/>
                <w:webHidden/>
              </w:rPr>
              <w:fldChar w:fldCharType="begin"/>
            </w:r>
            <w:r w:rsidR="002818A6">
              <w:rPr>
                <w:noProof/>
                <w:webHidden/>
              </w:rPr>
              <w:instrText xml:space="preserve"> PAGEREF _Toc29278257 \h </w:instrText>
            </w:r>
            <w:r w:rsidR="002818A6">
              <w:rPr>
                <w:noProof/>
                <w:webHidden/>
              </w:rPr>
            </w:r>
            <w:r w:rsidR="002818A6">
              <w:rPr>
                <w:noProof/>
                <w:webHidden/>
              </w:rPr>
              <w:fldChar w:fldCharType="separate"/>
            </w:r>
            <w:r w:rsidR="00CA6F88">
              <w:rPr>
                <w:noProof/>
                <w:webHidden/>
              </w:rPr>
              <w:t>206</w:t>
            </w:r>
            <w:r w:rsidR="002818A6">
              <w:rPr>
                <w:noProof/>
                <w:webHidden/>
              </w:rPr>
              <w:fldChar w:fldCharType="end"/>
            </w:r>
          </w:hyperlink>
        </w:p>
        <w:p w14:paraId="0421F736" w14:textId="58795CA3" w:rsidR="002818A6" w:rsidRDefault="00121E52" w:rsidP="00320F87">
          <w:pPr>
            <w:pStyle w:val="TOC3"/>
            <w:rPr>
              <w:rFonts w:asciiTheme="minorHAnsi" w:eastAsiaTheme="minorEastAsia" w:hAnsiTheme="minorHAnsi" w:cstheme="minorBidi"/>
              <w:noProof/>
              <w:sz w:val="22"/>
              <w:szCs w:val="22"/>
            </w:rPr>
          </w:pPr>
          <w:hyperlink w:anchor="_Toc29278258" w:history="1">
            <w:r w:rsidR="002818A6" w:rsidRPr="00186508">
              <w:rPr>
                <w:rStyle w:val="Hyperlink"/>
                <w:rFonts w:eastAsiaTheme="minorHAnsi"/>
                <w:noProof/>
              </w:rPr>
              <w:t>2.</w:t>
            </w:r>
            <w:r w:rsidR="002818A6">
              <w:rPr>
                <w:rFonts w:asciiTheme="minorHAnsi" w:eastAsiaTheme="minorEastAsia" w:hAnsiTheme="minorHAnsi" w:cstheme="minorBidi"/>
                <w:noProof/>
                <w:sz w:val="22"/>
                <w:szCs w:val="22"/>
              </w:rPr>
              <w:tab/>
            </w:r>
            <w:r w:rsidR="002818A6" w:rsidRPr="00186508">
              <w:rPr>
                <w:rStyle w:val="Hyperlink"/>
                <w:rFonts w:eastAsiaTheme="minorHAnsi"/>
                <w:noProof/>
              </w:rPr>
              <w:t>Exceptions and Replies</w:t>
            </w:r>
            <w:r w:rsidR="002818A6">
              <w:rPr>
                <w:noProof/>
                <w:webHidden/>
              </w:rPr>
              <w:tab/>
            </w:r>
            <w:r w:rsidR="002818A6">
              <w:rPr>
                <w:noProof/>
                <w:webHidden/>
              </w:rPr>
              <w:fldChar w:fldCharType="begin"/>
            </w:r>
            <w:r w:rsidR="002818A6">
              <w:rPr>
                <w:noProof/>
                <w:webHidden/>
              </w:rPr>
              <w:instrText xml:space="preserve"> PAGEREF _Toc29278258 \h </w:instrText>
            </w:r>
            <w:r w:rsidR="002818A6">
              <w:rPr>
                <w:noProof/>
                <w:webHidden/>
              </w:rPr>
            </w:r>
            <w:r w:rsidR="002818A6">
              <w:rPr>
                <w:noProof/>
                <w:webHidden/>
              </w:rPr>
              <w:fldChar w:fldCharType="separate"/>
            </w:r>
            <w:r w:rsidR="00CA6F88">
              <w:rPr>
                <w:noProof/>
                <w:webHidden/>
              </w:rPr>
              <w:t>207</w:t>
            </w:r>
            <w:r w:rsidR="002818A6">
              <w:rPr>
                <w:noProof/>
                <w:webHidden/>
              </w:rPr>
              <w:fldChar w:fldCharType="end"/>
            </w:r>
          </w:hyperlink>
        </w:p>
        <w:p w14:paraId="261572C3" w14:textId="42E3B05B" w:rsidR="002818A6" w:rsidRDefault="00121E52" w:rsidP="00320F87">
          <w:pPr>
            <w:pStyle w:val="TOC3"/>
            <w:rPr>
              <w:rFonts w:asciiTheme="minorHAnsi" w:eastAsiaTheme="minorEastAsia" w:hAnsiTheme="minorHAnsi" w:cstheme="minorBidi"/>
              <w:noProof/>
              <w:sz w:val="22"/>
              <w:szCs w:val="22"/>
            </w:rPr>
          </w:pPr>
          <w:hyperlink w:anchor="_Toc29278259" w:history="1">
            <w:r w:rsidR="002818A6" w:rsidRPr="00186508">
              <w:rPr>
                <w:rStyle w:val="Hyperlink"/>
                <w:noProof/>
              </w:rPr>
              <w:t>3.</w:t>
            </w:r>
            <w:r w:rsidR="002818A6">
              <w:rPr>
                <w:rFonts w:asciiTheme="minorHAnsi" w:eastAsiaTheme="minorEastAsia" w:hAnsiTheme="minorHAnsi" w:cstheme="minorBidi"/>
                <w:noProof/>
                <w:sz w:val="22"/>
                <w:szCs w:val="22"/>
              </w:rPr>
              <w:tab/>
            </w:r>
            <w:r w:rsidR="002818A6" w:rsidRPr="00186508">
              <w:rPr>
                <w:rStyle w:val="Hyperlink"/>
                <w:noProof/>
              </w:rPr>
              <w:t>Disposition</w:t>
            </w:r>
            <w:r w:rsidR="002818A6">
              <w:rPr>
                <w:noProof/>
                <w:webHidden/>
              </w:rPr>
              <w:tab/>
            </w:r>
            <w:r w:rsidR="002818A6">
              <w:rPr>
                <w:noProof/>
                <w:webHidden/>
              </w:rPr>
              <w:fldChar w:fldCharType="begin"/>
            </w:r>
            <w:r w:rsidR="002818A6">
              <w:rPr>
                <w:noProof/>
                <w:webHidden/>
              </w:rPr>
              <w:instrText xml:space="preserve"> PAGEREF _Toc29278259 \h </w:instrText>
            </w:r>
            <w:r w:rsidR="002818A6">
              <w:rPr>
                <w:noProof/>
                <w:webHidden/>
              </w:rPr>
            </w:r>
            <w:r w:rsidR="002818A6">
              <w:rPr>
                <w:noProof/>
                <w:webHidden/>
              </w:rPr>
              <w:fldChar w:fldCharType="separate"/>
            </w:r>
            <w:r w:rsidR="00CA6F88">
              <w:rPr>
                <w:noProof/>
                <w:webHidden/>
              </w:rPr>
              <w:t>211</w:t>
            </w:r>
            <w:r w:rsidR="002818A6">
              <w:rPr>
                <w:noProof/>
                <w:webHidden/>
              </w:rPr>
              <w:fldChar w:fldCharType="end"/>
            </w:r>
          </w:hyperlink>
        </w:p>
        <w:p w14:paraId="1FE079C2" w14:textId="33F1766A" w:rsidR="002818A6" w:rsidRDefault="00121E52">
          <w:pPr>
            <w:pStyle w:val="TOC1"/>
            <w:rPr>
              <w:rFonts w:asciiTheme="minorHAnsi" w:eastAsiaTheme="minorEastAsia" w:hAnsiTheme="minorHAnsi" w:cstheme="minorBidi"/>
              <w:noProof/>
              <w:sz w:val="22"/>
              <w:szCs w:val="22"/>
            </w:rPr>
          </w:pPr>
          <w:hyperlink w:anchor="_Toc29278260" w:history="1">
            <w:r w:rsidR="002818A6" w:rsidRPr="00186508">
              <w:rPr>
                <w:rStyle w:val="Hyperlink"/>
                <w:noProof/>
                <w:lang w:val="en"/>
              </w:rPr>
              <w:t>IV.</w:t>
            </w:r>
            <w:r w:rsidR="002818A6">
              <w:rPr>
                <w:rFonts w:asciiTheme="minorHAnsi" w:eastAsiaTheme="minorEastAsia" w:hAnsiTheme="minorHAnsi" w:cstheme="minorBidi"/>
                <w:noProof/>
                <w:sz w:val="22"/>
                <w:szCs w:val="22"/>
              </w:rPr>
              <w:tab/>
            </w:r>
            <w:r w:rsidR="002818A6" w:rsidRPr="00186508">
              <w:rPr>
                <w:rStyle w:val="Hyperlink"/>
                <w:noProof/>
                <w:lang w:val="en"/>
              </w:rPr>
              <w:t>Conclusion</w:t>
            </w:r>
            <w:r w:rsidR="002818A6">
              <w:rPr>
                <w:noProof/>
                <w:webHidden/>
              </w:rPr>
              <w:tab/>
            </w:r>
            <w:r w:rsidR="002818A6">
              <w:rPr>
                <w:noProof/>
                <w:webHidden/>
              </w:rPr>
              <w:fldChar w:fldCharType="begin"/>
            </w:r>
            <w:r w:rsidR="002818A6">
              <w:rPr>
                <w:noProof/>
                <w:webHidden/>
              </w:rPr>
              <w:instrText xml:space="preserve"> PAGEREF _Toc29278260 \h </w:instrText>
            </w:r>
            <w:r w:rsidR="002818A6">
              <w:rPr>
                <w:noProof/>
                <w:webHidden/>
              </w:rPr>
            </w:r>
            <w:r w:rsidR="002818A6">
              <w:rPr>
                <w:noProof/>
                <w:webHidden/>
              </w:rPr>
              <w:fldChar w:fldCharType="separate"/>
            </w:r>
            <w:r w:rsidR="00CA6F88">
              <w:rPr>
                <w:noProof/>
                <w:webHidden/>
              </w:rPr>
              <w:t>214</w:t>
            </w:r>
            <w:r w:rsidR="002818A6">
              <w:rPr>
                <w:noProof/>
                <w:webHidden/>
              </w:rPr>
              <w:fldChar w:fldCharType="end"/>
            </w:r>
          </w:hyperlink>
        </w:p>
        <w:p w14:paraId="6B7C7ECA" w14:textId="01ABD5EE" w:rsidR="005A74D5" w:rsidRDefault="005A74D5" w:rsidP="00B24187">
          <w:pPr>
            <w:widowControl/>
            <w:rPr>
              <w:noProof/>
              <w:sz w:val="26"/>
              <w:szCs w:val="26"/>
            </w:rPr>
          </w:pPr>
          <w:r w:rsidRPr="0008272C">
            <w:rPr>
              <w:sz w:val="26"/>
              <w:szCs w:val="26"/>
            </w:rPr>
            <w:fldChar w:fldCharType="end"/>
          </w:r>
        </w:p>
      </w:sdtContent>
    </w:sdt>
    <w:bookmarkEnd w:id="1" w:displacedByCustomXml="prev"/>
    <w:p w14:paraId="221903CB" w14:textId="77777777" w:rsidR="005A74D5" w:rsidRDefault="005A74D5" w:rsidP="00B24187">
      <w:pPr>
        <w:widowControl/>
        <w:spacing w:line="360" w:lineRule="auto"/>
        <w:jc w:val="center"/>
        <w:rPr>
          <w:b/>
          <w:sz w:val="26"/>
          <w:szCs w:val="26"/>
        </w:rPr>
      </w:pPr>
    </w:p>
    <w:p w14:paraId="34B358B1" w14:textId="77777777" w:rsidR="005872FF" w:rsidRDefault="005872FF" w:rsidP="00B24187">
      <w:pPr>
        <w:widowControl/>
        <w:spacing w:line="360" w:lineRule="auto"/>
        <w:rPr>
          <w:b/>
          <w:sz w:val="26"/>
          <w:szCs w:val="26"/>
        </w:rPr>
        <w:sectPr w:rsidR="005872FF" w:rsidSect="005872FF">
          <w:pgSz w:w="12240" w:h="15840"/>
          <w:pgMar w:top="1440" w:right="1440" w:bottom="1440" w:left="1440" w:header="720" w:footer="720" w:gutter="0"/>
          <w:pgNumType w:fmt="lowerRoman" w:start="1"/>
          <w:cols w:space="720"/>
          <w:titlePg/>
          <w:docGrid w:linePitch="360"/>
        </w:sectPr>
      </w:pPr>
    </w:p>
    <w:p w14:paraId="3D9F7A55" w14:textId="77777777" w:rsidR="00FE2807" w:rsidRDefault="00FE2807" w:rsidP="008B5B4A">
      <w:pPr>
        <w:widowControl/>
        <w:spacing w:line="360" w:lineRule="auto"/>
        <w:jc w:val="center"/>
        <w:rPr>
          <w:b/>
          <w:sz w:val="26"/>
          <w:szCs w:val="26"/>
        </w:rPr>
      </w:pPr>
      <w:r w:rsidRPr="00DF4899">
        <w:rPr>
          <w:b/>
          <w:sz w:val="26"/>
          <w:szCs w:val="26"/>
        </w:rPr>
        <w:lastRenderedPageBreak/>
        <w:t>OPINION AND ORDER</w:t>
      </w:r>
    </w:p>
    <w:p w14:paraId="2A24EFFD" w14:textId="77777777" w:rsidR="0085363F" w:rsidRDefault="0085363F" w:rsidP="008B5B4A">
      <w:pPr>
        <w:widowControl/>
        <w:spacing w:line="360" w:lineRule="auto"/>
        <w:jc w:val="center"/>
        <w:rPr>
          <w:b/>
          <w:sz w:val="26"/>
          <w:szCs w:val="26"/>
        </w:rPr>
      </w:pPr>
    </w:p>
    <w:p w14:paraId="66177FF8" w14:textId="119E6309" w:rsidR="00FE2807" w:rsidRDefault="00A70314" w:rsidP="008B5B4A">
      <w:pPr>
        <w:widowControl/>
        <w:spacing w:line="360" w:lineRule="auto"/>
        <w:jc w:val="center"/>
        <w:rPr>
          <w:b/>
          <w:sz w:val="26"/>
          <w:szCs w:val="26"/>
          <w:u w:val="single"/>
        </w:rPr>
      </w:pPr>
      <w:r>
        <w:rPr>
          <w:b/>
          <w:sz w:val="26"/>
          <w:szCs w:val="26"/>
          <w:u w:val="single"/>
        </w:rPr>
        <w:t>PUBL</w:t>
      </w:r>
      <w:bookmarkStart w:id="2" w:name="_GoBack"/>
      <w:bookmarkEnd w:id="2"/>
      <w:r>
        <w:rPr>
          <w:b/>
          <w:sz w:val="26"/>
          <w:szCs w:val="26"/>
          <w:u w:val="single"/>
        </w:rPr>
        <w:t>IC VERSION</w:t>
      </w:r>
    </w:p>
    <w:p w14:paraId="2E953CBD" w14:textId="77777777" w:rsidR="0085363F" w:rsidRPr="0085363F" w:rsidRDefault="0085363F" w:rsidP="008B5B4A">
      <w:pPr>
        <w:widowControl/>
        <w:spacing w:line="360" w:lineRule="auto"/>
        <w:jc w:val="center"/>
        <w:rPr>
          <w:b/>
          <w:sz w:val="26"/>
          <w:szCs w:val="26"/>
          <w:u w:val="single"/>
        </w:rPr>
      </w:pPr>
    </w:p>
    <w:p w14:paraId="2E47EADD" w14:textId="77777777" w:rsidR="00CE01AD" w:rsidRDefault="00CE01AD" w:rsidP="008B5B4A">
      <w:pPr>
        <w:widowControl/>
        <w:spacing w:line="360" w:lineRule="auto"/>
        <w:rPr>
          <w:b/>
          <w:sz w:val="26"/>
          <w:szCs w:val="26"/>
        </w:rPr>
      </w:pPr>
      <w:r>
        <w:rPr>
          <w:b/>
          <w:sz w:val="26"/>
          <w:szCs w:val="26"/>
        </w:rPr>
        <w:t>BY THE COMMISSION:</w:t>
      </w:r>
    </w:p>
    <w:p w14:paraId="1809EFB6" w14:textId="77777777" w:rsidR="00275807" w:rsidRPr="00CE01AD" w:rsidRDefault="00275807" w:rsidP="00B24187">
      <w:pPr>
        <w:widowControl/>
        <w:spacing w:line="360" w:lineRule="auto"/>
        <w:rPr>
          <w:b/>
          <w:sz w:val="26"/>
          <w:szCs w:val="26"/>
        </w:rPr>
      </w:pPr>
    </w:p>
    <w:p w14:paraId="503DE146" w14:textId="77777777" w:rsidR="0050244F" w:rsidRDefault="000F1318" w:rsidP="00B24187">
      <w:pPr>
        <w:widowControl/>
        <w:tabs>
          <w:tab w:val="left" w:pos="-720"/>
        </w:tabs>
        <w:suppressAutoHyphens/>
        <w:spacing w:line="360" w:lineRule="auto"/>
        <w:ind w:firstLine="1440"/>
        <w:rPr>
          <w:sz w:val="26"/>
        </w:rPr>
      </w:pPr>
      <w:r w:rsidRPr="00027664">
        <w:rPr>
          <w:sz w:val="26"/>
        </w:rPr>
        <w:t xml:space="preserve">Before the </w:t>
      </w:r>
      <w:r w:rsidR="005C7928">
        <w:rPr>
          <w:sz w:val="26"/>
        </w:rPr>
        <w:t xml:space="preserve">Pennsylvania Public Utility </w:t>
      </w:r>
      <w:r w:rsidRPr="00027664">
        <w:rPr>
          <w:sz w:val="26"/>
        </w:rPr>
        <w:t xml:space="preserve">Commission </w:t>
      </w:r>
      <w:r w:rsidR="005C7928">
        <w:rPr>
          <w:sz w:val="26"/>
        </w:rPr>
        <w:t xml:space="preserve">(Commission) </w:t>
      </w:r>
      <w:r w:rsidRPr="00027664">
        <w:rPr>
          <w:sz w:val="26"/>
        </w:rPr>
        <w:t>for co</w:t>
      </w:r>
      <w:r w:rsidR="00893951">
        <w:rPr>
          <w:sz w:val="26"/>
        </w:rPr>
        <w:t>nsideration and disposition</w:t>
      </w:r>
      <w:r w:rsidR="00D340F2">
        <w:rPr>
          <w:sz w:val="26"/>
        </w:rPr>
        <w:t xml:space="preserve"> is the Recommended Decision</w:t>
      </w:r>
      <w:r w:rsidR="0074430E">
        <w:rPr>
          <w:sz w:val="26"/>
        </w:rPr>
        <w:t xml:space="preserve"> (R.D.)</w:t>
      </w:r>
      <w:r w:rsidR="00D340F2">
        <w:rPr>
          <w:sz w:val="26"/>
        </w:rPr>
        <w:t xml:space="preserve"> of Administrative Law Judge (ALJ) Mary D. Long, </w:t>
      </w:r>
      <w:bookmarkStart w:id="3" w:name="_Hlk28547000"/>
      <w:r w:rsidR="00391780">
        <w:rPr>
          <w:sz w:val="26"/>
        </w:rPr>
        <w:t>served</w:t>
      </w:r>
      <w:r w:rsidR="00D340F2">
        <w:rPr>
          <w:sz w:val="26"/>
        </w:rPr>
        <w:t xml:space="preserve"> on October 28, 2019</w:t>
      </w:r>
      <w:bookmarkEnd w:id="3"/>
      <w:r w:rsidR="00D340F2">
        <w:rPr>
          <w:sz w:val="26"/>
        </w:rPr>
        <w:t>, and the Exceptions and Repl</w:t>
      </w:r>
      <w:r w:rsidR="00C864B7">
        <w:rPr>
          <w:sz w:val="26"/>
        </w:rPr>
        <w:t>ies to</w:t>
      </w:r>
      <w:r w:rsidR="00D340F2">
        <w:rPr>
          <w:sz w:val="26"/>
        </w:rPr>
        <w:t xml:space="preserve"> Exceptions filed thereto</w:t>
      </w:r>
      <w:r w:rsidR="0074430E">
        <w:rPr>
          <w:sz w:val="26"/>
        </w:rPr>
        <w:t>, in the above-captioned proceeding</w:t>
      </w:r>
      <w:r w:rsidR="00D340F2">
        <w:rPr>
          <w:sz w:val="26"/>
        </w:rPr>
        <w:t xml:space="preserve">.  </w:t>
      </w:r>
      <w:r w:rsidR="004E1C65">
        <w:rPr>
          <w:sz w:val="26"/>
        </w:rPr>
        <w:t xml:space="preserve">The Recommended Decision approves, </w:t>
      </w:r>
      <w:r w:rsidR="00C864B7">
        <w:rPr>
          <w:sz w:val="26"/>
        </w:rPr>
        <w:t>as modified by</w:t>
      </w:r>
      <w:r w:rsidR="004E1C65">
        <w:rPr>
          <w:sz w:val="26"/>
        </w:rPr>
        <w:t xml:space="preserve"> the terms of a non-unanimous settlement petition</w:t>
      </w:r>
      <w:r w:rsidR="00FD5D66">
        <w:rPr>
          <w:sz w:val="26"/>
        </w:rPr>
        <w:t xml:space="preserve"> (Settlement)</w:t>
      </w:r>
      <w:r w:rsidR="004E1C65">
        <w:rPr>
          <w:sz w:val="26"/>
        </w:rPr>
        <w:t xml:space="preserve">, the </w:t>
      </w:r>
      <w:r w:rsidR="00EA2836">
        <w:rPr>
          <w:sz w:val="26"/>
        </w:rPr>
        <w:t>Joint Application of Aqua America, Inc, (Aqua</w:t>
      </w:r>
      <w:r w:rsidR="00B910B2">
        <w:rPr>
          <w:sz w:val="26"/>
        </w:rPr>
        <w:t xml:space="preserve"> America</w:t>
      </w:r>
      <w:r w:rsidR="00EA2836">
        <w:rPr>
          <w:sz w:val="26"/>
        </w:rPr>
        <w:t>)</w:t>
      </w:r>
      <w:r w:rsidR="0050244F">
        <w:rPr>
          <w:sz w:val="26"/>
        </w:rPr>
        <w:t xml:space="preserve"> and its subsidiaries,</w:t>
      </w:r>
      <w:r w:rsidR="00EA2836">
        <w:rPr>
          <w:sz w:val="26"/>
        </w:rPr>
        <w:t xml:space="preserve"> Aqua Pennsylvania, Inc. (Aqua PA) </w:t>
      </w:r>
      <w:r w:rsidR="005961AE">
        <w:rPr>
          <w:sz w:val="26"/>
        </w:rPr>
        <w:t xml:space="preserve">and </w:t>
      </w:r>
      <w:r w:rsidR="00EA2836">
        <w:rPr>
          <w:sz w:val="26"/>
        </w:rPr>
        <w:t>Aqua Pennsylvania Wastewater, Inc. (Aqua PA Wastewater)</w:t>
      </w:r>
      <w:r w:rsidR="00C864B7">
        <w:rPr>
          <w:sz w:val="26"/>
        </w:rPr>
        <w:t>,</w:t>
      </w:r>
      <w:r w:rsidR="00B910B2">
        <w:rPr>
          <w:rStyle w:val="FootnoteReference"/>
          <w:sz w:val="26"/>
        </w:rPr>
        <w:footnoteReference w:id="2"/>
      </w:r>
      <w:r w:rsidR="00EA2836">
        <w:rPr>
          <w:sz w:val="26"/>
        </w:rPr>
        <w:t xml:space="preserve"> </w:t>
      </w:r>
      <w:r w:rsidR="00B7470D">
        <w:rPr>
          <w:sz w:val="26"/>
        </w:rPr>
        <w:t>together</w:t>
      </w:r>
      <w:r w:rsidR="00EA2836">
        <w:rPr>
          <w:sz w:val="26"/>
        </w:rPr>
        <w:t xml:space="preserve"> with Peoples Natural Gas Company LLC</w:t>
      </w:r>
      <w:r w:rsidR="00B7470D">
        <w:rPr>
          <w:sz w:val="26"/>
        </w:rPr>
        <w:t xml:space="preserve"> (Peoples Natural Gas)</w:t>
      </w:r>
      <w:r w:rsidR="00EA2836">
        <w:rPr>
          <w:sz w:val="26"/>
        </w:rPr>
        <w:t>,</w:t>
      </w:r>
      <w:r w:rsidR="00B7470D">
        <w:rPr>
          <w:sz w:val="26"/>
        </w:rPr>
        <w:t xml:space="preserve"> Peoples Natural Gas </w:t>
      </w:r>
      <w:r w:rsidR="00C864B7">
        <w:rPr>
          <w:sz w:val="26"/>
        </w:rPr>
        <w:t xml:space="preserve">Company </w:t>
      </w:r>
      <w:r w:rsidR="00B7470D">
        <w:rPr>
          <w:sz w:val="26"/>
        </w:rPr>
        <w:t xml:space="preserve">LLC – Equitable Division (Peoples Natural Gas </w:t>
      </w:r>
      <w:r w:rsidR="0050244F">
        <w:rPr>
          <w:sz w:val="26"/>
        </w:rPr>
        <w:t>–</w:t>
      </w:r>
      <w:r w:rsidR="00B7470D">
        <w:rPr>
          <w:sz w:val="26"/>
        </w:rPr>
        <w:t xml:space="preserve"> Equitable</w:t>
      </w:r>
      <w:r w:rsidR="0050244F">
        <w:rPr>
          <w:sz w:val="26"/>
        </w:rPr>
        <w:t xml:space="preserve"> Division),</w:t>
      </w:r>
      <w:r w:rsidR="00EA2836">
        <w:rPr>
          <w:sz w:val="26"/>
        </w:rPr>
        <w:t xml:space="preserve"> and Peoples Gas Company LLC</w:t>
      </w:r>
      <w:r w:rsidR="00B7470D">
        <w:rPr>
          <w:sz w:val="26"/>
        </w:rPr>
        <w:t xml:space="preserve"> (Peoples Gas)</w:t>
      </w:r>
      <w:r w:rsidR="00B910B2">
        <w:rPr>
          <w:rStyle w:val="FootnoteReference"/>
          <w:sz w:val="26"/>
        </w:rPr>
        <w:footnoteReference w:id="3"/>
      </w:r>
      <w:r w:rsidR="00E7048B">
        <w:rPr>
          <w:sz w:val="26"/>
        </w:rPr>
        <w:t xml:space="preserve"> </w:t>
      </w:r>
      <w:r w:rsidR="005C7913">
        <w:rPr>
          <w:sz w:val="26"/>
        </w:rPr>
        <w:t>(collectively, the Joint Applicants)</w:t>
      </w:r>
      <w:r w:rsidR="007753AC">
        <w:rPr>
          <w:sz w:val="26"/>
        </w:rPr>
        <w:t>,</w:t>
      </w:r>
      <w:r w:rsidR="005C7913">
        <w:rPr>
          <w:sz w:val="26"/>
        </w:rPr>
        <w:t xml:space="preserve"> </w:t>
      </w:r>
      <w:r w:rsidR="00E7048B">
        <w:rPr>
          <w:sz w:val="26"/>
        </w:rPr>
        <w:t>seeking Commission approval for Aqua</w:t>
      </w:r>
      <w:r w:rsidR="00011506">
        <w:rPr>
          <w:sz w:val="26"/>
        </w:rPr>
        <w:t xml:space="preserve"> America</w:t>
      </w:r>
      <w:r w:rsidR="00E7048B">
        <w:rPr>
          <w:sz w:val="26"/>
        </w:rPr>
        <w:t xml:space="preserve"> to acquire ownership of the Peoples Companies through the purchase of all</w:t>
      </w:r>
      <w:r w:rsidR="0050244F">
        <w:rPr>
          <w:sz w:val="26"/>
        </w:rPr>
        <w:t xml:space="preserve"> the membership interests of LDC Funding LLC</w:t>
      </w:r>
      <w:r w:rsidR="00C864B7">
        <w:rPr>
          <w:sz w:val="26"/>
        </w:rPr>
        <w:t xml:space="preserve"> (</w:t>
      </w:r>
      <w:r w:rsidR="00995DA3">
        <w:rPr>
          <w:sz w:val="26"/>
        </w:rPr>
        <w:t xml:space="preserve">LDC </w:t>
      </w:r>
      <w:r w:rsidR="00C864B7">
        <w:rPr>
          <w:sz w:val="26"/>
        </w:rPr>
        <w:t>Funding)</w:t>
      </w:r>
      <w:r w:rsidR="0050244F">
        <w:rPr>
          <w:sz w:val="26"/>
        </w:rPr>
        <w:t>, the indirect parent company of the Peoples Companie</w:t>
      </w:r>
      <w:r w:rsidR="005F7114">
        <w:rPr>
          <w:sz w:val="26"/>
        </w:rPr>
        <w:t>s</w:t>
      </w:r>
      <w:r w:rsidR="0050244F">
        <w:rPr>
          <w:sz w:val="26"/>
        </w:rPr>
        <w:t>.</w:t>
      </w:r>
    </w:p>
    <w:p w14:paraId="70F81132" w14:textId="38325E47" w:rsidR="004E1C65" w:rsidRDefault="006144BC" w:rsidP="00B24187">
      <w:pPr>
        <w:widowControl/>
        <w:tabs>
          <w:tab w:val="left" w:pos="-720"/>
        </w:tabs>
        <w:suppressAutoHyphens/>
        <w:spacing w:line="360" w:lineRule="auto"/>
        <w:ind w:firstLine="1440"/>
        <w:rPr>
          <w:sz w:val="26"/>
        </w:rPr>
      </w:pPr>
      <w:r>
        <w:rPr>
          <w:sz w:val="26"/>
        </w:rPr>
        <w:lastRenderedPageBreak/>
        <w:t>On November 18, 2019, the Com</w:t>
      </w:r>
      <w:r w:rsidR="004E1C65">
        <w:rPr>
          <w:sz w:val="26"/>
        </w:rPr>
        <w:t>mission’s Bureau of Investigation and Enforcement (I&amp;E) and the Office of Small Business Advocate (OSBA)</w:t>
      </w:r>
      <w:r w:rsidR="00341AED">
        <w:rPr>
          <w:sz w:val="26"/>
        </w:rPr>
        <w:t xml:space="preserve"> filed Exceptions</w:t>
      </w:r>
      <w:r w:rsidR="004E1C65">
        <w:rPr>
          <w:sz w:val="26"/>
        </w:rPr>
        <w:t xml:space="preserve">.  </w:t>
      </w:r>
      <w:r w:rsidR="00341AED">
        <w:rPr>
          <w:sz w:val="26"/>
        </w:rPr>
        <w:t>T</w:t>
      </w:r>
      <w:r w:rsidR="000A339A">
        <w:rPr>
          <w:sz w:val="26"/>
        </w:rPr>
        <w:t xml:space="preserve">he </w:t>
      </w:r>
      <w:r w:rsidR="00E7048B">
        <w:rPr>
          <w:sz w:val="26"/>
        </w:rPr>
        <w:t>Joint Applican</w:t>
      </w:r>
      <w:r w:rsidR="000A339A">
        <w:rPr>
          <w:sz w:val="26"/>
        </w:rPr>
        <w:t xml:space="preserve">ts, the Office of Consumer Advocate (OCA), the </w:t>
      </w:r>
      <w:bookmarkStart w:id="4" w:name="_Hlk28547691"/>
      <w:r w:rsidR="000A339A">
        <w:rPr>
          <w:sz w:val="26"/>
        </w:rPr>
        <w:t xml:space="preserve">Coalition of Affordable Utility Service and Energy Efficiency in Pennsylvania (CAUSE-PA), and Direct Energy Business Marketing, LLC and Direct Energy Small Business Marketing, LLC </w:t>
      </w:r>
      <w:bookmarkEnd w:id="4"/>
      <w:r w:rsidR="000A339A">
        <w:rPr>
          <w:sz w:val="26"/>
        </w:rPr>
        <w:t xml:space="preserve">(collectively, Direct Energy) </w:t>
      </w:r>
      <w:r w:rsidR="00341AED">
        <w:rPr>
          <w:sz w:val="26"/>
        </w:rPr>
        <w:t xml:space="preserve">filed Replies to Exceptions </w:t>
      </w:r>
      <w:r w:rsidR="000A339A">
        <w:rPr>
          <w:sz w:val="26"/>
        </w:rPr>
        <w:t>on November 27, 2019.</w:t>
      </w:r>
      <w:r w:rsidR="007753AC">
        <w:rPr>
          <w:sz w:val="26"/>
        </w:rPr>
        <w:t xml:space="preserve">  </w:t>
      </w:r>
      <w:bookmarkStart w:id="5" w:name="_Hlk28546556"/>
      <w:r w:rsidR="007753AC">
        <w:rPr>
          <w:sz w:val="26"/>
        </w:rPr>
        <w:t>For the reasons set forth below</w:t>
      </w:r>
      <w:r w:rsidR="00C03913">
        <w:rPr>
          <w:sz w:val="26"/>
        </w:rPr>
        <w:t xml:space="preserve"> we shall</w:t>
      </w:r>
      <w:r w:rsidR="0037144B">
        <w:rPr>
          <w:sz w:val="26"/>
        </w:rPr>
        <w:t>:  (1)</w:t>
      </w:r>
      <w:r w:rsidR="007753AC">
        <w:rPr>
          <w:sz w:val="26"/>
        </w:rPr>
        <w:t xml:space="preserve"> </w:t>
      </w:r>
      <w:r w:rsidR="00B06CC9">
        <w:rPr>
          <w:sz w:val="26"/>
        </w:rPr>
        <w:t>deny</w:t>
      </w:r>
      <w:r w:rsidR="00C03913">
        <w:rPr>
          <w:sz w:val="26"/>
        </w:rPr>
        <w:t xml:space="preserve"> the Exceptions</w:t>
      </w:r>
      <w:r w:rsidR="0037144B">
        <w:rPr>
          <w:sz w:val="26"/>
        </w:rPr>
        <w:t xml:space="preserve"> </w:t>
      </w:r>
      <w:r w:rsidR="00B06CC9">
        <w:rPr>
          <w:sz w:val="26"/>
        </w:rPr>
        <w:t xml:space="preserve">of I&amp;E and </w:t>
      </w:r>
      <w:r w:rsidR="00C823B1">
        <w:rPr>
          <w:sz w:val="26"/>
        </w:rPr>
        <w:t xml:space="preserve">the </w:t>
      </w:r>
      <w:r w:rsidR="00B06CC9">
        <w:rPr>
          <w:sz w:val="26"/>
        </w:rPr>
        <w:t>OSBA</w:t>
      </w:r>
      <w:r w:rsidR="0037144B">
        <w:rPr>
          <w:sz w:val="26"/>
        </w:rPr>
        <w:t xml:space="preserve"> (2)</w:t>
      </w:r>
      <w:r w:rsidR="00C03913">
        <w:rPr>
          <w:sz w:val="26"/>
        </w:rPr>
        <w:t xml:space="preserve"> </w:t>
      </w:r>
      <w:r w:rsidR="00087532">
        <w:rPr>
          <w:sz w:val="26"/>
        </w:rPr>
        <w:t xml:space="preserve">adopt </w:t>
      </w:r>
      <w:r w:rsidR="00C03913">
        <w:rPr>
          <w:sz w:val="26"/>
        </w:rPr>
        <w:t xml:space="preserve"> the Recommended Decision</w:t>
      </w:r>
      <w:r w:rsidR="007A5AB5">
        <w:rPr>
          <w:sz w:val="26"/>
        </w:rPr>
        <w:t xml:space="preserve"> as modified by this Opinion and Order</w:t>
      </w:r>
      <w:r w:rsidR="0037144B">
        <w:rPr>
          <w:sz w:val="26"/>
        </w:rPr>
        <w:t>; (3)</w:t>
      </w:r>
      <w:r w:rsidR="00CE549B">
        <w:rPr>
          <w:sz w:val="26"/>
        </w:rPr>
        <w:t> </w:t>
      </w:r>
      <w:r w:rsidR="00AA1610">
        <w:rPr>
          <w:sz w:val="26"/>
        </w:rPr>
        <w:t xml:space="preserve">approve the Joint Application; and (4) approve the </w:t>
      </w:r>
      <w:r w:rsidR="00FD5D66">
        <w:rPr>
          <w:sz w:val="26"/>
        </w:rPr>
        <w:t xml:space="preserve">Settlement, as modified by this Opinion and Order.  </w:t>
      </w:r>
      <w:bookmarkEnd w:id="5"/>
    </w:p>
    <w:p w14:paraId="77B8920A" w14:textId="77777777" w:rsidR="00836D57" w:rsidRPr="002B0C7E" w:rsidRDefault="00836D57" w:rsidP="00B24187">
      <w:pPr>
        <w:widowControl/>
        <w:tabs>
          <w:tab w:val="left" w:pos="-720"/>
        </w:tabs>
        <w:suppressAutoHyphens/>
        <w:spacing w:line="360" w:lineRule="auto"/>
        <w:rPr>
          <w:sz w:val="26"/>
          <w:szCs w:val="26"/>
        </w:rPr>
      </w:pPr>
    </w:p>
    <w:p w14:paraId="7EC7729B" w14:textId="77777777" w:rsidR="00B00BC3" w:rsidRPr="002B0C7E" w:rsidRDefault="007357EB" w:rsidP="00B24187">
      <w:pPr>
        <w:pStyle w:val="Heading1"/>
        <w:rPr>
          <w:szCs w:val="26"/>
        </w:rPr>
      </w:pPr>
      <w:bookmarkStart w:id="6" w:name="_Toc29278171"/>
      <w:r>
        <w:rPr>
          <w:szCs w:val="26"/>
        </w:rPr>
        <w:t>Background</w:t>
      </w:r>
      <w:bookmarkEnd w:id="6"/>
    </w:p>
    <w:p w14:paraId="44849094" w14:textId="77777777" w:rsidR="00884238" w:rsidRDefault="00884238" w:rsidP="00B24187">
      <w:pPr>
        <w:widowControl/>
        <w:tabs>
          <w:tab w:val="left" w:pos="-720"/>
        </w:tabs>
        <w:suppressAutoHyphens/>
        <w:spacing w:line="360" w:lineRule="auto"/>
        <w:rPr>
          <w:sz w:val="26"/>
          <w:szCs w:val="26"/>
        </w:rPr>
      </w:pPr>
    </w:p>
    <w:p w14:paraId="2CAB69BD" w14:textId="77777777" w:rsidR="00884238" w:rsidRPr="00720698" w:rsidRDefault="00884238" w:rsidP="00B24187">
      <w:pPr>
        <w:pStyle w:val="Heading2"/>
        <w:widowControl/>
        <w:ind w:hanging="720"/>
      </w:pPr>
      <w:bookmarkStart w:id="7" w:name="_Toc29278172"/>
      <w:r w:rsidRPr="00720698">
        <w:t>Description of the Companies</w:t>
      </w:r>
      <w:bookmarkEnd w:id="7"/>
    </w:p>
    <w:p w14:paraId="470447AF" w14:textId="77777777" w:rsidR="00884238" w:rsidRDefault="00884238" w:rsidP="00B24187">
      <w:pPr>
        <w:widowControl/>
        <w:tabs>
          <w:tab w:val="left" w:pos="-720"/>
        </w:tabs>
        <w:suppressAutoHyphens/>
        <w:spacing w:line="360" w:lineRule="auto"/>
        <w:rPr>
          <w:sz w:val="26"/>
          <w:szCs w:val="26"/>
        </w:rPr>
      </w:pPr>
    </w:p>
    <w:p w14:paraId="0A3EDE1E" w14:textId="77777777" w:rsidR="00A35552" w:rsidRDefault="007829E0" w:rsidP="00B24187">
      <w:pPr>
        <w:widowControl/>
        <w:tabs>
          <w:tab w:val="left" w:pos="-720"/>
        </w:tabs>
        <w:suppressAutoHyphens/>
        <w:spacing w:line="360" w:lineRule="auto"/>
        <w:ind w:firstLine="1440"/>
        <w:rPr>
          <w:sz w:val="26"/>
          <w:szCs w:val="26"/>
        </w:rPr>
      </w:pPr>
      <w:r>
        <w:rPr>
          <w:sz w:val="26"/>
          <w:szCs w:val="26"/>
        </w:rPr>
        <w:t>Aqua America is a public utility holding company that owns and operates water and wastewater utilities</w:t>
      </w:r>
      <w:r w:rsidR="00AC368A">
        <w:rPr>
          <w:sz w:val="26"/>
          <w:szCs w:val="26"/>
        </w:rPr>
        <w:t xml:space="preserve"> in eight states, including</w:t>
      </w:r>
      <w:r>
        <w:rPr>
          <w:sz w:val="26"/>
          <w:szCs w:val="26"/>
        </w:rPr>
        <w:t xml:space="preserve"> Pennsylvania</w:t>
      </w:r>
      <w:r w:rsidR="00995DA3">
        <w:rPr>
          <w:sz w:val="26"/>
          <w:szCs w:val="26"/>
        </w:rPr>
        <w:t xml:space="preserve"> where it owns and operates</w:t>
      </w:r>
      <w:r>
        <w:rPr>
          <w:sz w:val="26"/>
          <w:szCs w:val="26"/>
        </w:rPr>
        <w:t xml:space="preserve"> Aqua </w:t>
      </w:r>
      <w:r w:rsidR="00995DA3">
        <w:rPr>
          <w:sz w:val="26"/>
          <w:szCs w:val="26"/>
        </w:rPr>
        <w:t>PA</w:t>
      </w:r>
      <w:r w:rsidR="006B24B3">
        <w:rPr>
          <w:sz w:val="26"/>
          <w:szCs w:val="26"/>
        </w:rPr>
        <w:t xml:space="preserve"> and Aqua PA Wastewater.</w:t>
      </w:r>
      <w:r w:rsidR="001111C2">
        <w:rPr>
          <w:rStyle w:val="FootnoteReference"/>
          <w:sz w:val="26"/>
          <w:szCs w:val="26"/>
        </w:rPr>
        <w:footnoteReference w:id="4"/>
      </w:r>
      <w:r w:rsidR="00DB6169">
        <w:rPr>
          <w:sz w:val="26"/>
          <w:szCs w:val="26"/>
          <w:vertAlign w:val="superscript"/>
        </w:rPr>
        <w:t xml:space="preserve">, </w:t>
      </w:r>
      <w:r w:rsidR="00DB6169">
        <w:rPr>
          <w:rStyle w:val="FootnoteReference"/>
          <w:sz w:val="26"/>
          <w:szCs w:val="26"/>
        </w:rPr>
        <w:footnoteReference w:id="5"/>
      </w:r>
      <w:r w:rsidR="00DB6169">
        <w:rPr>
          <w:sz w:val="26"/>
          <w:szCs w:val="26"/>
        </w:rPr>
        <w:t xml:space="preserve">  </w:t>
      </w:r>
      <w:r w:rsidR="00995DA3" w:rsidRPr="00AD392C">
        <w:rPr>
          <w:sz w:val="26"/>
          <w:szCs w:val="26"/>
        </w:rPr>
        <w:t xml:space="preserve">Aqua PA is a “public utility” as defined under 66 Pa. C.S. § 102.  </w:t>
      </w:r>
      <w:r w:rsidR="00A35552">
        <w:rPr>
          <w:sz w:val="26"/>
          <w:szCs w:val="26"/>
        </w:rPr>
        <w:t xml:space="preserve">As of December 31, 2017, Aqua America owned, operated, and maintained approximately 12,800 miles of transmission and distribution mains, </w:t>
      </w:r>
      <w:r w:rsidR="00995DA3">
        <w:rPr>
          <w:sz w:val="26"/>
          <w:szCs w:val="26"/>
        </w:rPr>
        <w:t>twenty-one</w:t>
      </w:r>
      <w:r w:rsidR="00A35552">
        <w:rPr>
          <w:sz w:val="26"/>
          <w:szCs w:val="26"/>
        </w:rPr>
        <w:t xml:space="preserve"> surface water treatment plants, many well treatment stations, and 187 wastewater treatment plants.</w:t>
      </w:r>
      <w:r w:rsidR="00C90F7B">
        <w:rPr>
          <w:sz w:val="26"/>
          <w:szCs w:val="26"/>
        </w:rPr>
        <w:t xml:space="preserve">  Joint Applicants Exh. DJS-1 at 78.</w:t>
      </w:r>
      <w:r w:rsidR="0090104D">
        <w:rPr>
          <w:sz w:val="26"/>
          <w:szCs w:val="26"/>
        </w:rPr>
        <w:t xml:space="preserve">  Aqua America had total assets of approximately $5.4 billion and $809 million in annual revenues as of 2017.</w:t>
      </w:r>
      <w:r w:rsidR="00C90F7B">
        <w:rPr>
          <w:sz w:val="26"/>
          <w:szCs w:val="26"/>
        </w:rPr>
        <w:t xml:space="preserve">  </w:t>
      </w:r>
      <w:r w:rsidR="00C90F7B" w:rsidRPr="00C90F7B">
        <w:rPr>
          <w:i/>
          <w:iCs/>
          <w:sz w:val="26"/>
          <w:szCs w:val="26"/>
        </w:rPr>
        <w:t>Id</w:t>
      </w:r>
      <w:r w:rsidR="00C90F7B">
        <w:rPr>
          <w:sz w:val="26"/>
          <w:szCs w:val="26"/>
        </w:rPr>
        <w:t>. at 60 and 78; Joint Applicants St. 2 at 3.</w:t>
      </w:r>
      <w:r w:rsidR="0090104D">
        <w:rPr>
          <w:sz w:val="26"/>
          <w:szCs w:val="26"/>
        </w:rPr>
        <w:t xml:space="preserve">  </w:t>
      </w:r>
      <w:r w:rsidR="00DE0737">
        <w:rPr>
          <w:sz w:val="26"/>
          <w:szCs w:val="26"/>
        </w:rPr>
        <w:t>Aqua America</w:t>
      </w:r>
      <w:r w:rsidR="00995DA3">
        <w:rPr>
          <w:sz w:val="26"/>
          <w:szCs w:val="26"/>
        </w:rPr>
        <w:t xml:space="preserve"> is</w:t>
      </w:r>
      <w:r w:rsidR="00215F5E">
        <w:rPr>
          <w:sz w:val="26"/>
          <w:szCs w:val="26"/>
        </w:rPr>
        <w:t xml:space="preserve"> based in Bryn Mawr, Pennsylvania</w:t>
      </w:r>
      <w:r w:rsidR="00DE0737">
        <w:rPr>
          <w:sz w:val="26"/>
          <w:szCs w:val="26"/>
        </w:rPr>
        <w:t xml:space="preserve"> </w:t>
      </w:r>
      <w:r w:rsidR="00995DA3">
        <w:rPr>
          <w:sz w:val="26"/>
          <w:szCs w:val="26"/>
        </w:rPr>
        <w:t xml:space="preserve">and </w:t>
      </w:r>
      <w:r w:rsidR="00DE0737">
        <w:rPr>
          <w:sz w:val="26"/>
          <w:szCs w:val="26"/>
        </w:rPr>
        <w:lastRenderedPageBreak/>
        <w:t xml:space="preserve">has </w:t>
      </w:r>
      <w:r w:rsidR="0028339F">
        <w:rPr>
          <w:sz w:val="26"/>
          <w:szCs w:val="26"/>
        </w:rPr>
        <w:t>over 130 years of experience owning and managing water systems, particularly in Pennsylvania, includ</w:t>
      </w:r>
      <w:r w:rsidR="00995DA3">
        <w:rPr>
          <w:sz w:val="26"/>
          <w:szCs w:val="26"/>
        </w:rPr>
        <w:t>ing</w:t>
      </w:r>
      <w:r w:rsidR="0028339F">
        <w:rPr>
          <w:sz w:val="26"/>
          <w:szCs w:val="26"/>
        </w:rPr>
        <w:t xml:space="preserve"> experience with public utility pipeline maintenance and replacement and post-acquisition utility integration planning and execution.  Joint Applicants St. 2 at 3-4.</w:t>
      </w:r>
      <w:r w:rsidR="008A38B6">
        <w:rPr>
          <w:sz w:val="26"/>
          <w:szCs w:val="26"/>
        </w:rPr>
        <w:t xml:space="preserve">  </w:t>
      </w:r>
      <w:r w:rsidR="00215F5E">
        <w:rPr>
          <w:sz w:val="26"/>
          <w:szCs w:val="26"/>
        </w:rPr>
        <w:t>Aqua PA furnishes water and wastewater services to over 43</w:t>
      </w:r>
      <w:r w:rsidR="00296EA7">
        <w:rPr>
          <w:sz w:val="26"/>
          <w:szCs w:val="26"/>
        </w:rPr>
        <w:t>0</w:t>
      </w:r>
      <w:r w:rsidR="00215F5E">
        <w:rPr>
          <w:sz w:val="26"/>
          <w:szCs w:val="26"/>
        </w:rPr>
        <w:t xml:space="preserve">,000 customers across </w:t>
      </w:r>
      <w:r w:rsidR="00995DA3">
        <w:rPr>
          <w:sz w:val="26"/>
          <w:szCs w:val="26"/>
        </w:rPr>
        <w:t>thirty-two</w:t>
      </w:r>
      <w:r w:rsidR="00215F5E">
        <w:rPr>
          <w:sz w:val="26"/>
          <w:szCs w:val="26"/>
        </w:rPr>
        <w:t xml:space="preserve"> counties in Pennsylvania.</w:t>
      </w:r>
      <w:r w:rsidR="00F7694D">
        <w:rPr>
          <w:sz w:val="26"/>
          <w:szCs w:val="26"/>
        </w:rPr>
        <w:t xml:space="preserve">  </w:t>
      </w:r>
      <w:r w:rsidR="00296EA7">
        <w:rPr>
          <w:sz w:val="26"/>
          <w:szCs w:val="26"/>
        </w:rPr>
        <w:t>Joint Applicants Exh. DJS-1 at 7</w:t>
      </w:r>
      <w:r w:rsidR="00174BC7">
        <w:rPr>
          <w:sz w:val="26"/>
          <w:szCs w:val="26"/>
        </w:rPr>
        <w:t>.</w:t>
      </w:r>
    </w:p>
    <w:p w14:paraId="28DBDAB3" w14:textId="77777777" w:rsidR="002E6676" w:rsidRDefault="002E6676" w:rsidP="00B24187">
      <w:pPr>
        <w:widowControl/>
        <w:tabs>
          <w:tab w:val="left" w:pos="-720"/>
        </w:tabs>
        <w:suppressAutoHyphens/>
        <w:spacing w:line="360" w:lineRule="auto"/>
        <w:ind w:firstLine="1440"/>
        <w:rPr>
          <w:sz w:val="26"/>
          <w:szCs w:val="26"/>
        </w:rPr>
      </w:pPr>
    </w:p>
    <w:p w14:paraId="1561C88A" w14:textId="665EA071" w:rsidR="00232671" w:rsidRDefault="00190CD2" w:rsidP="00B24187">
      <w:pPr>
        <w:widowControl/>
        <w:tabs>
          <w:tab w:val="left" w:pos="-720"/>
        </w:tabs>
        <w:suppressAutoHyphens/>
        <w:spacing w:line="360" w:lineRule="auto"/>
        <w:ind w:firstLine="1440"/>
        <w:rPr>
          <w:sz w:val="26"/>
          <w:szCs w:val="26"/>
        </w:rPr>
      </w:pPr>
      <w:r>
        <w:rPr>
          <w:sz w:val="26"/>
          <w:szCs w:val="26"/>
        </w:rPr>
        <w:t>Each of the Peoples Companies is an incumbent natural gas utility</w:t>
      </w:r>
      <w:r w:rsidR="00DE471A">
        <w:rPr>
          <w:sz w:val="26"/>
          <w:szCs w:val="26"/>
        </w:rPr>
        <w:t xml:space="preserve">, </w:t>
      </w:r>
      <w:r w:rsidR="00232671">
        <w:rPr>
          <w:sz w:val="26"/>
          <w:szCs w:val="26"/>
        </w:rPr>
        <w:t>presently indirectly owned and managed by SteelRiver Infrastructure Fund North America LP (SRIFNA) and an affiliated fund, which are managed by SteelRiver Infrastructure Associates and its affiliated investment management entities (collectively, SteelRiver).  SteelRiver</w:t>
      </w:r>
      <w:r w:rsidR="005161D2">
        <w:rPr>
          <w:sz w:val="26"/>
          <w:szCs w:val="26"/>
        </w:rPr>
        <w:t xml:space="preserve"> indirectly owns LDC Parent LLC (</w:t>
      </w:r>
      <w:r w:rsidR="00BE117F">
        <w:rPr>
          <w:sz w:val="26"/>
          <w:szCs w:val="26"/>
        </w:rPr>
        <w:t xml:space="preserve">LDC </w:t>
      </w:r>
      <w:r w:rsidR="005161D2">
        <w:rPr>
          <w:sz w:val="26"/>
          <w:szCs w:val="26"/>
        </w:rPr>
        <w:t xml:space="preserve">Parent), which owns LDC Funding.  </w:t>
      </w:r>
      <w:r w:rsidR="00013978">
        <w:rPr>
          <w:sz w:val="26"/>
          <w:szCs w:val="26"/>
        </w:rPr>
        <w:t xml:space="preserve">LDC </w:t>
      </w:r>
      <w:r w:rsidR="005161D2">
        <w:rPr>
          <w:sz w:val="26"/>
          <w:szCs w:val="26"/>
        </w:rPr>
        <w:t>Funding wholly-owns LDC Holdings LLC (</w:t>
      </w:r>
      <w:r w:rsidR="00BE117F">
        <w:rPr>
          <w:sz w:val="26"/>
          <w:szCs w:val="26"/>
        </w:rPr>
        <w:t xml:space="preserve">LDC </w:t>
      </w:r>
      <w:r w:rsidR="005161D2">
        <w:rPr>
          <w:sz w:val="26"/>
          <w:szCs w:val="26"/>
        </w:rPr>
        <w:t xml:space="preserve">Holdings), which </w:t>
      </w:r>
      <w:r w:rsidR="00766E5E">
        <w:rPr>
          <w:sz w:val="26"/>
          <w:szCs w:val="26"/>
        </w:rPr>
        <w:t>is a direct parent to</w:t>
      </w:r>
      <w:r w:rsidR="005161D2">
        <w:rPr>
          <w:sz w:val="26"/>
          <w:szCs w:val="26"/>
        </w:rPr>
        <w:t xml:space="preserve"> PNG Companies LLC (PNG).  The Peoples Companies are </w:t>
      </w:r>
      <w:r w:rsidR="003A591D">
        <w:rPr>
          <w:sz w:val="26"/>
          <w:szCs w:val="26"/>
        </w:rPr>
        <w:t>wholly owned</w:t>
      </w:r>
      <w:r w:rsidR="005161D2">
        <w:rPr>
          <w:sz w:val="26"/>
          <w:szCs w:val="26"/>
        </w:rPr>
        <w:t xml:space="preserve"> subsidiaries of PNG.  Joint Applicants Exh. DJS-1 at 7-10.  </w:t>
      </w:r>
    </w:p>
    <w:p w14:paraId="635722DC" w14:textId="77777777" w:rsidR="00DE471A" w:rsidRDefault="00DE471A" w:rsidP="00B24187">
      <w:pPr>
        <w:widowControl/>
        <w:tabs>
          <w:tab w:val="left" w:pos="-720"/>
        </w:tabs>
        <w:suppressAutoHyphens/>
        <w:spacing w:line="360" w:lineRule="auto"/>
        <w:rPr>
          <w:sz w:val="26"/>
          <w:szCs w:val="26"/>
        </w:rPr>
      </w:pPr>
    </w:p>
    <w:p w14:paraId="20E12BC3" w14:textId="77777777" w:rsidR="00DE471A" w:rsidRDefault="00183C59" w:rsidP="00B24187">
      <w:pPr>
        <w:widowControl/>
        <w:tabs>
          <w:tab w:val="left" w:pos="-720"/>
        </w:tabs>
        <w:suppressAutoHyphens/>
        <w:spacing w:line="360" w:lineRule="auto"/>
        <w:ind w:firstLine="1440"/>
        <w:rPr>
          <w:sz w:val="26"/>
          <w:szCs w:val="26"/>
        </w:rPr>
      </w:pPr>
      <w:r>
        <w:rPr>
          <w:sz w:val="26"/>
          <w:szCs w:val="26"/>
        </w:rPr>
        <w:t>The Peoples Companies are limited liability companies providing natural gas transmission, distribution, and supplier of last resort services subject to the Commission’s regulatory jurisdiction.</w:t>
      </w:r>
      <w:r w:rsidR="007C384F">
        <w:rPr>
          <w:rStyle w:val="FootnoteReference"/>
          <w:sz w:val="26"/>
          <w:szCs w:val="26"/>
        </w:rPr>
        <w:footnoteReference w:id="6"/>
      </w:r>
      <w:r>
        <w:rPr>
          <w:sz w:val="26"/>
          <w:szCs w:val="26"/>
        </w:rPr>
        <w:t xml:space="preserve">  Peoples Natural Gas,</w:t>
      </w:r>
      <w:r w:rsidR="00AE4CFB">
        <w:rPr>
          <w:sz w:val="26"/>
          <w:szCs w:val="26"/>
        </w:rPr>
        <w:t xml:space="preserve"> including its Equitable Division,</w:t>
      </w:r>
      <w:r w:rsidR="00AE4CFB">
        <w:rPr>
          <w:rStyle w:val="FootnoteReference"/>
          <w:sz w:val="26"/>
          <w:szCs w:val="26"/>
        </w:rPr>
        <w:footnoteReference w:id="7"/>
      </w:r>
      <w:r w:rsidR="00AE4CFB">
        <w:rPr>
          <w:sz w:val="26"/>
          <w:szCs w:val="26"/>
        </w:rPr>
        <w:t xml:space="preserve"> provides natural gas services to approximately 622,000</w:t>
      </w:r>
      <w:r w:rsidR="00EA6FA7">
        <w:rPr>
          <w:sz w:val="26"/>
          <w:szCs w:val="26"/>
        </w:rPr>
        <w:t xml:space="preserve"> Pennsylvania</w:t>
      </w:r>
      <w:r w:rsidR="00AE4CFB">
        <w:rPr>
          <w:sz w:val="26"/>
          <w:szCs w:val="26"/>
        </w:rPr>
        <w:t xml:space="preserve"> customers in all or portions of the </w:t>
      </w:r>
      <w:r>
        <w:rPr>
          <w:sz w:val="26"/>
          <w:szCs w:val="26"/>
        </w:rPr>
        <w:t xml:space="preserve">following counties:  Allegheny, Armstrong, Beaver, </w:t>
      </w:r>
      <w:r>
        <w:rPr>
          <w:sz w:val="26"/>
          <w:szCs w:val="26"/>
        </w:rPr>
        <w:lastRenderedPageBreak/>
        <w:t>Blair, Butler, Cambria, Clarion, Fayette, Greene, Indiana, Jefferson, Lawrence, Mercer, Somerset, Venango, Washington, and Westmoreland.  Peoples Gas provides natural gas services to approximately 61,000</w:t>
      </w:r>
      <w:r w:rsidR="00EA6FA7">
        <w:rPr>
          <w:sz w:val="26"/>
          <w:szCs w:val="26"/>
        </w:rPr>
        <w:t xml:space="preserve"> Pennsylvania</w:t>
      </w:r>
      <w:r>
        <w:rPr>
          <w:sz w:val="26"/>
          <w:szCs w:val="26"/>
        </w:rPr>
        <w:t xml:space="preserve"> customers throughout its service territory, which includes all or portions of the following Pennsylvania counties:  Allegheny, Armstrong, Beaver, Butler, Cambria, Clarion, Clearfield, Indiana, Jefferson, and Westmoreland.  </w:t>
      </w:r>
      <w:r w:rsidR="0034798F">
        <w:rPr>
          <w:sz w:val="26"/>
          <w:szCs w:val="26"/>
        </w:rPr>
        <w:t xml:space="preserve">Joint Applicants Exh. DJS-1 at 8-9.  </w:t>
      </w:r>
    </w:p>
    <w:p w14:paraId="7958A982" w14:textId="77777777" w:rsidR="007357EB" w:rsidRDefault="007357EB" w:rsidP="00B24187">
      <w:pPr>
        <w:widowControl/>
        <w:tabs>
          <w:tab w:val="left" w:pos="-720"/>
        </w:tabs>
        <w:suppressAutoHyphens/>
        <w:spacing w:line="360" w:lineRule="auto"/>
        <w:ind w:firstLine="1440"/>
        <w:rPr>
          <w:sz w:val="26"/>
          <w:szCs w:val="26"/>
        </w:rPr>
      </w:pPr>
    </w:p>
    <w:p w14:paraId="596BDFFA" w14:textId="77777777" w:rsidR="00884238" w:rsidRPr="00471F17" w:rsidRDefault="00884238" w:rsidP="00B24187">
      <w:pPr>
        <w:pStyle w:val="Heading2"/>
        <w:widowControl/>
        <w:ind w:hanging="720"/>
      </w:pPr>
      <w:bookmarkStart w:id="8" w:name="_Toc29278173"/>
      <w:bookmarkStart w:id="9" w:name="_Hlk25156256"/>
      <w:r w:rsidRPr="00471F17">
        <w:t>Description of the Transfer of Control</w:t>
      </w:r>
      <w:bookmarkEnd w:id="8"/>
    </w:p>
    <w:bookmarkEnd w:id="9"/>
    <w:p w14:paraId="1A7C6E7C" w14:textId="77777777" w:rsidR="00884238" w:rsidRDefault="00884238" w:rsidP="00B24187">
      <w:pPr>
        <w:keepNext/>
        <w:widowControl/>
        <w:spacing w:line="360" w:lineRule="auto"/>
        <w:rPr>
          <w:sz w:val="26"/>
          <w:szCs w:val="26"/>
        </w:rPr>
      </w:pPr>
    </w:p>
    <w:p w14:paraId="32A75DC5" w14:textId="77777777" w:rsidR="00884238" w:rsidRDefault="00D63E81" w:rsidP="00B24187">
      <w:pPr>
        <w:keepNext/>
        <w:widowControl/>
        <w:spacing w:line="360" w:lineRule="auto"/>
        <w:ind w:firstLine="1440"/>
        <w:rPr>
          <w:sz w:val="26"/>
          <w:szCs w:val="26"/>
        </w:rPr>
      </w:pPr>
      <w:r>
        <w:rPr>
          <w:sz w:val="26"/>
          <w:szCs w:val="26"/>
        </w:rPr>
        <w:t xml:space="preserve">On November 13, 2018, the Joint Applicants filed </w:t>
      </w:r>
      <w:r w:rsidR="00681CE7">
        <w:rPr>
          <w:sz w:val="26"/>
          <w:szCs w:val="26"/>
        </w:rPr>
        <w:t xml:space="preserve">the </w:t>
      </w:r>
      <w:r w:rsidR="00344AEC">
        <w:rPr>
          <w:sz w:val="26"/>
          <w:szCs w:val="26"/>
        </w:rPr>
        <w:t xml:space="preserve">instant, above-captioned Joint Application </w:t>
      </w:r>
      <w:r w:rsidR="00085E45">
        <w:rPr>
          <w:sz w:val="26"/>
          <w:szCs w:val="26"/>
        </w:rPr>
        <w:t xml:space="preserve">pursuant </w:t>
      </w:r>
      <w:r w:rsidR="00E8515A">
        <w:rPr>
          <w:sz w:val="26"/>
          <w:szCs w:val="26"/>
        </w:rPr>
        <w:t>to Sections 1102(a)(3)</w:t>
      </w:r>
      <w:r w:rsidR="001378A9">
        <w:rPr>
          <w:sz w:val="26"/>
          <w:szCs w:val="26"/>
        </w:rPr>
        <w:t>, 1103(a),</w:t>
      </w:r>
      <w:r w:rsidR="00E8515A">
        <w:rPr>
          <w:sz w:val="26"/>
          <w:szCs w:val="26"/>
        </w:rPr>
        <w:t xml:space="preserve"> and 2210(a)(1) of the Public Utility Code</w:t>
      </w:r>
      <w:r w:rsidR="003D2643">
        <w:rPr>
          <w:sz w:val="26"/>
          <w:szCs w:val="26"/>
        </w:rPr>
        <w:t xml:space="preserve"> (Code)</w:t>
      </w:r>
      <w:r w:rsidR="00E8515A">
        <w:rPr>
          <w:sz w:val="26"/>
          <w:szCs w:val="26"/>
        </w:rPr>
        <w:t xml:space="preserve">, 66 Pa. C.S. </w:t>
      </w:r>
      <w:r w:rsidR="00F377D2">
        <w:rPr>
          <w:sz w:val="26"/>
          <w:szCs w:val="26"/>
        </w:rPr>
        <w:t>§§ 1102(a)(3)</w:t>
      </w:r>
      <w:r w:rsidR="001378A9">
        <w:rPr>
          <w:sz w:val="26"/>
          <w:szCs w:val="26"/>
        </w:rPr>
        <w:t>, 1103(a)</w:t>
      </w:r>
      <w:r w:rsidR="00F377D2">
        <w:rPr>
          <w:sz w:val="26"/>
          <w:szCs w:val="26"/>
        </w:rPr>
        <w:t xml:space="preserve"> and 2210(a)(1).</w:t>
      </w:r>
      <w:r w:rsidR="000A038A">
        <w:rPr>
          <w:sz w:val="26"/>
          <w:szCs w:val="26"/>
        </w:rPr>
        <w:t xml:space="preserve">  </w:t>
      </w:r>
    </w:p>
    <w:p w14:paraId="59C5166C" w14:textId="77777777" w:rsidR="00B569EA" w:rsidRDefault="00B569EA" w:rsidP="00B24187">
      <w:pPr>
        <w:widowControl/>
        <w:spacing w:line="360" w:lineRule="auto"/>
        <w:ind w:firstLine="1440"/>
        <w:rPr>
          <w:sz w:val="26"/>
          <w:szCs w:val="26"/>
        </w:rPr>
      </w:pPr>
    </w:p>
    <w:p w14:paraId="78FA0E7D" w14:textId="77777777" w:rsidR="00B569EA" w:rsidRDefault="00B569EA" w:rsidP="00B24187">
      <w:pPr>
        <w:widowControl/>
        <w:spacing w:line="360" w:lineRule="auto"/>
        <w:ind w:firstLine="1440"/>
        <w:rPr>
          <w:sz w:val="26"/>
          <w:szCs w:val="26"/>
        </w:rPr>
      </w:pPr>
      <w:r>
        <w:rPr>
          <w:sz w:val="26"/>
          <w:szCs w:val="26"/>
        </w:rPr>
        <w:t xml:space="preserve">Through the Joint Application, the Joint Applicants seek Commission approval </w:t>
      </w:r>
      <w:r w:rsidR="00BE117F">
        <w:rPr>
          <w:sz w:val="26"/>
          <w:szCs w:val="26"/>
        </w:rPr>
        <w:t>of the following:</w:t>
      </w:r>
    </w:p>
    <w:p w14:paraId="2C0AC8C6" w14:textId="77777777" w:rsidR="00BE117F" w:rsidRDefault="00BE117F" w:rsidP="00B24187">
      <w:pPr>
        <w:widowControl/>
        <w:spacing w:line="360" w:lineRule="auto"/>
        <w:ind w:firstLine="1440"/>
        <w:rPr>
          <w:sz w:val="26"/>
          <w:szCs w:val="26"/>
        </w:rPr>
      </w:pPr>
    </w:p>
    <w:p w14:paraId="34C5150B" w14:textId="589BAD9E" w:rsidR="00BE117F" w:rsidRDefault="00BE117F" w:rsidP="00B24187">
      <w:pPr>
        <w:pStyle w:val="ListParagraph"/>
        <w:widowControl/>
        <w:numPr>
          <w:ilvl w:val="0"/>
          <w:numId w:val="6"/>
        </w:numPr>
        <w:ind w:left="1440" w:right="1440" w:firstLine="0"/>
        <w:rPr>
          <w:sz w:val="26"/>
          <w:szCs w:val="26"/>
        </w:rPr>
      </w:pPr>
      <w:bookmarkStart w:id="10" w:name="_Hlk26429456"/>
      <w:r>
        <w:rPr>
          <w:sz w:val="26"/>
          <w:szCs w:val="26"/>
        </w:rPr>
        <w:t>The transfer of 100% of the issued and outstanding membership interests in LDC Funding from LDC Parent to Aqua America;</w:t>
      </w:r>
    </w:p>
    <w:bookmarkEnd w:id="10"/>
    <w:p w14:paraId="07C51AEB" w14:textId="77777777" w:rsidR="00BE117F" w:rsidRDefault="00BE117F" w:rsidP="00B24187">
      <w:pPr>
        <w:pStyle w:val="ListParagraph"/>
        <w:widowControl/>
        <w:ind w:left="1080" w:right="1440" w:firstLine="360"/>
        <w:rPr>
          <w:sz w:val="26"/>
          <w:szCs w:val="26"/>
        </w:rPr>
      </w:pPr>
    </w:p>
    <w:p w14:paraId="2FA66DA2" w14:textId="54450FD2" w:rsidR="00BE117F" w:rsidRDefault="00BE117F" w:rsidP="00B24187">
      <w:pPr>
        <w:pStyle w:val="ListParagraph"/>
        <w:widowControl/>
        <w:numPr>
          <w:ilvl w:val="0"/>
          <w:numId w:val="6"/>
        </w:numPr>
        <w:ind w:left="1440" w:right="1440" w:firstLine="0"/>
        <w:rPr>
          <w:sz w:val="26"/>
          <w:szCs w:val="26"/>
        </w:rPr>
      </w:pPr>
      <w:r>
        <w:rPr>
          <w:sz w:val="26"/>
          <w:szCs w:val="26"/>
        </w:rPr>
        <w:t>The change in control of the Peoples Companies that would result from Aqua America acquiring LDC Funding from LDC Parent; and</w:t>
      </w:r>
    </w:p>
    <w:p w14:paraId="1EC8A58A" w14:textId="77777777" w:rsidR="00BE117F" w:rsidRPr="00BE117F" w:rsidRDefault="00BE117F" w:rsidP="00B24187">
      <w:pPr>
        <w:pStyle w:val="ListParagraph"/>
        <w:widowControl/>
        <w:ind w:right="1440" w:firstLine="360"/>
        <w:rPr>
          <w:sz w:val="26"/>
          <w:szCs w:val="26"/>
        </w:rPr>
      </w:pPr>
    </w:p>
    <w:p w14:paraId="12834FC4" w14:textId="6E2E8EBF" w:rsidR="00BE117F" w:rsidRPr="00BE117F" w:rsidRDefault="00BE117F" w:rsidP="00B24187">
      <w:pPr>
        <w:pStyle w:val="ListParagraph"/>
        <w:widowControl/>
        <w:numPr>
          <w:ilvl w:val="0"/>
          <w:numId w:val="6"/>
        </w:numPr>
        <w:ind w:left="1440" w:right="1440" w:firstLine="0"/>
        <w:rPr>
          <w:sz w:val="26"/>
          <w:szCs w:val="26"/>
        </w:rPr>
      </w:pPr>
      <w:r>
        <w:rPr>
          <w:sz w:val="26"/>
          <w:szCs w:val="26"/>
        </w:rPr>
        <w:t>All other approvals or certificates appropriate, customary, or necessary under the Code to carry out the acquisition contemplated in the Joint Application in a</w:t>
      </w:r>
      <w:r w:rsidR="003D2643">
        <w:rPr>
          <w:sz w:val="26"/>
          <w:szCs w:val="26"/>
        </w:rPr>
        <w:t xml:space="preserve"> </w:t>
      </w:r>
      <w:r>
        <w:rPr>
          <w:sz w:val="26"/>
          <w:szCs w:val="26"/>
        </w:rPr>
        <w:t>lawful manner.</w:t>
      </w:r>
    </w:p>
    <w:p w14:paraId="5297C142" w14:textId="77777777" w:rsidR="00884238" w:rsidRDefault="00884238" w:rsidP="00B24187">
      <w:pPr>
        <w:widowControl/>
        <w:spacing w:line="360" w:lineRule="auto"/>
        <w:rPr>
          <w:sz w:val="26"/>
          <w:szCs w:val="26"/>
        </w:rPr>
      </w:pPr>
    </w:p>
    <w:p w14:paraId="22DDDD84" w14:textId="5AEDB381" w:rsidR="00774297" w:rsidRDefault="00FF1EFE" w:rsidP="00B24187">
      <w:pPr>
        <w:widowControl/>
        <w:spacing w:line="360" w:lineRule="auto"/>
        <w:ind w:firstLine="1440"/>
        <w:rPr>
          <w:sz w:val="26"/>
          <w:szCs w:val="26"/>
        </w:rPr>
      </w:pPr>
      <w:r w:rsidRPr="0026241B">
        <w:rPr>
          <w:sz w:val="26"/>
          <w:szCs w:val="26"/>
        </w:rPr>
        <w:t>As previously discussed, LDC Funding owns PNG with the Peoples Companies being wholly</w:t>
      </w:r>
      <w:r w:rsidR="00B24187">
        <w:rPr>
          <w:sz w:val="26"/>
          <w:szCs w:val="26"/>
        </w:rPr>
        <w:t xml:space="preserve"> </w:t>
      </w:r>
      <w:r w:rsidRPr="0026241B">
        <w:rPr>
          <w:sz w:val="26"/>
          <w:szCs w:val="26"/>
        </w:rPr>
        <w:t xml:space="preserve">owned subsidiaries of PNG.  Accordingly, through the Joint Application, the Peoples Companies will become indirect subsidiaries of Aqua America.  If the Joint Application is approved, </w:t>
      </w:r>
      <w:r w:rsidR="004D2A67" w:rsidRPr="0026241B">
        <w:rPr>
          <w:sz w:val="26"/>
          <w:szCs w:val="26"/>
        </w:rPr>
        <w:t xml:space="preserve">there will be no change in ownership of Aqua PA, </w:t>
      </w:r>
      <w:r w:rsidR="004D2A67" w:rsidRPr="0026241B">
        <w:rPr>
          <w:sz w:val="26"/>
          <w:szCs w:val="26"/>
        </w:rPr>
        <w:lastRenderedPageBreak/>
        <w:t xml:space="preserve">and the Peoples Companies and Aqua PA will continue to provide their respective utility services in their existing service territories. </w:t>
      </w:r>
      <w:r w:rsidR="0026241B">
        <w:rPr>
          <w:sz w:val="26"/>
          <w:szCs w:val="26"/>
        </w:rPr>
        <w:t xml:space="preserve"> </w:t>
      </w:r>
      <w:r w:rsidR="0026241B" w:rsidRPr="0026241B">
        <w:rPr>
          <w:sz w:val="26"/>
          <w:szCs w:val="24"/>
        </w:rPr>
        <w:t>Joint Applicants M.B. at 1</w:t>
      </w:r>
      <w:r w:rsidR="0026241B">
        <w:rPr>
          <w:sz w:val="26"/>
          <w:szCs w:val="24"/>
        </w:rPr>
        <w:t>;</w:t>
      </w:r>
      <w:r w:rsidR="0026241B" w:rsidRPr="0026241B">
        <w:rPr>
          <w:sz w:val="26"/>
          <w:szCs w:val="24"/>
        </w:rPr>
        <w:t xml:space="preserve"> Joint Applicants Exh. DJS-1 at 10-12.  </w:t>
      </w:r>
      <w:r w:rsidR="00372B03" w:rsidRPr="0026241B">
        <w:rPr>
          <w:sz w:val="26"/>
          <w:szCs w:val="26"/>
        </w:rPr>
        <w:t>Hereinafter</w:t>
      </w:r>
      <w:r w:rsidR="009A6AEE" w:rsidRPr="0026241B">
        <w:rPr>
          <w:sz w:val="26"/>
          <w:szCs w:val="26"/>
        </w:rPr>
        <w:t>,</w:t>
      </w:r>
      <w:r w:rsidR="00372B03" w:rsidRPr="0026241B">
        <w:rPr>
          <w:sz w:val="26"/>
          <w:szCs w:val="26"/>
        </w:rPr>
        <w:t xml:space="preserve"> Aqua America’s proposed acquisition of LDC Funding, LDC Holdings, PNG and ultimately the Peoples Companies </w:t>
      </w:r>
      <w:r w:rsidR="00B57864" w:rsidRPr="0026241B">
        <w:rPr>
          <w:sz w:val="26"/>
          <w:szCs w:val="26"/>
        </w:rPr>
        <w:t xml:space="preserve">will be referred to </w:t>
      </w:r>
      <w:r w:rsidR="00372B03" w:rsidRPr="0026241B">
        <w:rPr>
          <w:sz w:val="26"/>
          <w:szCs w:val="26"/>
        </w:rPr>
        <w:t>as the Proposed</w:t>
      </w:r>
      <w:r w:rsidR="00372B03">
        <w:rPr>
          <w:sz w:val="26"/>
          <w:szCs w:val="26"/>
        </w:rPr>
        <w:t xml:space="preserve"> Transaction.</w:t>
      </w:r>
    </w:p>
    <w:p w14:paraId="3487D0F1" w14:textId="77777777" w:rsidR="001C7DC1" w:rsidRDefault="001C7DC1" w:rsidP="00B24187">
      <w:pPr>
        <w:widowControl/>
        <w:spacing w:line="360" w:lineRule="auto"/>
        <w:rPr>
          <w:sz w:val="26"/>
          <w:szCs w:val="26"/>
        </w:rPr>
      </w:pPr>
    </w:p>
    <w:p w14:paraId="59678C09" w14:textId="77777777" w:rsidR="00B01CA0" w:rsidRPr="006143BF" w:rsidRDefault="006313C5" w:rsidP="00B24187">
      <w:pPr>
        <w:widowControl/>
        <w:spacing w:line="360" w:lineRule="auto"/>
        <w:ind w:firstLine="1440"/>
        <w:rPr>
          <w:sz w:val="26"/>
          <w:szCs w:val="26"/>
        </w:rPr>
      </w:pPr>
      <w:r>
        <w:rPr>
          <w:sz w:val="26"/>
          <w:szCs w:val="26"/>
        </w:rPr>
        <w:t xml:space="preserve">The Proposed Transaction will be </w:t>
      </w:r>
      <w:r w:rsidR="008E130A">
        <w:rPr>
          <w:sz w:val="26"/>
          <w:szCs w:val="26"/>
        </w:rPr>
        <w:t>effectuated pursuant to a Purchase Agreement</w:t>
      </w:r>
      <w:r w:rsidR="009301FC">
        <w:rPr>
          <w:sz w:val="26"/>
          <w:szCs w:val="26"/>
        </w:rPr>
        <w:t xml:space="preserve"> (</w:t>
      </w:r>
      <w:r w:rsidR="00366733">
        <w:rPr>
          <w:sz w:val="26"/>
          <w:szCs w:val="26"/>
        </w:rPr>
        <w:t xml:space="preserve">Joint Applicants Exhibit DJS-1, Highly Confidential Appendix A; </w:t>
      </w:r>
      <w:r w:rsidR="00256382">
        <w:rPr>
          <w:sz w:val="26"/>
          <w:szCs w:val="26"/>
        </w:rPr>
        <w:t xml:space="preserve">Highly Confidential </w:t>
      </w:r>
      <w:r w:rsidR="009301FC">
        <w:rPr>
          <w:sz w:val="26"/>
          <w:szCs w:val="26"/>
        </w:rPr>
        <w:t>Joint Applicants Exh. DJS-2)</w:t>
      </w:r>
      <w:r w:rsidR="008E130A">
        <w:rPr>
          <w:sz w:val="26"/>
          <w:szCs w:val="26"/>
        </w:rPr>
        <w:t xml:space="preserve">, under which Aqua </w:t>
      </w:r>
      <w:r w:rsidR="002C490A">
        <w:rPr>
          <w:sz w:val="26"/>
          <w:szCs w:val="26"/>
        </w:rPr>
        <w:t xml:space="preserve">America </w:t>
      </w:r>
      <w:r w:rsidR="008E130A">
        <w:rPr>
          <w:sz w:val="26"/>
          <w:szCs w:val="26"/>
        </w:rPr>
        <w:t xml:space="preserve">will acquire LDC Funding from LDC Parent for $4.275 billion, which is inclusive of </w:t>
      </w:r>
      <w:r w:rsidR="003B3C45">
        <w:rPr>
          <w:sz w:val="26"/>
          <w:szCs w:val="26"/>
        </w:rPr>
        <w:t>a projected</w:t>
      </w:r>
      <w:r w:rsidR="008E130A">
        <w:rPr>
          <w:sz w:val="26"/>
          <w:szCs w:val="26"/>
        </w:rPr>
        <w:t xml:space="preserve"> $1.3 billion of PNG’s outstanding debt assumed by Aqua America</w:t>
      </w:r>
      <w:r w:rsidR="00B01CA0">
        <w:rPr>
          <w:sz w:val="26"/>
          <w:szCs w:val="26"/>
        </w:rPr>
        <w:t xml:space="preserve"> and approximately $2 billion in goodwill being recorded.</w:t>
      </w:r>
      <w:r w:rsidR="00B01CA0">
        <w:rPr>
          <w:rStyle w:val="FootnoteReference"/>
          <w:sz w:val="26"/>
          <w:szCs w:val="26"/>
        </w:rPr>
        <w:footnoteReference w:id="8"/>
      </w:r>
      <w:r w:rsidR="006143BF">
        <w:rPr>
          <w:sz w:val="26"/>
          <w:szCs w:val="26"/>
          <w:vertAlign w:val="superscript"/>
        </w:rPr>
        <w:t xml:space="preserve">, </w:t>
      </w:r>
      <w:r w:rsidR="006143BF">
        <w:rPr>
          <w:rStyle w:val="FootnoteReference"/>
          <w:sz w:val="26"/>
          <w:szCs w:val="26"/>
        </w:rPr>
        <w:footnoteReference w:id="9"/>
      </w:r>
      <w:r w:rsidR="006143BF">
        <w:rPr>
          <w:sz w:val="26"/>
          <w:szCs w:val="26"/>
        </w:rPr>
        <w:t xml:space="preserve">  </w:t>
      </w:r>
    </w:p>
    <w:p w14:paraId="747410FB" w14:textId="77777777" w:rsidR="00774297" w:rsidRDefault="00774297" w:rsidP="00B24187">
      <w:pPr>
        <w:widowControl/>
        <w:spacing w:line="360" w:lineRule="auto"/>
        <w:rPr>
          <w:sz w:val="26"/>
          <w:szCs w:val="26"/>
        </w:rPr>
      </w:pPr>
    </w:p>
    <w:p w14:paraId="23BC539D" w14:textId="775CF4E9" w:rsidR="006506B7" w:rsidRDefault="006506B7" w:rsidP="00B24187">
      <w:pPr>
        <w:widowControl/>
        <w:spacing w:line="360" w:lineRule="auto"/>
        <w:ind w:firstLine="1440"/>
        <w:rPr>
          <w:sz w:val="26"/>
          <w:szCs w:val="26"/>
        </w:rPr>
      </w:pPr>
      <w:r>
        <w:rPr>
          <w:sz w:val="26"/>
          <w:szCs w:val="26"/>
        </w:rPr>
        <w:t xml:space="preserve">Aqua America’s reasons for undertaking the Proposed Transaction have been indicated </w:t>
      </w:r>
      <w:r w:rsidR="00040FFD">
        <w:rPr>
          <w:sz w:val="26"/>
          <w:szCs w:val="26"/>
        </w:rPr>
        <w:t>by</w:t>
      </w:r>
      <w:r>
        <w:rPr>
          <w:sz w:val="26"/>
          <w:szCs w:val="26"/>
        </w:rPr>
        <w:t xml:space="preserve"> the Joint Applicants’ direct testimony.  Joint Applicants</w:t>
      </w:r>
      <w:r w:rsidR="003F2F84">
        <w:rPr>
          <w:sz w:val="26"/>
          <w:szCs w:val="26"/>
        </w:rPr>
        <w:t>’</w:t>
      </w:r>
      <w:r>
        <w:rPr>
          <w:sz w:val="26"/>
          <w:szCs w:val="26"/>
        </w:rPr>
        <w:t xml:space="preserve"> witness Christopher H. Franklin</w:t>
      </w:r>
      <w:r w:rsidR="00840042">
        <w:rPr>
          <w:sz w:val="26"/>
          <w:szCs w:val="26"/>
        </w:rPr>
        <w:t xml:space="preserve">, </w:t>
      </w:r>
      <w:r w:rsidR="00D746B0">
        <w:rPr>
          <w:sz w:val="26"/>
          <w:szCs w:val="26"/>
        </w:rPr>
        <w:t>Chief Executive Officer (CEO)</w:t>
      </w:r>
      <w:r w:rsidR="00840042">
        <w:rPr>
          <w:sz w:val="26"/>
          <w:szCs w:val="26"/>
        </w:rPr>
        <w:t xml:space="preserve"> of Aqua</w:t>
      </w:r>
      <w:r w:rsidR="00D746B0">
        <w:rPr>
          <w:sz w:val="26"/>
          <w:szCs w:val="26"/>
        </w:rPr>
        <w:t xml:space="preserve"> </w:t>
      </w:r>
      <w:r w:rsidR="002B37F9">
        <w:rPr>
          <w:sz w:val="26"/>
          <w:szCs w:val="26"/>
        </w:rPr>
        <w:t>America</w:t>
      </w:r>
      <w:r w:rsidR="00840042">
        <w:rPr>
          <w:sz w:val="26"/>
          <w:szCs w:val="26"/>
        </w:rPr>
        <w:t>,</w:t>
      </w:r>
      <w:r>
        <w:rPr>
          <w:sz w:val="26"/>
          <w:szCs w:val="26"/>
        </w:rPr>
        <w:t xml:space="preserve"> </w:t>
      </w:r>
      <w:r w:rsidR="003F2F84">
        <w:rPr>
          <w:sz w:val="26"/>
          <w:szCs w:val="26"/>
        </w:rPr>
        <w:t>testified</w:t>
      </w:r>
      <w:r>
        <w:rPr>
          <w:sz w:val="26"/>
          <w:szCs w:val="26"/>
        </w:rPr>
        <w:t xml:space="preserve"> that the Proposed Transaction would create a leading multi-utility platform</w:t>
      </w:r>
      <w:r w:rsidR="003C1EEB">
        <w:rPr>
          <w:sz w:val="26"/>
          <w:szCs w:val="26"/>
        </w:rPr>
        <w:t xml:space="preserve">, providing services in ten states.  He stated that the combined post-merger company would be one of the largest groups of regulated utilities in the country.  He indicated that the acquisition of the Peoples Companies by Aqua America is a strategic fit, which he stated aligns directly with Aqua America’s core competencies of building and rehabilitating pipeline </w:t>
      </w:r>
      <w:r w:rsidR="003C1EEB">
        <w:rPr>
          <w:sz w:val="26"/>
          <w:szCs w:val="26"/>
        </w:rPr>
        <w:lastRenderedPageBreak/>
        <w:t>infrastructure.  He further indicated that the Proposed Transaction fits with Aqua America’s strategic vision of investing in regulated operations.  Joint Applicants St. 1 at</w:t>
      </w:r>
      <w:r w:rsidR="00B24187">
        <w:rPr>
          <w:sz w:val="26"/>
          <w:szCs w:val="26"/>
        </w:rPr>
        <w:t> </w:t>
      </w:r>
      <w:r w:rsidR="003C1EEB">
        <w:rPr>
          <w:sz w:val="26"/>
          <w:szCs w:val="26"/>
        </w:rPr>
        <w:t xml:space="preserve">7.  </w:t>
      </w:r>
    </w:p>
    <w:p w14:paraId="0AE06D34" w14:textId="77777777" w:rsidR="007C35A6" w:rsidRDefault="007C35A6" w:rsidP="00B24187">
      <w:pPr>
        <w:widowControl/>
        <w:spacing w:line="360" w:lineRule="auto"/>
        <w:ind w:firstLine="1440"/>
        <w:rPr>
          <w:sz w:val="26"/>
          <w:szCs w:val="26"/>
        </w:rPr>
      </w:pPr>
    </w:p>
    <w:p w14:paraId="5ECA1C16" w14:textId="77777777" w:rsidR="00CB041D" w:rsidRDefault="00483795" w:rsidP="00B24187">
      <w:pPr>
        <w:widowControl/>
        <w:spacing w:line="360" w:lineRule="auto"/>
        <w:ind w:firstLine="1440"/>
        <w:rPr>
          <w:sz w:val="26"/>
          <w:szCs w:val="26"/>
        </w:rPr>
      </w:pPr>
      <w:r>
        <w:rPr>
          <w:sz w:val="26"/>
          <w:szCs w:val="26"/>
        </w:rPr>
        <w:t xml:space="preserve">The Joint Applicants </w:t>
      </w:r>
      <w:r w:rsidR="003F2F84">
        <w:rPr>
          <w:sz w:val="26"/>
          <w:szCs w:val="26"/>
        </w:rPr>
        <w:t>averred</w:t>
      </w:r>
      <w:r>
        <w:rPr>
          <w:sz w:val="26"/>
          <w:szCs w:val="26"/>
        </w:rPr>
        <w:t xml:space="preserve"> that the Proposed Transaction would provide </w:t>
      </w:r>
      <w:r w:rsidR="009B7E93">
        <w:rPr>
          <w:sz w:val="26"/>
          <w:szCs w:val="26"/>
        </w:rPr>
        <w:t>“</w:t>
      </w:r>
      <w:r>
        <w:rPr>
          <w:sz w:val="26"/>
          <w:szCs w:val="26"/>
        </w:rPr>
        <w:t>numerous affirmative benefits, including but not limited to, benefits from placing the Peoples Companies under public ownership, benefits from substantial infrastructure experience, benefits from retaining jobs in Pennsylvania, long-term efficiencies in information technology, and other benefits</w:t>
      </w:r>
      <w:r w:rsidR="009B7E93">
        <w:rPr>
          <w:sz w:val="26"/>
          <w:szCs w:val="26"/>
        </w:rPr>
        <w:t xml:space="preserve">.”  Joint Application at 4.  </w:t>
      </w:r>
      <w:r w:rsidR="0063696C">
        <w:rPr>
          <w:sz w:val="26"/>
          <w:szCs w:val="26"/>
        </w:rPr>
        <w:t>Section VIII of the Joint Application provides additional discussion</w:t>
      </w:r>
      <w:r w:rsidR="00254759">
        <w:rPr>
          <w:sz w:val="26"/>
          <w:szCs w:val="26"/>
        </w:rPr>
        <w:t xml:space="preserve"> of how the Proposed Transaction will produce affirmative public benefits, which fall into the following five categories:</w:t>
      </w:r>
    </w:p>
    <w:p w14:paraId="0AA45AAD" w14:textId="77777777" w:rsidR="00254759" w:rsidRDefault="00254759" w:rsidP="00B24187">
      <w:pPr>
        <w:widowControl/>
        <w:spacing w:line="360" w:lineRule="auto"/>
        <w:ind w:firstLine="1440"/>
        <w:rPr>
          <w:sz w:val="26"/>
          <w:szCs w:val="26"/>
        </w:rPr>
      </w:pPr>
    </w:p>
    <w:p w14:paraId="5E375ACA" w14:textId="3D0BEFD0" w:rsidR="00254759" w:rsidRDefault="00254759" w:rsidP="00B24187">
      <w:pPr>
        <w:pStyle w:val="ListParagraph"/>
        <w:widowControl/>
        <w:numPr>
          <w:ilvl w:val="0"/>
          <w:numId w:val="7"/>
        </w:numPr>
        <w:ind w:left="1440" w:right="1440" w:firstLine="0"/>
        <w:rPr>
          <w:sz w:val="26"/>
          <w:szCs w:val="26"/>
        </w:rPr>
      </w:pPr>
      <w:r>
        <w:rPr>
          <w:sz w:val="26"/>
          <w:szCs w:val="26"/>
        </w:rPr>
        <w:t>The Peoples Companies will be publicly owned, providing an expanded access to capital;</w:t>
      </w:r>
    </w:p>
    <w:p w14:paraId="0CA2DD37" w14:textId="77777777" w:rsidR="00254759" w:rsidRDefault="00254759" w:rsidP="00B24187">
      <w:pPr>
        <w:pStyle w:val="ListParagraph"/>
        <w:widowControl/>
        <w:ind w:left="1080" w:right="1440" w:firstLine="360"/>
        <w:rPr>
          <w:sz w:val="26"/>
          <w:szCs w:val="26"/>
        </w:rPr>
      </w:pPr>
    </w:p>
    <w:p w14:paraId="5F0D34AF" w14:textId="5770C04C" w:rsidR="00254759" w:rsidRDefault="00254759" w:rsidP="00B24187">
      <w:pPr>
        <w:pStyle w:val="ListParagraph"/>
        <w:widowControl/>
        <w:numPr>
          <w:ilvl w:val="0"/>
          <w:numId w:val="7"/>
        </w:numPr>
        <w:ind w:left="1440" w:right="1440" w:firstLine="0"/>
        <w:rPr>
          <w:sz w:val="26"/>
          <w:szCs w:val="26"/>
        </w:rPr>
      </w:pPr>
      <w:r>
        <w:rPr>
          <w:sz w:val="26"/>
          <w:szCs w:val="26"/>
        </w:rPr>
        <w:t>The post-merger companies’ combined infrastructure experience will benefit both gas and water/wastewater operations by continuing Aqua PA’s and the People Companies’ pipe replacement programs and pursuing reductions in unaccounted for gas (UFG) at the Peoples Companies;</w:t>
      </w:r>
    </w:p>
    <w:p w14:paraId="18AB1623" w14:textId="77777777" w:rsidR="00254759" w:rsidRPr="00254759" w:rsidRDefault="00254759" w:rsidP="00B24187">
      <w:pPr>
        <w:pStyle w:val="ListParagraph"/>
        <w:widowControl/>
        <w:ind w:left="1440" w:right="1440"/>
        <w:rPr>
          <w:sz w:val="26"/>
          <w:szCs w:val="26"/>
        </w:rPr>
      </w:pPr>
    </w:p>
    <w:p w14:paraId="767CFA27" w14:textId="5704DD01" w:rsidR="00254759" w:rsidRDefault="00254759" w:rsidP="00B24187">
      <w:pPr>
        <w:pStyle w:val="ListParagraph"/>
        <w:widowControl/>
        <w:numPr>
          <w:ilvl w:val="0"/>
          <w:numId w:val="7"/>
        </w:numPr>
        <w:ind w:left="1440" w:right="1440" w:firstLine="0"/>
        <w:rPr>
          <w:sz w:val="26"/>
          <w:szCs w:val="26"/>
        </w:rPr>
      </w:pPr>
      <w:r>
        <w:rPr>
          <w:sz w:val="26"/>
          <w:szCs w:val="26"/>
        </w:rPr>
        <w:t>Employment benefits would result by maintaining jobs in Pennsylvania and honoring existing union contracts and pension plans of the Peoples Companies and providing for additional advancement opportunities;</w:t>
      </w:r>
    </w:p>
    <w:p w14:paraId="3395A846" w14:textId="77777777" w:rsidR="00254759" w:rsidRPr="00254759" w:rsidRDefault="00254759" w:rsidP="00B24187">
      <w:pPr>
        <w:pStyle w:val="ListParagraph"/>
        <w:widowControl/>
        <w:ind w:left="1440" w:right="1440"/>
        <w:rPr>
          <w:sz w:val="26"/>
          <w:szCs w:val="26"/>
        </w:rPr>
      </w:pPr>
    </w:p>
    <w:p w14:paraId="0F6553E2" w14:textId="5ED4BCD8" w:rsidR="00254759" w:rsidRDefault="00254759" w:rsidP="00B24187">
      <w:pPr>
        <w:pStyle w:val="ListParagraph"/>
        <w:widowControl/>
        <w:numPr>
          <w:ilvl w:val="0"/>
          <w:numId w:val="7"/>
        </w:numPr>
        <w:ind w:left="1440" w:right="1440" w:firstLine="0"/>
        <w:rPr>
          <w:sz w:val="26"/>
          <w:szCs w:val="26"/>
        </w:rPr>
      </w:pPr>
      <w:r>
        <w:rPr>
          <w:sz w:val="26"/>
          <w:szCs w:val="26"/>
        </w:rPr>
        <w:t xml:space="preserve">Long-term efficiencies from combining the companies could result from sharing information technology (IT) </w:t>
      </w:r>
      <w:r w:rsidR="0026241B">
        <w:rPr>
          <w:sz w:val="26"/>
          <w:szCs w:val="26"/>
        </w:rPr>
        <w:t>s</w:t>
      </w:r>
      <w:r>
        <w:rPr>
          <w:sz w:val="26"/>
          <w:szCs w:val="26"/>
        </w:rPr>
        <w:t>ystems, creating a more efficient and effective overhead structure in areas such as finance, human resources, regulatory, IT and supply chain and obtaining economies of scale; and</w:t>
      </w:r>
    </w:p>
    <w:p w14:paraId="3D4FBF65" w14:textId="77777777" w:rsidR="00254759" w:rsidRPr="00254759" w:rsidRDefault="00254759" w:rsidP="00B24187">
      <w:pPr>
        <w:pStyle w:val="ListParagraph"/>
        <w:widowControl/>
        <w:ind w:left="1440" w:right="1440"/>
        <w:rPr>
          <w:sz w:val="26"/>
          <w:szCs w:val="26"/>
        </w:rPr>
      </w:pPr>
    </w:p>
    <w:p w14:paraId="376E6BAB" w14:textId="021497B5" w:rsidR="00254759" w:rsidRDefault="00254759" w:rsidP="00B24187">
      <w:pPr>
        <w:pStyle w:val="ListParagraph"/>
        <w:widowControl/>
        <w:numPr>
          <w:ilvl w:val="0"/>
          <w:numId w:val="7"/>
        </w:numPr>
        <w:ind w:left="1440" w:right="1440" w:firstLine="0"/>
        <w:rPr>
          <w:sz w:val="26"/>
          <w:szCs w:val="26"/>
        </w:rPr>
      </w:pPr>
      <w:r>
        <w:rPr>
          <w:sz w:val="26"/>
          <w:szCs w:val="26"/>
        </w:rPr>
        <w:t xml:space="preserve">Community presence – Aqua’s presence in Pennsylvania would be expanded into areas served by the Peoples Companies that are not currently served by Aqua, </w:t>
      </w:r>
      <w:r>
        <w:rPr>
          <w:sz w:val="26"/>
          <w:szCs w:val="26"/>
        </w:rPr>
        <w:lastRenderedPageBreak/>
        <w:t>donations and volunteer activities of the Peoples Companies would be maintained, and the gas operations headquarters would be maintained in the Pittsburgh area.</w:t>
      </w:r>
    </w:p>
    <w:p w14:paraId="22256121" w14:textId="77777777" w:rsidR="00254759" w:rsidRDefault="00254759" w:rsidP="00B24187">
      <w:pPr>
        <w:widowControl/>
        <w:ind w:right="1440" w:firstLine="360"/>
        <w:rPr>
          <w:sz w:val="26"/>
          <w:szCs w:val="26"/>
        </w:rPr>
      </w:pPr>
    </w:p>
    <w:p w14:paraId="0F0BF8F2" w14:textId="77777777" w:rsidR="00254759" w:rsidRDefault="00254759" w:rsidP="00B24187">
      <w:pPr>
        <w:widowControl/>
        <w:spacing w:line="360" w:lineRule="auto"/>
        <w:rPr>
          <w:sz w:val="26"/>
          <w:szCs w:val="26"/>
        </w:rPr>
      </w:pPr>
      <w:r>
        <w:rPr>
          <w:sz w:val="26"/>
          <w:szCs w:val="26"/>
        </w:rPr>
        <w:t xml:space="preserve">Joint Application at </w:t>
      </w:r>
      <w:r w:rsidR="00AA5D22">
        <w:rPr>
          <w:sz w:val="26"/>
          <w:szCs w:val="26"/>
        </w:rPr>
        <w:t>27-33.</w:t>
      </w:r>
    </w:p>
    <w:p w14:paraId="595A1A1A" w14:textId="77777777" w:rsidR="007C35A6" w:rsidRPr="00D33B9D" w:rsidRDefault="007C35A6" w:rsidP="00B24187">
      <w:pPr>
        <w:widowControl/>
        <w:spacing w:line="360" w:lineRule="auto"/>
        <w:rPr>
          <w:sz w:val="26"/>
          <w:szCs w:val="26"/>
        </w:rPr>
      </w:pPr>
    </w:p>
    <w:p w14:paraId="70A84E81" w14:textId="77777777" w:rsidR="00D33B9D" w:rsidRPr="00A13EAF" w:rsidRDefault="00D33B9D" w:rsidP="00B24187">
      <w:pPr>
        <w:pStyle w:val="Heading2"/>
        <w:widowControl/>
        <w:ind w:hanging="720"/>
      </w:pPr>
      <w:bookmarkStart w:id="11" w:name="_Toc29278174"/>
      <w:r w:rsidRPr="00A13EAF">
        <w:t>Settlement</w:t>
      </w:r>
      <w:bookmarkEnd w:id="11"/>
    </w:p>
    <w:p w14:paraId="03D89CC2" w14:textId="77777777" w:rsidR="00D33B9D" w:rsidRPr="00A13EAF" w:rsidRDefault="00D33B9D" w:rsidP="00B24187">
      <w:pPr>
        <w:widowControl/>
        <w:spacing w:line="360" w:lineRule="auto"/>
        <w:rPr>
          <w:sz w:val="26"/>
          <w:szCs w:val="26"/>
        </w:rPr>
      </w:pPr>
    </w:p>
    <w:p w14:paraId="2802758D" w14:textId="51041FBC" w:rsidR="00651CE5" w:rsidRDefault="00D33B9D" w:rsidP="00B24187">
      <w:pPr>
        <w:widowControl/>
        <w:spacing w:line="360" w:lineRule="auto"/>
        <w:ind w:firstLine="1440"/>
        <w:rPr>
          <w:sz w:val="26"/>
          <w:szCs w:val="26"/>
        </w:rPr>
      </w:pPr>
      <w:r w:rsidRPr="00A13EAF">
        <w:rPr>
          <w:sz w:val="26"/>
          <w:szCs w:val="26"/>
        </w:rPr>
        <w:t>As</w:t>
      </w:r>
      <w:r w:rsidR="007F314F" w:rsidRPr="00A13EAF">
        <w:rPr>
          <w:sz w:val="26"/>
          <w:szCs w:val="26"/>
        </w:rPr>
        <w:t xml:space="preserve"> previously</w:t>
      </w:r>
      <w:r w:rsidRPr="00A13EAF">
        <w:rPr>
          <w:sz w:val="26"/>
          <w:szCs w:val="26"/>
        </w:rPr>
        <w:t xml:space="preserve"> </w:t>
      </w:r>
      <w:r w:rsidR="004455D3" w:rsidRPr="00A13EAF">
        <w:rPr>
          <w:sz w:val="26"/>
          <w:szCs w:val="26"/>
        </w:rPr>
        <w:t>noted</w:t>
      </w:r>
      <w:r w:rsidRPr="00A13EAF">
        <w:rPr>
          <w:sz w:val="26"/>
          <w:szCs w:val="26"/>
        </w:rPr>
        <w:t xml:space="preserve">, </w:t>
      </w:r>
      <w:r w:rsidR="00840042" w:rsidRPr="00A13EAF">
        <w:rPr>
          <w:sz w:val="26"/>
          <w:szCs w:val="26"/>
        </w:rPr>
        <w:t>o</w:t>
      </w:r>
      <w:r w:rsidRPr="00A13EAF">
        <w:rPr>
          <w:sz w:val="26"/>
          <w:szCs w:val="26"/>
        </w:rPr>
        <w:t xml:space="preserve">n June 26, 2019, the Joint Applicants filed a Settlement executed by all of the active </w:t>
      </w:r>
      <w:r w:rsidR="00840042" w:rsidRPr="00A13EAF">
        <w:rPr>
          <w:sz w:val="26"/>
          <w:szCs w:val="26"/>
        </w:rPr>
        <w:t>P</w:t>
      </w:r>
      <w:r w:rsidRPr="00A13EAF">
        <w:rPr>
          <w:sz w:val="26"/>
          <w:szCs w:val="26"/>
        </w:rPr>
        <w:t xml:space="preserve">arties except for </w:t>
      </w:r>
      <w:r w:rsidR="007F314F" w:rsidRPr="00A13EAF">
        <w:rPr>
          <w:sz w:val="26"/>
          <w:szCs w:val="26"/>
        </w:rPr>
        <w:t>I&amp;E</w:t>
      </w:r>
      <w:r w:rsidRPr="00A13EAF">
        <w:rPr>
          <w:sz w:val="26"/>
          <w:szCs w:val="26"/>
        </w:rPr>
        <w:t xml:space="preserve"> and </w:t>
      </w:r>
      <w:r w:rsidR="007F314F" w:rsidRPr="00A13EAF">
        <w:rPr>
          <w:sz w:val="26"/>
          <w:szCs w:val="26"/>
        </w:rPr>
        <w:t xml:space="preserve">the </w:t>
      </w:r>
      <w:r w:rsidRPr="00A13EAF">
        <w:rPr>
          <w:sz w:val="26"/>
          <w:szCs w:val="26"/>
        </w:rPr>
        <w:t>OSBA</w:t>
      </w:r>
      <w:r w:rsidR="00651CE5" w:rsidRPr="00A13EAF">
        <w:rPr>
          <w:sz w:val="26"/>
          <w:szCs w:val="26"/>
        </w:rPr>
        <w:t xml:space="preserve">.  The Settlement resolves all </w:t>
      </w:r>
      <w:r w:rsidR="004455D3" w:rsidRPr="00A13EAF">
        <w:rPr>
          <w:sz w:val="26"/>
          <w:szCs w:val="26"/>
        </w:rPr>
        <w:t xml:space="preserve">of </w:t>
      </w:r>
      <w:r w:rsidR="00651CE5" w:rsidRPr="00A13EAF">
        <w:rPr>
          <w:sz w:val="26"/>
          <w:szCs w:val="26"/>
        </w:rPr>
        <w:t>the issues among the Settling Parties, which include the Joint Applicants, the OCA, CAUSE-PA, the Natural Gas Supplier Parties</w:t>
      </w:r>
      <w:r w:rsidR="00DA3C6B" w:rsidRPr="00A13EAF">
        <w:rPr>
          <w:rStyle w:val="FootnoteReference"/>
          <w:sz w:val="26"/>
          <w:szCs w:val="26"/>
        </w:rPr>
        <w:footnoteReference w:id="10"/>
      </w:r>
      <w:r w:rsidR="00651CE5" w:rsidRPr="00A13EAF">
        <w:rPr>
          <w:sz w:val="26"/>
          <w:szCs w:val="26"/>
        </w:rPr>
        <w:t xml:space="preserve"> (NGS Parties) and the Retail Energy Supply Association (RESA) (collectively, NGS/RESA), Direct Energy, </w:t>
      </w:r>
      <w:r w:rsidR="00DA3C6B" w:rsidRPr="00A13EAF">
        <w:rPr>
          <w:sz w:val="26"/>
          <w:szCs w:val="26"/>
        </w:rPr>
        <w:t>Utility Workers Union of America, Local 612 (</w:t>
      </w:r>
      <w:r w:rsidR="00651CE5" w:rsidRPr="00A13EAF">
        <w:rPr>
          <w:sz w:val="26"/>
          <w:szCs w:val="26"/>
        </w:rPr>
        <w:t>UWUA</w:t>
      </w:r>
      <w:r w:rsidR="00DA3C6B" w:rsidRPr="00A13EAF">
        <w:rPr>
          <w:sz w:val="26"/>
          <w:szCs w:val="26"/>
        </w:rPr>
        <w:t>)</w:t>
      </w:r>
      <w:r w:rsidR="00651CE5" w:rsidRPr="00A13EAF">
        <w:rPr>
          <w:sz w:val="26"/>
          <w:szCs w:val="26"/>
        </w:rPr>
        <w:t>, Laborers</w:t>
      </w:r>
      <w:r w:rsidR="00DA3C6B" w:rsidRPr="00A13EAF">
        <w:rPr>
          <w:sz w:val="26"/>
          <w:szCs w:val="26"/>
        </w:rPr>
        <w:t>’</w:t>
      </w:r>
      <w:r w:rsidR="00651CE5" w:rsidRPr="00A13EAF">
        <w:rPr>
          <w:sz w:val="26"/>
          <w:szCs w:val="26"/>
        </w:rPr>
        <w:t xml:space="preserve"> District Council of Western Pennsylvania</w:t>
      </w:r>
      <w:r w:rsidR="00DA3C6B" w:rsidRPr="00A13EAF">
        <w:rPr>
          <w:sz w:val="26"/>
          <w:szCs w:val="26"/>
        </w:rPr>
        <w:t xml:space="preserve"> (Laborer</w:t>
      </w:r>
      <w:r w:rsidR="00222840" w:rsidRPr="00A13EAF">
        <w:rPr>
          <w:sz w:val="26"/>
          <w:szCs w:val="26"/>
        </w:rPr>
        <w:t>s</w:t>
      </w:r>
      <w:r w:rsidR="00DA3C6B" w:rsidRPr="00A13EAF">
        <w:rPr>
          <w:sz w:val="26"/>
          <w:szCs w:val="26"/>
        </w:rPr>
        <w:t>’ District Council)</w:t>
      </w:r>
      <w:r w:rsidR="00651CE5" w:rsidRPr="00A13EAF">
        <w:rPr>
          <w:sz w:val="26"/>
          <w:szCs w:val="26"/>
        </w:rPr>
        <w:t xml:space="preserve">, and </w:t>
      </w:r>
      <w:r w:rsidR="00222840" w:rsidRPr="00A13EAF">
        <w:rPr>
          <w:sz w:val="26"/>
          <w:szCs w:val="26"/>
        </w:rPr>
        <w:t xml:space="preserve">the </w:t>
      </w:r>
      <w:r w:rsidR="00DA3C6B" w:rsidRPr="00A13EAF">
        <w:rPr>
          <w:sz w:val="26"/>
          <w:szCs w:val="26"/>
        </w:rPr>
        <w:t>Pennsylvania Independent Oil &amp; Gas Association (</w:t>
      </w:r>
      <w:r w:rsidR="00651CE5" w:rsidRPr="00A13EAF">
        <w:rPr>
          <w:sz w:val="26"/>
          <w:szCs w:val="26"/>
        </w:rPr>
        <w:t>PIOGA</w:t>
      </w:r>
      <w:r w:rsidR="00DA3C6B" w:rsidRPr="00A13EAF">
        <w:rPr>
          <w:sz w:val="26"/>
          <w:szCs w:val="26"/>
        </w:rPr>
        <w:t>)</w:t>
      </w:r>
      <w:r w:rsidR="00651CE5" w:rsidRPr="00A13EAF">
        <w:rPr>
          <w:sz w:val="26"/>
          <w:szCs w:val="26"/>
        </w:rPr>
        <w:t xml:space="preserve">.  The Settling Parties are in full agreement that the Proposed Transaction, as described in the Joint Application and as </w:t>
      </w:r>
      <w:r w:rsidR="004455D3" w:rsidRPr="00A13EAF">
        <w:rPr>
          <w:sz w:val="26"/>
          <w:szCs w:val="26"/>
        </w:rPr>
        <w:t>modified</w:t>
      </w:r>
      <w:r w:rsidR="00651CE5" w:rsidRPr="00A13EAF">
        <w:rPr>
          <w:sz w:val="26"/>
          <w:szCs w:val="26"/>
        </w:rPr>
        <w:t xml:space="preserve"> by the Settlement, will provide affirmative public benefits.  Additionally, the Settling Parties agree that consummating the Proposed Transaction on the terms set forth in the Joint Application as conditioned by the Settlement is in the public interest and express their full support for the Settlement  as evidenced by the Statements in Support filed by each Settling Party.  The terms of the Settlement include commitments regarding infrastructure replacement, employment levels, rate credits, and enhancements in a variety of areas</w:t>
      </w:r>
      <w:r w:rsidR="004455D3" w:rsidRPr="00A13EAF">
        <w:rPr>
          <w:sz w:val="26"/>
          <w:szCs w:val="26"/>
        </w:rPr>
        <w:t>,</w:t>
      </w:r>
      <w:r w:rsidR="00651CE5" w:rsidRPr="00A13EAF">
        <w:rPr>
          <w:sz w:val="26"/>
          <w:szCs w:val="26"/>
        </w:rPr>
        <w:t xml:space="preserve"> including customer service and reliability, universal service, financial governance, and retail competition, as discussed below.</w:t>
      </w:r>
    </w:p>
    <w:p w14:paraId="0164691C" w14:textId="77777777" w:rsidR="00D33B9D" w:rsidRPr="00D33B9D" w:rsidRDefault="00D33B9D" w:rsidP="00B24187">
      <w:pPr>
        <w:widowControl/>
        <w:spacing w:line="360" w:lineRule="auto"/>
        <w:rPr>
          <w:sz w:val="26"/>
          <w:szCs w:val="26"/>
        </w:rPr>
      </w:pPr>
    </w:p>
    <w:p w14:paraId="04210435" w14:textId="77777777" w:rsidR="002B0C7E" w:rsidRPr="002F7759" w:rsidRDefault="007357EB" w:rsidP="00B24187">
      <w:pPr>
        <w:pStyle w:val="Heading1"/>
        <w:ind w:left="0" w:firstLine="0"/>
        <w:rPr>
          <w:szCs w:val="26"/>
        </w:rPr>
      </w:pPr>
      <w:bookmarkStart w:id="12" w:name="_Toc29278175"/>
      <w:r>
        <w:rPr>
          <w:szCs w:val="26"/>
        </w:rPr>
        <w:t xml:space="preserve">History of </w:t>
      </w:r>
      <w:r w:rsidR="00651D1D">
        <w:rPr>
          <w:szCs w:val="26"/>
        </w:rPr>
        <w:t xml:space="preserve">the </w:t>
      </w:r>
      <w:r>
        <w:rPr>
          <w:szCs w:val="26"/>
        </w:rPr>
        <w:t>Proceeding</w:t>
      </w:r>
      <w:bookmarkEnd w:id="12"/>
    </w:p>
    <w:p w14:paraId="01AB1F1B" w14:textId="77777777" w:rsidR="002B0C7E" w:rsidRPr="00313907" w:rsidRDefault="002B0C7E" w:rsidP="00B24187">
      <w:pPr>
        <w:widowControl/>
        <w:spacing w:line="360" w:lineRule="auto"/>
        <w:rPr>
          <w:sz w:val="26"/>
          <w:szCs w:val="26"/>
        </w:rPr>
      </w:pPr>
    </w:p>
    <w:p w14:paraId="1CD4F01D" w14:textId="77777777" w:rsidR="0080354C" w:rsidRDefault="003D2643" w:rsidP="00B24187">
      <w:pPr>
        <w:widowControl/>
        <w:spacing w:line="360" w:lineRule="auto"/>
        <w:ind w:firstLine="1440"/>
        <w:rPr>
          <w:sz w:val="26"/>
          <w:szCs w:val="26"/>
        </w:rPr>
      </w:pPr>
      <w:bookmarkStart w:id="13" w:name="_Hlk25570902"/>
      <w:r>
        <w:rPr>
          <w:sz w:val="26"/>
          <w:szCs w:val="26"/>
        </w:rPr>
        <w:lastRenderedPageBreak/>
        <w:t>T</w:t>
      </w:r>
      <w:r w:rsidR="00C240E8" w:rsidRPr="00313907">
        <w:rPr>
          <w:sz w:val="26"/>
          <w:szCs w:val="26"/>
        </w:rPr>
        <w:t>he Joint Applicants filed the above-captioned Joint Application on November 13, 2018.</w:t>
      </w:r>
      <w:r w:rsidR="00E92494">
        <w:rPr>
          <w:sz w:val="26"/>
          <w:szCs w:val="26"/>
        </w:rPr>
        <w:t xml:space="preserve">  </w:t>
      </w:r>
      <w:bookmarkEnd w:id="13"/>
      <w:r w:rsidR="00E92494">
        <w:rPr>
          <w:sz w:val="26"/>
          <w:szCs w:val="26"/>
        </w:rPr>
        <w:t xml:space="preserve">Notice of the Joint Application was published in the </w:t>
      </w:r>
      <w:r w:rsidR="00E92494" w:rsidRPr="00E92494">
        <w:rPr>
          <w:i/>
          <w:iCs/>
          <w:sz w:val="26"/>
          <w:szCs w:val="26"/>
        </w:rPr>
        <w:t>Pennsylvania Bulletin</w:t>
      </w:r>
      <w:r w:rsidR="00E92494">
        <w:rPr>
          <w:sz w:val="26"/>
          <w:szCs w:val="26"/>
        </w:rPr>
        <w:t xml:space="preserve"> on December 1, 2018, at 48 </w:t>
      </w:r>
      <w:r w:rsidR="00E92494" w:rsidRPr="00DB5B07">
        <w:rPr>
          <w:i/>
          <w:iCs/>
          <w:sz w:val="26"/>
          <w:szCs w:val="26"/>
        </w:rPr>
        <w:t>Pa. B</w:t>
      </w:r>
      <w:r w:rsidR="00E92494">
        <w:rPr>
          <w:sz w:val="26"/>
          <w:szCs w:val="26"/>
        </w:rPr>
        <w:t xml:space="preserve">. 7496, and in newspapers of general circulation in the affected areas.  </w:t>
      </w:r>
    </w:p>
    <w:p w14:paraId="300C3D91" w14:textId="77777777" w:rsidR="00AB689D" w:rsidRDefault="00AB689D" w:rsidP="00B24187">
      <w:pPr>
        <w:widowControl/>
        <w:spacing w:line="360" w:lineRule="auto"/>
        <w:ind w:firstLine="1440"/>
        <w:rPr>
          <w:sz w:val="26"/>
          <w:szCs w:val="26"/>
        </w:rPr>
      </w:pPr>
    </w:p>
    <w:p w14:paraId="60A29F18" w14:textId="77777777" w:rsidR="00B36DEA" w:rsidRDefault="00B36DEA" w:rsidP="00B24187">
      <w:pPr>
        <w:widowControl/>
        <w:spacing w:line="360" w:lineRule="auto"/>
        <w:ind w:firstLine="1440"/>
        <w:rPr>
          <w:sz w:val="26"/>
          <w:szCs w:val="26"/>
        </w:rPr>
      </w:pPr>
      <w:r>
        <w:rPr>
          <w:sz w:val="26"/>
          <w:szCs w:val="26"/>
        </w:rPr>
        <w:t xml:space="preserve">On December 6, 2018, the Joint Applicants filed Direct Testimony.  </w:t>
      </w:r>
    </w:p>
    <w:p w14:paraId="59BE3721" w14:textId="77777777" w:rsidR="00B36DEA" w:rsidRDefault="00B36DEA" w:rsidP="00B24187">
      <w:pPr>
        <w:widowControl/>
        <w:spacing w:line="360" w:lineRule="auto"/>
        <w:ind w:firstLine="1440"/>
        <w:rPr>
          <w:sz w:val="26"/>
          <w:szCs w:val="26"/>
        </w:rPr>
      </w:pPr>
    </w:p>
    <w:p w14:paraId="7155DDE7" w14:textId="77777777" w:rsidR="00AB689D" w:rsidRDefault="00FB4102" w:rsidP="00B24187">
      <w:pPr>
        <w:widowControl/>
        <w:spacing w:line="360" w:lineRule="auto"/>
        <w:ind w:firstLine="1440"/>
        <w:rPr>
          <w:sz w:val="26"/>
          <w:szCs w:val="26"/>
        </w:rPr>
      </w:pPr>
      <w:r>
        <w:rPr>
          <w:sz w:val="26"/>
          <w:szCs w:val="26"/>
        </w:rPr>
        <w:t>The OSBA filed a Notice of Appearance and a Notice of Intervention and Protest on December 7, 2018.</w:t>
      </w:r>
      <w:r w:rsidR="00AE1556">
        <w:rPr>
          <w:sz w:val="26"/>
          <w:szCs w:val="26"/>
        </w:rPr>
        <w:t xml:space="preserve">  </w:t>
      </w:r>
      <w:r>
        <w:rPr>
          <w:sz w:val="26"/>
          <w:szCs w:val="26"/>
        </w:rPr>
        <w:t>On December 11, 2018</w:t>
      </w:r>
      <w:r w:rsidR="00AE1556">
        <w:rPr>
          <w:sz w:val="26"/>
          <w:szCs w:val="26"/>
        </w:rPr>
        <w:t xml:space="preserve">, </w:t>
      </w:r>
      <w:r>
        <w:rPr>
          <w:sz w:val="26"/>
          <w:szCs w:val="26"/>
        </w:rPr>
        <w:t xml:space="preserve">I&amp;E filed two Notices of Appearance.  </w:t>
      </w:r>
      <w:r w:rsidR="00AE1556">
        <w:rPr>
          <w:sz w:val="26"/>
          <w:szCs w:val="26"/>
        </w:rPr>
        <w:t>The OCA filed a Protest and Public Statement on December 19, 2018</w:t>
      </w:r>
      <w:r w:rsidR="00C66E06">
        <w:rPr>
          <w:sz w:val="26"/>
          <w:szCs w:val="26"/>
        </w:rPr>
        <w:t xml:space="preserve">, prior to filing </w:t>
      </w:r>
      <w:r w:rsidR="00AE1556">
        <w:rPr>
          <w:sz w:val="26"/>
          <w:szCs w:val="26"/>
        </w:rPr>
        <w:t>its Notice of Appearance on January 4, 2019</w:t>
      </w:r>
      <w:r w:rsidR="00C66E06">
        <w:rPr>
          <w:sz w:val="26"/>
          <w:szCs w:val="26"/>
        </w:rPr>
        <w:t xml:space="preserve">.  </w:t>
      </w:r>
    </w:p>
    <w:p w14:paraId="062EDCDC" w14:textId="77777777" w:rsidR="00C66E06" w:rsidRDefault="00C66E06" w:rsidP="00B24187">
      <w:pPr>
        <w:widowControl/>
        <w:spacing w:line="360" w:lineRule="auto"/>
        <w:ind w:firstLine="1440"/>
        <w:rPr>
          <w:sz w:val="26"/>
          <w:szCs w:val="26"/>
        </w:rPr>
      </w:pPr>
    </w:p>
    <w:p w14:paraId="4EDB93CD" w14:textId="77777777" w:rsidR="00C66E06" w:rsidRDefault="0094011C" w:rsidP="00B24187">
      <w:pPr>
        <w:pStyle w:val="FootnoteText"/>
        <w:keepNext/>
        <w:keepLines/>
        <w:spacing w:line="360" w:lineRule="auto"/>
        <w:ind w:firstLine="720"/>
        <w:rPr>
          <w:sz w:val="26"/>
          <w:szCs w:val="26"/>
        </w:rPr>
      </w:pPr>
      <w:r>
        <w:rPr>
          <w:sz w:val="26"/>
          <w:szCs w:val="26"/>
        </w:rPr>
        <w:tab/>
      </w:r>
      <w:r w:rsidR="00F91C7B" w:rsidRPr="00A13EAF">
        <w:rPr>
          <w:sz w:val="26"/>
          <w:szCs w:val="26"/>
        </w:rPr>
        <w:t xml:space="preserve">Several parties also filed Petitions to Intervene, as follows:  on December 11, 2018, </w:t>
      </w:r>
      <w:r w:rsidR="00A822C5" w:rsidRPr="00A13EAF">
        <w:rPr>
          <w:sz w:val="26"/>
          <w:szCs w:val="26"/>
        </w:rPr>
        <w:t>U</w:t>
      </w:r>
      <w:r w:rsidR="00F91C7B" w:rsidRPr="00A13EAF">
        <w:rPr>
          <w:sz w:val="26"/>
          <w:szCs w:val="26"/>
        </w:rPr>
        <w:t xml:space="preserve">WUA; on December 19, 2018, the Laborers’ District Council; on December 21, 2018, PIOGA, </w:t>
      </w:r>
      <w:r w:rsidR="00A822C5" w:rsidRPr="00A13EAF">
        <w:rPr>
          <w:sz w:val="26"/>
          <w:szCs w:val="26"/>
        </w:rPr>
        <w:t>United States Steel Corporation</w:t>
      </w:r>
      <w:r w:rsidR="004B18A0" w:rsidRPr="00A13EAF">
        <w:rPr>
          <w:sz w:val="26"/>
          <w:szCs w:val="26"/>
        </w:rPr>
        <w:t xml:space="preserve"> (U.S. Steel)</w:t>
      </w:r>
      <w:r w:rsidR="00F91C7B" w:rsidRPr="00A13EAF">
        <w:rPr>
          <w:sz w:val="26"/>
          <w:szCs w:val="26"/>
        </w:rPr>
        <w:t>,</w:t>
      </w:r>
      <w:r w:rsidRPr="00A13EAF">
        <w:rPr>
          <w:rStyle w:val="FootnoteReference"/>
          <w:sz w:val="26"/>
          <w:szCs w:val="26"/>
        </w:rPr>
        <w:t xml:space="preserve"> </w:t>
      </w:r>
      <w:r w:rsidRPr="00A13EAF">
        <w:rPr>
          <w:rStyle w:val="FootnoteReference"/>
          <w:sz w:val="26"/>
          <w:szCs w:val="26"/>
        </w:rPr>
        <w:footnoteReference w:id="11"/>
      </w:r>
      <w:r w:rsidR="00F91C7B" w:rsidRPr="00A13EAF">
        <w:rPr>
          <w:sz w:val="26"/>
          <w:szCs w:val="26"/>
        </w:rPr>
        <w:t xml:space="preserve"> and E</w:t>
      </w:r>
      <w:r w:rsidR="003A4DDC" w:rsidRPr="00A13EAF">
        <w:rPr>
          <w:sz w:val="26"/>
          <w:szCs w:val="26"/>
        </w:rPr>
        <w:t>q</w:t>
      </w:r>
      <w:r w:rsidR="00F91C7B" w:rsidRPr="00A13EAF">
        <w:rPr>
          <w:sz w:val="26"/>
          <w:szCs w:val="26"/>
        </w:rPr>
        <w:t>uitrans</w:t>
      </w:r>
      <w:r w:rsidR="003A4DDC" w:rsidRPr="00A13EAF">
        <w:rPr>
          <w:sz w:val="26"/>
          <w:szCs w:val="26"/>
        </w:rPr>
        <w:t>, L.P.</w:t>
      </w:r>
      <w:r w:rsidR="00813589" w:rsidRPr="00A13EAF">
        <w:rPr>
          <w:sz w:val="26"/>
          <w:szCs w:val="26"/>
        </w:rPr>
        <w:t xml:space="preserve"> (Equitrans)</w:t>
      </w:r>
      <w:r w:rsidR="00F91C7B" w:rsidRPr="00A13EAF">
        <w:rPr>
          <w:sz w:val="26"/>
          <w:szCs w:val="26"/>
        </w:rPr>
        <w:t xml:space="preserve">; on </w:t>
      </w:r>
      <w:r w:rsidR="003A4DDC" w:rsidRPr="00A13EAF">
        <w:rPr>
          <w:sz w:val="26"/>
          <w:szCs w:val="26"/>
        </w:rPr>
        <w:t>December 26, 2018, Duquesne Light</w:t>
      </w:r>
      <w:r w:rsidR="00A822C5" w:rsidRPr="00A13EAF">
        <w:rPr>
          <w:sz w:val="26"/>
          <w:szCs w:val="26"/>
        </w:rPr>
        <w:t xml:space="preserve"> Company</w:t>
      </w:r>
      <w:r w:rsidR="00725BA7" w:rsidRPr="00A13EAF">
        <w:rPr>
          <w:sz w:val="26"/>
          <w:szCs w:val="26"/>
        </w:rPr>
        <w:t xml:space="preserve"> (Duquesne Light)</w:t>
      </w:r>
      <w:r w:rsidR="003A4DDC" w:rsidRPr="00A13EAF">
        <w:rPr>
          <w:sz w:val="26"/>
          <w:szCs w:val="26"/>
        </w:rPr>
        <w:t xml:space="preserve">; on December 27, 2018, CAUSE-PA; on December 31, 2018, </w:t>
      </w:r>
      <w:r w:rsidR="000B7650" w:rsidRPr="00A13EAF">
        <w:rPr>
          <w:sz w:val="26"/>
          <w:szCs w:val="26"/>
        </w:rPr>
        <w:t xml:space="preserve">the </w:t>
      </w:r>
      <w:r w:rsidR="0068437F" w:rsidRPr="00A13EAF">
        <w:rPr>
          <w:sz w:val="26"/>
          <w:szCs w:val="26"/>
        </w:rPr>
        <w:t>NGS Parties</w:t>
      </w:r>
      <w:r w:rsidR="00A822C5" w:rsidRPr="00A13EAF">
        <w:rPr>
          <w:sz w:val="26"/>
          <w:szCs w:val="26"/>
        </w:rPr>
        <w:t xml:space="preserve">, </w:t>
      </w:r>
      <w:r w:rsidR="0068437F" w:rsidRPr="00A13EAF">
        <w:rPr>
          <w:sz w:val="26"/>
          <w:szCs w:val="26"/>
        </w:rPr>
        <w:t>RESA</w:t>
      </w:r>
      <w:r w:rsidR="00A822C5" w:rsidRPr="00A13EAF">
        <w:rPr>
          <w:sz w:val="26"/>
          <w:szCs w:val="26"/>
        </w:rPr>
        <w:t xml:space="preserve">, </w:t>
      </w:r>
      <w:r w:rsidR="003A4DDC" w:rsidRPr="00A13EAF">
        <w:rPr>
          <w:sz w:val="26"/>
          <w:szCs w:val="26"/>
        </w:rPr>
        <w:t xml:space="preserve">and </w:t>
      </w:r>
      <w:r w:rsidR="003D2643" w:rsidRPr="00A13EAF">
        <w:rPr>
          <w:sz w:val="26"/>
          <w:szCs w:val="26"/>
        </w:rPr>
        <w:t>Direct Energy</w:t>
      </w:r>
      <w:r w:rsidR="00A822C5" w:rsidRPr="00A13EAF">
        <w:rPr>
          <w:sz w:val="26"/>
          <w:szCs w:val="26"/>
        </w:rPr>
        <w:t>.</w:t>
      </w:r>
    </w:p>
    <w:p w14:paraId="58C1FBEF" w14:textId="77777777" w:rsidR="003A4DDC" w:rsidRDefault="003A4DDC" w:rsidP="00B24187">
      <w:pPr>
        <w:widowControl/>
        <w:spacing w:line="360" w:lineRule="auto"/>
        <w:ind w:firstLine="1440"/>
        <w:rPr>
          <w:sz w:val="26"/>
          <w:szCs w:val="26"/>
        </w:rPr>
      </w:pPr>
    </w:p>
    <w:p w14:paraId="24EADF36" w14:textId="77777777" w:rsidR="006006C8" w:rsidRDefault="006006C8" w:rsidP="00B24187">
      <w:pPr>
        <w:widowControl/>
        <w:spacing w:line="360" w:lineRule="auto"/>
        <w:ind w:firstLine="1440"/>
        <w:rPr>
          <w:sz w:val="26"/>
          <w:szCs w:val="26"/>
        </w:rPr>
      </w:pPr>
      <w:r>
        <w:rPr>
          <w:sz w:val="26"/>
          <w:szCs w:val="26"/>
        </w:rPr>
        <w:t>On February 11, 2019, the Joint Applicants filed an unopposed Motion for Protective Order that was granted by Interim Order dated February 14, 2019.</w:t>
      </w:r>
    </w:p>
    <w:p w14:paraId="6181D6DC" w14:textId="77777777" w:rsidR="00483BA0" w:rsidRDefault="00483BA0" w:rsidP="00B24187">
      <w:pPr>
        <w:widowControl/>
        <w:spacing w:line="360" w:lineRule="auto"/>
        <w:ind w:firstLine="1440"/>
        <w:rPr>
          <w:sz w:val="26"/>
          <w:szCs w:val="26"/>
        </w:rPr>
      </w:pPr>
    </w:p>
    <w:p w14:paraId="4D1C9142" w14:textId="72A159BB" w:rsidR="00B36DEA" w:rsidRDefault="00B36DEA" w:rsidP="00B24187">
      <w:pPr>
        <w:widowControl/>
        <w:spacing w:line="360" w:lineRule="auto"/>
        <w:ind w:firstLine="1440"/>
        <w:rPr>
          <w:sz w:val="26"/>
          <w:szCs w:val="26"/>
        </w:rPr>
      </w:pPr>
      <w:r>
        <w:rPr>
          <w:sz w:val="26"/>
          <w:szCs w:val="26"/>
        </w:rPr>
        <w:t xml:space="preserve">On March 25, 2019, the Joint Applicants filed revised Direct Testimony.  On April 2, 2019, the Parties served direct testimony.  On April 30, 2019, the Parties served rebuttal testimony.  On May 21, the Parties served surrebuttal testimony.  </w:t>
      </w:r>
    </w:p>
    <w:p w14:paraId="5BFD7AEC" w14:textId="77777777" w:rsidR="006006C8" w:rsidRDefault="006006C8" w:rsidP="00B24187">
      <w:pPr>
        <w:widowControl/>
        <w:spacing w:line="360" w:lineRule="auto"/>
        <w:ind w:firstLine="1440"/>
        <w:rPr>
          <w:sz w:val="26"/>
          <w:szCs w:val="26"/>
        </w:rPr>
      </w:pPr>
    </w:p>
    <w:p w14:paraId="2661A9CB" w14:textId="77777777" w:rsidR="003D1A9A" w:rsidRDefault="00AE06C5" w:rsidP="00B24187">
      <w:pPr>
        <w:widowControl/>
        <w:spacing w:line="360" w:lineRule="auto"/>
        <w:ind w:firstLine="1440"/>
        <w:rPr>
          <w:sz w:val="26"/>
          <w:szCs w:val="26"/>
        </w:rPr>
      </w:pPr>
      <w:r>
        <w:rPr>
          <w:sz w:val="26"/>
          <w:szCs w:val="26"/>
        </w:rPr>
        <w:lastRenderedPageBreak/>
        <w:t xml:space="preserve">On June 11, 2019, </w:t>
      </w:r>
      <w:r w:rsidR="0094011C">
        <w:rPr>
          <w:sz w:val="26"/>
          <w:szCs w:val="26"/>
        </w:rPr>
        <w:t xml:space="preserve">evidentiary </w:t>
      </w:r>
      <w:r>
        <w:rPr>
          <w:sz w:val="26"/>
          <w:szCs w:val="26"/>
        </w:rPr>
        <w:t xml:space="preserve">hearings were held.  </w:t>
      </w:r>
      <w:r w:rsidR="003D2643">
        <w:rPr>
          <w:sz w:val="26"/>
          <w:szCs w:val="26"/>
        </w:rPr>
        <w:t>The t</w:t>
      </w:r>
      <w:r>
        <w:rPr>
          <w:sz w:val="26"/>
          <w:szCs w:val="26"/>
        </w:rPr>
        <w:t>erms of the Settlement were provided as Settlement Parties Joint Exhibit 1,</w:t>
      </w:r>
      <w:r w:rsidR="00B16D32">
        <w:rPr>
          <w:rStyle w:val="FootnoteReference"/>
          <w:sz w:val="26"/>
          <w:szCs w:val="26"/>
        </w:rPr>
        <w:footnoteReference w:id="12"/>
      </w:r>
      <w:r>
        <w:rPr>
          <w:sz w:val="26"/>
          <w:szCs w:val="26"/>
        </w:rPr>
        <w:t xml:space="preserve"> and witnesses for the Joint Applicants, I&amp;E, and </w:t>
      </w:r>
      <w:r w:rsidR="00E255A1">
        <w:rPr>
          <w:sz w:val="26"/>
          <w:szCs w:val="26"/>
        </w:rPr>
        <w:t xml:space="preserve">the </w:t>
      </w:r>
      <w:r>
        <w:rPr>
          <w:sz w:val="26"/>
          <w:szCs w:val="26"/>
        </w:rPr>
        <w:t>OSBA were cross-examined</w:t>
      </w:r>
      <w:r w:rsidR="003D2643">
        <w:rPr>
          <w:sz w:val="26"/>
          <w:szCs w:val="26"/>
        </w:rPr>
        <w:t xml:space="preserve"> on</w:t>
      </w:r>
      <w:r>
        <w:rPr>
          <w:sz w:val="26"/>
          <w:szCs w:val="26"/>
        </w:rPr>
        <w:t xml:space="preserve"> questions involving provisions of the Settlement.  </w:t>
      </w:r>
    </w:p>
    <w:p w14:paraId="0BBBA678" w14:textId="77777777" w:rsidR="009C0EDB" w:rsidRDefault="009C0EDB" w:rsidP="00B24187">
      <w:pPr>
        <w:widowControl/>
        <w:spacing w:line="360" w:lineRule="auto"/>
        <w:ind w:firstLine="1440"/>
        <w:rPr>
          <w:sz w:val="26"/>
          <w:szCs w:val="26"/>
        </w:rPr>
      </w:pPr>
    </w:p>
    <w:p w14:paraId="38EDF547" w14:textId="77777777" w:rsidR="009C0EDB" w:rsidRDefault="009C0EDB" w:rsidP="00B24187">
      <w:pPr>
        <w:widowControl/>
        <w:spacing w:line="360" w:lineRule="auto"/>
        <w:ind w:firstLine="1440"/>
        <w:rPr>
          <w:sz w:val="26"/>
          <w:szCs w:val="26"/>
        </w:rPr>
      </w:pPr>
      <w:r>
        <w:rPr>
          <w:sz w:val="26"/>
          <w:szCs w:val="26"/>
        </w:rPr>
        <w:t xml:space="preserve">Pursuant to the agreement of the </w:t>
      </w:r>
      <w:r w:rsidR="00E255A1">
        <w:rPr>
          <w:sz w:val="26"/>
          <w:szCs w:val="26"/>
        </w:rPr>
        <w:t>P</w:t>
      </w:r>
      <w:r>
        <w:rPr>
          <w:sz w:val="26"/>
          <w:szCs w:val="26"/>
        </w:rPr>
        <w:t xml:space="preserve">arties, the ALJ directed that the Settlement be filed no later than June 26, 2019, and the </w:t>
      </w:r>
      <w:r w:rsidR="00E255A1">
        <w:rPr>
          <w:sz w:val="26"/>
          <w:szCs w:val="26"/>
        </w:rPr>
        <w:t>P</w:t>
      </w:r>
      <w:r>
        <w:rPr>
          <w:sz w:val="26"/>
          <w:szCs w:val="26"/>
        </w:rPr>
        <w:t xml:space="preserve">arties opposing the Settlement provide comments on the proposed </w:t>
      </w:r>
      <w:r w:rsidR="00A442FF">
        <w:rPr>
          <w:sz w:val="26"/>
          <w:szCs w:val="26"/>
        </w:rPr>
        <w:t>S</w:t>
      </w:r>
      <w:r>
        <w:rPr>
          <w:sz w:val="26"/>
          <w:szCs w:val="26"/>
        </w:rPr>
        <w:t xml:space="preserve">ettlement as part of their Main Briefs.  </w:t>
      </w:r>
    </w:p>
    <w:p w14:paraId="1BE77AAA" w14:textId="77777777" w:rsidR="00222840" w:rsidRDefault="00222840" w:rsidP="00B24187">
      <w:pPr>
        <w:widowControl/>
        <w:spacing w:line="360" w:lineRule="auto"/>
        <w:ind w:firstLine="1440"/>
        <w:rPr>
          <w:sz w:val="26"/>
          <w:szCs w:val="26"/>
        </w:rPr>
      </w:pPr>
    </w:p>
    <w:p w14:paraId="1A598561" w14:textId="77777777" w:rsidR="009C0EDB" w:rsidRDefault="009C0EDB" w:rsidP="00B24187">
      <w:pPr>
        <w:widowControl/>
        <w:spacing w:line="360" w:lineRule="auto"/>
        <w:ind w:firstLine="1440"/>
        <w:rPr>
          <w:sz w:val="26"/>
          <w:szCs w:val="26"/>
        </w:rPr>
      </w:pPr>
      <w:r>
        <w:rPr>
          <w:sz w:val="26"/>
          <w:szCs w:val="26"/>
        </w:rPr>
        <w:t xml:space="preserve">The Settlement and Statements in Support were filed as directed.  </w:t>
      </w:r>
      <w:r w:rsidR="00E255A1">
        <w:rPr>
          <w:sz w:val="26"/>
          <w:szCs w:val="26"/>
        </w:rPr>
        <w:t>T</w:t>
      </w:r>
      <w:r>
        <w:rPr>
          <w:sz w:val="26"/>
          <w:szCs w:val="26"/>
        </w:rPr>
        <w:t xml:space="preserve">he Joint Applicants, I&amp;E, and the OSBA </w:t>
      </w:r>
      <w:r w:rsidR="00E255A1">
        <w:rPr>
          <w:sz w:val="26"/>
          <w:szCs w:val="26"/>
        </w:rPr>
        <w:t xml:space="preserve">filed Main Briefs </w:t>
      </w:r>
      <w:r>
        <w:rPr>
          <w:sz w:val="26"/>
          <w:szCs w:val="26"/>
        </w:rPr>
        <w:t>on July 10, 2019.</w:t>
      </w:r>
      <w:r>
        <w:rPr>
          <w:rStyle w:val="FootnoteReference"/>
          <w:sz w:val="26"/>
          <w:szCs w:val="26"/>
        </w:rPr>
        <w:footnoteReference w:id="13"/>
      </w:r>
      <w:r>
        <w:rPr>
          <w:sz w:val="26"/>
          <w:szCs w:val="26"/>
        </w:rPr>
        <w:t xml:space="preserve">  </w:t>
      </w:r>
      <w:r w:rsidR="00E255A1">
        <w:rPr>
          <w:sz w:val="26"/>
          <w:szCs w:val="26"/>
        </w:rPr>
        <w:t>T</w:t>
      </w:r>
      <w:r>
        <w:rPr>
          <w:sz w:val="26"/>
          <w:szCs w:val="26"/>
        </w:rPr>
        <w:t xml:space="preserve">he Joint Applicants, I&amp;E, the OCA, the OSBA and CAUSE-PA </w:t>
      </w:r>
      <w:r w:rsidR="00E255A1">
        <w:rPr>
          <w:sz w:val="26"/>
          <w:szCs w:val="26"/>
        </w:rPr>
        <w:t xml:space="preserve">filed Reply Briefs </w:t>
      </w:r>
      <w:r>
        <w:rPr>
          <w:sz w:val="26"/>
          <w:szCs w:val="26"/>
        </w:rPr>
        <w:t xml:space="preserve">on July 25, 2019.  </w:t>
      </w:r>
    </w:p>
    <w:p w14:paraId="775EA7DC" w14:textId="77777777" w:rsidR="00011AB7" w:rsidRDefault="00011AB7" w:rsidP="00B24187">
      <w:pPr>
        <w:widowControl/>
        <w:spacing w:line="360" w:lineRule="auto"/>
        <w:ind w:firstLine="1440"/>
        <w:rPr>
          <w:sz w:val="26"/>
          <w:szCs w:val="26"/>
        </w:rPr>
      </w:pPr>
    </w:p>
    <w:p w14:paraId="055AAA06" w14:textId="07651F7B" w:rsidR="00011AB7" w:rsidRDefault="00011AB7" w:rsidP="00B24187">
      <w:pPr>
        <w:widowControl/>
        <w:spacing w:line="360" w:lineRule="auto"/>
        <w:ind w:firstLine="1440"/>
        <w:rPr>
          <w:sz w:val="26"/>
          <w:szCs w:val="26"/>
        </w:rPr>
      </w:pPr>
      <w:r>
        <w:rPr>
          <w:sz w:val="26"/>
          <w:szCs w:val="26"/>
        </w:rPr>
        <w:t>The record was closed by Interim Order dated July 30, 2019.</w:t>
      </w:r>
      <w:r w:rsidR="00A36416">
        <w:rPr>
          <w:sz w:val="26"/>
          <w:szCs w:val="26"/>
        </w:rPr>
        <w:t xml:space="preserve">  The record consists of a 246-page transcript and the</w:t>
      </w:r>
      <w:r w:rsidR="003D57FE">
        <w:rPr>
          <w:sz w:val="26"/>
          <w:szCs w:val="26"/>
        </w:rPr>
        <w:t xml:space="preserve"> Parties’ various testimony and exhibits.</w:t>
      </w:r>
      <w:r w:rsidR="00A36416">
        <w:rPr>
          <w:sz w:val="26"/>
          <w:szCs w:val="26"/>
        </w:rPr>
        <w:t xml:space="preserve"> </w:t>
      </w:r>
      <w:r>
        <w:rPr>
          <w:sz w:val="26"/>
          <w:szCs w:val="26"/>
        </w:rPr>
        <w:t xml:space="preserve"> </w:t>
      </w:r>
    </w:p>
    <w:p w14:paraId="0239487A" w14:textId="77777777" w:rsidR="00DF37DB" w:rsidRDefault="00DF37DB" w:rsidP="00B24187">
      <w:pPr>
        <w:widowControl/>
        <w:spacing w:line="360" w:lineRule="auto"/>
        <w:ind w:firstLine="1440"/>
        <w:rPr>
          <w:sz w:val="26"/>
          <w:szCs w:val="26"/>
        </w:rPr>
      </w:pPr>
    </w:p>
    <w:p w14:paraId="6A9E2ECF" w14:textId="4D756502" w:rsidR="00DF37DB" w:rsidRDefault="00D97DA7" w:rsidP="00B24187">
      <w:pPr>
        <w:widowControl/>
        <w:spacing w:line="360" w:lineRule="auto"/>
        <w:ind w:firstLine="1440"/>
        <w:rPr>
          <w:sz w:val="26"/>
          <w:szCs w:val="26"/>
        </w:rPr>
      </w:pPr>
      <w:r>
        <w:rPr>
          <w:sz w:val="26"/>
          <w:szCs w:val="26"/>
        </w:rPr>
        <w:t>T</w:t>
      </w:r>
      <w:r w:rsidR="00DF37DB">
        <w:rPr>
          <w:sz w:val="26"/>
          <w:szCs w:val="26"/>
        </w:rPr>
        <w:t xml:space="preserve">he Commission issued ALJ Long’s Recommended Decision on October 28, 2019, in which she recommended </w:t>
      </w:r>
      <w:r w:rsidR="00417F51">
        <w:rPr>
          <w:sz w:val="26"/>
          <w:szCs w:val="26"/>
        </w:rPr>
        <w:t>approval of</w:t>
      </w:r>
      <w:r w:rsidR="00DF37DB">
        <w:rPr>
          <w:sz w:val="26"/>
          <w:szCs w:val="26"/>
        </w:rPr>
        <w:t xml:space="preserve"> the Proposed Transaction</w:t>
      </w:r>
      <w:r w:rsidR="00417F51">
        <w:rPr>
          <w:sz w:val="26"/>
          <w:szCs w:val="26"/>
        </w:rPr>
        <w:t>, as modified by the</w:t>
      </w:r>
      <w:r w:rsidR="00DF37DB">
        <w:rPr>
          <w:sz w:val="26"/>
          <w:szCs w:val="26"/>
        </w:rPr>
        <w:t xml:space="preserve"> Settlement</w:t>
      </w:r>
      <w:r w:rsidR="00417F51">
        <w:rPr>
          <w:sz w:val="26"/>
          <w:szCs w:val="26"/>
        </w:rPr>
        <w:t>, finding that it</w:t>
      </w:r>
      <w:r w:rsidR="00DF37DB">
        <w:rPr>
          <w:sz w:val="26"/>
          <w:szCs w:val="26"/>
        </w:rPr>
        <w:t xml:space="preserve"> </w:t>
      </w:r>
      <w:r w:rsidR="00417F51">
        <w:rPr>
          <w:sz w:val="26"/>
          <w:szCs w:val="26"/>
        </w:rPr>
        <w:t>provided affirmative public benefits and was</w:t>
      </w:r>
      <w:r w:rsidR="00DF37DB">
        <w:rPr>
          <w:sz w:val="26"/>
          <w:szCs w:val="26"/>
        </w:rPr>
        <w:t xml:space="preserve"> supported by substantial evidence.  R.D. at 103.</w:t>
      </w:r>
      <w:r w:rsidR="007D599A">
        <w:rPr>
          <w:rStyle w:val="FootnoteReference"/>
          <w:sz w:val="26"/>
          <w:szCs w:val="26"/>
        </w:rPr>
        <w:footnoteReference w:id="14"/>
      </w:r>
      <w:r>
        <w:rPr>
          <w:sz w:val="26"/>
          <w:szCs w:val="26"/>
        </w:rPr>
        <w:t xml:space="preserve">  The Parties filed Exceptions and Replies to Exceptions are previously noted. </w:t>
      </w:r>
      <w:r w:rsidR="00DF37DB">
        <w:rPr>
          <w:sz w:val="26"/>
          <w:szCs w:val="26"/>
        </w:rPr>
        <w:t xml:space="preserve"> </w:t>
      </w:r>
    </w:p>
    <w:p w14:paraId="3C7BB994" w14:textId="77777777" w:rsidR="001E0E0F" w:rsidRDefault="001E0E0F" w:rsidP="00B24187">
      <w:pPr>
        <w:widowControl/>
        <w:spacing w:line="360" w:lineRule="auto"/>
        <w:ind w:firstLine="1440"/>
        <w:rPr>
          <w:sz w:val="26"/>
          <w:szCs w:val="26"/>
        </w:rPr>
      </w:pPr>
    </w:p>
    <w:p w14:paraId="500F28FA" w14:textId="77777777" w:rsidR="00736196" w:rsidRPr="00471F17" w:rsidRDefault="00736196" w:rsidP="00B24187">
      <w:pPr>
        <w:pStyle w:val="Heading1"/>
        <w:keepNext/>
        <w:rPr>
          <w:szCs w:val="26"/>
        </w:rPr>
      </w:pPr>
      <w:bookmarkStart w:id="14" w:name="_Toc29278176"/>
      <w:r w:rsidRPr="00471F17">
        <w:rPr>
          <w:szCs w:val="26"/>
        </w:rPr>
        <w:t>Discussion</w:t>
      </w:r>
      <w:bookmarkEnd w:id="14"/>
    </w:p>
    <w:p w14:paraId="70A3D4AF" w14:textId="77777777" w:rsidR="002B0C7E" w:rsidRPr="00471F17" w:rsidRDefault="002B0C7E" w:rsidP="00B24187">
      <w:pPr>
        <w:keepNext/>
        <w:widowControl/>
        <w:spacing w:line="360" w:lineRule="auto"/>
        <w:rPr>
          <w:sz w:val="26"/>
          <w:szCs w:val="26"/>
        </w:rPr>
      </w:pPr>
    </w:p>
    <w:p w14:paraId="582343EB" w14:textId="77777777" w:rsidR="006F3BD1" w:rsidRPr="00981B2B" w:rsidRDefault="006F3BD1" w:rsidP="00B24187">
      <w:pPr>
        <w:pStyle w:val="Heading2"/>
        <w:widowControl/>
        <w:numPr>
          <w:ilvl w:val="0"/>
          <w:numId w:val="23"/>
        </w:numPr>
        <w:ind w:hanging="720"/>
        <w:rPr>
          <w:rFonts w:eastAsiaTheme="minorHAnsi"/>
        </w:rPr>
      </w:pPr>
      <w:bookmarkStart w:id="15" w:name="_Toc29278177"/>
      <w:r w:rsidRPr="00981B2B">
        <w:rPr>
          <w:rFonts w:eastAsiaTheme="minorHAnsi"/>
        </w:rPr>
        <w:t>Legal Standards</w:t>
      </w:r>
      <w:bookmarkEnd w:id="15"/>
    </w:p>
    <w:p w14:paraId="5BF1826F" w14:textId="77777777" w:rsidR="006F3BD1" w:rsidRPr="006F3BD1" w:rsidRDefault="006F3BD1" w:rsidP="00B24187">
      <w:pPr>
        <w:widowControl/>
        <w:spacing w:line="360" w:lineRule="auto"/>
        <w:rPr>
          <w:rFonts w:eastAsiaTheme="minorHAnsi" w:cstheme="minorBidi"/>
          <w:sz w:val="26"/>
          <w:szCs w:val="22"/>
        </w:rPr>
      </w:pPr>
    </w:p>
    <w:p w14:paraId="5B25C406" w14:textId="77777777" w:rsidR="006F3BD1" w:rsidRPr="006F3BD1" w:rsidRDefault="006F3BD1" w:rsidP="00B24187">
      <w:pPr>
        <w:widowControl/>
        <w:spacing w:line="360" w:lineRule="auto"/>
        <w:rPr>
          <w:rFonts w:eastAsiaTheme="minorHAnsi" w:cstheme="minorBidi"/>
          <w:b/>
          <w:sz w:val="26"/>
          <w:szCs w:val="22"/>
        </w:rPr>
      </w:pPr>
      <w:r w:rsidRPr="006F3BD1">
        <w:rPr>
          <w:rFonts w:eastAsiaTheme="minorHAnsi" w:cstheme="minorBidi"/>
          <w:sz w:val="26"/>
          <w:szCs w:val="22"/>
        </w:rPr>
        <w:tab/>
      </w:r>
      <w:r w:rsidRPr="006F3BD1">
        <w:rPr>
          <w:rFonts w:eastAsiaTheme="minorHAnsi" w:cstheme="minorBidi"/>
          <w:sz w:val="26"/>
          <w:szCs w:val="22"/>
        </w:rPr>
        <w:tab/>
        <w:t xml:space="preserve">Initially, we are reminded that we are not required to consider expressly or at great length each and every contention raised by a party to our proceedings.  </w:t>
      </w:r>
      <w:r w:rsidRPr="006F3BD1">
        <w:rPr>
          <w:rFonts w:eastAsiaTheme="minorHAnsi" w:cstheme="minorBidi"/>
          <w:i/>
          <w:sz w:val="26"/>
          <w:szCs w:val="22"/>
        </w:rPr>
        <w:t>University of Pennsylvania, et al. v. Pa. PUC</w:t>
      </w:r>
      <w:r w:rsidRPr="006F3BD1">
        <w:rPr>
          <w:rFonts w:eastAsiaTheme="minorHAnsi" w:cstheme="minorBidi"/>
          <w:sz w:val="26"/>
          <w:szCs w:val="22"/>
        </w:rPr>
        <w:t xml:space="preserve">, 485 A.2d 1217, 1222 (Pa. Cmwlth. 1984).  Any exception or argument that is not specifically addressed herein shall be deemed to have been duly considered and denied without further discussion.  </w:t>
      </w:r>
    </w:p>
    <w:p w14:paraId="52DE0301" w14:textId="77777777" w:rsidR="006F3BD1" w:rsidRPr="006F3BD1" w:rsidRDefault="006F3BD1" w:rsidP="00B24187">
      <w:pPr>
        <w:widowControl/>
        <w:spacing w:line="360" w:lineRule="auto"/>
        <w:rPr>
          <w:rFonts w:eastAsiaTheme="minorHAnsi" w:cstheme="minorBidi"/>
          <w:sz w:val="26"/>
          <w:szCs w:val="22"/>
        </w:rPr>
      </w:pPr>
    </w:p>
    <w:p w14:paraId="2A261BA0" w14:textId="77777777" w:rsidR="006F3BD1" w:rsidRPr="006F3BD1" w:rsidRDefault="006F3BD1" w:rsidP="00B24187">
      <w:pPr>
        <w:widowControl/>
        <w:spacing w:line="360" w:lineRule="auto"/>
        <w:rPr>
          <w:rFonts w:eastAsiaTheme="minorHAnsi" w:cstheme="minorBidi"/>
          <w:sz w:val="26"/>
          <w:szCs w:val="22"/>
        </w:rPr>
      </w:pPr>
      <w:r w:rsidRPr="006F3BD1">
        <w:rPr>
          <w:rFonts w:eastAsiaTheme="minorHAnsi" w:cstheme="minorBidi"/>
          <w:sz w:val="26"/>
          <w:szCs w:val="22"/>
        </w:rPr>
        <w:tab/>
      </w:r>
      <w:r w:rsidRPr="006F3BD1">
        <w:rPr>
          <w:rFonts w:eastAsiaTheme="minorHAnsi" w:cstheme="minorBidi"/>
          <w:sz w:val="26"/>
          <w:szCs w:val="22"/>
        </w:rPr>
        <w:tab/>
        <w:t>The ALJ made seventy-nine Findings of Fact and reached nine Conclusions of Law.  R.D. at 4-15, 103-105.  The Findings of Fact and Conclusions of Law are incorporated herein by reference and are adopted without comment unless they are either expressly or by necessary implication rejected or modified by this Opinion and Order.</w:t>
      </w:r>
    </w:p>
    <w:p w14:paraId="12FE8FEF" w14:textId="77777777" w:rsidR="006F3BD1" w:rsidRPr="006F3BD1" w:rsidRDefault="006F3BD1" w:rsidP="00B24187">
      <w:pPr>
        <w:widowControl/>
        <w:spacing w:line="360" w:lineRule="auto"/>
        <w:rPr>
          <w:rFonts w:eastAsiaTheme="minorHAnsi" w:cstheme="minorBidi"/>
          <w:sz w:val="26"/>
          <w:szCs w:val="26"/>
        </w:rPr>
      </w:pPr>
    </w:p>
    <w:p w14:paraId="4AE49040" w14:textId="77777777" w:rsidR="006F3BD1" w:rsidRPr="006F3BD1" w:rsidRDefault="006F3BD1" w:rsidP="00B24187">
      <w:pPr>
        <w:widowControl/>
        <w:spacing w:line="360" w:lineRule="auto"/>
        <w:ind w:firstLine="1440"/>
        <w:rPr>
          <w:rFonts w:eastAsiaTheme="minorHAnsi" w:cstheme="minorBidi"/>
          <w:sz w:val="26"/>
          <w:szCs w:val="26"/>
        </w:rPr>
      </w:pPr>
      <w:r w:rsidRPr="006F3BD1">
        <w:rPr>
          <w:rFonts w:eastAsiaTheme="minorHAnsi" w:cstheme="minorBidi"/>
          <w:sz w:val="26"/>
          <w:szCs w:val="26"/>
        </w:rPr>
        <w:t xml:space="preserve">Section 332(a) of the Code, 66 Pa. C.S. § 332(a), provides that the party seeking affirmative relief from the Commission bears the burden of proof.  As the parties seeking approval of the Proposed Transaction, the Joint Applicants have the burden of proving that they satisfy the requirements of the Code, particularly Sections 1102 and 1103 of the Code, 66 Pa. C.S. §§ 1102 and 1103.  The term “burden of proof” means a duty to establish a fact by a preponderance of the evidence.  </w:t>
      </w:r>
      <w:r w:rsidRPr="006F3BD1">
        <w:rPr>
          <w:rFonts w:eastAsiaTheme="minorHAnsi" w:cstheme="minorBidi"/>
          <w:i/>
          <w:sz w:val="26"/>
          <w:szCs w:val="26"/>
        </w:rPr>
        <w:t>Se-Ling Hosiery v. Margulies</w:t>
      </w:r>
      <w:r w:rsidRPr="006F3BD1">
        <w:rPr>
          <w:rFonts w:eastAsiaTheme="minorHAnsi" w:cstheme="minorBidi"/>
          <w:sz w:val="26"/>
          <w:szCs w:val="26"/>
        </w:rPr>
        <w:t xml:space="preserve">, 364 Pa. 45, 70 A.2d 854 (1954); </w:t>
      </w:r>
      <w:r w:rsidRPr="006F3BD1">
        <w:rPr>
          <w:rFonts w:eastAsiaTheme="minorHAnsi" w:cstheme="minorBidi"/>
          <w:i/>
          <w:sz w:val="26"/>
          <w:szCs w:val="26"/>
        </w:rPr>
        <w:t>Samuel J. Lansberry, Inc. v. Pa. PUC</w:t>
      </w:r>
      <w:r w:rsidRPr="006F3BD1">
        <w:rPr>
          <w:rFonts w:eastAsiaTheme="minorHAnsi" w:cstheme="minorBidi"/>
          <w:sz w:val="26"/>
          <w:szCs w:val="26"/>
        </w:rPr>
        <w:t xml:space="preserve">, 578 A.2d 600 (Pa. Cmwlth. 1990); and </w:t>
      </w:r>
      <w:r w:rsidRPr="006F3BD1">
        <w:rPr>
          <w:rFonts w:eastAsiaTheme="minorHAnsi" w:cstheme="minorBidi"/>
          <w:i/>
          <w:sz w:val="26"/>
          <w:szCs w:val="26"/>
        </w:rPr>
        <w:t>Feinstein v. Philadelphia Suburban Water Company</w:t>
      </w:r>
      <w:r w:rsidRPr="006F3BD1">
        <w:rPr>
          <w:rFonts w:eastAsiaTheme="minorHAnsi" w:cstheme="minorBidi"/>
          <w:sz w:val="26"/>
          <w:szCs w:val="26"/>
        </w:rPr>
        <w:t xml:space="preserve">, 50 Pa. P.U.C. 300 (1976).  The term “preponderance of the evidence” means one party must present evidence which is more convincing, by even the smallest amount, than the evidence presented by the other party.  </w:t>
      </w:r>
      <w:r w:rsidRPr="006F3BD1">
        <w:rPr>
          <w:rFonts w:eastAsiaTheme="minorHAnsi" w:cstheme="minorBidi"/>
          <w:i/>
          <w:sz w:val="26"/>
          <w:szCs w:val="26"/>
        </w:rPr>
        <w:t>Lansberry, supra.</w:t>
      </w:r>
      <w:r w:rsidRPr="006F3BD1">
        <w:rPr>
          <w:rFonts w:eastAsiaTheme="minorHAnsi" w:cstheme="minorBidi"/>
          <w:sz w:val="26"/>
          <w:szCs w:val="26"/>
        </w:rPr>
        <w:t xml:space="preserve">  Additionally, this Commission’s decision must be supported by substantial evidence in the record.  More is required than a mere trace of evidence or a suspicion of the existence of a fact sought to </w:t>
      </w:r>
      <w:r w:rsidRPr="006F3BD1">
        <w:rPr>
          <w:rFonts w:eastAsiaTheme="minorHAnsi" w:cstheme="minorBidi"/>
          <w:sz w:val="26"/>
          <w:szCs w:val="26"/>
        </w:rPr>
        <w:lastRenderedPageBreak/>
        <w:t xml:space="preserve">be established.  </w:t>
      </w:r>
      <w:r w:rsidRPr="006F3BD1">
        <w:rPr>
          <w:rFonts w:eastAsiaTheme="minorHAnsi" w:cstheme="minorBidi"/>
          <w:i/>
          <w:sz w:val="26"/>
          <w:szCs w:val="26"/>
        </w:rPr>
        <w:t xml:space="preserve">Norfolk &amp; Western Ry. Co. v. Pa. PUC, </w:t>
      </w:r>
      <w:r w:rsidRPr="006F3BD1">
        <w:rPr>
          <w:rFonts w:eastAsiaTheme="minorHAnsi" w:cstheme="minorBidi"/>
          <w:sz w:val="26"/>
          <w:szCs w:val="26"/>
        </w:rPr>
        <w:t>489 Pa. 109, 413 A.2d 1037 (1980).</w:t>
      </w:r>
    </w:p>
    <w:p w14:paraId="3D7ECB94" w14:textId="6C0C2FB5" w:rsidR="003D2643" w:rsidRDefault="003D2643" w:rsidP="00B24187">
      <w:pPr>
        <w:widowControl/>
        <w:spacing w:line="360" w:lineRule="auto"/>
        <w:rPr>
          <w:rFonts w:eastAsiaTheme="minorHAnsi" w:cstheme="minorBidi"/>
          <w:sz w:val="26"/>
          <w:szCs w:val="26"/>
        </w:rPr>
      </w:pPr>
    </w:p>
    <w:p w14:paraId="4454CEEC" w14:textId="77777777" w:rsidR="006F3BD1" w:rsidRPr="006F3BD1" w:rsidRDefault="006F3BD1" w:rsidP="00B24187">
      <w:pPr>
        <w:widowControl/>
        <w:spacing w:line="360" w:lineRule="auto"/>
        <w:rPr>
          <w:rFonts w:eastAsiaTheme="minorHAnsi" w:cstheme="minorBidi"/>
          <w:sz w:val="26"/>
          <w:szCs w:val="26"/>
        </w:rPr>
      </w:pPr>
      <w:r w:rsidRPr="006F3BD1">
        <w:rPr>
          <w:rFonts w:eastAsiaTheme="minorHAnsi" w:cstheme="minorBidi"/>
          <w:sz w:val="26"/>
          <w:szCs w:val="26"/>
        </w:rPr>
        <w:tab/>
      </w:r>
      <w:r w:rsidR="003D2643">
        <w:rPr>
          <w:rFonts w:eastAsiaTheme="minorHAnsi" w:cstheme="minorBidi"/>
          <w:sz w:val="26"/>
          <w:szCs w:val="26"/>
        </w:rPr>
        <w:tab/>
      </w:r>
      <w:r w:rsidRPr="006F3BD1">
        <w:rPr>
          <w:rFonts w:eastAsiaTheme="minorHAnsi" w:cstheme="minorBidi"/>
          <w:sz w:val="26"/>
          <w:szCs w:val="26"/>
        </w:rPr>
        <w:t xml:space="preserve">Additionally, the Proposed Transaction, as modified by the Settlement, requires the approval of the Commission, as evidenced by its issuance of a Certificate of Public Convenience (Certificate).  Section 1102(a)(3) of the Code, 66 Pa. C.S. </w:t>
      </w:r>
    </w:p>
    <w:p w14:paraId="04930BA1" w14:textId="77777777" w:rsidR="006F3BD1" w:rsidRPr="006F3BD1" w:rsidRDefault="006F3BD1" w:rsidP="00B24187">
      <w:pPr>
        <w:widowControl/>
        <w:spacing w:line="360" w:lineRule="auto"/>
        <w:rPr>
          <w:rFonts w:eastAsiaTheme="minorHAnsi" w:cstheme="minorBidi"/>
          <w:sz w:val="26"/>
          <w:szCs w:val="26"/>
        </w:rPr>
      </w:pPr>
      <w:r w:rsidRPr="006F3BD1">
        <w:rPr>
          <w:rFonts w:eastAsiaTheme="minorHAnsi" w:cstheme="minorBidi"/>
          <w:sz w:val="26"/>
          <w:szCs w:val="26"/>
        </w:rPr>
        <w:t>§ 1102(a)(3), provides, in pertinent part:</w:t>
      </w:r>
    </w:p>
    <w:p w14:paraId="1831D570" w14:textId="77777777" w:rsidR="006F3BD1" w:rsidRPr="006F3BD1" w:rsidRDefault="006F3BD1" w:rsidP="00B24187">
      <w:pPr>
        <w:widowControl/>
        <w:spacing w:line="360" w:lineRule="auto"/>
        <w:rPr>
          <w:rFonts w:eastAsiaTheme="minorHAnsi" w:cstheme="minorBidi"/>
          <w:sz w:val="26"/>
          <w:szCs w:val="26"/>
        </w:rPr>
      </w:pPr>
    </w:p>
    <w:p w14:paraId="4AD5FB22" w14:textId="6DA417DD" w:rsidR="006F3BD1" w:rsidRPr="006F3BD1" w:rsidRDefault="006F3BD1" w:rsidP="00B24187">
      <w:pPr>
        <w:widowControl/>
        <w:spacing w:after="200"/>
        <w:ind w:left="1440" w:right="1440"/>
        <w:rPr>
          <w:rFonts w:eastAsiaTheme="minorHAnsi" w:cstheme="minorBidi"/>
          <w:sz w:val="26"/>
          <w:szCs w:val="26"/>
        </w:rPr>
      </w:pPr>
      <w:r w:rsidRPr="006F3BD1">
        <w:rPr>
          <w:rFonts w:eastAsiaTheme="minorHAnsi" w:cstheme="minorBidi"/>
          <w:b/>
          <w:bCs/>
          <w:sz w:val="26"/>
          <w:szCs w:val="26"/>
        </w:rPr>
        <w:t>(a)</w:t>
      </w:r>
      <w:r w:rsidR="00CC19C6">
        <w:rPr>
          <w:rFonts w:eastAsiaTheme="minorHAnsi" w:cstheme="minorBidi"/>
          <w:b/>
          <w:bCs/>
          <w:sz w:val="26"/>
          <w:szCs w:val="26"/>
        </w:rPr>
        <w:tab/>
      </w:r>
      <w:r w:rsidRPr="006F3BD1">
        <w:rPr>
          <w:rFonts w:eastAsiaTheme="minorHAnsi" w:cstheme="minorBidi"/>
          <w:b/>
          <w:bCs/>
          <w:sz w:val="26"/>
          <w:szCs w:val="26"/>
        </w:rPr>
        <w:t>General rule.—</w:t>
      </w:r>
      <w:r w:rsidRPr="006F3BD1">
        <w:rPr>
          <w:rFonts w:eastAsiaTheme="minorHAnsi" w:cstheme="minorBidi"/>
          <w:sz w:val="26"/>
          <w:szCs w:val="26"/>
        </w:rPr>
        <w:t>Upon the application of any public utility and the approval of such application by the commission, evidenced by its certificate of public convenience first had and obtained, and upon compliance with existing laws, it shall be lawful:</w:t>
      </w:r>
    </w:p>
    <w:p w14:paraId="0E103234" w14:textId="77777777" w:rsidR="006F3BD1" w:rsidRPr="006F3BD1" w:rsidRDefault="006F3BD1" w:rsidP="00B24187">
      <w:pPr>
        <w:widowControl/>
        <w:spacing w:after="200"/>
        <w:ind w:left="1440" w:right="1440"/>
        <w:jc w:val="center"/>
        <w:rPr>
          <w:rFonts w:eastAsiaTheme="minorHAnsi" w:cstheme="minorBidi"/>
          <w:sz w:val="26"/>
          <w:szCs w:val="26"/>
        </w:rPr>
      </w:pPr>
      <w:r w:rsidRPr="006F3BD1">
        <w:rPr>
          <w:rFonts w:eastAsiaTheme="minorHAnsi" w:cstheme="minorBidi"/>
          <w:sz w:val="26"/>
          <w:szCs w:val="26"/>
        </w:rPr>
        <w:t>*  *  *</w:t>
      </w:r>
    </w:p>
    <w:p w14:paraId="1E62A91E" w14:textId="1575F20A" w:rsidR="006F3BD1" w:rsidRPr="006F3BD1" w:rsidRDefault="006F3BD1" w:rsidP="00B24187">
      <w:pPr>
        <w:widowControl/>
        <w:spacing w:after="200"/>
        <w:ind w:left="1440" w:right="1440"/>
        <w:rPr>
          <w:rFonts w:eastAsiaTheme="minorHAnsi" w:cstheme="minorBidi"/>
          <w:sz w:val="26"/>
          <w:szCs w:val="26"/>
        </w:rPr>
      </w:pPr>
      <w:r w:rsidRPr="006F3BD1">
        <w:rPr>
          <w:rFonts w:eastAsiaTheme="minorHAnsi" w:cstheme="minorBidi"/>
          <w:sz w:val="26"/>
          <w:szCs w:val="26"/>
        </w:rPr>
        <w:t>(3)</w:t>
      </w:r>
      <w:r w:rsidR="00CC19C6">
        <w:rPr>
          <w:rFonts w:eastAsiaTheme="minorHAnsi" w:cstheme="minorBidi"/>
          <w:sz w:val="26"/>
          <w:szCs w:val="26"/>
        </w:rPr>
        <w:tab/>
      </w:r>
      <w:r w:rsidRPr="006F3BD1">
        <w:rPr>
          <w:rFonts w:eastAsiaTheme="minorHAnsi" w:cstheme="minorBidi"/>
          <w:sz w:val="26"/>
          <w:szCs w:val="26"/>
        </w:rPr>
        <w:t>For any public utility or an affiliated interest of a public utility as defined in section 2101 . . . to acquire from, or transfer to, any person or corporation . . . by any method or device whatsoever, including the sale or transfer of stock and including a consolidation, merger, sale or lease, the title to, or the possession or use of, any tangible or intangible property used or useful in the public service.</w:t>
      </w:r>
    </w:p>
    <w:p w14:paraId="49FEAE87" w14:textId="77777777" w:rsidR="00BD695B" w:rsidRDefault="00BD695B" w:rsidP="00B24187">
      <w:pPr>
        <w:widowControl/>
        <w:spacing w:line="360" w:lineRule="auto"/>
        <w:rPr>
          <w:rFonts w:eastAsiaTheme="minorHAnsi" w:cstheme="minorBidi"/>
          <w:sz w:val="26"/>
          <w:szCs w:val="26"/>
        </w:rPr>
      </w:pPr>
    </w:p>
    <w:p w14:paraId="4A7A4796" w14:textId="77777777" w:rsidR="006F3BD1" w:rsidRPr="006F3BD1" w:rsidRDefault="006F3BD1" w:rsidP="00B24187">
      <w:pPr>
        <w:widowControl/>
        <w:spacing w:line="360" w:lineRule="auto"/>
        <w:rPr>
          <w:rFonts w:eastAsiaTheme="minorHAnsi" w:cstheme="minorBidi"/>
          <w:sz w:val="26"/>
          <w:szCs w:val="26"/>
        </w:rPr>
      </w:pPr>
      <w:r w:rsidRPr="006F3BD1">
        <w:rPr>
          <w:rFonts w:eastAsiaTheme="minorHAnsi" w:cstheme="minorBidi"/>
          <w:sz w:val="26"/>
          <w:szCs w:val="26"/>
        </w:rPr>
        <w:t xml:space="preserve">66 Pa. C.S. § 1102(a)(3). </w:t>
      </w:r>
    </w:p>
    <w:p w14:paraId="50191777" w14:textId="77777777" w:rsidR="006F3BD1" w:rsidRPr="006F3BD1" w:rsidRDefault="006F3BD1" w:rsidP="00B24187">
      <w:pPr>
        <w:widowControl/>
        <w:spacing w:line="360" w:lineRule="auto"/>
        <w:rPr>
          <w:rFonts w:eastAsiaTheme="minorHAnsi" w:cstheme="minorBidi"/>
          <w:sz w:val="26"/>
          <w:szCs w:val="26"/>
        </w:rPr>
      </w:pPr>
    </w:p>
    <w:p w14:paraId="6DA5FF21" w14:textId="77777777" w:rsidR="006F3BD1" w:rsidRPr="006F3BD1" w:rsidRDefault="006F3BD1" w:rsidP="00B24187">
      <w:pPr>
        <w:widowControl/>
        <w:spacing w:after="200" w:line="360" w:lineRule="auto"/>
        <w:rPr>
          <w:rFonts w:eastAsiaTheme="minorHAnsi" w:cstheme="minorBidi"/>
          <w:sz w:val="26"/>
          <w:szCs w:val="26"/>
          <w:lang w:val="en"/>
        </w:rPr>
      </w:pPr>
      <w:r w:rsidRPr="006F3BD1">
        <w:rPr>
          <w:rFonts w:eastAsiaTheme="minorHAnsi" w:cstheme="minorBidi"/>
          <w:sz w:val="26"/>
          <w:szCs w:val="26"/>
        </w:rPr>
        <w:tab/>
      </w:r>
      <w:r w:rsidRPr="006F3BD1">
        <w:rPr>
          <w:rFonts w:eastAsiaTheme="minorHAnsi" w:cstheme="minorBidi"/>
          <w:sz w:val="26"/>
          <w:szCs w:val="26"/>
        </w:rPr>
        <w:tab/>
      </w:r>
      <w:r w:rsidRPr="006F3BD1">
        <w:rPr>
          <w:rFonts w:eastAsiaTheme="minorHAnsi" w:cstheme="minorBidi"/>
          <w:sz w:val="26"/>
          <w:szCs w:val="26"/>
          <w:lang w:val="en"/>
        </w:rPr>
        <w:t xml:space="preserve">In order for the Commission to approve the proposed transaction under Sections 1102 and 1103 of the Code, the Joint Applicants must demonstrate that the granting of a Certificate is necessary or proper for the service, accommodation, convenience, or safety of the public.  The Pennsylvania Supreme Court explained this standard in the </w:t>
      </w:r>
      <w:r w:rsidRPr="006F3BD1">
        <w:rPr>
          <w:rFonts w:eastAsiaTheme="minorHAnsi" w:cstheme="minorBidi"/>
          <w:i/>
          <w:sz w:val="26"/>
          <w:szCs w:val="26"/>
          <w:lang w:val="en"/>
        </w:rPr>
        <w:t>City of York v. Pa. PUC (City of York)</w:t>
      </w:r>
      <w:r w:rsidRPr="006F3BD1">
        <w:rPr>
          <w:rFonts w:eastAsiaTheme="minorHAnsi" w:cstheme="minorBidi"/>
          <w:sz w:val="26"/>
          <w:szCs w:val="26"/>
          <w:lang w:val="en"/>
        </w:rPr>
        <w:t xml:space="preserve">, 449 Pa. 136, 141, 295 A.2d 825, 828 (1972) as follows: </w:t>
      </w:r>
    </w:p>
    <w:p w14:paraId="14397918" w14:textId="0CBCEC8F" w:rsidR="006F3BD1" w:rsidRPr="006F3BD1" w:rsidRDefault="006F3BD1" w:rsidP="00B24187">
      <w:pPr>
        <w:widowControl/>
        <w:spacing w:after="200" w:line="276" w:lineRule="auto"/>
        <w:ind w:left="1440" w:right="1440"/>
        <w:contextualSpacing/>
        <w:rPr>
          <w:rFonts w:eastAsiaTheme="minorHAnsi" w:cstheme="minorBidi"/>
          <w:sz w:val="26"/>
          <w:szCs w:val="26"/>
          <w:lang w:val="en"/>
        </w:rPr>
      </w:pPr>
      <w:r w:rsidRPr="006F3BD1">
        <w:rPr>
          <w:rFonts w:eastAsiaTheme="minorHAnsi" w:cstheme="minorBidi"/>
          <w:sz w:val="26"/>
          <w:szCs w:val="22"/>
        </w:rPr>
        <w:t xml:space="preserve">[T]he appropriate legal framework requires a reviewing court to determine whether substantial evidence supports the </w:t>
      </w:r>
      <w:r w:rsidRPr="006F3BD1">
        <w:rPr>
          <w:rFonts w:eastAsiaTheme="minorHAnsi" w:cstheme="minorBidi"/>
          <w:sz w:val="26"/>
          <w:szCs w:val="22"/>
        </w:rPr>
        <w:lastRenderedPageBreak/>
        <w:t>Commission’s finding that a merger will affirmatively promote the service, accommodation, convenience, or safety of the public in some substantial way.  In conducting the underlying inquiry, the Commission is not required to secure legally binding commitments or to quantify benefits where this may be impractical, burdensome, or impossible; rather, the PUC properly applies a preponderance of the evidence standard to make factually-based determinations (including predictive ones informed by expert judgment) concerning certification matters.</w:t>
      </w:r>
      <w:r w:rsidRPr="006F3BD1">
        <w:rPr>
          <w:rFonts w:eastAsiaTheme="minorHAnsi" w:cstheme="minorBidi"/>
          <w:sz w:val="26"/>
          <w:szCs w:val="26"/>
          <w:lang w:val="en"/>
        </w:rPr>
        <w:t xml:space="preserve">  </w:t>
      </w:r>
    </w:p>
    <w:p w14:paraId="7BE75AF7" w14:textId="77777777" w:rsidR="006F3BD1" w:rsidRPr="006F3BD1" w:rsidRDefault="006F3BD1" w:rsidP="00B24187">
      <w:pPr>
        <w:widowControl/>
        <w:spacing w:after="200" w:line="276" w:lineRule="auto"/>
        <w:ind w:left="1440" w:right="1440"/>
        <w:contextualSpacing/>
        <w:rPr>
          <w:rFonts w:eastAsiaTheme="minorHAnsi" w:cstheme="minorBidi"/>
          <w:sz w:val="26"/>
          <w:szCs w:val="26"/>
          <w:lang w:val="en"/>
        </w:rPr>
      </w:pPr>
    </w:p>
    <w:p w14:paraId="7599C058" w14:textId="77777777" w:rsidR="006F3BD1" w:rsidRPr="006F3BD1" w:rsidRDefault="006F3BD1" w:rsidP="00B24187">
      <w:pPr>
        <w:widowControl/>
        <w:spacing w:line="360" w:lineRule="auto"/>
        <w:contextualSpacing/>
        <w:rPr>
          <w:rFonts w:eastAsiaTheme="minorHAnsi" w:cstheme="minorBidi"/>
          <w:sz w:val="26"/>
          <w:szCs w:val="22"/>
        </w:rPr>
      </w:pPr>
      <w:r w:rsidRPr="006F3BD1">
        <w:rPr>
          <w:rFonts w:eastAsiaTheme="minorHAnsi" w:cstheme="minorBidi"/>
          <w:i/>
          <w:sz w:val="26"/>
          <w:szCs w:val="26"/>
          <w:lang w:val="en"/>
        </w:rPr>
        <w:t>Popowsky v. Pa. PUC (Popowsky)</w:t>
      </w:r>
      <w:r w:rsidRPr="006F3BD1">
        <w:rPr>
          <w:rFonts w:eastAsiaTheme="minorHAnsi" w:cstheme="minorBidi"/>
          <w:sz w:val="26"/>
          <w:szCs w:val="26"/>
          <w:lang w:val="en"/>
        </w:rPr>
        <w:t xml:space="preserve">, 594 Pa. 583, 611, 937 A.2d 1040, 1057 (2007).  </w:t>
      </w:r>
      <w:r w:rsidRPr="006F3BD1">
        <w:rPr>
          <w:rFonts w:eastAsiaTheme="minorHAnsi" w:cstheme="minorBidi"/>
          <w:sz w:val="26"/>
          <w:szCs w:val="26"/>
        </w:rPr>
        <w:t xml:space="preserve">When the Commission considers the public interest, it is contemplated </w:t>
      </w:r>
      <w:bookmarkStart w:id="16" w:name="_Hlk28340219"/>
      <w:r w:rsidRPr="006F3BD1">
        <w:rPr>
          <w:rFonts w:eastAsiaTheme="minorHAnsi" w:cstheme="minorBidi"/>
          <w:sz w:val="26"/>
          <w:szCs w:val="26"/>
        </w:rPr>
        <w:t>that the benefits and detriments of the acquisition will be measured as they impact on all affected parties, and not merely on one particular group or geographic subdivision</w:t>
      </w:r>
      <w:bookmarkEnd w:id="16"/>
      <w:r w:rsidRPr="006F3BD1">
        <w:rPr>
          <w:rFonts w:eastAsiaTheme="minorHAnsi" w:cstheme="minorBidi"/>
          <w:sz w:val="26"/>
          <w:szCs w:val="26"/>
        </w:rPr>
        <w:t xml:space="preserve">.  </w:t>
      </w:r>
      <w:r w:rsidRPr="006F3BD1">
        <w:rPr>
          <w:rFonts w:eastAsiaTheme="minorHAnsi" w:cstheme="minorBidi"/>
          <w:i/>
          <w:sz w:val="26"/>
          <w:szCs w:val="22"/>
        </w:rPr>
        <w:t>Middletown Twp. v. Pa. PUC (Middletown T</w:t>
      </w:r>
      <w:r w:rsidR="002E6676">
        <w:rPr>
          <w:rFonts w:eastAsiaTheme="minorHAnsi" w:cstheme="minorBidi"/>
          <w:i/>
          <w:sz w:val="26"/>
          <w:szCs w:val="22"/>
        </w:rPr>
        <w:t>o</w:t>
      </w:r>
      <w:r w:rsidRPr="006F3BD1">
        <w:rPr>
          <w:rFonts w:eastAsiaTheme="minorHAnsi" w:cstheme="minorBidi"/>
          <w:i/>
          <w:sz w:val="26"/>
          <w:szCs w:val="22"/>
        </w:rPr>
        <w:t>w</w:t>
      </w:r>
      <w:r w:rsidR="002E6676">
        <w:rPr>
          <w:rFonts w:eastAsiaTheme="minorHAnsi" w:cstheme="minorBidi"/>
          <w:i/>
          <w:sz w:val="26"/>
          <w:szCs w:val="22"/>
        </w:rPr>
        <w:t>nshi</w:t>
      </w:r>
      <w:r w:rsidRPr="006F3BD1">
        <w:rPr>
          <w:rFonts w:eastAsiaTheme="minorHAnsi" w:cstheme="minorBidi"/>
          <w:i/>
          <w:sz w:val="26"/>
          <w:szCs w:val="22"/>
        </w:rPr>
        <w:t>p.)</w:t>
      </w:r>
      <w:r w:rsidRPr="006F3BD1">
        <w:rPr>
          <w:rFonts w:eastAsiaTheme="minorHAnsi" w:cstheme="minorBidi"/>
          <w:sz w:val="26"/>
          <w:szCs w:val="22"/>
        </w:rPr>
        <w:t xml:space="preserve">, 482 A.2d 674 (Pa. Cmwlth. 1984).  </w:t>
      </w:r>
    </w:p>
    <w:p w14:paraId="2674F1AC" w14:textId="77777777" w:rsidR="006F3BD1" w:rsidRPr="006F3BD1" w:rsidRDefault="006F3BD1" w:rsidP="00B24187">
      <w:pPr>
        <w:widowControl/>
        <w:spacing w:line="360" w:lineRule="auto"/>
        <w:rPr>
          <w:rFonts w:eastAsiaTheme="minorHAnsi" w:cstheme="minorBidi"/>
          <w:sz w:val="26"/>
          <w:szCs w:val="26"/>
        </w:rPr>
      </w:pPr>
    </w:p>
    <w:p w14:paraId="6F681724" w14:textId="77777777" w:rsidR="006F3BD1" w:rsidRPr="006F3BD1" w:rsidRDefault="006F3BD1" w:rsidP="00B24187">
      <w:pPr>
        <w:widowControl/>
        <w:spacing w:line="360" w:lineRule="auto"/>
        <w:rPr>
          <w:rFonts w:eastAsiaTheme="minorHAnsi" w:cstheme="minorBidi"/>
          <w:sz w:val="26"/>
          <w:szCs w:val="26"/>
        </w:rPr>
      </w:pPr>
      <w:r w:rsidRPr="006F3BD1">
        <w:rPr>
          <w:rFonts w:eastAsiaTheme="minorHAnsi" w:cstheme="minorBidi"/>
          <w:sz w:val="26"/>
          <w:szCs w:val="26"/>
        </w:rPr>
        <w:tab/>
      </w:r>
      <w:r w:rsidRPr="006F3BD1">
        <w:rPr>
          <w:rFonts w:eastAsiaTheme="minorHAnsi" w:cstheme="minorBidi"/>
          <w:sz w:val="26"/>
          <w:szCs w:val="26"/>
        </w:rPr>
        <w:tab/>
      </w:r>
      <w:r w:rsidRPr="006F3BD1">
        <w:rPr>
          <w:rFonts w:eastAsiaTheme="minorHAnsi" w:cstheme="minorBidi"/>
          <w:sz w:val="26"/>
          <w:szCs w:val="26"/>
          <w:lang w:val="en"/>
        </w:rPr>
        <w:t xml:space="preserve">Additionally, pursuant to Section 1103 of the Code, the Joint Applicants must show that Aqua America is technically, legally, and financially fit to own and operate the Peoples Companies.  </w:t>
      </w:r>
      <w:r w:rsidRPr="006F3BD1">
        <w:rPr>
          <w:rFonts w:eastAsiaTheme="minorHAnsi" w:cstheme="minorBidi"/>
          <w:i/>
          <w:sz w:val="26"/>
          <w:szCs w:val="26"/>
          <w:lang w:val="en"/>
        </w:rPr>
        <w:t>Seaboard Tank Lines v. Pa. PUC</w:t>
      </w:r>
      <w:r w:rsidRPr="006F3BD1">
        <w:rPr>
          <w:rFonts w:eastAsiaTheme="minorHAnsi" w:cstheme="minorBidi"/>
          <w:sz w:val="26"/>
          <w:szCs w:val="26"/>
          <w:lang w:val="en"/>
        </w:rPr>
        <w:t xml:space="preserve">, 502 A. 2d 762, 764 (Pa. Cmwlth. 1985); </w:t>
      </w:r>
      <w:r w:rsidRPr="006F3BD1">
        <w:rPr>
          <w:rFonts w:eastAsiaTheme="minorHAnsi" w:cstheme="minorBidi"/>
          <w:i/>
          <w:sz w:val="26"/>
          <w:szCs w:val="26"/>
          <w:lang w:val="en"/>
        </w:rPr>
        <w:t>Warminster Twp. Mun. Auth. v. Pa. PUC</w:t>
      </w:r>
      <w:r w:rsidRPr="006F3BD1">
        <w:rPr>
          <w:rFonts w:eastAsiaTheme="minorHAnsi" w:cstheme="minorBidi"/>
          <w:sz w:val="26"/>
          <w:szCs w:val="26"/>
          <w:lang w:val="en"/>
        </w:rPr>
        <w:t>, 138 A.2d 240, 243 (Pa. Super. 1958).</w:t>
      </w:r>
    </w:p>
    <w:p w14:paraId="074CC11C" w14:textId="77777777" w:rsidR="006F3BD1" w:rsidRPr="006F3BD1" w:rsidRDefault="006F3BD1" w:rsidP="00B24187">
      <w:pPr>
        <w:widowControl/>
        <w:spacing w:line="360" w:lineRule="auto"/>
        <w:rPr>
          <w:rFonts w:eastAsiaTheme="minorHAnsi" w:cstheme="minorBidi"/>
          <w:sz w:val="26"/>
          <w:szCs w:val="26"/>
        </w:rPr>
      </w:pPr>
    </w:p>
    <w:p w14:paraId="2698FA8F" w14:textId="77777777" w:rsidR="006F3BD1" w:rsidRPr="006F3BD1" w:rsidRDefault="006F3BD1" w:rsidP="00B24187">
      <w:pPr>
        <w:widowControl/>
        <w:spacing w:line="360" w:lineRule="auto"/>
        <w:rPr>
          <w:rFonts w:eastAsiaTheme="minorHAnsi" w:cstheme="minorBidi"/>
          <w:sz w:val="26"/>
          <w:szCs w:val="26"/>
        </w:rPr>
      </w:pPr>
      <w:r w:rsidRPr="006F3BD1">
        <w:rPr>
          <w:rFonts w:eastAsiaTheme="minorHAnsi" w:cstheme="minorBidi"/>
          <w:sz w:val="26"/>
          <w:szCs w:val="26"/>
        </w:rPr>
        <w:tab/>
      </w:r>
      <w:r w:rsidRPr="006F3BD1">
        <w:rPr>
          <w:rFonts w:eastAsiaTheme="minorHAnsi" w:cstheme="minorBidi"/>
          <w:sz w:val="26"/>
          <w:szCs w:val="26"/>
        </w:rPr>
        <w:tab/>
        <w:t xml:space="preserve">To ensure that a transaction is in the public interest, the Commission may impose conditions on granting a Certificate.  </w:t>
      </w:r>
      <w:r w:rsidRPr="006F3BD1">
        <w:rPr>
          <w:rFonts w:eastAsiaTheme="minorHAnsi" w:cstheme="minorBidi"/>
          <w:i/>
          <w:sz w:val="26"/>
          <w:szCs w:val="26"/>
        </w:rPr>
        <w:t>Joint Application for Approval of the Merger of GPU, Inc. with FirstEnergy Corp.</w:t>
      </w:r>
      <w:r w:rsidRPr="006F3BD1">
        <w:rPr>
          <w:rFonts w:eastAsiaTheme="minorHAnsi" w:cstheme="minorBidi"/>
          <w:sz w:val="26"/>
          <w:szCs w:val="26"/>
        </w:rPr>
        <w:t xml:space="preserve">, Docket No. A-110300F0095 (Order entered June 20, 2001).  Section 1103(a) of the Code, 66 Pa. C.S. </w:t>
      </w:r>
    </w:p>
    <w:p w14:paraId="55D0F9F1" w14:textId="77777777" w:rsidR="006F3BD1" w:rsidRPr="006F3BD1" w:rsidRDefault="006F3BD1" w:rsidP="00B24187">
      <w:pPr>
        <w:widowControl/>
        <w:spacing w:line="360" w:lineRule="auto"/>
        <w:rPr>
          <w:rFonts w:eastAsiaTheme="minorHAnsi" w:cstheme="minorBidi"/>
          <w:sz w:val="26"/>
          <w:szCs w:val="26"/>
        </w:rPr>
      </w:pPr>
      <w:r w:rsidRPr="006F3BD1">
        <w:rPr>
          <w:rFonts w:eastAsiaTheme="minorHAnsi" w:cstheme="minorBidi"/>
          <w:sz w:val="26"/>
          <w:szCs w:val="26"/>
        </w:rPr>
        <w:t>§ 1103(a), provides in part:</w:t>
      </w:r>
    </w:p>
    <w:p w14:paraId="4D118305" w14:textId="77777777" w:rsidR="006F3BD1" w:rsidRPr="006F3BD1" w:rsidRDefault="006F3BD1" w:rsidP="00B24187">
      <w:pPr>
        <w:widowControl/>
        <w:ind w:left="1440" w:right="1440"/>
        <w:rPr>
          <w:rFonts w:eastAsiaTheme="minorHAnsi" w:cstheme="minorBidi"/>
          <w:sz w:val="26"/>
          <w:szCs w:val="26"/>
        </w:rPr>
      </w:pPr>
    </w:p>
    <w:p w14:paraId="33DC22F2" w14:textId="77777777" w:rsidR="006F3BD1" w:rsidRPr="006F3BD1" w:rsidRDefault="006F3BD1" w:rsidP="00B24187">
      <w:pPr>
        <w:widowControl/>
        <w:spacing w:after="200"/>
        <w:ind w:left="1440" w:right="1440"/>
        <w:rPr>
          <w:rFonts w:eastAsiaTheme="minorHAnsi" w:cstheme="minorBidi"/>
          <w:sz w:val="26"/>
          <w:szCs w:val="26"/>
        </w:rPr>
      </w:pPr>
      <w:r w:rsidRPr="006F3BD1">
        <w:rPr>
          <w:rFonts w:eastAsiaTheme="minorHAnsi" w:cstheme="minorBidi"/>
          <w:sz w:val="26"/>
          <w:szCs w:val="26"/>
        </w:rPr>
        <w:t xml:space="preserve">. . . A certificate of public convenience shall be granted by order of the commission, only if the commission shall find or determine that the granting of such certificate is necessary or proper for the service, accommodation, convenience, or </w:t>
      </w:r>
      <w:r w:rsidRPr="006F3BD1">
        <w:rPr>
          <w:rFonts w:eastAsiaTheme="minorHAnsi" w:cstheme="minorBidi"/>
          <w:sz w:val="26"/>
          <w:szCs w:val="26"/>
        </w:rPr>
        <w:lastRenderedPageBreak/>
        <w:t>safety of the public. The commission, in granting such certificate, may impose such conditions as it may deem to be just and reasonable.</w:t>
      </w:r>
    </w:p>
    <w:p w14:paraId="1F35665F" w14:textId="77777777" w:rsidR="006F3BD1" w:rsidRPr="006F3BD1" w:rsidRDefault="006F3BD1" w:rsidP="00B24187">
      <w:pPr>
        <w:widowControl/>
        <w:spacing w:line="276" w:lineRule="auto"/>
        <w:ind w:left="1440" w:right="1440"/>
        <w:rPr>
          <w:rFonts w:eastAsiaTheme="minorHAnsi" w:cstheme="minorBidi"/>
          <w:sz w:val="26"/>
          <w:szCs w:val="26"/>
        </w:rPr>
      </w:pPr>
    </w:p>
    <w:p w14:paraId="5EA516CA" w14:textId="0455A544" w:rsidR="006F3BD1" w:rsidRDefault="006F3BD1" w:rsidP="00B24187">
      <w:pPr>
        <w:widowControl/>
        <w:spacing w:line="360" w:lineRule="auto"/>
        <w:rPr>
          <w:rFonts w:eastAsiaTheme="minorHAnsi" w:cstheme="minorBidi"/>
          <w:sz w:val="26"/>
          <w:szCs w:val="26"/>
        </w:rPr>
      </w:pPr>
      <w:r w:rsidRPr="006F3BD1">
        <w:rPr>
          <w:rFonts w:eastAsiaTheme="minorHAnsi" w:cstheme="minorBidi"/>
          <w:sz w:val="26"/>
          <w:szCs w:val="26"/>
        </w:rPr>
        <w:tab/>
      </w:r>
      <w:r w:rsidRPr="006F3BD1">
        <w:rPr>
          <w:rFonts w:eastAsiaTheme="minorHAnsi" w:cstheme="minorBidi"/>
          <w:sz w:val="26"/>
          <w:szCs w:val="26"/>
        </w:rPr>
        <w:tab/>
        <w:t xml:space="preserve">Moreover, specific requirements in the Natural Gas Choice and Competition Act (Competition Act), 66 Pa. C.S. </w:t>
      </w:r>
      <w:r w:rsidRPr="006F3BD1">
        <w:rPr>
          <w:rFonts w:eastAsiaTheme="minorHAnsi"/>
          <w:sz w:val="26"/>
          <w:szCs w:val="26"/>
        </w:rPr>
        <w:t xml:space="preserve">§§ </w:t>
      </w:r>
      <w:r w:rsidRPr="006F3BD1">
        <w:rPr>
          <w:rFonts w:eastAsiaTheme="minorHAnsi" w:cstheme="minorBidi"/>
          <w:sz w:val="26"/>
          <w:szCs w:val="26"/>
        </w:rPr>
        <w:t xml:space="preserve">2201-2212, apply to this Proposed Transaction.  Section 2210 of the Code, 66 Pa. C.S. § 2210, requires the Commission to consider whether the Proposed Transaction will result in anticompetitive or discriminatory conduct and the effect the Proposed Transaction will have on the </w:t>
      </w:r>
      <w:r w:rsidR="004455D3">
        <w:rPr>
          <w:rFonts w:eastAsiaTheme="minorHAnsi" w:cstheme="minorBidi"/>
          <w:sz w:val="26"/>
          <w:szCs w:val="26"/>
        </w:rPr>
        <w:t>n</w:t>
      </w:r>
      <w:r w:rsidR="003856EF">
        <w:rPr>
          <w:rFonts w:eastAsiaTheme="minorHAnsi" w:cstheme="minorBidi"/>
          <w:sz w:val="26"/>
          <w:szCs w:val="26"/>
        </w:rPr>
        <w:t xml:space="preserve">atural </w:t>
      </w:r>
      <w:r w:rsidR="004455D3">
        <w:rPr>
          <w:rFonts w:eastAsiaTheme="minorHAnsi" w:cstheme="minorBidi"/>
          <w:sz w:val="26"/>
          <w:szCs w:val="26"/>
        </w:rPr>
        <w:t>g</w:t>
      </w:r>
      <w:r w:rsidR="003856EF">
        <w:rPr>
          <w:rFonts w:eastAsiaTheme="minorHAnsi" w:cstheme="minorBidi"/>
          <w:sz w:val="26"/>
          <w:szCs w:val="26"/>
        </w:rPr>
        <w:t xml:space="preserve">as </w:t>
      </w:r>
      <w:r w:rsidR="004455D3">
        <w:rPr>
          <w:rFonts w:eastAsiaTheme="minorHAnsi" w:cstheme="minorBidi"/>
          <w:sz w:val="26"/>
          <w:szCs w:val="26"/>
        </w:rPr>
        <w:t>d</w:t>
      </w:r>
      <w:r w:rsidR="003856EF">
        <w:rPr>
          <w:rFonts w:eastAsiaTheme="minorHAnsi" w:cstheme="minorBidi"/>
          <w:sz w:val="26"/>
          <w:szCs w:val="26"/>
        </w:rPr>
        <w:t xml:space="preserve">istribution </w:t>
      </w:r>
      <w:r w:rsidR="004455D3">
        <w:rPr>
          <w:rFonts w:eastAsiaTheme="minorHAnsi" w:cstheme="minorBidi"/>
          <w:sz w:val="26"/>
          <w:szCs w:val="26"/>
        </w:rPr>
        <w:t>c</w:t>
      </w:r>
      <w:r w:rsidR="003856EF">
        <w:rPr>
          <w:rFonts w:eastAsiaTheme="minorHAnsi" w:cstheme="minorBidi"/>
          <w:sz w:val="26"/>
          <w:szCs w:val="26"/>
        </w:rPr>
        <w:t>ompany’s (</w:t>
      </w:r>
      <w:r w:rsidRPr="006F3BD1">
        <w:rPr>
          <w:rFonts w:eastAsiaTheme="minorHAnsi" w:cstheme="minorBidi"/>
          <w:sz w:val="26"/>
          <w:szCs w:val="26"/>
        </w:rPr>
        <w:t>NGDC’s</w:t>
      </w:r>
      <w:r w:rsidR="003856EF">
        <w:rPr>
          <w:rFonts w:eastAsiaTheme="minorHAnsi" w:cstheme="minorBidi"/>
          <w:sz w:val="26"/>
          <w:szCs w:val="26"/>
        </w:rPr>
        <w:t>)</w:t>
      </w:r>
      <w:r w:rsidRPr="006F3BD1">
        <w:rPr>
          <w:rFonts w:eastAsiaTheme="minorHAnsi" w:cstheme="minorBidi"/>
          <w:sz w:val="26"/>
          <w:szCs w:val="26"/>
        </w:rPr>
        <w:t xml:space="preserve"> employees, as follows:</w:t>
      </w:r>
    </w:p>
    <w:p w14:paraId="7E6819C6" w14:textId="77777777" w:rsidR="006F3BD1" w:rsidRPr="006F3BD1" w:rsidRDefault="006F3BD1" w:rsidP="00B24187">
      <w:pPr>
        <w:widowControl/>
        <w:spacing w:line="360" w:lineRule="auto"/>
        <w:rPr>
          <w:rFonts w:eastAsiaTheme="minorHAnsi" w:cstheme="minorBidi"/>
          <w:sz w:val="26"/>
          <w:szCs w:val="26"/>
        </w:rPr>
      </w:pPr>
    </w:p>
    <w:p w14:paraId="7AB1AB53" w14:textId="5E1ED5FF" w:rsidR="006F3BD1" w:rsidRPr="007A7B0B" w:rsidRDefault="006F3BD1" w:rsidP="007A7B0B">
      <w:pPr>
        <w:pStyle w:val="ListParagraph"/>
        <w:widowControl/>
        <w:numPr>
          <w:ilvl w:val="0"/>
          <w:numId w:val="41"/>
        </w:numPr>
        <w:shd w:val="clear" w:color="auto" w:fill="FFFFFF"/>
        <w:spacing w:line="288" w:lineRule="atLeast"/>
        <w:ind w:left="1440" w:right="1440" w:firstLine="0"/>
        <w:rPr>
          <w:rFonts w:cs="Arial"/>
          <w:sz w:val="26"/>
          <w:szCs w:val="24"/>
          <w:lang w:val="en"/>
        </w:rPr>
      </w:pPr>
      <w:r w:rsidRPr="007A7B0B">
        <w:rPr>
          <w:rFonts w:cs="Arial"/>
          <w:b/>
          <w:bCs/>
          <w:sz w:val="26"/>
          <w:szCs w:val="24"/>
          <w:lang w:val="en"/>
        </w:rPr>
        <w:t>General rule.—</w:t>
      </w:r>
      <w:r w:rsidRPr="007A7B0B">
        <w:rPr>
          <w:rFonts w:cs="Arial"/>
          <w:sz w:val="26"/>
          <w:szCs w:val="24"/>
          <w:lang w:val="en"/>
        </w:rPr>
        <w:t>In the exercise of authority the commission otherwise may have to approve mergers or consolidations involving natural gas distribution companies or natural gas suppliers or the acquisition or disposition of assets or securities of natural gas distribution companies or natural gas suppliers, the commission shall consider:</w:t>
      </w:r>
    </w:p>
    <w:p w14:paraId="0D068CA9" w14:textId="77777777" w:rsidR="006F3BD1" w:rsidRPr="006F3BD1" w:rsidRDefault="006F3BD1" w:rsidP="00B24187">
      <w:pPr>
        <w:widowControl/>
        <w:shd w:val="clear" w:color="auto" w:fill="FFFFFF"/>
        <w:spacing w:line="288" w:lineRule="atLeast"/>
        <w:ind w:left="1440" w:right="1440"/>
        <w:rPr>
          <w:rFonts w:cs="Arial"/>
          <w:sz w:val="26"/>
          <w:szCs w:val="24"/>
          <w:lang w:val="en"/>
        </w:rPr>
      </w:pPr>
    </w:p>
    <w:p w14:paraId="4F4EEC76" w14:textId="27E797A3" w:rsidR="006F3BD1" w:rsidRPr="00B24187" w:rsidRDefault="006F3BD1" w:rsidP="00B24187">
      <w:pPr>
        <w:pStyle w:val="ListParagraph"/>
        <w:widowControl/>
        <w:numPr>
          <w:ilvl w:val="0"/>
          <w:numId w:val="40"/>
        </w:numPr>
        <w:shd w:val="clear" w:color="auto" w:fill="FFFFFF"/>
        <w:spacing w:line="288" w:lineRule="atLeast"/>
        <w:ind w:left="1440" w:right="1440" w:firstLine="720"/>
        <w:rPr>
          <w:rFonts w:cs="Arial"/>
          <w:sz w:val="26"/>
          <w:szCs w:val="24"/>
          <w:lang w:val="en"/>
        </w:rPr>
      </w:pPr>
      <w:r w:rsidRPr="00B24187">
        <w:rPr>
          <w:rFonts w:cs="Arial"/>
          <w:sz w:val="26"/>
          <w:szCs w:val="24"/>
          <w:lang w:val="en"/>
        </w:rPr>
        <w:t>Whether the proposed merger, consolidation, acquisition or disposition is likely to result in anticompetitive or discriminatory conduct, including the unlawful exercise of market power, which will prevent retail gas customers from obtaining the benefits of a properly functioning and effectively competitive retail natural gas market.</w:t>
      </w:r>
    </w:p>
    <w:p w14:paraId="21D24622" w14:textId="77777777" w:rsidR="006F3BD1" w:rsidRPr="006F3BD1" w:rsidRDefault="006F3BD1" w:rsidP="00B24187">
      <w:pPr>
        <w:widowControl/>
        <w:shd w:val="clear" w:color="auto" w:fill="FFFFFF"/>
        <w:spacing w:line="288" w:lineRule="atLeast"/>
        <w:ind w:left="1440" w:right="1440"/>
        <w:rPr>
          <w:rFonts w:cs="Arial"/>
          <w:sz w:val="26"/>
          <w:szCs w:val="24"/>
          <w:lang w:val="en"/>
        </w:rPr>
      </w:pPr>
    </w:p>
    <w:p w14:paraId="1AD942F9" w14:textId="004D0EAE" w:rsidR="006F3BD1" w:rsidRPr="00B24187" w:rsidRDefault="006F3BD1" w:rsidP="000558B6">
      <w:pPr>
        <w:pStyle w:val="ListParagraph"/>
        <w:widowControl/>
        <w:numPr>
          <w:ilvl w:val="0"/>
          <w:numId w:val="40"/>
        </w:numPr>
        <w:shd w:val="clear" w:color="auto" w:fill="FFFFFF"/>
        <w:spacing w:line="288" w:lineRule="atLeast"/>
        <w:ind w:left="1440" w:right="1440" w:firstLine="720"/>
        <w:rPr>
          <w:rFonts w:cs="Arial"/>
          <w:sz w:val="26"/>
          <w:szCs w:val="24"/>
          <w:lang w:val="en"/>
        </w:rPr>
      </w:pPr>
      <w:r w:rsidRPr="00B24187">
        <w:rPr>
          <w:rFonts w:cs="Arial"/>
          <w:sz w:val="26"/>
          <w:szCs w:val="24"/>
          <w:lang w:val="en"/>
        </w:rPr>
        <w:t>The effect of the proposed merger, consolidation, acquisition or disposition on the employees of the natural gas distribution company and on any authorized collective bargaining agent representing those employees.</w:t>
      </w:r>
    </w:p>
    <w:p w14:paraId="3CA77C01" w14:textId="77777777" w:rsidR="00B24187" w:rsidRPr="00B24187" w:rsidRDefault="00B24187" w:rsidP="00B24187">
      <w:pPr>
        <w:widowControl/>
        <w:shd w:val="clear" w:color="auto" w:fill="FFFFFF"/>
        <w:spacing w:line="288" w:lineRule="atLeast"/>
        <w:ind w:right="1440"/>
        <w:rPr>
          <w:rFonts w:cs="Arial"/>
          <w:sz w:val="26"/>
          <w:szCs w:val="24"/>
          <w:lang w:val="en"/>
        </w:rPr>
      </w:pPr>
    </w:p>
    <w:p w14:paraId="20CEEEFD" w14:textId="00F038DF" w:rsidR="006F3BD1" w:rsidRPr="006F3BD1" w:rsidRDefault="006F3BD1" w:rsidP="00B24187">
      <w:pPr>
        <w:widowControl/>
        <w:shd w:val="clear" w:color="auto" w:fill="FFFFFF"/>
        <w:spacing w:after="200" w:line="288" w:lineRule="atLeast"/>
        <w:ind w:left="1440" w:right="1440"/>
        <w:rPr>
          <w:rFonts w:cs="Arial"/>
          <w:sz w:val="26"/>
          <w:szCs w:val="24"/>
          <w:lang w:val="en"/>
        </w:rPr>
      </w:pPr>
      <w:r w:rsidRPr="006F3BD1">
        <w:rPr>
          <w:rFonts w:cs="Arial"/>
          <w:b/>
          <w:bCs/>
          <w:sz w:val="26"/>
          <w:szCs w:val="24"/>
          <w:lang w:val="en"/>
        </w:rPr>
        <w:t>(b)</w:t>
      </w:r>
      <w:r w:rsidR="00B24187">
        <w:rPr>
          <w:rFonts w:cs="Arial"/>
          <w:b/>
          <w:bCs/>
          <w:sz w:val="26"/>
          <w:szCs w:val="24"/>
          <w:lang w:val="en"/>
        </w:rPr>
        <w:tab/>
      </w:r>
      <w:r w:rsidRPr="006F3BD1">
        <w:rPr>
          <w:rFonts w:cs="Arial"/>
          <w:b/>
          <w:bCs/>
          <w:sz w:val="26"/>
          <w:szCs w:val="24"/>
          <w:lang w:val="en"/>
        </w:rPr>
        <w:t>Procedure.—</w:t>
      </w:r>
      <w:r w:rsidRPr="006F3BD1">
        <w:rPr>
          <w:rFonts w:cs="Arial"/>
          <w:sz w:val="26"/>
          <w:szCs w:val="24"/>
          <w:lang w:val="en"/>
        </w:rPr>
        <w:t xml:space="preserve">Upon request for any approval identified in subsection (a), the commission shall provide notice and an opportunity for open, public evidentiary hearings.  If the commission finds, after hearing, that a proposed merger, consolidation, acquisition or disposition is likely to result in anticompetitive or discriminatory conduct, including the unlawful exercise of market power, which will prevent retail gas customers from obtaining benefits of a properly functioning and effectively competitive retail natural gas </w:t>
      </w:r>
      <w:r w:rsidRPr="006F3BD1">
        <w:rPr>
          <w:rFonts w:cs="Arial"/>
          <w:sz w:val="26"/>
          <w:szCs w:val="24"/>
          <w:lang w:val="en"/>
        </w:rPr>
        <w:lastRenderedPageBreak/>
        <w:t>market, the commission shall not approve such proposed merger, consolidation, acquisition or disposition, except upon such terms and conditions as it finds necessary to preserve the benefits of a properly functioning and effectively competitive retail natural gas market.</w:t>
      </w:r>
    </w:p>
    <w:p w14:paraId="3DB3357B" w14:textId="77777777" w:rsidR="006F3BD1" w:rsidRDefault="006F3BD1" w:rsidP="00B24187">
      <w:pPr>
        <w:widowControl/>
        <w:shd w:val="clear" w:color="auto" w:fill="FFFFFF"/>
        <w:spacing w:line="360" w:lineRule="auto"/>
        <w:rPr>
          <w:rFonts w:cs="Arial"/>
          <w:sz w:val="26"/>
          <w:szCs w:val="24"/>
          <w:lang w:val="en"/>
        </w:rPr>
      </w:pPr>
    </w:p>
    <w:p w14:paraId="1F1773CC" w14:textId="1AC2737E" w:rsidR="006F3BD1" w:rsidRPr="006F3BD1" w:rsidRDefault="006F3BD1" w:rsidP="00B24187">
      <w:pPr>
        <w:widowControl/>
        <w:shd w:val="clear" w:color="auto" w:fill="FFFFFF"/>
        <w:spacing w:line="360" w:lineRule="auto"/>
        <w:rPr>
          <w:rFonts w:cs="Arial"/>
          <w:sz w:val="26"/>
          <w:szCs w:val="24"/>
          <w:lang w:val="en"/>
        </w:rPr>
      </w:pPr>
      <w:r w:rsidRPr="006F3BD1">
        <w:rPr>
          <w:rFonts w:cs="Arial"/>
          <w:sz w:val="26"/>
          <w:szCs w:val="24"/>
          <w:lang w:val="en"/>
        </w:rPr>
        <w:t xml:space="preserve">As set forth in Section 2210(b), the Commission is authorized to impose necessary terms and conditions to preserve the benefits of the competitive retail natural gas market.  </w:t>
      </w:r>
      <w:r w:rsidRPr="006F3BD1">
        <w:rPr>
          <w:rFonts w:cs="Arial"/>
          <w:i/>
          <w:iCs/>
          <w:sz w:val="26"/>
          <w:szCs w:val="24"/>
          <w:lang w:val="en"/>
        </w:rPr>
        <w:t>See Joint Application of PECO Energy Company</w:t>
      </w:r>
      <w:r w:rsidRPr="006F3BD1">
        <w:rPr>
          <w:rFonts w:cs="Arial"/>
          <w:sz w:val="26"/>
          <w:szCs w:val="24"/>
          <w:lang w:val="en"/>
        </w:rPr>
        <w:t xml:space="preserve">, Docket No. A-110550F0160, at 9 (Order entered February 1, 2006).  </w:t>
      </w:r>
    </w:p>
    <w:p w14:paraId="61C210DB" w14:textId="77777777" w:rsidR="006F3BD1" w:rsidRPr="006F3BD1" w:rsidRDefault="006F3BD1" w:rsidP="00B24187">
      <w:pPr>
        <w:widowControl/>
        <w:spacing w:after="200" w:line="276" w:lineRule="auto"/>
        <w:ind w:left="1440" w:right="1440"/>
        <w:rPr>
          <w:rFonts w:eastAsiaTheme="minorHAnsi" w:cstheme="minorBidi"/>
          <w:sz w:val="26"/>
          <w:szCs w:val="26"/>
        </w:rPr>
      </w:pPr>
    </w:p>
    <w:p w14:paraId="6D0D80CA" w14:textId="77777777" w:rsidR="006F3BD1" w:rsidRPr="006F3BD1" w:rsidRDefault="006F3BD1" w:rsidP="00B24187">
      <w:pPr>
        <w:widowControl/>
        <w:spacing w:line="360" w:lineRule="auto"/>
        <w:rPr>
          <w:rFonts w:eastAsiaTheme="minorHAnsi" w:cstheme="minorBidi"/>
          <w:sz w:val="26"/>
          <w:szCs w:val="26"/>
        </w:rPr>
      </w:pPr>
      <w:r w:rsidRPr="006F3BD1">
        <w:rPr>
          <w:rFonts w:eastAsiaTheme="minorHAnsi" w:cstheme="minorBidi"/>
          <w:sz w:val="26"/>
          <w:szCs w:val="26"/>
        </w:rPr>
        <w:tab/>
      </w:r>
      <w:r w:rsidRPr="006F3BD1">
        <w:rPr>
          <w:rFonts w:eastAsiaTheme="minorHAnsi" w:cstheme="minorBidi"/>
          <w:sz w:val="26"/>
          <w:szCs w:val="26"/>
        </w:rPr>
        <w:tab/>
        <w:t xml:space="preserve">Furthermore, we note that the Commission’s standards for reviewing a non-unanimous settlement, as proposed here, are the same as those for deciding a fully contested case.  </w:t>
      </w:r>
      <w:r w:rsidRPr="006F3BD1">
        <w:rPr>
          <w:rFonts w:eastAsiaTheme="minorHAnsi" w:cstheme="minorBidi"/>
          <w:i/>
          <w:sz w:val="26"/>
          <w:szCs w:val="26"/>
        </w:rPr>
        <w:t>Pa. PUC v. PECO Energy Company</w:t>
      </w:r>
      <w:r w:rsidRPr="006F3BD1">
        <w:rPr>
          <w:rFonts w:eastAsiaTheme="minorHAnsi" w:cstheme="minorBidi"/>
          <w:sz w:val="26"/>
          <w:szCs w:val="26"/>
        </w:rPr>
        <w:t xml:space="preserve">, 1997 Pa. PUC Lexis 51.  Accordingly, substantial evidence consistent with statutory requirements must support the proposed settlement.  </w:t>
      </w:r>
      <w:r w:rsidRPr="006F3BD1">
        <w:rPr>
          <w:rFonts w:eastAsiaTheme="minorHAnsi" w:cstheme="minorBidi"/>
          <w:i/>
          <w:sz w:val="26"/>
          <w:szCs w:val="26"/>
        </w:rPr>
        <w:t>Popowsky v. Pa. PUC</w:t>
      </w:r>
      <w:r w:rsidRPr="006F3BD1">
        <w:rPr>
          <w:rFonts w:eastAsiaTheme="minorHAnsi" w:cstheme="minorBidi"/>
          <w:sz w:val="26"/>
          <w:szCs w:val="26"/>
        </w:rPr>
        <w:t xml:space="preserve">, 805 A.2d 637 (Pa. Cmwlth. 2002); </w:t>
      </w:r>
      <w:r w:rsidRPr="006F3BD1">
        <w:rPr>
          <w:rFonts w:eastAsiaTheme="minorHAnsi" w:cstheme="minorBidi"/>
          <w:i/>
          <w:sz w:val="26"/>
          <w:szCs w:val="26"/>
        </w:rPr>
        <w:t>ARIPPA v. Pa. PUC</w:t>
      </w:r>
      <w:r w:rsidRPr="006F3BD1">
        <w:rPr>
          <w:rFonts w:eastAsiaTheme="minorHAnsi" w:cstheme="minorBidi"/>
          <w:sz w:val="26"/>
          <w:szCs w:val="26"/>
        </w:rPr>
        <w:t xml:space="preserve">, 792 A.2d 636 (Pa. Cmwlth. 2001). </w:t>
      </w:r>
    </w:p>
    <w:p w14:paraId="3A12C06A" w14:textId="77777777" w:rsidR="00D23966" w:rsidRDefault="00D23966" w:rsidP="00B24187">
      <w:pPr>
        <w:widowControl/>
        <w:spacing w:line="360" w:lineRule="auto"/>
        <w:rPr>
          <w:sz w:val="26"/>
          <w:szCs w:val="26"/>
        </w:rPr>
      </w:pPr>
    </w:p>
    <w:p w14:paraId="7C6C863C" w14:textId="77777777" w:rsidR="000A48EB" w:rsidRDefault="006F3BD1" w:rsidP="00B24187">
      <w:pPr>
        <w:pStyle w:val="Heading2"/>
        <w:widowControl/>
        <w:numPr>
          <w:ilvl w:val="0"/>
          <w:numId w:val="0"/>
        </w:numPr>
      </w:pPr>
      <w:bookmarkStart w:id="17" w:name="_Toc29278178"/>
      <w:r>
        <w:t>B.</w:t>
      </w:r>
      <w:r>
        <w:tab/>
      </w:r>
      <w:r w:rsidR="00625381">
        <w:t>Fitness of Aqua America</w:t>
      </w:r>
      <w:bookmarkEnd w:id="17"/>
    </w:p>
    <w:p w14:paraId="6A66A2EE" w14:textId="77777777" w:rsidR="00423C7B" w:rsidRDefault="00423C7B" w:rsidP="00B24187">
      <w:pPr>
        <w:widowControl/>
        <w:spacing w:line="360" w:lineRule="auto"/>
      </w:pPr>
    </w:p>
    <w:p w14:paraId="7E857D77" w14:textId="77777777" w:rsidR="00F7662E" w:rsidRPr="00F7662E" w:rsidRDefault="00F7662E" w:rsidP="00B24187">
      <w:pPr>
        <w:pStyle w:val="Heading3"/>
        <w:ind w:left="1440" w:hanging="630"/>
        <w:rPr>
          <w:rFonts w:eastAsiaTheme="majorEastAsia"/>
        </w:rPr>
      </w:pPr>
      <w:bookmarkStart w:id="18" w:name="_Toc27899861"/>
      <w:bookmarkStart w:id="19" w:name="_Toc29278179"/>
      <w:bookmarkStart w:id="20" w:name="_Hlk25232341"/>
      <w:r w:rsidRPr="00F7662E">
        <w:rPr>
          <w:rFonts w:eastAsiaTheme="majorEastAsia"/>
        </w:rPr>
        <w:t>Presumption of Fitness</w:t>
      </w:r>
      <w:bookmarkEnd w:id="18"/>
      <w:bookmarkEnd w:id="19"/>
      <w:r w:rsidRPr="00F7662E">
        <w:rPr>
          <w:rFonts w:eastAsiaTheme="majorEastAsia"/>
        </w:rPr>
        <w:t xml:space="preserve"> </w:t>
      </w:r>
    </w:p>
    <w:p w14:paraId="622B4BD8" w14:textId="77777777" w:rsidR="00F7662E" w:rsidRPr="00F7662E" w:rsidRDefault="00F7662E" w:rsidP="00B24187">
      <w:pPr>
        <w:keepNext/>
        <w:keepLines/>
        <w:widowControl/>
        <w:spacing w:line="360" w:lineRule="auto"/>
        <w:ind w:firstLine="1440"/>
        <w:outlineLvl w:val="3"/>
        <w:rPr>
          <w:rFonts w:eastAsiaTheme="majorEastAsia"/>
          <w:bCs/>
          <w:color w:val="000000" w:themeColor="text1"/>
          <w:sz w:val="26"/>
          <w:szCs w:val="26"/>
        </w:rPr>
      </w:pPr>
    </w:p>
    <w:p w14:paraId="320982FF" w14:textId="15C6B29A" w:rsidR="00F7662E" w:rsidRDefault="00F7662E" w:rsidP="00B24187">
      <w:pPr>
        <w:widowControl/>
        <w:spacing w:line="360" w:lineRule="auto"/>
        <w:ind w:firstLine="1440"/>
        <w:rPr>
          <w:rFonts w:eastAsiaTheme="majorEastAsia"/>
          <w:sz w:val="26"/>
          <w:szCs w:val="26"/>
        </w:rPr>
      </w:pPr>
      <w:bookmarkStart w:id="21" w:name="_Toc27899864"/>
      <w:r w:rsidRPr="00CF2A9F">
        <w:rPr>
          <w:rFonts w:eastAsiaTheme="majorEastAsia"/>
          <w:sz w:val="26"/>
          <w:szCs w:val="26"/>
        </w:rPr>
        <w:t>In the Recommended Decision, the ALJ noted that the fitness standard is grounded in Section 1103 of the Code, 66 Pa. C.S. § 1103, and case law interpreting that provision.</w:t>
      </w:r>
      <w:r w:rsidRPr="00CF2A9F">
        <w:rPr>
          <w:rFonts w:eastAsiaTheme="majorEastAsia"/>
          <w:sz w:val="26"/>
          <w:szCs w:val="26"/>
          <w:vertAlign w:val="superscript"/>
        </w:rPr>
        <w:footnoteReference w:id="15"/>
      </w:r>
      <w:r w:rsidRPr="00CF2A9F">
        <w:rPr>
          <w:rFonts w:eastAsiaTheme="majorEastAsia"/>
          <w:sz w:val="26"/>
          <w:szCs w:val="26"/>
        </w:rPr>
        <w:t xml:space="preserve">  The ALJ concluded that the cases applying a presumption of fitness to an applicant were distinguishable from the instant Joint Application</w:t>
      </w:r>
      <w:bookmarkStart w:id="22" w:name="_Toc27899865"/>
      <w:bookmarkEnd w:id="21"/>
      <w:r w:rsidRPr="00CF2A9F">
        <w:rPr>
          <w:rFonts w:eastAsiaTheme="majorEastAsia"/>
          <w:sz w:val="26"/>
          <w:szCs w:val="26"/>
        </w:rPr>
        <w:t xml:space="preserve"> and ruled that Aqua America was not entitled to a presumption of fitness simply by virtue of its long-standing provision of water and wastewater utility service.  R.D. at 22.</w:t>
      </w:r>
      <w:r w:rsidR="003A591D">
        <w:rPr>
          <w:rFonts w:eastAsiaTheme="majorEastAsia"/>
          <w:sz w:val="26"/>
          <w:szCs w:val="26"/>
        </w:rPr>
        <w:t xml:space="preserve"> </w:t>
      </w:r>
      <w:r w:rsidRPr="00CF2A9F">
        <w:rPr>
          <w:rFonts w:eastAsiaTheme="majorEastAsia"/>
          <w:sz w:val="26"/>
          <w:szCs w:val="26"/>
        </w:rPr>
        <w:t xml:space="preserve"> </w:t>
      </w:r>
    </w:p>
    <w:p w14:paraId="6C2F8A27" w14:textId="77777777" w:rsidR="00D66EA5" w:rsidRPr="00CF2A9F" w:rsidRDefault="00D66EA5" w:rsidP="00B24187">
      <w:pPr>
        <w:widowControl/>
        <w:spacing w:line="360" w:lineRule="auto"/>
        <w:ind w:firstLine="1440"/>
        <w:rPr>
          <w:rFonts w:eastAsiaTheme="majorEastAsia"/>
          <w:sz w:val="26"/>
          <w:szCs w:val="26"/>
        </w:rPr>
      </w:pPr>
    </w:p>
    <w:p w14:paraId="5E3213D8" w14:textId="4321D6EC" w:rsidR="00F7662E" w:rsidRPr="00CF2A9F" w:rsidRDefault="00F7662E" w:rsidP="00B24187">
      <w:pPr>
        <w:widowControl/>
        <w:spacing w:line="360" w:lineRule="auto"/>
        <w:ind w:firstLine="1440"/>
        <w:rPr>
          <w:rFonts w:eastAsiaTheme="majorEastAsia"/>
          <w:sz w:val="26"/>
          <w:szCs w:val="26"/>
        </w:rPr>
      </w:pPr>
      <w:r w:rsidRPr="00CF2A9F">
        <w:rPr>
          <w:rFonts w:eastAsiaTheme="majorEastAsia"/>
          <w:sz w:val="26"/>
          <w:szCs w:val="26"/>
        </w:rPr>
        <w:t xml:space="preserve">This sound reasoning derives from the unique nature and scope of the acquisition proposed here and the complexity associated with Aqua America undertaking utility service that is materially distinct from that currently provided by Aqua America’s current subsidiaries.  The considerations at issue when an applicant seeks to expand its existing utility service or merge with a utility of the same type, are not the same as those presented in this case.  </w:t>
      </w:r>
      <w:r w:rsidRPr="00CF2A9F">
        <w:rPr>
          <w:rFonts w:eastAsiaTheme="majorEastAsia"/>
          <w:i/>
          <w:iCs/>
          <w:sz w:val="26"/>
          <w:szCs w:val="26"/>
        </w:rPr>
        <w:t>Id</w:t>
      </w:r>
      <w:r w:rsidRPr="00CF2A9F">
        <w:rPr>
          <w:rFonts w:eastAsiaTheme="majorEastAsia"/>
          <w:sz w:val="26"/>
          <w:szCs w:val="26"/>
        </w:rPr>
        <w:t>.  Thus, the ALJ concluded that the Joint Applicants must bear the burden of proving that Aqua America is fit to operate the Peoples Companies.</w:t>
      </w:r>
      <w:bookmarkEnd w:id="22"/>
      <w:r w:rsidRPr="00CF2A9F">
        <w:rPr>
          <w:rFonts w:eastAsiaTheme="majorEastAsia"/>
          <w:sz w:val="26"/>
          <w:szCs w:val="26"/>
        </w:rPr>
        <w:t xml:space="preserve">  </w:t>
      </w:r>
      <w:r w:rsidRPr="00CF2A9F">
        <w:rPr>
          <w:rFonts w:eastAsiaTheme="majorEastAsia"/>
          <w:i/>
          <w:iCs/>
          <w:sz w:val="26"/>
          <w:szCs w:val="26"/>
        </w:rPr>
        <w:t>Id</w:t>
      </w:r>
      <w:r w:rsidRPr="00CF2A9F">
        <w:rPr>
          <w:rFonts w:eastAsiaTheme="majorEastAsia"/>
          <w:sz w:val="26"/>
          <w:szCs w:val="26"/>
        </w:rPr>
        <w:t xml:space="preserve">. </w:t>
      </w:r>
      <w:r w:rsidR="00B24187">
        <w:rPr>
          <w:rFonts w:eastAsiaTheme="majorEastAsia"/>
          <w:sz w:val="26"/>
          <w:szCs w:val="26"/>
        </w:rPr>
        <w:t>a</w:t>
      </w:r>
      <w:r w:rsidRPr="00CF2A9F">
        <w:rPr>
          <w:rFonts w:eastAsiaTheme="majorEastAsia"/>
          <w:sz w:val="26"/>
          <w:szCs w:val="26"/>
        </w:rPr>
        <w:t>t</w:t>
      </w:r>
      <w:r w:rsidR="00B24187">
        <w:rPr>
          <w:rFonts w:eastAsiaTheme="majorEastAsia"/>
          <w:sz w:val="26"/>
          <w:szCs w:val="26"/>
        </w:rPr>
        <w:t> </w:t>
      </w:r>
      <w:r w:rsidRPr="00CF2A9F">
        <w:rPr>
          <w:rFonts w:eastAsiaTheme="majorEastAsia"/>
          <w:sz w:val="26"/>
          <w:szCs w:val="26"/>
        </w:rPr>
        <w:t xml:space="preserve">24.  </w:t>
      </w:r>
    </w:p>
    <w:p w14:paraId="423027C6" w14:textId="77777777" w:rsidR="00F7662E" w:rsidRPr="00CF2A9F" w:rsidRDefault="00F7662E" w:rsidP="00B24187">
      <w:pPr>
        <w:widowControl/>
        <w:spacing w:line="360" w:lineRule="auto"/>
        <w:rPr>
          <w:rFonts w:eastAsiaTheme="majorEastAsia"/>
          <w:sz w:val="26"/>
          <w:szCs w:val="26"/>
        </w:rPr>
      </w:pPr>
    </w:p>
    <w:p w14:paraId="4C72BCC2" w14:textId="77777777" w:rsidR="00F7662E" w:rsidRPr="00CF2A9F" w:rsidRDefault="00F7662E" w:rsidP="00B24187">
      <w:pPr>
        <w:widowControl/>
        <w:spacing w:line="360" w:lineRule="auto"/>
        <w:ind w:firstLine="1440"/>
        <w:rPr>
          <w:rFonts w:eastAsiaTheme="majorEastAsia"/>
          <w:sz w:val="26"/>
          <w:szCs w:val="26"/>
        </w:rPr>
      </w:pPr>
      <w:bookmarkStart w:id="23" w:name="_Toc27899866"/>
      <w:r w:rsidRPr="00CF2A9F">
        <w:rPr>
          <w:rFonts w:eastAsiaTheme="majorEastAsia"/>
          <w:sz w:val="26"/>
          <w:szCs w:val="26"/>
        </w:rPr>
        <w:t>No party has excepted to the ALJ’s determination that a presumption of fitness does not apply to Aqua America in this case.  We affirm the ALJ’s determination that the Joint Applicants bear the burden of proving that Aqua America, a water and wastewater utility enterprise, is fit to operate the Peoples Companies, a group of natural gas distribution utilities.</w:t>
      </w:r>
      <w:bookmarkEnd w:id="23"/>
      <w:r w:rsidRPr="00CF2A9F">
        <w:rPr>
          <w:rFonts w:eastAsiaTheme="majorEastAsia"/>
          <w:sz w:val="26"/>
          <w:szCs w:val="26"/>
        </w:rPr>
        <w:t xml:space="preserve">  </w:t>
      </w:r>
    </w:p>
    <w:p w14:paraId="68C0328B" w14:textId="77777777" w:rsidR="00F7662E" w:rsidRPr="00CF2A9F" w:rsidRDefault="00F7662E" w:rsidP="00B24187">
      <w:pPr>
        <w:widowControl/>
        <w:spacing w:line="360" w:lineRule="auto"/>
        <w:rPr>
          <w:sz w:val="26"/>
          <w:szCs w:val="26"/>
        </w:rPr>
      </w:pPr>
    </w:p>
    <w:p w14:paraId="305FF70F" w14:textId="77777777" w:rsidR="00F7662E" w:rsidRPr="00981B2B" w:rsidRDefault="00F7662E" w:rsidP="00B24187">
      <w:pPr>
        <w:pStyle w:val="Heading3"/>
        <w:ind w:left="1440" w:hanging="720"/>
        <w:rPr>
          <w:rFonts w:eastAsiaTheme="majorEastAsia"/>
        </w:rPr>
      </w:pPr>
      <w:bookmarkStart w:id="24" w:name="_Toc27899867"/>
      <w:bookmarkStart w:id="25" w:name="_Toc29278180"/>
      <w:r w:rsidRPr="00981B2B">
        <w:rPr>
          <w:rFonts w:eastAsiaTheme="majorEastAsia"/>
        </w:rPr>
        <w:t>Technical Fitness</w:t>
      </w:r>
      <w:bookmarkEnd w:id="24"/>
      <w:bookmarkEnd w:id="25"/>
    </w:p>
    <w:p w14:paraId="6C95B7E3" w14:textId="77777777" w:rsidR="00F7662E" w:rsidRPr="00981B2B" w:rsidRDefault="00F7662E" w:rsidP="00B24187">
      <w:pPr>
        <w:widowControl/>
        <w:spacing w:line="360" w:lineRule="auto"/>
        <w:rPr>
          <w:sz w:val="26"/>
          <w:szCs w:val="26"/>
        </w:rPr>
      </w:pPr>
    </w:p>
    <w:p w14:paraId="46BC7D92" w14:textId="77777777" w:rsidR="00F7662E" w:rsidRPr="00981B2B" w:rsidRDefault="00F7662E" w:rsidP="00B24187">
      <w:pPr>
        <w:pStyle w:val="Heading4"/>
        <w:widowControl/>
        <w:numPr>
          <w:ilvl w:val="0"/>
          <w:numId w:val="24"/>
        </w:numPr>
        <w:ind w:left="2160" w:hanging="720"/>
      </w:pPr>
      <w:bookmarkStart w:id="26" w:name="_Toc29278181"/>
      <w:bookmarkEnd w:id="20"/>
      <w:r w:rsidRPr="00981B2B">
        <w:t>Positions of the Parties</w:t>
      </w:r>
      <w:bookmarkEnd w:id="26"/>
    </w:p>
    <w:p w14:paraId="482A187D" w14:textId="77777777" w:rsidR="00F7662E" w:rsidRPr="00981B2B" w:rsidRDefault="00F7662E" w:rsidP="00B24187">
      <w:pPr>
        <w:widowControl/>
        <w:spacing w:line="360" w:lineRule="auto"/>
        <w:rPr>
          <w:sz w:val="26"/>
          <w:szCs w:val="26"/>
        </w:rPr>
      </w:pPr>
    </w:p>
    <w:p w14:paraId="11FA5412" w14:textId="77777777" w:rsidR="00F7662E" w:rsidRPr="00F7662E" w:rsidRDefault="00F7662E" w:rsidP="00B24187">
      <w:pPr>
        <w:widowControl/>
        <w:spacing w:line="360" w:lineRule="auto"/>
        <w:ind w:firstLine="1440"/>
        <w:rPr>
          <w:sz w:val="26"/>
          <w:szCs w:val="26"/>
        </w:rPr>
      </w:pPr>
      <w:r w:rsidRPr="00981B2B">
        <w:rPr>
          <w:sz w:val="26"/>
          <w:szCs w:val="26"/>
        </w:rPr>
        <w:t>The Joint</w:t>
      </w:r>
      <w:r w:rsidRPr="00F7662E">
        <w:rPr>
          <w:sz w:val="26"/>
          <w:szCs w:val="26"/>
        </w:rPr>
        <w:t xml:space="preserve"> Applicants argued before the ALJ that, even if Aqua America is not presumed fit, substantial evidence demonstrates Aqua America has the requisite technical, financial and legal fitness to own the Peoples Companies.  Joint Applicants M.B. at 9, 11-12.  Noting first that no Parties disputed Aqua America’s legal fitness to own </w:t>
      </w:r>
      <w:r w:rsidR="008B57D8">
        <w:rPr>
          <w:sz w:val="26"/>
          <w:szCs w:val="26"/>
        </w:rPr>
        <w:t xml:space="preserve">and operate </w:t>
      </w:r>
      <w:r w:rsidRPr="00F7662E">
        <w:rPr>
          <w:sz w:val="26"/>
          <w:szCs w:val="26"/>
        </w:rPr>
        <w:t xml:space="preserve">the Peoples Companies, the Joint Applicants stated that Aqua America’s and its subsidiaries’ culture of compliance is undisputed and will continue if the Proposed Transaction is approved.  </w:t>
      </w:r>
      <w:r w:rsidRPr="00F7662E">
        <w:rPr>
          <w:i/>
          <w:sz w:val="26"/>
          <w:szCs w:val="26"/>
        </w:rPr>
        <w:t>Id</w:t>
      </w:r>
      <w:r w:rsidRPr="00F7662E">
        <w:rPr>
          <w:sz w:val="26"/>
          <w:szCs w:val="26"/>
        </w:rPr>
        <w:t xml:space="preserve">. at 11; Joint Applicants Exh. DJS-1 at 23-24.  </w:t>
      </w:r>
    </w:p>
    <w:p w14:paraId="4B77F627" w14:textId="77777777" w:rsidR="00F7662E" w:rsidRPr="00F7662E" w:rsidRDefault="00F7662E" w:rsidP="00B24187">
      <w:pPr>
        <w:widowControl/>
        <w:spacing w:line="360" w:lineRule="auto"/>
        <w:ind w:firstLine="1440"/>
        <w:rPr>
          <w:sz w:val="26"/>
          <w:szCs w:val="26"/>
        </w:rPr>
      </w:pPr>
    </w:p>
    <w:p w14:paraId="542B182C" w14:textId="3BBDD3B7" w:rsidR="00F7662E" w:rsidRDefault="00F7662E" w:rsidP="00B24187">
      <w:pPr>
        <w:widowControl/>
        <w:spacing w:line="360" w:lineRule="auto"/>
        <w:ind w:firstLine="1440"/>
        <w:rPr>
          <w:sz w:val="26"/>
          <w:szCs w:val="26"/>
        </w:rPr>
      </w:pPr>
      <w:r w:rsidRPr="00F7662E">
        <w:rPr>
          <w:sz w:val="26"/>
          <w:szCs w:val="26"/>
        </w:rPr>
        <w:lastRenderedPageBreak/>
        <w:t xml:space="preserve">The Joint Applicants next averred that Aqua America is technically fit to own </w:t>
      </w:r>
      <w:r w:rsidR="008B57D8">
        <w:rPr>
          <w:sz w:val="26"/>
          <w:szCs w:val="26"/>
        </w:rPr>
        <w:t xml:space="preserve">and operate </w:t>
      </w:r>
      <w:r w:rsidRPr="00F7662E">
        <w:rPr>
          <w:sz w:val="26"/>
          <w:szCs w:val="26"/>
        </w:rPr>
        <w:t xml:space="preserve">the Peoples Companies.  Joint Applicants M.B. at 11.  The Joint Applicants touted undisputed record evidence that Aqua America is the second largest investor-owned water utility in the country and is an experienced owner and manager of pipe-based utility assets in the United States.  </w:t>
      </w:r>
      <w:bookmarkStart w:id="27" w:name="_Hlk27993818"/>
      <w:r w:rsidRPr="00F7662E">
        <w:rPr>
          <w:sz w:val="26"/>
          <w:szCs w:val="26"/>
        </w:rPr>
        <w:t xml:space="preserve">Joint Applicants </w:t>
      </w:r>
      <w:bookmarkEnd w:id="27"/>
      <w:r w:rsidRPr="00F7662E">
        <w:rPr>
          <w:sz w:val="26"/>
          <w:szCs w:val="26"/>
        </w:rPr>
        <w:t>Exh. DJS-1 at 21.  In addition, Aqua America is a long-term investor in utility operations, focused on long-term ownership; it has owned and operated water systems in Pennsylvania for over 130 years.  Joint Applicants M.B. at 11, Joint Applicants St. 1 (REVISED) at 9-10 (PUBLIC).  The Joint Applicants stressed that highly-experienced teams will continue to lead the separate operations of Aqua PA and the Peoples Companies; water/wastewater operators will report to water/wastewater supervisors, managers and directors and natural gas operators will report to natural gas supervisors, managers and directors.  Joint Applicants M.B. at 11; Joint Applicants St. 1-R at 29-31.  The Joint Applicants continued by noting that the water/wastewater and natural gas subsidiaries will have their own presidents, who will report to Aqua America management.  Joint Applicants M.B. at 11;</w:t>
      </w:r>
      <w:r w:rsidRPr="00F7662E">
        <w:rPr>
          <w:i/>
          <w:sz w:val="26"/>
          <w:szCs w:val="26"/>
        </w:rPr>
        <w:t xml:space="preserve"> </w:t>
      </w:r>
      <w:r w:rsidRPr="00F7662E">
        <w:rPr>
          <w:sz w:val="26"/>
          <w:szCs w:val="26"/>
        </w:rPr>
        <w:t xml:space="preserve">Joint Applicants St. 1-R. at 30; </w:t>
      </w:r>
      <w:r w:rsidRPr="00F7662E">
        <w:rPr>
          <w:i/>
          <w:sz w:val="26"/>
          <w:szCs w:val="26"/>
        </w:rPr>
        <w:t xml:space="preserve">see also </w:t>
      </w:r>
      <w:r w:rsidRPr="00F7662E">
        <w:rPr>
          <w:bCs/>
          <w:sz w:val="26"/>
          <w:szCs w:val="26"/>
        </w:rPr>
        <w:t>HIGHLY CONFIDENTIAL – STATUTORY ADVOCATES ONLY</w:t>
      </w:r>
      <w:r w:rsidRPr="00F7662E">
        <w:rPr>
          <w:sz w:val="26"/>
          <w:szCs w:val="26"/>
        </w:rPr>
        <w:t xml:space="preserve"> Joint Applicants Exhs. CHF-3R and CHF-4R.</w:t>
      </w:r>
    </w:p>
    <w:p w14:paraId="144B404E" w14:textId="77777777" w:rsidR="00D6067C" w:rsidRPr="00F7662E" w:rsidRDefault="00D6067C" w:rsidP="00B24187">
      <w:pPr>
        <w:widowControl/>
        <w:spacing w:line="360" w:lineRule="auto"/>
        <w:ind w:firstLine="1440"/>
        <w:rPr>
          <w:sz w:val="26"/>
          <w:szCs w:val="26"/>
        </w:rPr>
      </w:pPr>
    </w:p>
    <w:p w14:paraId="25EEAE87" w14:textId="2AE30001" w:rsidR="00F7662E" w:rsidRPr="00F7662E" w:rsidRDefault="00F7662E" w:rsidP="00B24187">
      <w:pPr>
        <w:widowControl/>
        <w:spacing w:line="360" w:lineRule="auto"/>
        <w:ind w:firstLine="1440"/>
        <w:rPr>
          <w:rFonts w:eastAsiaTheme="minorHAnsi" w:cstheme="minorBidi"/>
          <w:sz w:val="26"/>
          <w:szCs w:val="26"/>
        </w:rPr>
      </w:pPr>
      <w:r w:rsidRPr="00F7662E">
        <w:rPr>
          <w:rFonts w:eastAsiaTheme="minorHAnsi" w:cstheme="minorBidi"/>
          <w:sz w:val="26"/>
          <w:szCs w:val="26"/>
        </w:rPr>
        <w:t xml:space="preserve">The Joint Applicants claimed that I&amp;E and </w:t>
      </w:r>
      <w:r w:rsidR="009C7693">
        <w:rPr>
          <w:rFonts w:eastAsiaTheme="minorHAnsi" w:cstheme="minorBidi"/>
          <w:sz w:val="26"/>
          <w:szCs w:val="26"/>
        </w:rPr>
        <w:t xml:space="preserve">the </w:t>
      </w:r>
      <w:r w:rsidRPr="00F7662E">
        <w:rPr>
          <w:rFonts w:eastAsiaTheme="minorHAnsi" w:cstheme="minorBidi"/>
          <w:sz w:val="26"/>
          <w:szCs w:val="26"/>
        </w:rPr>
        <w:t xml:space="preserve">OSBA’s assertions that Aqua America is not technically fit to own </w:t>
      </w:r>
      <w:r w:rsidR="008B57D8">
        <w:rPr>
          <w:rFonts w:eastAsiaTheme="minorHAnsi" w:cstheme="minorBidi"/>
          <w:sz w:val="26"/>
          <w:szCs w:val="26"/>
        </w:rPr>
        <w:t xml:space="preserve">and operate </w:t>
      </w:r>
      <w:r w:rsidRPr="00F7662E">
        <w:rPr>
          <w:rFonts w:eastAsiaTheme="minorHAnsi" w:cstheme="minorBidi"/>
          <w:sz w:val="26"/>
          <w:szCs w:val="26"/>
        </w:rPr>
        <w:t>the Peoples Companies simply ignored that: (1) the Peoples Companies have a solid foundation of experienced supervisors, managers and leadership (Joint Applicants St. 1-R at 31)</w:t>
      </w:r>
      <w:r w:rsidR="009C7693">
        <w:rPr>
          <w:rFonts w:eastAsiaTheme="minorHAnsi" w:cstheme="minorBidi"/>
          <w:sz w:val="26"/>
          <w:szCs w:val="26"/>
        </w:rPr>
        <w:t>;</w:t>
      </w:r>
      <w:r w:rsidRPr="00F7662E">
        <w:rPr>
          <w:rFonts w:eastAsiaTheme="minorHAnsi" w:cstheme="minorBidi"/>
          <w:sz w:val="26"/>
          <w:szCs w:val="26"/>
        </w:rPr>
        <w:t xml:space="preserve"> and (2) operational personnel directly responsible for the day-to-day operations and service of the Peoples Companies will be unaffected by the Proposed Transaction (Joint Applicants St. 4 (REVISED) at 10-11, 14-15; </w:t>
      </w:r>
      <w:r w:rsidRPr="00F7662E">
        <w:rPr>
          <w:rFonts w:eastAsiaTheme="minorHAnsi" w:cstheme="minorBidi"/>
          <w:i/>
          <w:sz w:val="26"/>
          <w:szCs w:val="26"/>
        </w:rPr>
        <w:t xml:space="preserve">see also </w:t>
      </w:r>
      <w:r w:rsidRPr="00F7662E">
        <w:rPr>
          <w:rFonts w:eastAsiaTheme="minorHAnsi" w:cstheme="minorBidi"/>
          <w:sz w:val="26"/>
          <w:szCs w:val="26"/>
        </w:rPr>
        <w:t>Joint Applicants St. 3 (REVISED) at 6-7).  Aqua America also highlighted its long-term experience in general utility matters, including meter reading, billing, capital budget and planning, and utility call center operations.  Joint Applicants St. 4-R at 7-10.</w:t>
      </w:r>
    </w:p>
    <w:p w14:paraId="50AA41BD" w14:textId="77777777" w:rsidR="00F7662E" w:rsidRPr="00F7662E" w:rsidRDefault="00F7662E" w:rsidP="00B24187">
      <w:pPr>
        <w:widowControl/>
        <w:spacing w:line="360" w:lineRule="auto"/>
        <w:ind w:firstLine="1440"/>
        <w:jc w:val="both"/>
        <w:rPr>
          <w:rFonts w:eastAsiaTheme="minorHAnsi" w:cstheme="minorBidi"/>
          <w:sz w:val="26"/>
          <w:szCs w:val="26"/>
        </w:rPr>
      </w:pPr>
    </w:p>
    <w:p w14:paraId="2EA8E18D" w14:textId="1F0BA7F2" w:rsidR="00F7662E" w:rsidRPr="00F7662E" w:rsidRDefault="00F7662E" w:rsidP="00B24187">
      <w:pPr>
        <w:widowControl/>
        <w:spacing w:line="360" w:lineRule="auto"/>
        <w:ind w:firstLine="1440"/>
        <w:rPr>
          <w:rFonts w:eastAsiaTheme="minorHAnsi" w:cstheme="minorBidi"/>
          <w:sz w:val="26"/>
          <w:szCs w:val="26"/>
        </w:rPr>
      </w:pPr>
      <w:r w:rsidRPr="00F7662E">
        <w:rPr>
          <w:rFonts w:eastAsiaTheme="minorHAnsi" w:cstheme="minorBidi"/>
          <w:sz w:val="26"/>
          <w:szCs w:val="26"/>
        </w:rPr>
        <w:lastRenderedPageBreak/>
        <w:t xml:space="preserve">The Joint Applicants argued that I&amp;E and the OSBA’s concerns regarding changes in leadership were speculative and took issue with I&amp;E witness </w:t>
      </w:r>
      <w:r w:rsidR="004455D3">
        <w:rPr>
          <w:rFonts w:eastAsiaTheme="minorHAnsi" w:cstheme="minorBidi"/>
          <w:sz w:val="26"/>
          <w:szCs w:val="26"/>
        </w:rPr>
        <w:t xml:space="preserve">Scott S. </w:t>
      </w:r>
      <w:r w:rsidRPr="00F7662E">
        <w:rPr>
          <w:rFonts w:eastAsiaTheme="minorHAnsi" w:cstheme="minorBidi"/>
          <w:sz w:val="26"/>
          <w:szCs w:val="26"/>
        </w:rPr>
        <w:t xml:space="preserve">Orr’s position that the Commission should consider the fact that Aqua PA had not recently met main replacement and distribution system improvement goals.  Joint Applicants M.B. at 12; I&amp;E St. 4 at 7-8.  With regard to the pace of pipe replacement, the Joint Applicants claimed that Mr. Orr’s argument ignores that over the two-year period he cites, Aqua PA exceeded the projected miles of main replacement.  Joint Applicants M.B. at 12; Joint Applicants St. 5-R at 25-26.  The Joint Applicants added that Aqua PA also spent in excess of its projections on main replacement during the period in question.  Joint Applicants M.B. at 12; Tr. at 223.  Thus, the Joint Applicants asserted that Aqua PA’s successes in these regards further demonstrated Aqua America’s fitness to own </w:t>
      </w:r>
      <w:r w:rsidR="004455D3">
        <w:rPr>
          <w:rFonts w:eastAsiaTheme="minorHAnsi" w:cstheme="minorBidi"/>
          <w:sz w:val="26"/>
          <w:szCs w:val="26"/>
        </w:rPr>
        <w:t>a</w:t>
      </w:r>
      <w:r w:rsidR="008B57D8">
        <w:rPr>
          <w:rFonts w:eastAsiaTheme="minorHAnsi" w:cstheme="minorBidi"/>
          <w:sz w:val="26"/>
          <w:szCs w:val="26"/>
        </w:rPr>
        <w:t xml:space="preserve">nd operate </w:t>
      </w:r>
      <w:r w:rsidRPr="00F7662E">
        <w:rPr>
          <w:rFonts w:eastAsiaTheme="minorHAnsi" w:cstheme="minorBidi"/>
          <w:sz w:val="26"/>
          <w:szCs w:val="26"/>
        </w:rPr>
        <w:t>the Peoples Companies.  Joint Applicants M.B. at 12.</w:t>
      </w:r>
    </w:p>
    <w:p w14:paraId="1FE1BBA9" w14:textId="77777777" w:rsidR="00F7662E" w:rsidRPr="00F7662E" w:rsidRDefault="00F7662E" w:rsidP="00B24187">
      <w:pPr>
        <w:widowControl/>
        <w:spacing w:line="360" w:lineRule="auto"/>
        <w:ind w:firstLine="720"/>
        <w:rPr>
          <w:sz w:val="26"/>
          <w:szCs w:val="26"/>
        </w:rPr>
      </w:pPr>
    </w:p>
    <w:p w14:paraId="31E90947" w14:textId="73FA0ADA" w:rsidR="00F7662E" w:rsidRPr="00F7662E" w:rsidRDefault="00F7662E" w:rsidP="00B24187">
      <w:pPr>
        <w:widowControl/>
        <w:spacing w:line="360" w:lineRule="auto"/>
        <w:ind w:firstLine="1440"/>
        <w:rPr>
          <w:rFonts w:eastAsiaTheme="minorHAnsi" w:cstheme="minorBidi"/>
          <w:sz w:val="26"/>
          <w:szCs w:val="26"/>
        </w:rPr>
      </w:pPr>
      <w:r w:rsidRPr="00F7662E">
        <w:rPr>
          <w:rFonts w:eastAsiaTheme="minorHAnsi" w:cstheme="minorBidi"/>
          <w:sz w:val="26"/>
          <w:szCs w:val="26"/>
        </w:rPr>
        <w:t xml:space="preserve">Both I&amp;E and the OSBA argued that Aqua America had not established its technical fitness to own </w:t>
      </w:r>
      <w:r w:rsidR="008B57D8">
        <w:rPr>
          <w:rFonts w:eastAsiaTheme="minorHAnsi" w:cstheme="minorBidi"/>
          <w:sz w:val="26"/>
          <w:szCs w:val="26"/>
        </w:rPr>
        <w:t>and operate</w:t>
      </w:r>
      <w:r w:rsidR="004455D3">
        <w:rPr>
          <w:rFonts w:eastAsiaTheme="minorHAnsi" w:cstheme="minorBidi"/>
          <w:sz w:val="26"/>
          <w:szCs w:val="26"/>
        </w:rPr>
        <w:t xml:space="preserve"> </w:t>
      </w:r>
      <w:r w:rsidRPr="00F7662E">
        <w:rPr>
          <w:rFonts w:eastAsiaTheme="minorHAnsi" w:cstheme="minorBidi"/>
          <w:sz w:val="26"/>
          <w:szCs w:val="26"/>
        </w:rPr>
        <w:t>the Peoples Companies.  I&amp;E M.B. at 8-10, 12-13); I&amp;E St. 1 at 14-17; I&amp;E St. 4 at 7-8; OSBA M.B. at 5-6,7-11, 31; OSBA St. 1 at 3-6.</w:t>
      </w:r>
    </w:p>
    <w:p w14:paraId="5415BC30" w14:textId="77777777" w:rsidR="00F7662E" w:rsidRPr="00F7662E" w:rsidRDefault="00F7662E" w:rsidP="00B24187">
      <w:pPr>
        <w:widowControl/>
        <w:spacing w:line="360" w:lineRule="auto"/>
        <w:ind w:firstLine="720"/>
        <w:rPr>
          <w:sz w:val="26"/>
          <w:szCs w:val="26"/>
        </w:rPr>
      </w:pPr>
    </w:p>
    <w:p w14:paraId="60E15DA5" w14:textId="6B5867A8" w:rsidR="00F7662E" w:rsidRPr="00F7662E" w:rsidRDefault="00F7662E" w:rsidP="00B24187">
      <w:pPr>
        <w:widowControl/>
        <w:spacing w:line="360" w:lineRule="auto"/>
        <w:ind w:firstLine="1440"/>
        <w:rPr>
          <w:sz w:val="26"/>
          <w:szCs w:val="26"/>
        </w:rPr>
      </w:pPr>
      <w:r w:rsidRPr="00F7662E">
        <w:rPr>
          <w:sz w:val="26"/>
          <w:szCs w:val="26"/>
        </w:rPr>
        <w:t xml:space="preserve">I&amp;E readily acknowledged Aqua America’s technical fitness to own and operate its water/wastewater utilities, but challenged </w:t>
      </w:r>
      <w:r w:rsidRPr="00F7662E">
        <w:rPr>
          <w:sz w:val="26"/>
        </w:rPr>
        <w:t xml:space="preserve">Aqua America’s technical expertise necessary to own, operate, and manage a natural gas distribution company under the standard articulated in </w:t>
      </w:r>
      <w:r w:rsidRPr="00F7662E">
        <w:rPr>
          <w:i/>
          <w:iCs/>
          <w:sz w:val="26"/>
          <w:szCs w:val="26"/>
        </w:rPr>
        <w:t>Application of Penn Estates Utilities, Inc., Utilities, Inc., Utilities, Ind. Of Pennsylvania and Utilities, Inc. – Westgate for Approval of Stock Transfer Leading to a Change in Control of their Parent Corporation, Utilities, Inc. (Penn Estates Utilities</w:t>
      </w:r>
      <w:r w:rsidRPr="00F7662E">
        <w:rPr>
          <w:sz w:val="26"/>
          <w:szCs w:val="26"/>
        </w:rPr>
        <w:t>)</w:t>
      </w:r>
      <w:r w:rsidRPr="00F7662E">
        <w:rPr>
          <w:i/>
          <w:iCs/>
          <w:sz w:val="26"/>
          <w:szCs w:val="26"/>
        </w:rPr>
        <w:t>,</w:t>
      </w:r>
      <w:r w:rsidRPr="00F7662E">
        <w:rPr>
          <w:sz w:val="26"/>
          <w:szCs w:val="26"/>
        </w:rPr>
        <w:t xml:space="preserve"> Docket No. A-210072F0003 (Order entered October 2, 2006).  I&amp;E M.B. at</w:t>
      </w:r>
      <w:r w:rsidR="00B24187">
        <w:rPr>
          <w:sz w:val="26"/>
          <w:szCs w:val="26"/>
        </w:rPr>
        <w:t> </w:t>
      </w:r>
      <w:r w:rsidRPr="00F7662E">
        <w:rPr>
          <w:sz w:val="26"/>
          <w:szCs w:val="26"/>
        </w:rPr>
        <w:t>8</w:t>
      </w:r>
      <w:r w:rsidR="00B24187">
        <w:rPr>
          <w:sz w:val="26"/>
          <w:szCs w:val="26"/>
        </w:rPr>
        <w:noBreakHyphen/>
      </w:r>
      <w:r w:rsidRPr="00F7662E">
        <w:rPr>
          <w:sz w:val="26"/>
          <w:szCs w:val="26"/>
        </w:rPr>
        <w:t>10.</w:t>
      </w:r>
    </w:p>
    <w:p w14:paraId="40D26579" w14:textId="77777777" w:rsidR="00F7662E" w:rsidRPr="00F7662E" w:rsidRDefault="00F7662E" w:rsidP="00B24187">
      <w:pPr>
        <w:widowControl/>
        <w:spacing w:line="360" w:lineRule="auto"/>
        <w:ind w:firstLine="1530"/>
      </w:pPr>
    </w:p>
    <w:p w14:paraId="628BA753" w14:textId="4404DECF" w:rsidR="00F7662E" w:rsidRPr="00F7662E" w:rsidRDefault="00F7662E" w:rsidP="00B24187">
      <w:pPr>
        <w:widowControl/>
        <w:spacing w:line="360" w:lineRule="auto"/>
        <w:ind w:firstLine="1440"/>
        <w:rPr>
          <w:sz w:val="26"/>
          <w:szCs w:val="26"/>
        </w:rPr>
      </w:pPr>
      <w:r w:rsidRPr="00F7662E">
        <w:rPr>
          <w:iCs/>
          <w:sz w:val="26"/>
        </w:rPr>
        <w:t xml:space="preserve">I&amp;E urged the ALJ to apply the factors set forth in </w:t>
      </w:r>
      <w:r w:rsidRPr="00F7662E">
        <w:rPr>
          <w:i/>
          <w:sz w:val="26"/>
          <w:szCs w:val="26"/>
        </w:rPr>
        <w:t>Penn Estates Utilities</w:t>
      </w:r>
      <w:r w:rsidRPr="00F7662E">
        <w:rPr>
          <w:sz w:val="26"/>
          <w:szCs w:val="26"/>
        </w:rPr>
        <w:t xml:space="preserve"> </w:t>
      </w:r>
      <w:r w:rsidRPr="00F7662E">
        <w:rPr>
          <w:sz w:val="26"/>
        </w:rPr>
        <w:t xml:space="preserve">even though that case involved an application by an equity fund to own a utility.  I&amp;E’s theory was that </w:t>
      </w:r>
      <w:r w:rsidRPr="00F7662E">
        <w:rPr>
          <w:i/>
          <w:iCs/>
          <w:sz w:val="26"/>
        </w:rPr>
        <w:t>Penn Estates Utilities</w:t>
      </w:r>
      <w:r w:rsidRPr="00F7662E">
        <w:rPr>
          <w:sz w:val="26"/>
        </w:rPr>
        <w:t xml:space="preserve"> factors should control because, like the equity </w:t>
      </w:r>
      <w:r w:rsidRPr="00F7662E">
        <w:rPr>
          <w:sz w:val="26"/>
        </w:rPr>
        <w:lastRenderedPageBreak/>
        <w:t xml:space="preserve">fund’s inexperience in the water industry, Aqua America has no experience in owning, operating or managing a natural gas utility.  I&amp;E claimed that, even though Aqua America has exhibited its technical fitness in the water and wastewater industries, it has failed to provide evidence of its technical fitness to own and operate a natural gas distribution company.  I&amp;E noted </w:t>
      </w:r>
      <w:r w:rsidRPr="00F7662E">
        <w:rPr>
          <w:sz w:val="26"/>
          <w:szCs w:val="26"/>
        </w:rPr>
        <w:t xml:space="preserve">that natural gas distribution differs drastically from water/wastewater distribution in that natural gas is inherently more dangerous than water/wastewater and requires an owner and operator to comply with safety provisions that do not exist for water and wastewater distribution.  I&amp;E M.B. at 8-10.  These safety regulations for natural gas distribution are set forth in the Code, Commission Regulations, and by the Pipeline and Hazardous Materials Safety Administration (PHMSA) which would not be familiar to Aqua America through its subsidiaries’ provision of water and wastewater service.  </w:t>
      </w:r>
      <w:r w:rsidRPr="00F7662E">
        <w:rPr>
          <w:i/>
          <w:sz w:val="26"/>
          <w:szCs w:val="26"/>
        </w:rPr>
        <w:t>Id.</w:t>
      </w:r>
    </w:p>
    <w:p w14:paraId="229F0939" w14:textId="7C6FDE8E" w:rsidR="00F7662E" w:rsidRPr="00F7662E" w:rsidRDefault="00F7662E" w:rsidP="00B24187">
      <w:pPr>
        <w:widowControl/>
        <w:spacing w:line="360" w:lineRule="auto"/>
        <w:rPr>
          <w:sz w:val="26"/>
          <w:szCs w:val="26"/>
        </w:rPr>
      </w:pPr>
    </w:p>
    <w:p w14:paraId="4A31A307" w14:textId="6CF2DF12" w:rsidR="00F7662E" w:rsidRPr="00F7662E" w:rsidRDefault="00F7662E" w:rsidP="00B24187">
      <w:pPr>
        <w:widowControl/>
        <w:spacing w:line="360" w:lineRule="auto"/>
        <w:ind w:firstLine="1440"/>
        <w:rPr>
          <w:sz w:val="26"/>
          <w:szCs w:val="26"/>
        </w:rPr>
      </w:pPr>
      <w:r w:rsidRPr="00F7662E">
        <w:rPr>
          <w:sz w:val="26"/>
          <w:szCs w:val="26"/>
        </w:rPr>
        <w:t xml:space="preserve">I&amp;E explained that, while Aqua </w:t>
      </w:r>
      <w:r w:rsidR="00A167C2">
        <w:rPr>
          <w:sz w:val="26"/>
          <w:szCs w:val="26"/>
        </w:rPr>
        <w:t xml:space="preserve">America </w:t>
      </w:r>
      <w:r w:rsidRPr="00F7662E">
        <w:rPr>
          <w:sz w:val="26"/>
          <w:szCs w:val="26"/>
        </w:rPr>
        <w:t xml:space="preserve">argued that its technical fitness would remain with the Peoples Companies and be unaffected by the Proposed Transaction with its experienced supervisors, managers and leadership and those responsible for the day to day operations,  </w:t>
      </w:r>
      <w:r w:rsidRPr="00F7662E">
        <w:rPr>
          <w:b/>
          <w:bCs/>
          <w:sz w:val="26"/>
          <w:szCs w:val="26"/>
        </w:rPr>
        <w:t xml:space="preserve">[BEGIN </w:t>
      </w:r>
      <w:r w:rsidRPr="00175D86">
        <w:rPr>
          <w:b/>
          <w:bCs/>
          <w:sz w:val="26"/>
          <w:szCs w:val="26"/>
        </w:rPr>
        <w:t>CONFIDENTIAL</w:t>
      </w:r>
      <w:r w:rsidRPr="00F7662E">
        <w:rPr>
          <w:b/>
          <w:bCs/>
          <w:sz w:val="26"/>
          <w:szCs w:val="26"/>
        </w:rPr>
        <w:t xml:space="preserve">] </w:t>
      </w:r>
      <w:r w:rsidRPr="00F7662E">
        <w:rPr>
          <w:sz w:val="26"/>
          <w:szCs w:val="26"/>
        </w:rPr>
        <w:t xml:space="preserve"> </w:t>
      </w:r>
      <w:r w:rsidRPr="00F7662E">
        <w:rPr>
          <w:b/>
          <w:bCs/>
          <w:sz w:val="26"/>
          <w:szCs w:val="26"/>
        </w:rPr>
        <w:t xml:space="preserve">[END CONFIDENTIAL] </w:t>
      </w:r>
      <w:r w:rsidRPr="00F7662E">
        <w:rPr>
          <w:bCs/>
          <w:sz w:val="26"/>
          <w:szCs w:val="26"/>
        </w:rPr>
        <w:t>I&amp;E M.B. at 12-13, and 22-23.</w:t>
      </w:r>
      <w:r w:rsidRPr="00F7662E">
        <w:rPr>
          <w:sz w:val="26"/>
          <w:szCs w:val="26"/>
        </w:rPr>
        <w:t xml:space="preserve">  </w:t>
      </w:r>
    </w:p>
    <w:p w14:paraId="6D481CC8" w14:textId="77777777" w:rsidR="00F7662E" w:rsidRPr="00F7662E" w:rsidRDefault="00F7662E" w:rsidP="00B24187">
      <w:pPr>
        <w:widowControl/>
        <w:spacing w:line="360" w:lineRule="auto"/>
        <w:ind w:firstLine="1440"/>
        <w:rPr>
          <w:sz w:val="26"/>
          <w:szCs w:val="26"/>
        </w:rPr>
      </w:pPr>
    </w:p>
    <w:p w14:paraId="2E8580FE" w14:textId="77777777" w:rsidR="00493D8F" w:rsidRDefault="00F7662E" w:rsidP="00B24187">
      <w:pPr>
        <w:widowControl/>
        <w:spacing w:line="360" w:lineRule="auto"/>
        <w:ind w:firstLine="1440"/>
        <w:rPr>
          <w:sz w:val="26"/>
          <w:szCs w:val="26"/>
        </w:rPr>
      </w:pPr>
      <w:r w:rsidRPr="00F7662E">
        <w:rPr>
          <w:sz w:val="26"/>
          <w:szCs w:val="26"/>
        </w:rPr>
        <w:t xml:space="preserve">The OSBA argued that the Joint Applicants’ claim that Aqua America is technically fit because it is an experienced owner and manager of pipe-based utility assets </w:t>
      </w:r>
    </w:p>
    <w:p w14:paraId="2210A709" w14:textId="77777777" w:rsidR="00493D8F" w:rsidRDefault="00493D8F">
      <w:pPr>
        <w:widowControl/>
        <w:rPr>
          <w:sz w:val="26"/>
          <w:szCs w:val="26"/>
        </w:rPr>
      </w:pPr>
      <w:r>
        <w:rPr>
          <w:sz w:val="26"/>
          <w:szCs w:val="26"/>
        </w:rPr>
        <w:br w:type="page"/>
      </w:r>
    </w:p>
    <w:p w14:paraId="02850B50" w14:textId="52B26D1C" w:rsidR="00F7662E" w:rsidRDefault="00F7662E" w:rsidP="00493D8F">
      <w:pPr>
        <w:widowControl/>
        <w:spacing w:line="360" w:lineRule="auto"/>
        <w:rPr>
          <w:sz w:val="26"/>
          <w:szCs w:val="26"/>
        </w:rPr>
      </w:pPr>
      <w:r w:rsidRPr="00F7662E">
        <w:rPr>
          <w:sz w:val="26"/>
          <w:szCs w:val="26"/>
        </w:rPr>
        <w:lastRenderedPageBreak/>
        <w:t xml:space="preserve">and is a long-term investor in utility operations was insufficient to establish technical fitness.  The OSBA strenuously argued that ownership </w:t>
      </w:r>
      <w:r w:rsidR="00130C11" w:rsidRPr="00F7662E">
        <w:rPr>
          <w:sz w:val="26"/>
          <w:szCs w:val="26"/>
        </w:rPr>
        <w:t>of “</w:t>
      </w:r>
      <w:r w:rsidRPr="00F7662E">
        <w:rPr>
          <w:sz w:val="26"/>
          <w:szCs w:val="26"/>
        </w:rPr>
        <w:t xml:space="preserve">pipe-based assets,” standing alone was an insufficient basis to own a natural gas utility, and that owning and managing water and wastewater pipe varies dramatically from owning and managing natural gas pipe.  OSBA M.B. at 9-10.  Water, unlike natural gas, is not an explosive compound.  Additionally, despite Aqua America’s witness Mr. Franklin stating that holding an asset for less than ten years is not long-term ownership, the longest commitment Aqua America was willing to make in connection with owning the Peoples Companies in the Settlement, was seven years.  Tr. at 76.  </w:t>
      </w:r>
    </w:p>
    <w:p w14:paraId="450FA9D8" w14:textId="77777777" w:rsidR="00130C11" w:rsidRPr="00F7662E" w:rsidRDefault="00130C11" w:rsidP="00B24187">
      <w:pPr>
        <w:widowControl/>
        <w:spacing w:line="360" w:lineRule="auto"/>
        <w:ind w:firstLine="1440"/>
        <w:rPr>
          <w:sz w:val="26"/>
          <w:szCs w:val="26"/>
        </w:rPr>
      </w:pPr>
    </w:p>
    <w:p w14:paraId="04F39CA4" w14:textId="3CA1AA34" w:rsidR="00F7662E" w:rsidRPr="00F7662E" w:rsidRDefault="00F7662E" w:rsidP="00B24187">
      <w:pPr>
        <w:widowControl/>
        <w:spacing w:line="360" w:lineRule="auto"/>
        <w:ind w:firstLine="1440"/>
        <w:rPr>
          <w:b/>
          <w:sz w:val="26"/>
          <w:szCs w:val="26"/>
        </w:rPr>
      </w:pPr>
      <w:r w:rsidRPr="00F7662E">
        <w:rPr>
          <w:sz w:val="26"/>
          <w:szCs w:val="26"/>
        </w:rPr>
        <w:t xml:space="preserve">The OSBA also argued that, while Peoples currently has leadership experienced in operating a natural gas utility, Aqua America does not.  OSBA M.B. at 9-11.  </w:t>
      </w:r>
      <w:r w:rsidRPr="00F7662E">
        <w:rPr>
          <w:b/>
          <w:sz w:val="26"/>
          <w:szCs w:val="26"/>
        </w:rPr>
        <w:t>[BEGIN HIGHLY CONFIDENTIAL STATUTORY ADVOCATES ONLY]</w:t>
      </w:r>
      <w:r w:rsidRPr="00F7662E">
        <w:rPr>
          <w:sz w:val="26"/>
          <w:szCs w:val="26"/>
        </w:rPr>
        <w:t xml:space="preserve"> </w:t>
      </w:r>
      <w:r w:rsidR="00493D8F">
        <w:rPr>
          <w:sz w:val="26"/>
          <w:szCs w:val="26"/>
        </w:rPr>
        <w:t xml:space="preserve"> </w:t>
      </w:r>
      <w:r w:rsidRPr="00F7662E">
        <w:rPr>
          <w:b/>
          <w:sz w:val="26"/>
          <w:szCs w:val="26"/>
        </w:rPr>
        <w:t>[END HIGHLY CONFIDENTIAL STATUTORY ADVOCATES</w:t>
      </w:r>
      <w:r w:rsidRPr="00F7662E">
        <w:rPr>
          <w:b/>
        </w:rPr>
        <w:t xml:space="preserve"> </w:t>
      </w:r>
      <w:r w:rsidRPr="00F7662E">
        <w:rPr>
          <w:b/>
          <w:sz w:val="26"/>
          <w:szCs w:val="26"/>
        </w:rPr>
        <w:t xml:space="preserve">ONLY] </w:t>
      </w:r>
      <w:r w:rsidRPr="00F7662E">
        <w:rPr>
          <w:sz w:val="26"/>
          <w:szCs w:val="26"/>
        </w:rPr>
        <w:t>OSBA M.B. at</w:t>
      </w:r>
      <w:r w:rsidR="00B24187">
        <w:rPr>
          <w:sz w:val="26"/>
          <w:szCs w:val="26"/>
        </w:rPr>
        <w:t> </w:t>
      </w:r>
      <w:r w:rsidRPr="00F7662E">
        <w:rPr>
          <w:sz w:val="26"/>
          <w:szCs w:val="26"/>
        </w:rPr>
        <w:t>8</w:t>
      </w:r>
      <w:r w:rsidR="00B24187">
        <w:rPr>
          <w:sz w:val="26"/>
          <w:szCs w:val="26"/>
        </w:rPr>
        <w:noBreakHyphen/>
      </w:r>
      <w:r w:rsidRPr="00F7662E">
        <w:rPr>
          <w:sz w:val="26"/>
          <w:szCs w:val="26"/>
        </w:rPr>
        <w:t>9.</w:t>
      </w:r>
    </w:p>
    <w:p w14:paraId="10CCE98B" w14:textId="77777777" w:rsidR="00F7662E" w:rsidRPr="00F7662E" w:rsidRDefault="00F7662E" w:rsidP="00B24187">
      <w:pPr>
        <w:widowControl/>
        <w:spacing w:line="360" w:lineRule="auto"/>
        <w:rPr>
          <w:sz w:val="26"/>
          <w:szCs w:val="26"/>
        </w:rPr>
      </w:pPr>
    </w:p>
    <w:p w14:paraId="79BD83E5" w14:textId="77777777" w:rsidR="00493D8F" w:rsidRDefault="00493D8F">
      <w:pPr>
        <w:widowControl/>
        <w:rPr>
          <w:rFonts w:eastAsiaTheme="majorEastAsia"/>
          <w:b/>
          <w:bCs/>
          <w:color w:val="000000" w:themeColor="text1"/>
          <w:sz w:val="26"/>
          <w:szCs w:val="26"/>
        </w:rPr>
      </w:pPr>
      <w:bookmarkStart w:id="28" w:name="_Toc29278182"/>
      <w:r>
        <w:br w:type="page"/>
      </w:r>
    </w:p>
    <w:p w14:paraId="2028222F" w14:textId="3C649539" w:rsidR="00F7662E" w:rsidRPr="00F7662E" w:rsidRDefault="00F7662E" w:rsidP="00B24187">
      <w:pPr>
        <w:pStyle w:val="Heading4"/>
        <w:widowControl/>
        <w:ind w:left="2160" w:hanging="720"/>
      </w:pPr>
      <w:r w:rsidRPr="00F7662E">
        <w:lastRenderedPageBreak/>
        <w:t>Recommended Decision</w:t>
      </w:r>
      <w:bookmarkEnd w:id="28"/>
    </w:p>
    <w:p w14:paraId="3EB430C1" w14:textId="77777777" w:rsidR="00F7662E" w:rsidRPr="00F7662E" w:rsidRDefault="00F7662E" w:rsidP="00B24187">
      <w:pPr>
        <w:widowControl/>
        <w:spacing w:line="360" w:lineRule="auto"/>
        <w:rPr>
          <w:sz w:val="26"/>
          <w:szCs w:val="26"/>
        </w:rPr>
      </w:pPr>
    </w:p>
    <w:p w14:paraId="21BF2120" w14:textId="77777777" w:rsidR="00F7662E" w:rsidRPr="00F7662E" w:rsidRDefault="00F7662E" w:rsidP="00B24187">
      <w:pPr>
        <w:widowControl/>
        <w:spacing w:line="360" w:lineRule="auto"/>
        <w:rPr>
          <w:sz w:val="26"/>
          <w:szCs w:val="26"/>
        </w:rPr>
      </w:pPr>
      <w:r w:rsidRPr="00F7662E">
        <w:rPr>
          <w:sz w:val="26"/>
          <w:szCs w:val="26"/>
        </w:rPr>
        <w:tab/>
      </w:r>
      <w:r w:rsidRPr="00F7662E">
        <w:rPr>
          <w:sz w:val="26"/>
          <w:szCs w:val="26"/>
        </w:rPr>
        <w:tab/>
        <w:t xml:space="preserve">The ALJ determined that the Joint Applicants had adequately demonstrated that Aqua America is technically fit to operate the Peoples Companies, therein rejecting the arguments of the OSBA and I&amp;E to the contrary.  R.D. at 24-28.  The ALJ found important that highly-experienced teams will continue to lead the separate operations of Aqua PA and the Peoples Companies – water/wastewater operators will report to water/wastewater supervisors, managers, and directors; and natural gas operators will report to natural gas supervisors, managers and directors.  R.D. at 25.  She also noted that the Peoples Companies will have their own president, separate from Aqua PA, who will report to Aqua America management.  Further, the terms of the Settlement explicitly require that: Aqua America will ensure the Peoples Companies’ executive operational management possess best in class natural gas distribution utility experience, will ensure changes in leadership do not present public safety, reliability, or customer service risks, and will develop succession plans to ensure any replacements are qualified and knowledgeable.  R.D. at 25 (citing Settlement at ¶ 75).  In addition, the Settlement includes a commitment that Aqua America has added a director to its Board with natural gas experience and that it would regularly hold board meetings in Pittsburgh.  Settlement at ¶¶ 73 and 74.  Further, Aqua America committed to ensure the Peoples Companies are managed by individuals with natural gas utility experience, to ensure turnover does not present public safety risks, and to develop succession plans.  R.D. at 25.  </w:t>
      </w:r>
    </w:p>
    <w:p w14:paraId="3C668744" w14:textId="77777777" w:rsidR="00F7662E" w:rsidRPr="00F7662E" w:rsidRDefault="00F7662E" w:rsidP="00B24187">
      <w:pPr>
        <w:widowControl/>
        <w:spacing w:line="360" w:lineRule="auto"/>
        <w:rPr>
          <w:sz w:val="26"/>
          <w:szCs w:val="26"/>
        </w:rPr>
      </w:pPr>
    </w:p>
    <w:p w14:paraId="44600FD9" w14:textId="77777777" w:rsidR="00F7662E" w:rsidRPr="00F7662E" w:rsidRDefault="00F7662E" w:rsidP="00B24187">
      <w:pPr>
        <w:widowControl/>
        <w:spacing w:line="360" w:lineRule="auto"/>
        <w:ind w:firstLine="1440"/>
        <w:rPr>
          <w:sz w:val="26"/>
          <w:szCs w:val="26"/>
        </w:rPr>
      </w:pPr>
      <w:r w:rsidRPr="00F7662E">
        <w:rPr>
          <w:sz w:val="26"/>
          <w:szCs w:val="26"/>
        </w:rPr>
        <w:t>The ALJ summarized Aqua’s commitment as one maintaining an organizational structure at the Peoples Companies in which natural gas operational workers directly report to trained natural gas managers.  Finally, the ALJ noted that Aqua America’s Board must meet with the executive management of the Peoples Companies at least twice per year for five years post-closing, and one of those meetings must take place in Pittsburgh, while the second must take place within the Peoples Companies’ service area.  R.D. at 25-26; Settlement at ¶ 78.</w:t>
      </w:r>
    </w:p>
    <w:p w14:paraId="344CD0FF" w14:textId="77777777" w:rsidR="00F7662E" w:rsidRPr="00F7662E" w:rsidRDefault="00F7662E" w:rsidP="00B24187">
      <w:pPr>
        <w:widowControl/>
        <w:spacing w:line="360" w:lineRule="auto"/>
        <w:ind w:firstLine="1440"/>
        <w:rPr>
          <w:i/>
          <w:sz w:val="26"/>
          <w:szCs w:val="26"/>
        </w:rPr>
      </w:pPr>
    </w:p>
    <w:p w14:paraId="01FAA653" w14:textId="5996F566" w:rsidR="00F7662E" w:rsidRPr="00F7662E" w:rsidRDefault="00F7662E" w:rsidP="00B24187">
      <w:pPr>
        <w:widowControl/>
        <w:spacing w:line="360" w:lineRule="auto"/>
        <w:rPr>
          <w:sz w:val="26"/>
          <w:szCs w:val="26"/>
        </w:rPr>
      </w:pPr>
      <w:r w:rsidRPr="00F7662E">
        <w:rPr>
          <w:sz w:val="26"/>
          <w:szCs w:val="26"/>
        </w:rPr>
        <w:tab/>
      </w:r>
      <w:r w:rsidRPr="00F7662E">
        <w:rPr>
          <w:sz w:val="26"/>
          <w:szCs w:val="26"/>
        </w:rPr>
        <w:tab/>
        <w:t xml:space="preserve">The ALJ noted that the Commission has found several holding companies to be technically fit to operate public utilities.  For example, </w:t>
      </w:r>
      <w:r w:rsidR="006D7BA1">
        <w:rPr>
          <w:sz w:val="26"/>
          <w:szCs w:val="26"/>
        </w:rPr>
        <w:t xml:space="preserve">the </w:t>
      </w:r>
      <w:r w:rsidRPr="00F7662E">
        <w:rPr>
          <w:sz w:val="26"/>
          <w:szCs w:val="26"/>
        </w:rPr>
        <w:t>Peoples</w:t>
      </w:r>
      <w:r w:rsidR="006D7BA1">
        <w:rPr>
          <w:sz w:val="26"/>
          <w:szCs w:val="26"/>
        </w:rPr>
        <w:t xml:space="preserve"> Companies</w:t>
      </w:r>
      <w:r w:rsidRPr="00F7662E">
        <w:rPr>
          <w:sz w:val="26"/>
          <w:szCs w:val="26"/>
        </w:rPr>
        <w:t xml:space="preserve">’ current owner, SteelRiver, did not specialize in the operation of natural gas distribution facilities and was nevertheless found fit to own and operate </w:t>
      </w:r>
      <w:r w:rsidR="006D7BA1">
        <w:rPr>
          <w:sz w:val="26"/>
          <w:szCs w:val="26"/>
        </w:rPr>
        <w:t xml:space="preserve">the </w:t>
      </w:r>
      <w:r w:rsidRPr="00F7662E">
        <w:rPr>
          <w:sz w:val="26"/>
          <w:szCs w:val="26"/>
        </w:rPr>
        <w:t>Peoples</w:t>
      </w:r>
      <w:r w:rsidR="006D7BA1">
        <w:rPr>
          <w:sz w:val="26"/>
          <w:szCs w:val="26"/>
        </w:rPr>
        <w:t xml:space="preserve"> Companies</w:t>
      </w:r>
      <w:r w:rsidRPr="00F7662E">
        <w:rPr>
          <w:sz w:val="26"/>
          <w:szCs w:val="26"/>
        </w:rPr>
        <w:t xml:space="preserve">.  R.D. at 26-27.  It was SteelRiver’s commitment to retain existing gas utility personnel, </w:t>
      </w:r>
      <w:r w:rsidR="008B57D8">
        <w:rPr>
          <w:sz w:val="26"/>
          <w:szCs w:val="26"/>
        </w:rPr>
        <w:t xml:space="preserve">its’ </w:t>
      </w:r>
      <w:r w:rsidRPr="00F7662E">
        <w:rPr>
          <w:sz w:val="26"/>
          <w:szCs w:val="26"/>
        </w:rPr>
        <w:t xml:space="preserve">plan for provision of essential services during the transition phase with consultation with the statutory advocates, and the access to senior management in SteelRiver for expertise in capital markets that proved most important to the Commission’s conclusion that SteelRiver met the fitness standard.  R.D. at 26-27.  </w:t>
      </w:r>
      <w:r w:rsidRPr="00F7662E">
        <w:rPr>
          <w:i/>
          <w:sz w:val="26"/>
          <w:szCs w:val="26"/>
        </w:rPr>
        <w:t>Joint Application for Approval of the Transfer of the Issued and Outstanding Stock of the Peoples Natural Gas Company,</w:t>
      </w:r>
      <w:r w:rsidRPr="00F7662E">
        <w:rPr>
          <w:sz w:val="26"/>
          <w:szCs w:val="26"/>
        </w:rPr>
        <w:t xml:space="preserve"> Docket No. A-2008-2063737 (Order entered November 19, 2009) (</w:t>
      </w:r>
      <w:r w:rsidRPr="00F7662E">
        <w:rPr>
          <w:i/>
          <w:iCs/>
          <w:sz w:val="26"/>
          <w:szCs w:val="26"/>
        </w:rPr>
        <w:t>SteelRiver Application Order</w:t>
      </w:r>
      <w:r w:rsidRPr="00F7662E">
        <w:rPr>
          <w:sz w:val="26"/>
          <w:szCs w:val="26"/>
        </w:rPr>
        <w:t>).</w:t>
      </w:r>
    </w:p>
    <w:p w14:paraId="07CB6FE9" w14:textId="77777777" w:rsidR="00F7662E" w:rsidRPr="00F7662E" w:rsidRDefault="00F7662E" w:rsidP="00B24187">
      <w:pPr>
        <w:widowControl/>
        <w:spacing w:line="360" w:lineRule="auto"/>
        <w:rPr>
          <w:sz w:val="26"/>
          <w:szCs w:val="26"/>
        </w:rPr>
      </w:pPr>
    </w:p>
    <w:p w14:paraId="2290E224" w14:textId="71C0CA5C" w:rsidR="00F7662E" w:rsidRDefault="00F7662E" w:rsidP="00B24187">
      <w:pPr>
        <w:widowControl/>
        <w:spacing w:line="360" w:lineRule="auto"/>
        <w:rPr>
          <w:sz w:val="26"/>
          <w:szCs w:val="26"/>
        </w:rPr>
      </w:pPr>
      <w:r w:rsidRPr="00F7662E">
        <w:rPr>
          <w:sz w:val="26"/>
          <w:szCs w:val="26"/>
        </w:rPr>
        <w:tab/>
      </w:r>
      <w:r w:rsidRPr="00F7662E">
        <w:rPr>
          <w:sz w:val="26"/>
          <w:szCs w:val="26"/>
        </w:rPr>
        <w:tab/>
        <w:t xml:space="preserve">The ALJ reasoned that the Settlement provisions memorializing Aqua America’s commitments to governance, succession planning, and the preservation of the personnel with the expertise to effectively operate the Peoples Companies was determinative of a finding of technical fitness.  R.D. at 28.  The ALJ concluded that neither </w:t>
      </w:r>
      <w:r w:rsidR="008F33C6">
        <w:rPr>
          <w:sz w:val="26"/>
          <w:szCs w:val="26"/>
        </w:rPr>
        <w:t xml:space="preserve">the </w:t>
      </w:r>
      <w:r w:rsidRPr="00F7662E">
        <w:rPr>
          <w:sz w:val="26"/>
          <w:szCs w:val="26"/>
        </w:rPr>
        <w:t xml:space="preserve">OSBA nor I&amp;E presented any evidence suggesting that Aqua America will be unable to retain experienced natural gas personnel to continue to meet the requirements of the Commission.  </w:t>
      </w:r>
      <w:r w:rsidRPr="00F7662E">
        <w:rPr>
          <w:i/>
          <w:sz w:val="26"/>
          <w:szCs w:val="26"/>
        </w:rPr>
        <w:t>Id.</w:t>
      </w:r>
      <w:r w:rsidRPr="00F7662E">
        <w:rPr>
          <w:sz w:val="26"/>
          <w:szCs w:val="26"/>
        </w:rPr>
        <w:t xml:space="preserve">  She noted that some attrition may be expected, but there is no evidence that the Peoples Companies will lose so much experienced personnel as to impact the ability of the Peoples Companies to render safe and reliable service and render Aqua America technically unfit to operate them.  </w:t>
      </w:r>
      <w:r w:rsidRPr="00F7662E">
        <w:rPr>
          <w:i/>
          <w:sz w:val="26"/>
          <w:szCs w:val="26"/>
        </w:rPr>
        <w:t>Id.</w:t>
      </w:r>
      <w:r w:rsidRPr="00F7662E">
        <w:rPr>
          <w:sz w:val="26"/>
          <w:szCs w:val="26"/>
        </w:rPr>
        <w:t xml:space="preserve">  Accordingly, the ALJ concluded that neither the OSBA nor I&amp;E had sufficiently rebutted the Joint Applicants evidence, as further conditioned by the Settlement.</w:t>
      </w:r>
    </w:p>
    <w:p w14:paraId="0C2023AF" w14:textId="77777777" w:rsidR="00D66EA5" w:rsidRPr="00F7662E" w:rsidRDefault="00D66EA5" w:rsidP="00B24187">
      <w:pPr>
        <w:widowControl/>
        <w:spacing w:line="360" w:lineRule="auto"/>
        <w:rPr>
          <w:sz w:val="26"/>
          <w:szCs w:val="26"/>
        </w:rPr>
      </w:pPr>
    </w:p>
    <w:p w14:paraId="59362367" w14:textId="77777777" w:rsidR="00F7662E" w:rsidRPr="00F7662E" w:rsidRDefault="00F7662E" w:rsidP="00F41718">
      <w:pPr>
        <w:pStyle w:val="Heading4"/>
        <w:widowControl/>
        <w:ind w:left="2160" w:hanging="720"/>
      </w:pPr>
      <w:bookmarkStart w:id="29" w:name="_Toc29278183"/>
      <w:r w:rsidRPr="00F7662E">
        <w:lastRenderedPageBreak/>
        <w:t>Exceptions and Replies</w:t>
      </w:r>
      <w:bookmarkEnd w:id="29"/>
    </w:p>
    <w:p w14:paraId="0CF90BD6" w14:textId="77777777" w:rsidR="00F7662E" w:rsidRPr="00F7662E" w:rsidRDefault="00F7662E" w:rsidP="00F41718">
      <w:pPr>
        <w:keepNext/>
        <w:widowControl/>
        <w:spacing w:line="360" w:lineRule="auto"/>
        <w:rPr>
          <w:sz w:val="26"/>
          <w:szCs w:val="26"/>
        </w:rPr>
      </w:pPr>
    </w:p>
    <w:p w14:paraId="4947D1A1" w14:textId="43231376" w:rsidR="00F7662E" w:rsidRPr="00F7662E" w:rsidRDefault="00F7662E" w:rsidP="00F41718">
      <w:pPr>
        <w:keepNext/>
        <w:widowControl/>
        <w:spacing w:line="360" w:lineRule="auto"/>
        <w:rPr>
          <w:sz w:val="26"/>
          <w:szCs w:val="26"/>
        </w:rPr>
      </w:pPr>
      <w:r w:rsidRPr="00F7662E">
        <w:rPr>
          <w:sz w:val="26"/>
          <w:szCs w:val="26"/>
        </w:rPr>
        <w:tab/>
      </w:r>
      <w:r w:rsidRPr="00F7662E">
        <w:rPr>
          <w:sz w:val="26"/>
          <w:szCs w:val="26"/>
        </w:rPr>
        <w:tab/>
        <w:t>In its Exceptions, I&amp;E claims that Aqua America has not demonstrated its technical fitness and that the ALJ erred in concluding that there is no evidence that the Peoples Companies will lose so much experienced personnel as to impact their ability to render safe and reliable service.  I&amp;E Exc. at 4-5.  I&amp;E points to the fact that [</w:t>
      </w:r>
      <w:r w:rsidRPr="00F7662E">
        <w:rPr>
          <w:b/>
          <w:sz w:val="26"/>
          <w:szCs w:val="26"/>
        </w:rPr>
        <w:t xml:space="preserve">BEGIN CONFIDENTIAL] </w:t>
      </w:r>
      <w:r w:rsidR="00493D8F">
        <w:rPr>
          <w:b/>
          <w:sz w:val="26"/>
          <w:szCs w:val="26"/>
        </w:rPr>
        <w:t xml:space="preserve"> </w:t>
      </w:r>
      <w:r w:rsidRPr="00F7662E">
        <w:rPr>
          <w:b/>
          <w:sz w:val="26"/>
          <w:szCs w:val="26"/>
        </w:rPr>
        <w:t xml:space="preserve">[END CONFIDENTIAL] </w:t>
      </w:r>
      <w:r w:rsidRPr="00F7662E">
        <w:rPr>
          <w:sz w:val="26"/>
          <w:szCs w:val="26"/>
        </w:rPr>
        <w:t xml:space="preserve">and there is no evidence that the Peoples Companies will retain enough experienced personnel to be versed in the operation of a natural gas utility.  I&amp;E Exc. at 5.  </w:t>
      </w:r>
    </w:p>
    <w:p w14:paraId="6341F2DD" w14:textId="77777777" w:rsidR="00F7662E" w:rsidRPr="00F7662E" w:rsidRDefault="00F7662E" w:rsidP="00B24187">
      <w:pPr>
        <w:widowControl/>
        <w:spacing w:line="360" w:lineRule="auto"/>
        <w:rPr>
          <w:sz w:val="26"/>
          <w:szCs w:val="26"/>
        </w:rPr>
      </w:pPr>
    </w:p>
    <w:p w14:paraId="740EFF45" w14:textId="77777777" w:rsidR="00F7662E" w:rsidRPr="00F7662E" w:rsidRDefault="00F7662E" w:rsidP="00B24187">
      <w:pPr>
        <w:widowControl/>
        <w:spacing w:line="360" w:lineRule="auto"/>
        <w:rPr>
          <w:sz w:val="26"/>
          <w:szCs w:val="26"/>
        </w:rPr>
      </w:pPr>
      <w:r w:rsidRPr="00F7662E">
        <w:rPr>
          <w:sz w:val="26"/>
          <w:szCs w:val="26"/>
        </w:rPr>
        <w:tab/>
      </w:r>
      <w:r w:rsidRPr="00F7662E">
        <w:rPr>
          <w:sz w:val="26"/>
          <w:szCs w:val="26"/>
        </w:rPr>
        <w:tab/>
        <w:t>In Replies to Exceptions, the Joint Applicants argue that the ALJ correctly reasoned that Aqua America is fit to operate the Peoples Companies, citing Aqua America’s experience in infrastructure replacement</w:t>
      </w:r>
      <w:r w:rsidRPr="00F7662E">
        <w:rPr>
          <w:i/>
          <w:sz w:val="26"/>
          <w:szCs w:val="26"/>
        </w:rPr>
        <w:t xml:space="preserve"> </w:t>
      </w:r>
      <w:r w:rsidRPr="00F7662E">
        <w:rPr>
          <w:sz w:val="26"/>
          <w:szCs w:val="26"/>
        </w:rPr>
        <w:t xml:space="preserve">and the additional Settlement commitments related to governance, succession planning and the preservation of existing personnel with the expertise to effectively operate the Peoples Companies.  Joint Applicants R. Exc. at 4.  The Joint Applicants cite to the </w:t>
      </w:r>
      <w:r w:rsidRPr="00F7662E">
        <w:rPr>
          <w:i/>
          <w:sz w:val="26"/>
          <w:szCs w:val="26"/>
        </w:rPr>
        <w:t>SteelRiver Application Order</w:t>
      </w:r>
      <w:r w:rsidRPr="00F7662E">
        <w:rPr>
          <w:sz w:val="26"/>
          <w:szCs w:val="26"/>
        </w:rPr>
        <w:t>, noting that the Commission there rejected the same arguments made by I&amp;E and concluded that</w:t>
      </w:r>
      <w:r w:rsidR="008B57D8">
        <w:rPr>
          <w:sz w:val="26"/>
          <w:szCs w:val="26"/>
        </w:rPr>
        <w:t>:</w:t>
      </w:r>
      <w:r w:rsidRPr="00F7662E">
        <w:rPr>
          <w:sz w:val="26"/>
          <w:szCs w:val="26"/>
        </w:rPr>
        <w:t xml:space="preserve"> (a) retention of essential natural gas management personnel and employees and (b) the expertise in capital markets and over-all operations</w:t>
      </w:r>
      <w:r w:rsidRPr="00F7662E">
        <w:rPr>
          <w:i/>
          <w:sz w:val="26"/>
          <w:szCs w:val="26"/>
        </w:rPr>
        <w:t xml:space="preserve"> </w:t>
      </w:r>
      <w:r w:rsidRPr="00F7662E">
        <w:rPr>
          <w:sz w:val="26"/>
          <w:szCs w:val="26"/>
        </w:rPr>
        <w:t xml:space="preserve">at the new parent were consistent with what “one would expect to find at the ultimate parent company level.”  Joint Applicants R. Exc. at 4 (citing </w:t>
      </w:r>
      <w:r w:rsidRPr="00F7662E">
        <w:rPr>
          <w:i/>
          <w:sz w:val="26"/>
          <w:szCs w:val="26"/>
        </w:rPr>
        <w:t>S</w:t>
      </w:r>
      <w:bookmarkStart w:id="30" w:name="_BA_Cite_DBF3A5_000058"/>
      <w:bookmarkEnd w:id="30"/>
      <w:r w:rsidRPr="00F7662E">
        <w:rPr>
          <w:i/>
          <w:sz w:val="26"/>
          <w:szCs w:val="26"/>
        </w:rPr>
        <w:t>teelRiver Application Order</w:t>
      </w:r>
      <w:r w:rsidRPr="00F7662E">
        <w:rPr>
          <w:sz w:val="26"/>
          <w:szCs w:val="26"/>
        </w:rPr>
        <w:t xml:space="preserve"> at 40-41; Joint Applicants R.B. at 10-11). </w:t>
      </w:r>
    </w:p>
    <w:p w14:paraId="7E63E4FC" w14:textId="77777777" w:rsidR="00F7662E" w:rsidRPr="00F7662E" w:rsidRDefault="00F7662E" w:rsidP="00B24187">
      <w:pPr>
        <w:widowControl/>
        <w:spacing w:line="360" w:lineRule="auto"/>
        <w:ind w:firstLine="1440"/>
        <w:rPr>
          <w:rFonts w:eastAsiaTheme="minorHAnsi"/>
          <w:sz w:val="26"/>
          <w:szCs w:val="26"/>
        </w:rPr>
      </w:pPr>
    </w:p>
    <w:p w14:paraId="4A7A07BF" w14:textId="77777777" w:rsidR="00493D8F" w:rsidRDefault="00F7662E" w:rsidP="00B24187">
      <w:pPr>
        <w:widowControl/>
        <w:spacing w:line="360" w:lineRule="auto"/>
        <w:ind w:firstLine="1440"/>
        <w:rPr>
          <w:rFonts w:eastAsiaTheme="minorHAnsi"/>
          <w:sz w:val="26"/>
          <w:szCs w:val="26"/>
        </w:rPr>
      </w:pPr>
      <w:r w:rsidRPr="00F7662E">
        <w:rPr>
          <w:rFonts w:eastAsiaTheme="minorHAnsi"/>
          <w:sz w:val="26"/>
          <w:szCs w:val="26"/>
        </w:rPr>
        <w:t xml:space="preserve">The Joint Applicants then press recognition of the post-structure organization charts included in the rebuttal testimony of CEO Franklin, claiming that they demonstrate </w:t>
      </w:r>
      <w:r w:rsidR="008B57D8">
        <w:rPr>
          <w:rFonts w:eastAsiaTheme="minorHAnsi"/>
          <w:sz w:val="26"/>
          <w:szCs w:val="26"/>
        </w:rPr>
        <w:t xml:space="preserve">that </w:t>
      </w:r>
      <w:r w:rsidRPr="00F7662E">
        <w:rPr>
          <w:rFonts w:eastAsiaTheme="minorHAnsi"/>
          <w:sz w:val="26"/>
          <w:szCs w:val="26"/>
        </w:rPr>
        <w:t xml:space="preserve">the Peoples Companies will continue to be led by presidents, supervisors, managers and directors with significant natural gas experience.  Joint </w:t>
      </w:r>
    </w:p>
    <w:p w14:paraId="6D169FB8" w14:textId="77777777" w:rsidR="00493D8F" w:rsidRDefault="00493D8F">
      <w:pPr>
        <w:widowControl/>
        <w:rPr>
          <w:rFonts w:eastAsiaTheme="minorHAnsi"/>
          <w:sz w:val="26"/>
          <w:szCs w:val="26"/>
        </w:rPr>
      </w:pPr>
      <w:r>
        <w:rPr>
          <w:rFonts w:eastAsiaTheme="minorHAnsi"/>
          <w:sz w:val="26"/>
          <w:szCs w:val="26"/>
        </w:rPr>
        <w:br w:type="page"/>
      </w:r>
    </w:p>
    <w:p w14:paraId="59549F8A" w14:textId="46881190" w:rsidR="00F7662E" w:rsidRDefault="00F7662E" w:rsidP="00493D8F">
      <w:pPr>
        <w:widowControl/>
        <w:spacing w:line="360" w:lineRule="auto"/>
        <w:rPr>
          <w:rFonts w:eastAsiaTheme="minorHAnsi"/>
          <w:sz w:val="26"/>
          <w:szCs w:val="26"/>
        </w:rPr>
      </w:pPr>
      <w:r w:rsidRPr="00F7662E">
        <w:rPr>
          <w:rFonts w:eastAsiaTheme="minorHAnsi"/>
          <w:sz w:val="26"/>
          <w:szCs w:val="26"/>
        </w:rPr>
        <w:lastRenderedPageBreak/>
        <w:t xml:space="preserve">Applicants R. Exc. at 4; </w:t>
      </w:r>
      <w:r w:rsidRPr="00F7662E">
        <w:rPr>
          <w:rFonts w:eastAsiaTheme="minorHAnsi"/>
          <w:i/>
          <w:sz w:val="26"/>
          <w:szCs w:val="26"/>
        </w:rPr>
        <w:t xml:space="preserve">See </w:t>
      </w:r>
      <w:r w:rsidRPr="00F7662E">
        <w:rPr>
          <w:rFonts w:eastAsiaTheme="minorHAnsi"/>
          <w:sz w:val="26"/>
          <w:szCs w:val="26"/>
        </w:rPr>
        <w:t xml:space="preserve">JA MB at 11-12; JA RB at 9-10.  The Joint Applicants also assert that I&amp;E’s claim that Aqua America’s technical fitness cannot be satisfied by retention of experienced teams at the Peoples Companies is contrary to Commission precedent that permitted SteelRiver to acquire Peoples Natural Gas.  The Joint Applicants point out that Aqua America has made significant commitments to maintaining sufficient, experienced personnel of an already technically fit company and is committed to allowing those personnel to maintain day-to-day operational control of the Peoples Companies.  Joint Applicants R. Exc. at 4-5 (citing Joint Applicants M.B. at 11-12; Joint Applicants R.B. at 8-11).  The Joint Applicants argue that, consistent with the </w:t>
      </w:r>
      <w:r w:rsidRPr="00F7662E">
        <w:rPr>
          <w:rFonts w:eastAsiaTheme="minorHAnsi"/>
          <w:i/>
          <w:sz w:val="26"/>
          <w:szCs w:val="26"/>
        </w:rPr>
        <w:t>SteelRiver Application Order</w:t>
      </w:r>
      <w:r w:rsidRPr="00F7662E">
        <w:rPr>
          <w:rFonts w:eastAsiaTheme="minorHAnsi"/>
          <w:sz w:val="26"/>
          <w:szCs w:val="26"/>
        </w:rPr>
        <w:t xml:space="preserve">, these commitments by Aqua America weigh in favor of its fitness, not against it.  Joint Applicants R. Exc. at 5. </w:t>
      </w:r>
    </w:p>
    <w:p w14:paraId="1E79650D" w14:textId="77777777" w:rsidR="00F7662E" w:rsidRPr="00F7662E" w:rsidRDefault="00F7662E" w:rsidP="00B24187">
      <w:pPr>
        <w:widowControl/>
        <w:spacing w:line="360" w:lineRule="auto"/>
        <w:jc w:val="both"/>
        <w:rPr>
          <w:rFonts w:eastAsiaTheme="minorHAnsi"/>
          <w:sz w:val="24"/>
          <w:szCs w:val="24"/>
        </w:rPr>
      </w:pPr>
    </w:p>
    <w:p w14:paraId="32265720" w14:textId="77777777" w:rsidR="00F7662E" w:rsidRPr="00F7662E" w:rsidRDefault="00F7662E" w:rsidP="00F41718">
      <w:pPr>
        <w:pStyle w:val="Heading4"/>
        <w:widowControl/>
        <w:ind w:left="2250" w:hanging="810"/>
        <w:rPr>
          <w:rFonts w:eastAsiaTheme="minorHAnsi"/>
        </w:rPr>
      </w:pPr>
      <w:bookmarkStart w:id="31" w:name="_Toc29278184"/>
      <w:r w:rsidRPr="00F7662E">
        <w:rPr>
          <w:rFonts w:eastAsiaTheme="minorHAnsi"/>
        </w:rPr>
        <w:t>Disposition</w:t>
      </w:r>
      <w:bookmarkEnd w:id="31"/>
    </w:p>
    <w:p w14:paraId="03E93155" w14:textId="00E1CFF9" w:rsidR="00AA0817" w:rsidRDefault="00AA0817" w:rsidP="00F41718">
      <w:pPr>
        <w:keepNext/>
        <w:widowControl/>
        <w:spacing w:line="360" w:lineRule="auto"/>
        <w:rPr>
          <w:rFonts w:eastAsiaTheme="minorHAnsi"/>
          <w:sz w:val="26"/>
          <w:szCs w:val="26"/>
        </w:rPr>
      </w:pPr>
    </w:p>
    <w:p w14:paraId="40331202" w14:textId="2C2F49FC" w:rsidR="00F7662E" w:rsidRPr="00F7662E" w:rsidRDefault="00AA0817" w:rsidP="00493D8F">
      <w:pPr>
        <w:keepNext/>
        <w:widowControl/>
        <w:spacing w:line="360" w:lineRule="auto"/>
        <w:ind w:firstLine="720"/>
        <w:rPr>
          <w:rFonts w:eastAsiaTheme="minorHAnsi"/>
          <w:sz w:val="26"/>
          <w:szCs w:val="26"/>
        </w:rPr>
      </w:pPr>
      <w:r>
        <w:rPr>
          <w:rFonts w:eastAsiaTheme="minorHAnsi"/>
          <w:sz w:val="26"/>
          <w:szCs w:val="26"/>
        </w:rPr>
        <w:tab/>
      </w:r>
      <w:r w:rsidR="00F7662E" w:rsidRPr="00F7662E">
        <w:rPr>
          <w:rFonts w:eastAsiaTheme="minorHAnsi"/>
          <w:sz w:val="26"/>
          <w:szCs w:val="26"/>
        </w:rPr>
        <w:t xml:space="preserve">Aqua America has a long and storied history as a utility provider in this Commonwealth.  </w:t>
      </w:r>
      <w:r w:rsidR="00B06CC9">
        <w:rPr>
          <w:rFonts w:eastAsiaTheme="minorHAnsi"/>
          <w:sz w:val="26"/>
          <w:szCs w:val="26"/>
        </w:rPr>
        <w:t xml:space="preserve">Upon </w:t>
      </w:r>
      <w:r w:rsidR="00F7662E" w:rsidRPr="00F7662E">
        <w:rPr>
          <w:rFonts w:eastAsiaTheme="minorHAnsi"/>
          <w:sz w:val="26"/>
          <w:szCs w:val="26"/>
        </w:rPr>
        <w:t xml:space="preserve">an extensive review of the record, we </w:t>
      </w:r>
      <w:r w:rsidR="00B06CC9">
        <w:rPr>
          <w:rFonts w:eastAsiaTheme="minorHAnsi"/>
          <w:sz w:val="26"/>
          <w:szCs w:val="26"/>
        </w:rPr>
        <w:t xml:space="preserve">uphold the ALJ’s </w:t>
      </w:r>
      <w:r w:rsidR="00F7662E" w:rsidRPr="00F7662E">
        <w:rPr>
          <w:rFonts w:eastAsiaTheme="minorHAnsi"/>
          <w:sz w:val="26"/>
          <w:szCs w:val="26"/>
        </w:rPr>
        <w:t>conclu</w:t>
      </w:r>
      <w:r w:rsidR="00B06CC9">
        <w:rPr>
          <w:rFonts w:eastAsiaTheme="minorHAnsi"/>
          <w:sz w:val="26"/>
          <w:szCs w:val="26"/>
        </w:rPr>
        <w:t xml:space="preserve">sion </w:t>
      </w:r>
      <w:r w:rsidR="00F7662E" w:rsidRPr="00F7662E">
        <w:rPr>
          <w:rFonts w:eastAsiaTheme="minorHAnsi"/>
          <w:sz w:val="26"/>
          <w:szCs w:val="26"/>
        </w:rPr>
        <w:t xml:space="preserve">that Aqua America </w:t>
      </w:r>
      <w:r w:rsidR="00B06CC9">
        <w:rPr>
          <w:rFonts w:eastAsiaTheme="minorHAnsi"/>
          <w:sz w:val="26"/>
          <w:szCs w:val="26"/>
        </w:rPr>
        <w:t xml:space="preserve">is </w:t>
      </w:r>
      <w:r w:rsidR="00F7662E" w:rsidRPr="00F7662E">
        <w:rPr>
          <w:rFonts w:eastAsiaTheme="minorHAnsi"/>
          <w:sz w:val="26"/>
          <w:szCs w:val="26"/>
        </w:rPr>
        <w:t>technically fit to own and operate the Peoples Companies</w:t>
      </w:r>
      <w:r w:rsidR="00B06CC9">
        <w:rPr>
          <w:rFonts w:eastAsiaTheme="minorHAnsi"/>
          <w:sz w:val="26"/>
          <w:szCs w:val="26"/>
        </w:rPr>
        <w:t>.</w:t>
      </w:r>
      <w:r w:rsidR="00EB11D0">
        <w:rPr>
          <w:rFonts w:eastAsiaTheme="minorHAnsi"/>
          <w:sz w:val="26"/>
          <w:szCs w:val="26"/>
        </w:rPr>
        <w:t xml:space="preserve">  </w:t>
      </w:r>
      <w:r w:rsidR="00B06CC9">
        <w:rPr>
          <w:rFonts w:eastAsiaTheme="minorHAnsi"/>
          <w:sz w:val="26"/>
          <w:szCs w:val="26"/>
        </w:rPr>
        <w:t xml:space="preserve">We find persuasive </w:t>
      </w:r>
      <w:r w:rsidR="00F7662E" w:rsidRPr="00F7662E">
        <w:rPr>
          <w:rFonts w:eastAsiaTheme="minorHAnsi"/>
          <w:sz w:val="26"/>
          <w:szCs w:val="26"/>
        </w:rPr>
        <w:t>the important protections included in the Settlement regarding the governance, management and day-to-day operations of the gas companies</w:t>
      </w:r>
      <w:r w:rsidR="00B06CC9">
        <w:rPr>
          <w:rFonts w:eastAsiaTheme="minorHAnsi"/>
          <w:sz w:val="26"/>
          <w:szCs w:val="26"/>
        </w:rPr>
        <w:t>.</w:t>
      </w:r>
      <w:r w:rsidR="00F7662E" w:rsidRPr="00F7662E">
        <w:rPr>
          <w:rFonts w:eastAsiaTheme="minorHAnsi"/>
          <w:b/>
          <w:sz w:val="26"/>
          <w:szCs w:val="26"/>
        </w:rPr>
        <w:t>[BEGIN CONFIDENTIAL]</w:t>
      </w:r>
      <w:r w:rsidR="00F7662E" w:rsidRPr="00F7662E">
        <w:rPr>
          <w:rFonts w:eastAsiaTheme="minorHAnsi"/>
          <w:sz w:val="26"/>
          <w:szCs w:val="26"/>
        </w:rPr>
        <w:t xml:space="preserve">  </w:t>
      </w:r>
      <w:r w:rsidR="00F7662E" w:rsidRPr="00F7662E">
        <w:rPr>
          <w:rFonts w:eastAsiaTheme="minorHAnsi"/>
          <w:b/>
          <w:sz w:val="26"/>
          <w:szCs w:val="26"/>
        </w:rPr>
        <w:t>[END CONFIDENTIAL].</w:t>
      </w:r>
    </w:p>
    <w:p w14:paraId="0246A2A2" w14:textId="77777777" w:rsidR="00F7662E" w:rsidRPr="00F7662E" w:rsidRDefault="00F7662E" w:rsidP="00C02C37">
      <w:pPr>
        <w:widowControl/>
        <w:spacing w:line="360" w:lineRule="auto"/>
        <w:ind w:left="1440" w:right="1440" w:firstLine="1440"/>
        <w:rPr>
          <w:rFonts w:eastAsiaTheme="minorHAnsi"/>
          <w:sz w:val="26"/>
          <w:szCs w:val="26"/>
        </w:rPr>
      </w:pPr>
    </w:p>
    <w:p w14:paraId="43D29D84" w14:textId="77777777" w:rsidR="00493D8F" w:rsidRDefault="00493D8F">
      <w:pPr>
        <w:widowControl/>
        <w:rPr>
          <w:rFonts w:eastAsiaTheme="majorEastAsia"/>
          <w:b/>
          <w:bCs/>
          <w:sz w:val="26"/>
          <w:szCs w:val="26"/>
        </w:rPr>
      </w:pPr>
      <w:bookmarkStart w:id="32" w:name="_Toc29278185"/>
      <w:bookmarkStart w:id="33" w:name="_Toc27899869"/>
      <w:r>
        <w:rPr>
          <w:rFonts w:eastAsiaTheme="majorEastAsia"/>
        </w:rPr>
        <w:br w:type="page"/>
      </w:r>
    </w:p>
    <w:p w14:paraId="2E350ACD" w14:textId="77777777" w:rsidR="00493D8F" w:rsidRDefault="00493D8F">
      <w:pPr>
        <w:widowControl/>
        <w:rPr>
          <w:rFonts w:eastAsiaTheme="majorEastAsia"/>
          <w:b/>
          <w:bCs/>
          <w:sz w:val="26"/>
          <w:szCs w:val="26"/>
        </w:rPr>
      </w:pPr>
      <w:r>
        <w:rPr>
          <w:rFonts w:eastAsiaTheme="majorEastAsia"/>
        </w:rPr>
        <w:lastRenderedPageBreak/>
        <w:br w:type="page"/>
      </w:r>
    </w:p>
    <w:p w14:paraId="0990C7B9" w14:textId="01F1A434" w:rsidR="00F7662E" w:rsidRPr="00F7662E" w:rsidRDefault="00F7662E" w:rsidP="00C02C37">
      <w:pPr>
        <w:pStyle w:val="Heading3"/>
        <w:ind w:left="1440" w:hanging="720"/>
        <w:rPr>
          <w:rFonts w:eastAsiaTheme="majorEastAsia"/>
        </w:rPr>
      </w:pPr>
      <w:r w:rsidRPr="00F7662E">
        <w:rPr>
          <w:rFonts w:eastAsiaTheme="majorEastAsia"/>
        </w:rPr>
        <w:lastRenderedPageBreak/>
        <w:t>Financial Fitness, Purchase Price, and Financing</w:t>
      </w:r>
      <w:bookmarkEnd w:id="32"/>
      <w:r w:rsidRPr="00F7662E">
        <w:rPr>
          <w:rFonts w:eastAsiaTheme="majorEastAsia"/>
        </w:rPr>
        <w:t xml:space="preserve"> </w:t>
      </w:r>
      <w:bookmarkEnd w:id="33"/>
    </w:p>
    <w:p w14:paraId="124AC9BE" w14:textId="77777777" w:rsidR="00E85E42" w:rsidRDefault="00E85E42" w:rsidP="00C02C37">
      <w:pPr>
        <w:widowControl/>
        <w:spacing w:line="360" w:lineRule="auto"/>
        <w:rPr>
          <w:sz w:val="26"/>
          <w:szCs w:val="26"/>
        </w:rPr>
      </w:pPr>
    </w:p>
    <w:p w14:paraId="5A2A4714" w14:textId="77777777" w:rsidR="00E85E42" w:rsidRPr="00907AC7" w:rsidRDefault="00E85E42" w:rsidP="00C02C37">
      <w:pPr>
        <w:pStyle w:val="Heading4"/>
        <w:widowControl/>
        <w:numPr>
          <w:ilvl w:val="0"/>
          <w:numId w:val="25"/>
        </w:numPr>
        <w:ind w:left="2160" w:hanging="720"/>
        <w:rPr>
          <w:rFonts w:eastAsiaTheme="minorHAnsi"/>
        </w:rPr>
      </w:pPr>
      <w:bookmarkStart w:id="34" w:name="_Toc29278186"/>
      <w:r w:rsidRPr="00907AC7">
        <w:rPr>
          <w:rFonts w:eastAsiaTheme="minorHAnsi"/>
        </w:rPr>
        <w:t>Settlement Terms</w:t>
      </w:r>
      <w:bookmarkEnd w:id="34"/>
    </w:p>
    <w:p w14:paraId="22F5A7EE" w14:textId="77777777" w:rsidR="00E85E42" w:rsidRPr="00E85E42" w:rsidRDefault="00E85E42" w:rsidP="00C02C37">
      <w:pPr>
        <w:keepNext/>
        <w:keepLines/>
        <w:widowControl/>
        <w:spacing w:line="360" w:lineRule="auto"/>
        <w:contextualSpacing/>
        <w:rPr>
          <w:rFonts w:eastAsiaTheme="minorHAnsi"/>
          <w:sz w:val="26"/>
          <w:szCs w:val="26"/>
        </w:rPr>
      </w:pPr>
    </w:p>
    <w:p w14:paraId="45380AE3"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41.</w:t>
      </w:r>
      <w:r w:rsidRPr="00E85E42">
        <w:rPr>
          <w:rFonts w:eastAsiaTheme="minorHAnsi"/>
          <w:sz w:val="26"/>
          <w:szCs w:val="26"/>
        </w:rPr>
        <w:tab/>
        <w:t xml:space="preserve">Separate and apart from the $13 million rate credit provided in Paragraph 33 above, Aqua America will provide a one-time $10 million rate credit to the Peoples Companies’ natural gas customers, Aqua PA Water customers, and Aqua PA Wastewater customers (Aqua PA Water and Aqua PA Wastewater are collectively referred to herein as “Aqua PA” unless otherwise stated). </w:t>
      </w:r>
      <w:r w:rsidR="00904D87">
        <w:rPr>
          <w:rFonts w:eastAsiaTheme="minorHAnsi"/>
          <w:sz w:val="26"/>
          <w:szCs w:val="26"/>
        </w:rPr>
        <w:t xml:space="preserve"> </w:t>
      </w:r>
      <w:r w:rsidRPr="00E85E42">
        <w:rPr>
          <w:rFonts w:eastAsiaTheme="minorHAnsi"/>
          <w:sz w:val="26"/>
          <w:szCs w:val="26"/>
        </w:rPr>
        <w:t>The rate credit will appear on customer bills before the end of 2019.</w:t>
      </w:r>
    </w:p>
    <w:p w14:paraId="12066D80" w14:textId="77777777" w:rsidR="00E85E42" w:rsidRPr="00E85E42" w:rsidRDefault="00E85E42" w:rsidP="00B24187">
      <w:pPr>
        <w:widowControl/>
        <w:spacing w:after="200"/>
        <w:ind w:left="1440" w:right="1440"/>
        <w:contextualSpacing/>
        <w:rPr>
          <w:rFonts w:eastAsiaTheme="minorHAnsi"/>
          <w:sz w:val="26"/>
          <w:szCs w:val="26"/>
        </w:rPr>
      </w:pPr>
    </w:p>
    <w:p w14:paraId="1BA38279"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42.</w:t>
      </w:r>
      <w:r w:rsidRPr="00E85E42">
        <w:rPr>
          <w:rFonts w:eastAsiaTheme="minorHAnsi"/>
          <w:sz w:val="26"/>
          <w:szCs w:val="26"/>
        </w:rPr>
        <w:tab/>
        <w:t xml:space="preserve">The Peoples Companies and Aqua PA will continue to maintain reasonable accounting controls to govern any transactions with affiliates and that any charges are consistent with Commission requirements. </w:t>
      </w:r>
      <w:r w:rsidR="00904D87">
        <w:rPr>
          <w:rFonts w:eastAsiaTheme="minorHAnsi"/>
          <w:sz w:val="26"/>
          <w:szCs w:val="26"/>
        </w:rPr>
        <w:t xml:space="preserve"> </w:t>
      </w:r>
      <w:r w:rsidRPr="00E85E42">
        <w:rPr>
          <w:rFonts w:eastAsiaTheme="minorHAnsi"/>
          <w:sz w:val="26"/>
          <w:szCs w:val="26"/>
        </w:rPr>
        <w:t>Specifically, this includes maintaining detailed accounting records sufficient to document that charges to the Peoples Companies and Aqua PA from affiliates are at the lower of cost or market, and charges from the Peoples Companies and Aqua PA to non-regulated affiliates are at the higher of cost or market.</w:t>
      </w:r>
    </w:p>
    <w:p w14:paraId="6AD10D8F" w14:textId="77777777" w:rsidR="00E85E42" w:rsidRPr="00E85E42" w:rsidRDefault="00E85E42" w:rsidP="00B24187">
      <w:pPr>
        <w:widowControl/>
        <w:spacing w:after="200"/>
        <w:ind w:left="1440" w:right="1440"/>
        <w:contextualSpacing/>
        <w:rPr>
          <w:rFonts w:eastAsiaTheme="minorHAnsi"/>
          <w:sz w:val="26"/>
          <w:szCs w:val="26"/>
        </w:rPr>
      </w:pPr>
    </w:p>
    <w:p w14:paraId="71020A3A"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43.</w:t>
      </w:r>
      <w:r w:rsidRPr="00E85E42">
        <w:rPr>
          <w:rFonts w:eastAsiaTheme="minorHAnsi"/>
          <w:sz w:val="26"/>
          <w:szCs w:val="26"/>
        </w:rPr>
        <w:tab/>
        <w:t>The Peoples Companies and Aqua PA will operate as separate corporate subsidiaries and will maintain separate accounting for the companies sufficient to provide all Commission required financial statements.</w:t>
      </w:r>
    </w:p>
    <w:p w14:paraId="764F46D5" w14:textId="77777777" w:rsidR="00E85E42" w:rsidRPr="00E85E42" w:rsidRDefault="00E85E42" w:rsidP="00B24187">
      <w:pPr>
        <w:widowControl/>
        <w:spacing w:after="200"/>
        <w:ind w:left="1440" w:right="1440"/>
        <w:contextualSpacing/>
        <w:rPr>
          <w:rFonts w:eastAsiaTheme="minorHAnsi"/>
          <w:sz w:val="26"/>
          <w:szCs w:val="26"/>
        </w:rPr>
      </w:pPr>
    </w:p>
    <w:p w14:paraId="5A5D4BA5"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44.</w:t>
      </w:r>
      <w:r w:rsidRPr="00E85E42">
        <w:rPr>
          <w:rFonts w:eastAsiaTheme="minorHAnsi"/>
          <w:sz w:val="26"/>
          <w:szCs w:val="26"/>
        </w:rPr>
        <w:tab/>
        <w:t>The Peoples Companies and Aqua PA agree to seek Commission approval of all new or amended agreements with affiliates consistent with Chapter 21 of the Public Utility Code.</w:t>
      </w:r>
    </w:p>
    <w:p w14:paraId="482BD2EE" w14:textId="77777777" w:rsidR="00E85E42" w:rsidRPr="00E85E42" w:rsidRDefault="00E85E42" w:rsidP="00B24187">
      <w:pPr>
        <w:widowControl/>
        <w:spacing w:after="200"/>
        <w:ind w:left="1440" w:right="1440"/>
        <w:contextualSpacing/>
        <w:rPr>
          <w:rFonts w:eastAsiaTheme="minorHAnsi"/>
          <w:sz w:val="26"/>
          <w:szCs w:val="26"/>
        </w:rPr>
      </w:pPr>
    </w:p>
    <w:p w14:paraId="5447D412"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45.</w:t>
      </w:r>
      <w:r w:rsidRPr="00E85E42">
        <w:rPr>
          <w:rFonts w:eastAsiaTheme="minorHAnsi"/>
          <w:sz w:val="26"/>
          <w:szCs w:val="26"/>
        </w:rPr>
        <w:tab/>
        <w:t xml:space="preserve">Aqua America commits that no equity or debt issued to finance the acquisition premium or goodwill will be included in ratemaking capital structure of any of the PA utility subsidiaries. </w:t>
      </w:r>
      <w:r w:rsidR="00904D87">
        <w:rPr>
          <w:rFonts w:eastAsiaTheme="minorHAnsi"/>
          <w:sz w:val="26"/>
          <w:szCs w:val="26"/>
        </w:rPr>
        <w:t xml:space="preserve"> </w:t>
      </w:r>
      <w:r w:rsidRPr="00E85E42">
        <w:rPr>
          <w:rFonts w:eastAsiaTheme="minorHAnsi"/>
          <w:sz w:val="26"/>
          <w:szCs w:val="26"/>
        </w:rPr>
        <w:t>Any goodwill resulting from this transaction on the balance sheet of Aqua PA or the Peoples Companies shall be excluded from that utility</w:t>
      </w:r>
      <w:r w:rsidR="00904D87">
        <w:rPr>
          <w:rFonts w:eastAsiaTheme="minorHAnsi"/>
          <w:sz w:val="26"/>
          <w:szCs w:val="26"/>
        </w:rPr>
        <w:t>’</w:t>
      </w:r>
      <w:r w:rsidRPr="00E85E42">
        <w:rPr>
          <w:rFonts w:eastAsiaTheme="minorHAnsi"/>
          <w:sz w:val="26"/>
          <w:szCs w:val="26"/>
        </w:rPr>
        <w:t>s ratemaking capital structure.</w:t>
      </w:r>
    </w:p>
    <w:p w14:paraId="629F87AF" w14:textId="77777777" w:rsidR="00E85E42" w:rsidRPr="00E85E42" w:rsidRDefault="00E85E42" w:rsidP="00B24187">
      <w:pPr>
        <w:widowControl/>
        <w:spacing w:after="200"/>
        <w:ind w:left="1440" w:right="1440"/>
        <w:contextualSpacing/>
        <w:rPr>
          <w:rFonts w:eastAsiaTheme="minorHAnsi"/>
          <w:sz w:val="26"/>
          <w:szCs w:val="26"/>
        </w:rPr>
      </w:pPr>
    </w:p>
    <w:p w14:paraId="1D2539EA"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lastRenderedPageBreak/>
        <w:t>46.</w:t>
      </w:r>
      <w:r w:rsidRPr="00E85E42">
        <w:rPr>
          <w:rFonts w:eastAsiaTheme="minorHAnsi"/>
          <w:sz w:val="26"/>
          <w:szCs w:val="26"/>
        </w:rPr>
        <w:tab/>
        <w:t>Aqua America commits that financing of the acquisition will be at least 50% equity or equity equivalents calculated inclusive of the $1.3 billion of PNG debt absorbed by Aqua America in the acquisition.</w:t>
      </w:r>
    </w:p>
    <w:p w14:paraId="382B8AB8" w14:textId="77777777" w:rsidR="00E85E42" w:rsidRPr="00E85E42" w:rsidRDefault="00E85E42" w:rsidP="00B24187">
      <w:pPr>
        <w:widowControl/>
        <w:spacing w:after="200"/>
        <w:ind w:left="1440" w:right="1440"/>
        <w:contextualSpacing/>
        <w:rPr>
          <w:rFonts w:eastAsiaTheme="minorHAnsi"/>
          <w:sz w:val="26"/>
          <w:szCs w:val="26"/>
        </w:rPr>
      </w:pPr>
    </w:p>
    <w:p w14:paraId="79757DF8"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47.</w:t>
      </w:r>
      <w:r w:rsidRPr="00E85E42">
        <w:rPr>
          <w:rFonts w:eastAsiaTheme="minorHAnsi"/>
          <w:sz w:val="26"/>
          <w:szCs w:val="26"/>
        </w:rPr>
        <w:tab/>
        <w:t>Aqua America commits that any new equity and debt issued to finance the acquisition premium will be excluded from PA utility subsidiaries</w:t>
      </w:r>
      <w:r w:rsidR="00904D87">
        <w:rPr>
          <w:rFonts w:eastAsiaTheme="minorHAnsi"/>
          <w:sz w:val="26"/>
          <w:szCs w:val="26"/>
        </w:rPr>
        <w:t>’</w:t>
      </w:r>
      <w:r w:rsidRPr="00E85E42">
        <w:rPr>
          <w:rFonts w:eastAsiaTheme="minorHAnsi"/>
          <w:sz w:val="26"/>
          <w:szCs w:val="26"/>
        </w:rPr>
        <w:t xml:space="preserve"> balance sheets.</w:t>
      </w:r>
    </w:p>
    <w:p w14:paraId="2B6E9E16" w14:textId="77777777" w:rsidR="00E85E42" w:rsidRPr="00E85E42" w:rsidRDefault="00E85E42" w:rsidP="00B24187">
      <w:pPr>
        <w:widowControl/>
        <w:spacing w:after="200"/>
        <w:ind w:left="1440" w:right="1440"/>
        <w:contextualSpacing/>
        <w:rPr>
          <w:rFonts w:eastAsiaTheme="minorHAnsi"/>
          <w:sz w:val="26"/>
          <w:szCs w:val="26"/>
        </w:rPr>
      </w:pPr>
    </w:p>
    <w:p w14:paraId="4DB389BC"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48.</w:t>
      </w:r>
      <w:r w:rsidRPr="00E85E42">
        <w:rPr>
          <w:rFonts w:eastAsiaTheme="minorHAnsi"/>
          <w:sz w:val="26"/>
          <w:szCs w:val="26"/>
        </w:rPr>
        <w:tab/>
        <w:t>Aqua America commits to appropriate ring</w:t>
      </w:r>
      <w:r w:rsidRPr="00E85E42">
        <w:rPr>
          <w:rFonts w:eastAsiaTheme="minorHAnsi"/>
          <w:sz w:val="26"/>
          <w:szCs w:val="26"/>
        </w:rPr>
        <w:noBreakHyphen/>
        <w:t>fencing protections to the extent applicable to Aqua America’s structure, and that are no less protective of the ring-fencing protections currently in effect for Aqua PA and the Peoples Companies. The current ring fencing includes, but is not limited to the following:</w:t>
      </w:r>
    </w:p>
    <w:p w14:paraId="7BB7BFAB" w14:textId="77777777" w:rsidR="00E85E42" w:rsidRPr="00E85E42" w:rsidRDefault="00E85E42" w:rsidP="00B24187">
      <w:pPr>
        <w:widowControl/>
        <w:spacing w:after="200"/>
        <w:ind w:left="1440" w:right="1440"/>
        <w:contextualSpacing/>
        <w:rPr>
          <w:rFonts w:eastAsiaTheme="minorHAnsi"/>
          <w:sz w:val="26"/>
          <w:szCs w:val="26"/>
        </w:rPr>
      </w:pPr>
    </w:p>
    <w:p w14:paraId="5341032C" w14:textId="77777777" w:rsidR="00E85E42" w:rsidRPr="00E85E42" w:rsidRDefault="00E85E42" w:rsidP="00B24187">
      <w:pPr>
        <w:widowControl/>
        <w:spacing w:after="200"/>
        <w:ind w:left="2880" w:right="1440" w:hanging="720"/>
        <w:contextualSpacing/>
        <w:rPr>
          <w:rFonts w:eastAsiaTheme="minorHAnsi"/>
          <w:sz w:val="26"/>
          <w:szCs w:val="26"/>
        </w:rPr>
      </w:pPr>
      <w:r w:rsidRPr="00E85E42">
        <w:rPr>
          <w:rFonts w:eastAsiaTheme="minorHAnsi"/>
          <w:sz w:val="26"/>
          <w:szCs w:val="26"/>
        </w:rPr>
        <w:t>a)</w:t>
      </w:r>
      <w:r w:rsidRPr="00E85E42">
        <w:rPr>
          <w:rFonts w:eastAsiaTheme="minorHAnsi"/>
          <w:sz w:val="26"/>
          <w:szCs w:val="26"/>
        </w:rPr>
        <w:tab/>
        <w:t>Aqua PA and the Peoples Companies (</w:t>
      </w:r>
      <w:r w:rsidR="00904D87">
        <w:rPr>
          <w:rFonts w:eastAsiaTheme="minorHAnsi"/>
          <w:sz w:val="26"/>
          <w:szCs w:val="26"/>
        </w:rPr>
        <w:t>“</w:t>
      </w:r>
      <w:r w:rsidRPr="00E85E42">
        <w:rPr>
          <w:rFonts w:eastAsiaTheme="minorHAnsi"/>
          <w:sz w:val="26"/>
          <w:szCs w:val="26"/>
        </w:rPr>
        <w:t>Utility Subsidiaries</w:t>
      </w:r>
      <w:r w:rsidR="00904D87">
        <w:rPr>
          <w:rFonts w:eastAsiaTheme="minorHAnsi"/>
          <w:sz w:val="26"/>
          <w:szCs w:val="26"/>
        </w:rPr>
        <w:t>”</w:t>
      </w:r>
      <w:r w:rsidRPr="00E85E42">
        <w:rPr>
          <w:rFonts w:eastAsiaTheme="minorHAnsi"/>
          <w:sz w:val="26"/>
          <w:szCs w:val="26"/>
        </w:rPr>
        <w:t>) maintaining their status as corporate subsidiaries with their own corporate officers;</w:t>
      </w:r>
    </w:p>
    <w:p w14:paraId="00239929" w14:textId="77777777" w:rsidR="00E85E42" w:rsidRPr="00E85E42" w:rsidRDefault="00E85E42" w:rsidP="00B24187">
      <w:pPr>
        <w:widowControl/>
        <w:spacing w:after="200"/>
        <w:ind w:left="2880" w:right="1440" w:hanging="720"/>
        <w:contextualSpacing/>
        <w:rPr>
          <w:rFonts w:eastAsiaTheme="minorHAnsi"/>
          <w:sz w:val="26"/>
          <w:szCs w:val="26"/>
        </w:rPr>
      </w:pPr>
      <w:r w:rsidRPr="00E85E42">
        <w:rPr>
          <w:rFonts w:eastAsiaTheme="minorHAnsi"/>
          <w:sz w:val="26"/>
          <w:szCs w:val="26"/>
        </w:rPr>
        <w:t>b)</w:t>
      </w:r>
      <w:r w:rsidRPr="00E85E42">
        <w:rPr>
          <w:rFonts w:eastAsiaTheme="minorHAnsi"/>
          <w:sz w:val="26"/>
          <w:szCs w:val="26"/>
        </w:rPr>
        <w:tab/>
        <w:t>each of the Utility Subsidiaries issuing their own sets of financial statements pursuant to Commission requirements;</w:t>
      </w:r>
    </w:p>
    <w:p w14:paraId="70B77C21" w14:textId="77777777" w:rsidR="00E85E42" w:rsidRPr="00E85E42" w:rsidRDefault="00E85E42" w:rsidP="00B24187">
      <w:pPr>
        <w:widowControl/>
        <w:spacing w:after="200"/>
        <w:ind w:left="2880" w:right="1440" w:hanging="720"/>
        <w:contextualSpacing/>
        <w:rPr>
          <w:rFonts w:eastAsiaTheme="minorHAnsi"/>
          <w:sz w:val="26"/>
          <w:szCs w:val="26"/>
        </w:rPr>
      </w:pPr>
      <w:r w:rsidRPr="00E85E42">
        <w:rPr>
          <w:rFonts w:eastAsiaTheme="minorHAnsi"/>
          <w:sz w:val="26"/>
          <w:szCs w:val="26"/>
        </w:rPr>
        <w:t>c)</w:t>
      </w:r>
      <w:r w:rsidRPr="00E85E42">
        <w:rPr>
          <w:rFonts w:eastAsiaTheme="minorHAnsi"/>
          <w:sz w:val="26"/>
          <w:szCs w:val="26"/>
        </w:rPr>
        <w:tab/>
        <w:t>all transactions among the Utility Subsidiaries and their corporate affiliates (including Aqua America) taking place pursuant to the terms of a Commission-approved affiliated agreement to avoid cross subsidization;</w:t>
      </w:r>
    </w:p>
    <w:p w14:paraId="4A21EDB5" w14:textId="77777777" w:rsidR="00E85E42" w:rsidRPr="00E85E42" w:rsidRDefault="00E85E42" w:rsidP="00B24187">
      <w:pPr>
        <w:widowControl/>
        <w:spacing w:after="200"/>
        <w:ind w:left="2880" w:right="1440" w:hanging="720"/>
        <w:contextualSpacing/>
        <w:rPr>
          <w:rFonts w:eastAsiaTheme="minorHAnsi"/>
          <w:sz w:val="26"/>
          <w:szCs w:val="26"/>
        </w:rPr>
      </w:pPr>
      <w:r w:rsidRPr="00E85E42">
        <w:rPr>
          <w:rFonts w:eastAsiaTheme="minorHAnsi"/>
          <w:sz w:val="26"/>
          <w:szCs w:val="26"/>
        </w:rPr>
        <w:t>d)</w:t>
      </w:r>
      <w:r w:rsidRPr="00E85E42">
        <w:rPr>
          <w:rFonts w:eastAsiaTheme="minorHAnsi"/>
          <w:sz w:val="26"/>
          <w:szCs w:val="26"/>
        </w:rPr>
        <w:tab/>
        <w:t>each Utility Subsidiary (and PNG) maintaining the capability to issue its own long-term debt (with such debt issues subject to Commission approval if required);</w:t>
      </w:r>
    </w:p>
    <w:p w14:paraId="12A91A63" w14:textId="77777777" w:rsidR="00E85E42" w:rsidRPr="00E85E42" w:rsidRDefault="00E85E42" w:rsidP="00B24187">
      <w:pPr>
        <w:widowControl/>
        <w:spacing w:after="200"/>
        <w:ind w:left="2880" w:right="1440" w:hanging="720"/>
        <w:contextualSpacing/>
        <w:rPr>
          <w:rFonts w:eastAsiaTheme="minorHAnsi"/>
          <w:sz w:val="26"/>
          <w:szCs w:val="26"/>
        </w:rPr>
      </w:pPr>
      <w:r w:rsidRPr="00E85E42">
        <w:rPr>
          <w:rFonts w:eastAsiaTheme="minorHAnsi"/>
          <w:sz w:val="26"/>
          <w:szCs w:val="26"/>
        </w:rPr>
        <w:t>e)</w:t>
      </w:r>
      <w:r w:rsidRPr="00E85E42">
        <w:rPr>
          <w:rFonts w:eastAsiaTheme="minorHAnsi"/>
          <w:sz w:val="26"/>
          <w:szCs w:val="26"/>
        </w:rPr>
        <w:tab/>
        <w:t>the maintenance of maximum debt levels in the capital structure for the Utility Subsidiaries as specified in Paragraphs 51 and 52;</w:t>
      </w:r>
    </w:p>
    <w:p w14:paraId="7C661570" w14:textId="77777777" w:rsidR="00E85E42" w:rsidRPr="00E85E42" w:rsidRDefault="00E85E42" w:rsidP="00B24187">
      <w:pPr>
        <w:widowControl/>
        <w:spacing w:after="200"/>
        <w:ind w:left="2880" w:right="1440" w:hanging="720"/>
        <w:contextualSpacing/>
        <w:rPr>
          <w:rFonts w:eastAsiaTheme="minorHAnsi"/>
          <w:sz w:val="26"/>
          <w:szCs w:val="26"/>
        </w:rPr>
      </w:pPr>
      <w:r w:rsidRPr="00E85E42">
        <w:rPr>
          <w:rFonts w:eastAsiaTheme="minorHAnsi"/>
          <w:sz w:val="26"/>
          <w:szCs w:val="26"/>
        </w:rPr>
        <w:t>f)</w:t>
      </w:r>
      <w:r w:rsidRPr="00E85E42">
        <w:rPr>
          <w:rFonts w:eastAsiaTheme="minorHAnsi"/>
          <w:sz w:val="26"/>
          <w:szCs w:val="26"/>
        </w:rPr>
        <w:tab/>
        <w:t>no lending by the Utility Subsidiaries to corporate affiliates for a term in excess of one year; and</w:t>
      </w:r>
    </w:p>
    <w:p w14:paraId="735162D8" w14:textId="77777777" w:rsidR="00E85E42" w:rsidRPr="00E85E42" w:rsidRDefault="00E85E42" w:rsidP="00B24187">
      <w:pPr>
        <w:widowControl/>
        <w:spacing w:after="200"/>
        <w:ind w:left="2880" w:right="1440" w:hanging="720"/>
        <w:contextualSpacing/>
        <w:rPr>
          <w:rFonts w:eastAsiaTheme="minorHAnsi"/>
          <w:sz w:val="26"/>
          <w:szCs w:val="26"/>
        </w:rPr>
      </w:pPr>
      <w:r w:rsidRPr="00E85E42">
        <w:rPr>
          <w:rFonts w:eastAsiaTheme="minorHAnsi"/>
          <w:sz w:val="26"/>
          <w:szCs w:val="26"/>
        </w:rPr>
        <w:t>g)</w:t>
      </w:r>
      <w:r w:rsidRPr="00E85E42">
        <w:rPr>
          <w:rFonts w:eastAsiaTheme="minorHAnsi"/>
          <w:sz w:val="26"/>
          <w:szCs w:val="26"/>
        </w:rPr>
        <w:tab/>
        <w:t>no pledging or encumbering the assets of the Utility Subsidiaries or the provision of loan guarantees for the benefit of corporate affiliates.</w:t>
      </w:r>
    </w:p>
    <w:p w14:paraId="1449EDBC" w14:textId="77777777" w:rsidR="00E85E42" w:rsidRPr="00E85E42" w:rsidRDefault="00E85E42" w:rsidP="00B24187">
      <w:pPr>
        <w:widowControl/>
        <w:spacing w:after="200" w:line="360" w:lineRule="auto"/>
        <w:ind w:right="1440"/>
        <w:contextualSpacing/>
        <w:rPr>
          <w:rFonts w:eastAsiaTheme="minorHAnsi"/>
          <w:sz w:val="26"/>
          <w:szCs w:val="26"/>
        </w:rPr>
      </w:pPr>
    </w:p>
    <w:p w14:paraId="7332031C"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lastRenderedPageBreak/>
        <w:t>49.</w:t>
      </w:r>
      <w:r w:rsidRPr="00E85E42">
        <w:rPr>
          <w:rFonts w:eastAsiaTheme="minorHAnsi"/>
          <w:sz w:val="26"/>
          <w:szCs w:val="26"/>
        </w:rPr>
        <w:tab/>
        <w:t>The Peoples Companies and Aqua PA will not lend on a long-term basis (i.e., for a term exceeding one year) to Aqua America, Aqua PA, PNG, the Peoples Companies or any other corporate affiliates and will not provide debt guarantees or pledge assets for corporate affiliates without prior Commission approval.</w:t>
      </w:r>
    </w:p>
    <w:p w14:paraId="60AE43C1" w14:textId="77777777" w:rsidR="00E85E42" w:rsidRPr="00E85E42" w:rsidRDefault="00E85E42" w:rsidP="00B24187">
      <w:pPr>
        <w:widowControl/>
        <w:spacing w:after="200"/>
        <w:ind w:left="1440" w:right="1440"/>
        <w:contextualSpacing/>
        <w:rPr>
          <w:rFonts w:eastAsiaTheme="minorHAnsi"/>
          <w:sz w:val="26"/>
          <w:szCs w:val="26"/>
        </w:rPr>
      </w:pPr>
    </w:p>
    <w:p w14:paraId="186A2340"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50.</w:t>
      </w:r>
      <w:r w:rsidRPr="00E85E42">
        <w:rPr>
          <w:rFonts w:eastAsiaTheme="minorHAnsi"/>
          <w:sz w:val="26"/>
          <w:szCs w:val="26"/>
        </w:rPr>
        <w:tab/>
        <w:t>In the event of a credit downgrade at Aqua America, PNG or Aqua PA to below medium triple B, the companies will provide notice to the Commission within 5 business days, which will state the reason for the downgrade and remedial actions intended to strengthen credit ratings.</w:t>
      </w:r>
    </w:p>
    <w:p w14:paraId="3AD70373" w14:textId="77777777" w:rsidR="00E85E42" w:rsidRPr="00E85E42" w:rsidRDefault="00E85E42" w:rsidP="00B24187">
      <w:pPr>
        <w:widowControl/>
        <w:spacing w:after="200"/>
        <w:ind w:left="1440" w:right="1440"/>
        <w:contextualSpacing/>
        <w:rPr>
          <w:rFonts w:eastAsiaTheme="minorHAnsi"/>
          <w:sz w:val="26"/>
          <w:szCs w:val="26"/>
        </w:rPr>
      </w:pPr>
    </w:p>
    <w:p w14:paraId="65AC2B44" w14:textId="4EB1A829"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51.</w:t>
      </w:r>
      <w:r w:rsidRPr="00E85E42">
        <w:rPr>
          <w:rFonts w:eastAsiaTheme="minorHAnsi"/>
          <w:sz w:val="26"/>
          <w:szCs w:val="26"/>
        </w:rPr>
        <w:tab/>
        <w:t xml:space="preserve">The Peoples Companies will maintain a debt ratio measured at an annual level of no more than 50% (inclusive of </w:t>
      </w:r>
      <w:r w:rsidR="003A591D" w:rsidRPr="00E85E42">
        <w:rPr>
          <w:rFonts w:eastAsiaTheme="minorHAnsi"/>
          <w:sz w:val="26"/>
          <w:szCs w:val="26"/>
        </w:rPr>
        <w:t>short-term</w:t>
      </w:r>
      <w:r w:rsidRPr="00E85E42">
        <w:rPr>
          <w:rFonts w:eastAsiaTheme="minorHAnsi"/>
          <w:sz w:val="26"/>
          <w:szCs w:val="26"/>
        </w:rPr>
        <w:t xml:space="preserve"> debt, but exclusive of goodwill) for at least five-years post-closing.</w:t>
      </w:r>
    </w:p>
    <w:p w14:paraId="1904BD67" w14:textId="77777777" w:rsidR="00E85E42" w:rsidRPr="00E85E42" w:rsidRDefault="00E85E42" w:rsidP="00B24187">
      <w:pPr>
        <w:widowControl/>
        <w:spacing w:after="200"/>
        <w:ind w:left="1440" w:right="1440"/>
        <w:contextualSpacing/>
        <w:rPr>
          <w:rFonts w:eastAsiaTheme="minorHAnsi"/>
          <w:sz w:val="26"/>
          <w:szCs w:val="26"/>
        </w:rPr>
      </w:pPr>
    </w:p>
    <w:p w14:paraId="65E2C8E5" w14:textId="0D50D70C"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52.</w:t>
      </w:r>
      <w:r w:rsidRPr="00E85E42">
        <w:rPr>
          <w:rFonts w:eastAsiaTheme="minorHAnsi"/>
          <w:sz w:val="26"/>
          <w:szCs w:val="26"/>
        </w:rPr>
        <w:tab/>
        <w:t xml:space="preserve">Aqua PA will maintain a debt ratio of no more than 50% (inclusive of </w:t>
      </w:r>
      <w:r w:rsidR="003A591D" w:rsidRPr="00E85E42">
        <w:rPr>
          <w:rFonts w:eastAsiaTheme="minorHAnsi"/>
          <w:sz w:val="26"/>
          <w:szCs w:val="26"/>
        </w:rPr>
        <w:t>short-term</w:t>
      </w:r>
      <w:r w:rsidRPr="00E85E42">
        <w:rPr>
          <w:rFonts w:eastAsiaTheme="minorHAnsi"/>
          <w:sz w:val="26"/>
          <w:szCs w:val="26"/>
        </w:rPr>
        <w:t xml:space="preserve"> debt, but exclusive of goodwill) for at least five-years post-closing.</w:t>
      </w:r>
    </w:p>
    <w:p w14:paraId="4841E709" w14:textId="77777777" w:rsidR="00E85E42" w:rsidRPr="00E85E42" w:rsidRDefault="00E85E42" w:rsidP="00B24187">
      <w:pPr>
        <w:widowControl/>
        <w:spacing w:after="200"/>
        <w:ind w:left="1440" w:right="1440"/>
        <w:contextualSpacing/>
        <w:rPr>
          <w:rFonts w:eastAsiaTheme="minorHAnsi"/>
          <w:sz w:val="26"/>
          <w:szCs w:val="26"/>
        </w:rPr>
      </w:pPr>
    </w:p>
    <w:p w14:paraId="2349290D"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53.</w:t>
      </w:r>
      <w:r w:rsidRPr="00E85E42">
        <w:rPr>
          <w:rFonts w:eastAsiaTheme="minorHAnsi"/>
          <w:sz w:val="26"/>
          <w:szCs w:val="26"/>
        </w:rPr>
        <w:tab/>
        <w:t>Aqua America will continue to seek to acquire and rehabilitate troubled Commission regulated water and wastewater systems. The transaction will not interfere with Aqua PA</w:t>
      </w:r>
      <w:r w:rsidR="00904D87">
        <w:rPr>
          <w:rFonts w:eastAsiaTheme="minorHAnsi"/>
          <w:sz w:val="26"/>
          <w:szCs w:val="26"/>
        </w:rPr>
        <w:t>’</w:t>
      </w:r>
      <w:r w:rsidRPr="00E85E42">
        <w:rPr>
          <w:rFonts w:eastAsiaTheme="minorHAnsi"/>
          <w:sz w:val="26"/>
          <w:szCs w:val="26"/>
        </w:rPr>
        <w:t>s ability to finance or pursue these acquisitions.</w:t>
      </w:r>
    </w:p>
    <w:p w14:paraId="48B896F6" w14:textId="77777777" w:rsidR="00E85E42" w:rsidRPr="00E85E42" w:rsidRDefault="00E85E42" w:rsidP="00B24187">
      <w:pPr>
        <w:widowControl/>
        <w:spacing w:after="200"/>
        <w:ind w:left="1440" w:right="1440"/>
        <w:contextualSpacing/>
        <w:rPr>
          <w:rFonts w:eastAsiaTheme="minorHAnsi"/>
          <w:sz w:val="26"/>
          <w:szCs w:val="26"/>
        </w:rPr>
      </w:pPr>
    </w:p>
    <w:p w14:paraId="6C8440E5"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54.</w:t>
      </w:r>
      <w:r w:rsidRPr="00E85E42">
        <w:rPr>
          <w:rFonts w:eastAsiaTheme="minorHAnsi"/>
          <w:sz w:val="26"/>
          <w:szCs w:val="26"/>
        </w:rPr>
        <w:tab/>
        <w:t>Any acquisition premium or goodwill as a result of this transaction recorded on Aqua America’s, or any affiliate’s, books will be permanently excluded from rate base of Aqua PA (water and wastewater) and the Peoples Companies (Peoples Natural Gas and Peoples Gas) in establishing future rates subject to the Commission’s jurisdiction and also will be excluded from the Peoples Companies and Aqua PA capital structures for ratemaking purposes.</w:t>
      </w:r>
    </w:p>
    <w:p w14:paraId="28BA6FC1" w14:textId="77777777" w:rsidR="00E85E42" w:rsidRPr="00E85E42" w:rsidRDefault="00E85E42" w:rsidP="00B24187">
      <w:pPr>
        <w:widowControl/>
        <w:spacing w:after="200"/>
        <w:ind w:left="1440" w:right="1440"/>
        <w:contextualSpacing/>
        <w:rPr>
          <w:rFonts w:eastAsiaTheme="minorHAnsi"/>
          <w:sz w:val="26"/>
          <w:szCs w:val="26"/>
        </w:rPr>
      </w:pPr>
    </w:p>
    <w:p w14:paraId="135DFB95"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55.</w:t>
      </w:r>
      <w:r w:rsidRPr="00E85E42">
        <w:rPr>
          <w:rFonts w:eastAsiaTheme="minorHAnsi"/>
          <w:sz w:val="26"/>
          <w:szCs w:val="26"/>
        </w:rPr>
        <w:tab/>
        <w:t>Aqua America and the Peoples Companies will file a Report of Action within 120 days of closing, which contains the closing date, the actual total sale price, and the actual accounting entries records in Aqua</w:t>
      </w:r>
      <w:r w:rsidR="00904D87">
        <w:rPr>
          <w:rFonts w:eastAsiaTheme="minorHAnsi"/>
          <w:sz w:val="26"/>
          <w:szCs w:val="26"/>
        </w:rPr>
        <w:t>’</w:t>
      </w:r>
      <w:r w:rsidRPr="00E85E42">
        <w:rPr>
          <w:rFonts w:eastAsiaTheme="minorHAnsi"/>
          <w:sz w:val="26"/>
          <w:szCs w:val="26"/>
        </w:rPr>
        <w:t xml:space="preserve">s and the Peoples Companies’ books that reflect the acquisition including the following: all Transaction Cost and Transition Cost accounting entries for Aqua and the Peoples Companies that </w:t>
      </w:r>
      <w:r w:rsidRPr="00E85E42">
        <w:rPr>
          <w:rFonts w:eastAsiaTheme="minorHAnsi"/>
          <w:sz w:val="26"/>
          <w:szCs w:val="26"/>
        </w:rPr>
        <w:lastRenderedPageBreak/>
        <w:t>are recorded on the books of each entity; all Merger related fair value, Goodwill, and/or Acquisition Premium accounting entries for Aqua and the Peoples Companies and their subsidiaries; all Merger-related tax accounting entries for Aqua and the Peoples Companies and their subsidiaries; all Merger-related debt and equity financing accounting entries for Aqua and Peoples and their subsidiaries.</w:t>
      </w:r>
    </w:p>
    <w:p w14:paraId="17894D03" w14:textId="77777777" w:rsidR="00E85E42" w:rsidRPr="00E85E42" w:rsidRDefault="00E85E42" w:rsidP="00B24187">
      <w:pPr>
        <w:widowControl/>
        <w:spacing w:after="200"/>
        <w:ind w:left="1440" w:right="1440"/>
        <w:contextualSpacing/>
        <w:rPr>
          <w:rFonts w:eastAsiaTheme="minorHAnsi"/>
          <w:sz w:val="26"/>
          <w:szCs w:val="26"/>
        </w:rPr>
      </w:pPr>
    </w:p>
    <w:p w14:paraId="095C2351"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56.</w:t>
      </w:r>
      <w:r w:rsidRPr="00E85E42">
        <w:rPr>
          <w:rFonts w:eastAsiaTheme="minorHAnsi"/>
          <w:sz w:val="26"/>
          <w:szCs w:val="26"/>
        </w:rPr>
        <w:tab/>
        <w:t>Aqua America will ensure any accounting treatments associated with Acquisition accounting do not affect rates charged to Pennsylvania public utility customers.</w:t>
      </w:r>
    </w:p>
    <w:p w14:paraId="2EC388E2" w14:textId="77777777" w:rsidR="00E85E42" w:rsidRPr="00E85E42" w:rsidRDefault="00E85E42" w:rsidP="00B24187">
      <w:pPr>
        <w:widowControl/>
        <w:spacing w:after="200"/>
        <w:ind w:left="1440" w:right="1440"/>
        <w:contextualSpacing/>
        <w:rPr>
          <w:rFonts w:eastAsiaTheme="minorHAnsi"/>
          <w:sz w:val="26"/>
          <w:szCs w:val="26"/>
        </w:rPr>
      </w:pPr>
    </w:p>
    <w:p w14:paraId="1E671142"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57.</w:t>
      </w:r>
      <w:r w:rsidRPr="00E85E42">
        <w:rPr>
          <w:rFonts w:eastAsiaTheme="minorHAnsi"/>
          <w:sz w:val="26"/>
          <w:szCs w:val="26"/>
        </w:rPr>
        <w:tab/>
        <w:t xml:space="preserve">Aqua America and the Peoples Companies will not claim in any future rate proceedings any Transaction Costs to complete the transaction. </w:t>
      </w:r>
      <w:r w:rsidR="00904D87">
        <w:rPr>
          <w:rFonts w:eastAsiaTheme="minorHAnsi"/>
          <w:sz w:val="26"/>
          <w:szCs w:val="26"/>
        </w:rPr>
        <w:t xml:space="preserve"> </w:t>
      </w:r>
      <w:r w:rsidRPr="00E85E42">
        <w:rPr>
          <w:rFonts w:eastAsiaTheme="minorHAnsi"/>
          <w:sz w:val="26"/>
          <w:szCs w:val="26"/>
        </w:rPr>
        <w:t xml:space="preserve">Such costs shall be borne by Aqua/Peoples Companies shareholders. </w:t>
      </w:r>
      <w:r w:rsidR="00904D87">
        <w:rPr>
          <w:rFonts w:eastAsiaTheme="minorHAnsi"/>
          <w:sz w:val="26"/>
          <w:szCs w:val="26"/>
        </w:rPr>
        <w:t xml:space="preserve"> </w:t>
      </w:r>
      <w:r w:rsidRPr="00E85E42">
        <w:rPr>
          <w:rFonts w:eastAsiaTheme="minorHAnsi"/>
          <w:sz w:val="26"/>
          <w:szCs w:val="26"/>
        </w:rPr>
        <w:t>All Transaction Costs shall be recorded on Aqua America and Funding books and shall be tracked to facilitate verification that none of the costs are being directly or indirectly included in cost of service for any Pennsylvania utility.</w:t>
      </w:r>
    </w:p>
    <w:p w14:paraId="730DCB91" w14:textId="77777777" w:rsidR="00E85E42" w:rsidRPr="00E85E42" w:rsidRDefault="00E85E42" w:rsidP="00B24187">
      <w:pPr>
        <w:widowControl/>
        <w:spacing w:after="200"/>
        <w:ind w:left="1440" w:right="1440"/>
        <w:contextualSpacing/>
        <w:rPr>
          <w:rFonts w:eastAsiaTheme="minorHAnsi"/>
          <w:sz w:val="26"/>
          <w:szCs w:val="26"/>
        </w:rPr>
      </w:pPr>
    </w:p>
    <w:p w14:paraId="73477B86"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58.</w:t>
      </w:r>
      <w:r w:rsidRPr="00E85E42">
        <w:rPr>
          <w:rFonts w:eastAsiaTheme="minorHAnsi"/>
          <w:sz w:val="26"/>
          <w:szCs w:val="26"/>
        </w:rPr>
        <w:tab/>
        <w:t>Any termination fees incurred if the Acquisition is not consummated shall be borne by the shareholders and will not be recovered from Pennsylvania utility ratepayers.</w:t>
      </w:r>
    </w:p>
    <w:p w14:paraId="185ABBA5" w14:textId="77777777" w:rsidR="00E85E42" w:rsidRPr="00E85E42" w:rsidRDefault="00E85E42" w:rsidP="00B24187">
      <w:pPr>
        <w:widowControl/>
        <w:spacing w:after="200"/>
        <w:ind w:left="1440" w:right="1440"/>
        <w:contextualSpacing/>
        <w:rPr>
          <w:rFonts w:eastAsiaTheme="minorHAnsi"/>
          <w:sz w:val="26"/>
          <w:szCs w:val="26"/>
        </w:rPr>
      </w:pPr>
    </w:p>
    <w:p w14:paraId="6BDD5512"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59.</w:t>
      </w:r>
      <w:r w:rsidRPr="00E85E42">
        <w:rPr>
          <w:rFonts w:eastAsiaTheme="minorHAnsi"/>
          <w:sz w:val="26"/>
          <w:szCs w:val="26"/>
        </w:rPr>
        <w:tab/>
        <w:t>Aqua America commits that no Transition costs (incremental costs incurred to facilitate integration of companies, including all costs listed in Settlement Parties Joint Exhibit No. 2 (confidential), shall be included in Aqua PA’s or Peoples Companies' cost of service in any rate case.</w:t>
      </w:r>
    </w:p>
    <w:p w14:paraId="25159338" w14:textId="77777777" w:rsidR="00E85E42" w:rsidRPr="00E85E42" w:rsidRDefault="00E85E42" w:rsidP="00B24187">
      <w:pPr>
        <w:widowControl/>
        <w:spacing w:after="200"/>
        <w:ind w:left="1440" w:right="1440"/>
        <w:contextualSpacing/>
        <w:rPr>
          <w:rFonts w:eastAsiaTheme="minorHAnsi"/>
          <w:sz w:val="26"/>
          <w:szCs w:val="26"/>
        </w:rPr>
      </w:pPr>
    </w:p>
    <w:p w14:paraId="47BD929A"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60.</w:t>
      </w:r>
      <w:r w:rsidRPr="00E85E42">
        <w:rPr>
          <w:rFonts w:eastAsiaTheme="minorHAnsi"/>
          <w:sz w:val="26"/>
          <w:szCs w:val="26"/>
        </w:rPr>
        <w:tab/>
        <w:t>Aqua America will track and account for Transition costs in sufficient detail to permit parties to review and verify no such costs have been included in cost of service for Aqua PA or the Peoples Companies.</w:t>
      </w:r>
    </w:p>
    <w:p w14:paraId="4EADEDD1" w14:textId="77777777" w:rsidR="00E85E42" w:rsidRPr="00E85E42" w:rsidRDefault="00E85E42" w:rsidP="00B24187">
      <w:pPr>
        <w:widowControl/>
        <w:spacing w:after="200"/>
        <w:ind w:left="1440" w:right="1440"/>
        <w:contextualSpacing/>
        <w:rPr>
          <w:rFonts w:eastAsiaTheme="minorHAnsi"/>
          <w:sz w:val="26"/>
          <w:szCs w:val="26"/>
        </w:rPr>
      </w:pPr>
    </w:p>
    <w:p w14:paraId="01895CE5"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61.</w:t>
      </w:r>
      <w:r w:rsidRPr="00E85E42">
        <w:rPr>
          <w:rFonts w:eastAsiaTheme="minorHAnsi"/>
          <w:sz w:val="26"/>
          <w:szCs w:val="26"/>
        </w:rPr>
        <w:tab/>
        <w:t>The Peoples Companies will report and identify the impact resulting from any constraints on their ability to monetize otherwise available tax benefits due to their affiliation with Aqua America and their post-merger participation in a federal consolidated tax return.</w:t>
      </w:r>
    </w:p>
    <w:p w14:paraId="0DBD7B3C" w14:textId="77777777" w:rsidR="00E85E42" w:rsidRPr="00E85E42" w:rsidRDefault="00E85E42" w:rsidP="00B24187">
      <w:pPr>
        <w:widowControl/>
        <w:spacing w:after="200"/>
        <w:ind w:left="1440" w:right="1440"/>
        <w:contextualSpacing/>
        <w:rPr>
          <w:rFonts w:eastAsiaTheme="minorHAnsi"/>
          <w:sz w:val="26"/>
          <w:szCs w:val="26"/>
        </w:rPr>
      </w:pPr>
    </w:p>
    <w:p w14:paraId="392D6F8F"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lastRenderedPageBreak/>
        <w:t>62.</w:t>
      </w:r>
      <w:r w:rsidRPr="00E85E42">
        <w:rPr>
          <w:rFonts w:eastAsiaTheme="minorHAnsi"/>
          <w:sz w:val="26"/>
          <w:szCs w:val="26"/>
        </w:rPr>
        <w:tab/>
        <w:t>Aqua America will ensure that the acquisition closing will not affect accounting and ratemaking treatments of the Peoples Companies’ Accumulated Deferred Income Taxes (“ADIT”), including excess deferred income taxes, accumulated deferred tax credits and net operating losses. Aqua America commits that no Section 338(h)(10) election will be employed that would result in a reduction of the pre-closing Peoples Companies’ ADIT balances.</w:t>
      </w:r>
    </w:p>
    <w:p w14:paraId="1F1DA039" w14:textId="77777777" w:rsidR="00E85E42" w:rsidRPr="00E85E42" w:rsidRDefault="00E85E42" w:rsidP="00B24187">
      <w:pPr>
        <w:widowControl/>
        <w:spacing w:after="200"/>
        <w:ind w:left="1440" w:right="1440"/>
        <w:contextualSpacing/>
        <w:rPr>
          <w:rFonts w:eastAsiaTheme="minorHAnsi"/>
          <w:sz w:val="26"/>
          <w:szCs w:val="26"/>
        </w:rPr>
      </w:pPr>
    </w:p>
    <w:p w14:paraId="4E986FA4"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63.</w:t>
      </w:r>
      <w:r w:rsidRPr="00E85E42">
        <w:rPr>
          <w:rFonts w:eastAsiaTheme="minorHAnsi"/>
          <w:sz w:val="26"/>
          <w:szCs w:val="26"/>
        </w:rPr>
        <w:tab/>
        <w:t>Aqua America will ensure the acquisition accounting is rate-neutral for Peoples Companies’ customers.</w:t>
      </w:r>
    </w:p>
    <w:p w14:paraId="48FFC49D" w14:textId="77777777" w:rsidR="00E85E42" w:rsidRPr="00E85E42" w:rsidRDefault="00E85E42" w:rsidP="00B24187">
      <w:pPr>
        <w:widowControl/>
        <w:spacing w:after="200"/>
        <w:ind w:left="1440" w:right="1440"/>
        <w:contextualSpacing/>
        <w:rPr>
          <w:rFonts w:eastAsiaTheme="minorHAnsi"/>
          <w:sz w:val="26"/>
          <w:szCs w:val="26"/>
        </w:rPr>
      </w:pPr>
    </w:p>
    <w:p w14:paraId="1726934E"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64.</w:t>
      </w:r>
      <w:r w:rsidRPr="00E85E42">
        <w:rPr>
          <w:rFonts w:eastAsiaTheme="minorHAnsi"/>
          <w:sz w:val="26"/>
          <w:szCs w:val="26"/>
        </w:rPr>
        <w:tab/>
        <w:t xml:space="preserve">Aqua America will report key credit metrics to the Commission for a five–year period and will use reasonable efforts to maintain existing Aqua America, Aqua PA, and Peoples Companies' credit ratings at investment grade for their publicly traded debt securities. </w:t>
      </w:r>
    </w:p>
    <w:p w14:paraId="3DEDC9C3" w14:textId="77777777" w:rsidR="00E85E42" w:rsidRPr="00E85E42" w:rsidRDefault="00E85E42" w:rsidP="00B24187">
      <w:pPr>
        <w:widowControl/>
        <w:spacing w:after="200"/>
        <w:ind w:left="1440" w:right="1440"/>
        <w:contextualSpacing/>
        <w:rPr>
          <w:rFonts w:eastAsiaTheme="minorHAnsi"/>
          <w:sz w:val="26"/>
          <w:szCs w:val="26"/>
        </w:rPr>
      </w:pPr>
    </w:p>
    <w:p w14:paraId="6662210B"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65.</w:t>
      </w:r>
      <w:r w:rsidRPr="00E85E42">
        <w:rPr>
          <w:rFonts w:eastAsiaTheme="minorHAnsi"/>
          <w:sz w:val="26"/>
          <w:szCs w:val="26"/>
        </w:rPr>
        <w:tab/>
        <w:t>The Peoples Companies and Aqua PA each will maintain the capability of issuing their own long-term debt unless authorized otherwise by the PUC.</w:t>
      </w:r>
    </w:p>
    <w:p w14:paraId="5D9A8FB7" w14:textId="77777777" w:rsidR="00E85E42" w:rsidRPr="00E85E42" w:rsidRDefault="00E85E42" w:rsidP="00B24187">
      <w:pPr>
        <w:widowControl/>
        <w:spacing w:after="200"/>
        <w:ind w:left="1440" w:right="1440"/>
        <w:contextualSpacing/>
        <w:rPr>
          <w:rFonts w:eastAsiaTheme="minorHAnsi"/>
          <w:sz w:val="26"/>
          <w:szCs w:val="26"/>
        </w:rPr>
      </w:pPr>
    </w:p>
    <w:p w14:paraId="0D884ED4"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66.</w:t>
      </w:r>
      <w:r w:rsidRPr="00E85E42">
        <w:rPr>
          <w:rFonts w:eastAsiaTheme="minorHAnsi"/>
          <w:sz w:val="26"/>
          <w:szCs w:val="26"/>
        </w:rPr>
        <w:tab/>
        <w:t>The Peoples Companies and Aqua PA will not guarantee debt of Funding, Aqua America or any of their other affiliates, grant liens upon their own property other than to finance their own utility operations, or make loans/extend credit for a term of more than one year without Commission approval, if required under the Public Utility Code.</w:t>
      </w:r>
    </w:p>
    <w:p w14:paraId="4144CB58" w14:textId="77777777" w:rsidR="00E85E42" w:rsidRPr="00E85E42" w:rsidRDefault="00E85E42" w:rsidP="00B24187">
      <w:pPr>
        <w:widowControl/>
        <w:spacing w:after="200"/>
        <w:ind w:left="1440" w:right="1440"/>
        <w:contextualSpacing/>
        <w:rPr>
          <w:rFonts w:eastAsiaTheme="minorHAnsi"/>
          <w:sz w:val="26"/>
          <w:szCs w:val="26"/>
        </w:rPr>
      </w:pPr>
    </w:p>
    <w:p w14:paraId="0739CEE1" w14:textId="77777777" w:rsidR="00E85E42" w:rsidRPr="00E85E42" w:rsidRDefault="00E85E42" w:rsidP="00B24187">
      <w:pPr>
        <w:widowControl/>
        <w:spacing w:after="200"/>
        <w:ind w:left="1440" w:right="1440"/>
        <w:contextualSpacing/>
        <w:rPr>
          <w:rFonts w:eastAsiaTheme="minorHAnsi"/>
          <w:sz w:val="26"/>
          <w:szCs w:val="26"/>
        </w:rPr>
      </w:pPr>
      <w:r w:rsidRPr="00E85E42">
        <w:rPr>
          <w:rFonts w:eastAsiaTheme="minorHAnsi"/>
          <w:sz w:val="26"/>
          <w:szCs w:val="26"/>
        </w:rPr>
        <w:t>67.</w:t>
      </w:r>
      <w:r w:rsidRPr="00E85E42">
        <w:rPr>
          <w:rFonts w:eastAsiaTheme="minorHAnsi"/>
          <w:sz w:val="26"/>
          <w:szCs w:val="26"/>
        </w:rPr>
        <w:tab/>
        <w:t>Aqua America shall investigate the feasibility of establishing a commercial paper program for short-term debt financing for the Peoples Companies and Aqua America within six months of closing on the transaction.</w:t>
      </w:r>
    </w:p>
    <w:p w14:paraId="4FC25465" w14:textId="77777777" w:rsidR="00E85E42" w:rsidRPr="00E85E42" w:rsidRDefault="00E85E42" w:rsidP="00B24187">
      <w:pPr>
        <w:widowControl/>
        <w:spacing w:after="200" w:line="360" w:lineRule="auto"/>
        <w:contextualSpacing/>
        <w:rPr>
          <w:rFonts w:eastAsiaTheme="minorHAnsi"/>
          <w:sz w:val="26"/>
          <w:szCs w:val="26"/>
        </w:rPr>
      </w:pPr>
    </w:p>
    <w:p w14:paraId="6D2C8B8B" w14:textId="77777777" w:rsidR="00E85E42" w:rsidRPr="00E85E42" w:rsidRDefault="00E85E42" w:rsidP="00B24187">
      <w:pPr>
        <w:widowControl/>
        <w:spacing w:after="200" w:line="360" w:lineRule="auto"/>
        <w:contextualSpacing/>
        <w:rPr>
          <w:rFonts w:eastAsiaTheme="minorHAnsi"/>
          <w:sz w:val="26"/>
          <w:szCs w:val="26"/>
        </w:rPr>
      </w:pPr>
      <w:r w:rsidRPr="00E85E42">
        <w:rPr>
          <w:rFonts w:eastAsiaTheme="minorHAnsi"/>
          <w:sz w:val="26"/>
          <w:szCs w:val="26"/>
        </w:rPr>
        <w:t>Settlement at ¶¶ 41-67.</w:t>
      </w:r>
    </w:p>
    <w:p w14:paraId="60F24011" w14:textId="77777777" w:rsidR="00E85E42" w:rsidRPr="00E85E42" w:rsidRDefault="00E85E42" w:rsidP="00B24187">
      <w:pPr>
        <w:widowControl/>
        <w:spacing w:line="360" w:lineRule="auto"/>
        <w:contextualSpacing/>
        <w:rPr>
          <w:rFonts w:eastAsiaTheme="minorHAnsi"/>
          <w:sz w:val="26"/>
          <w:szCs w:val="26"/>
        </w:rPr>
      </w:pPr>
    </w:p>
    <w:p w14:paraId="4890ADA8" w14:textId="77777777" w:rsidR="00E85E42" w:rsidRPr="00E85E42" w:rsidRDefault="00E85E42" w:rsidP="00B24187">
      <w:pPr>
        <w:pStyle w:val="Heading4"/>
        <w:widowControl/>
        <w:ind w:left="2160" w:hanging="720"/>
        <w:rPr>
          <w:rFonts w:eastAsiaTheme="minorHAnsi"/>
        </w:rPr>
      </w:pPr>
      <w:bookmarkStart w:id="35" w:name="_Toc29278187"/>
      <w:r w:rsidRPr="00E85E42">
        <w:rPr>
          <w:rFonts w:eastAsiaTheme="minorHAnsi"/>
        </w:rPr>
        <w:t>Positions of the Parties</w:t>
      </w:r>
      <w:bookmarkEnd w:id="35"/>
    </w:p>
    <w:p w14:paraId="7162EBEE" w14:textId="77777777" w:rsidR="00E85E42" w:rsidRPr="00E85E42" w:rsidRDefault="00E85E42" w:rsidP="00B24187">
      <w:pPr>
        <w:keepNext/>
        <w:keepLines/>
        <w:widowControl/>
        <w:spacing w:after="200" w:line="360" w:lineRule="auto"/>
        <w:ind w:right="-1440"/>
        <w:contextualSpacing/>
        <w:rPr>
          <w:rFonts w:eastAsiaTheme="minorHAnsi"/>
          <w:sz w:val="26"/>
          <w:szCs w:val="26"/>
        </w:rPr>
      </w:pPr>
    </w:p>
    <w:p w14:paraId="7B020ADC" w14:textId="7777777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 xml:space="preserve">As previously noted, Aqua America has agreed to acquire LDC Funding and all of its subsidiaries for a base price of $4.275 billion, which includes assuming a </w:t>
      </w:r>
      <w:r w:rsidRPr="00E85E42">
        <w:rPr>
          <w:rFonts w:eastAsiaTheme="minorHAnsi"/>
          <w:sz w:val="26"/>
          <w:szCs w:val="26"/>
        </w:rPr>
        <w:lastRenderedPageBreak/>
        <w:t>projected $1.3 billion of PNG’s outstanding debt and approximately $2 billion in goodwill.  After accounting for the $1.3 billion in debt, the remaining amount of the purchase price would be financed with a combination of new debt and new equity.  In the Joint Application, the Joint Applicants anticipated that new debt would be in the $0.4 to $0.9 billion range, and new equity would be in the $2.2 to $2.9 billion range.  Joint Application</w:t>
      </w:r>
      <w:r w:rsidRPr="00E85E42">
        <w:rPr>
          <w:rFonts w:eastAsiaTheme="minorHAnsi"/>
          <w:i/>
          <w:iCs/>
          <w:sz w:val="26"/>
          <w:szCs w:val="26"/>
        </w:rPr>
        <w:t xml:space="preserve"> </w:t>
      </w:r>
      <w:r w:rsidRPr="00E85E42">
        <w:rPr>
          <w:rFonts w:eastAsiaTheme="minorHAnsi"/>
          <w:sz w:val="26"/>
          <w:szCs w:val="26"/>
        </w:rPr>
        <w:t>at 13-14, ¶¶ 38</w:t>
      </w:r>
      <w:r w:rsidRPr="00E85E42">
        <w:rPr>
          <w:rFonts w:eastAsiaTheme="minorHAnsi"/>
          <w:sz w:val="26"/>
          <w:szCs w:val="26"/>
        </w:rPr>
        <w:noBreakHyphen/>
        <w:t xml:space="preserve">39.  Additionally, Paragraph 46 of the Settlement, </w:t>
      </w:r>
      <w:r w:rsidRPr="00E85E42">
        <w:rPr>
          <w:rFonts w:eastAsiaTheme="minorHAnsi"/>
          <w:i/>
          <w:iCs/>
          <w:sz w:val="26"/>
          <w:szCs w:val="26"/>
        </w:rPr>
        <w:t xml:space="preserve">supra, </w:t>
      </w:r>
      <w:r w:rsidRPr="00E85E42">
        <w:rPr>
          <w:rFonts w:eastAsiaTheme="minorHAnsi"/>
          <w:sz w:val="26"/>
          <w:szCs w:val="26"/>
        </w:rPr>
        <w:t xml:space="preserve">indicates that debt financing of the purchase will not exceed fifty percent of the purchase price. </w:t>
      </w:r>
    </w:p>
    <w:p w14:paraId="18678E70" w14:textId="77777777" w:rsidR="00E85E42" w:rsidRPr="00E85E42" w:rsidRDefault="00E85E42" w:rsidP="00B24187">
      <w:pPr>
        <w:widowControl/>
        <w:spacing w:after="200" w:line="360" w:lineRule="auto"/>
        <w:ind w:right="-1440"/>
        <w:contextualSpacing/>
        <w:rPr>
          <w:rFonts w:eastAsiaTheme="minorHAnsi"/>
          <w:sz w:val="26"/>
          <w:szCs w:val="26"/>
        </w:rPr>
      </w:pPr>
    </w:p>
    <w:p w14:paraId="57D0238C" w14:textId="7777777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 xml:space="preserve">The Joint Applicants submitted that Aqua America is financially fit to own the Peoples Companies.  In this regard, the Joint Applicants stressed that Aqua America is a publicly traded company that has substantial experience in raising both debt and equity capital in the public marketplace </w:t>
      </w:r>
      <w:r w:rsidR="001B555D">
        <w:rPr>
          <w:rFonts w:eastAsiaTheme="minorHAnsi"/>
          <w:sz w:val="26"/>
          <w:szCs w:val="26"/>
        </w:rPr>
        <w:t>for</w:t>
      </w:r>
      <w:r w:rsidRPr="00E85E42">
        <w:rPr>
          <w:rFonts w:eastAsiaTheme="minorHAnsi"/>
          <w:sz w:val="26"/>
          <w:szCs w:val="26"/>
        </w:rPr>
        <w:t xml:space="preserve"> approximately 130 years.  According to the Joint Applicants, prior acquisitions indicate that Aqua America is well positioned to acquire public utility companies and their assets and finance the growing capital needs associated with owning and operating public utility companies and their assets.  In the instant proceeding, the Joint Applicants averred that Aqua America has already secured the necessary debt and equity capital to finance the purchase price of the Proposed Transaction, such that no new debt will need to be raised.  Further, the Joint Applicants claimed that the Proposed Transaction will increase Aqua America’s financial strength and stability.  Joint Applicants M.B. at 12</w:t>
      </w:r>
      <w:r w:rsidRPr="00E85E42">
        <w:rPr>
          <w:rFonts w:eastAsiaTheme="minorHAnsi"/>
          <w:sz w:val="26"/>
          <w:szCs w:val="26"/>
        </w:rPr>
        <w:noBreakHyphen/>
        <w:t>13; Joint Applicants R.B. at 12.</w:t>
      </w:r>
    </w:p>
    <w:p w14:paraId="66F088ED" w14:textId="77777777" w:rsidR="00E85E42" w:rsidRPr="00E85E42" w:rsidRDefault="00E85E42" w:rsidP="00B24187">
      <w:pPr>
        <w:widowControl/>
        <w:spacing w:after="200" w:line="360" w:lineRule="auto"/>
        <w:ind w:right="-1440" w:firstLine="1440"/>
        <w:contextualSpacing/>
        <w:rPr>
          <w:rFonts w:eastAsiaTheme="minorHAnsi"/>
          <w:sz w:val="26"/>
          <w:szCs w:val="26"/>
        </w:rPr>
      </w:pPr>
    </w:p>
    <w:p w14:paraId="34C1C87C" w14:textId="7777777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 xml:space="preserve">The Joint Applicants refuted the arguments of I&amp;E and the OSBA, </w:t>
      </w:r>
      <w:r w:rsidRPr="00E85E42">
        <w:rPr>
          <w:rFonts w:eastAsiaTheme="minorHAnsi"/>
          <w:i/>
          <w:iCs/>
          <w:sz w:val="26"/>
          <w:szCs w:val="26"/>
        </w:rPr>
        <w:t xml:space="preserve">infra, </w:t>
      </w:r>
      <w:r w:rsidRPr="00E85E42">
        <w:rPr>
          <w:rFonts w:eastAsiaTheme="minorHAnsi"/>
          <w:sz w:val="26"/>
          <w:szCs w:val="26"/>
        </w:rPr>
        <w:t xml:space="preserve">that the purchase price and financing of the Proposed Transaction will impair Aqua America’s financial position and have a detrimental effect on its customers.  More specifically, the Joint Applicants claimed that although both I&amp;E and the OSBA cautioned that the purchase price of the Proposed Transaction exceeds the book value of the assets being acquired, the premium being paid above the book value is consistent with the market price premium over book value in other recent comparable utility transactions.  </w:t>
      </w:r>
      <w:r w:rsidRPr="00E85E42">
        <w:rPr>
          <w:rFonts w:eastAsiaTheme="minorHAnsi"/>
          <w:sz w:val="26"/>
          <w:szCs w:val="26"/>
        </w:rPr>
        <w:lastRenderedPageBreak/>
        <w:t>Similarly, the Joint Applicants noted that I&amp;E and the OSBA each took issue with the goodwill amount that will be recorded on Aqua America’s balance sheet.  However, the Joint Applicants asserted that while Aqua America’s goodwill will increase by an amount that is approximately fifteen percent of the combined company’s enterprise value, this is consistent with, or lower than the change demonstrated in other recent utility acquisitions.  The Joint Applicants further argued that although the goodwill will not generate cash flows, the Proposed Transaction will result in higher earnings per share in both the short term and long term.  Joint Applicants M.B. at 14-15.</w:t>
      </w:r>
    </w:p>
    <w:p w14:paraId="09351577" w14:textId="77777777" w:rsidR="00E85E42" w:rsidRPr="00E85E42" w:rsidRDefault="00E85E42" w:rsidP="00B24187">
      <w:pPr>
        <w:widowControl/>
        <w:spacing w:after="200" w:line="360" w:lineRule="auto"/>
        <w:ind w:firstLine="1440"/>
        <w:contextualSpacing/>
        <w:rPr>
          <w:rFonts w:eastAsiaTheme="minorHAnsi"/>
          <w:sz w:val="26"/>
          <w:szCs w:val="26"/>
        </w:rPr>
      </w:pPr>
    </w:p>
    <w:p w14:paraId="54853698" w14:textId="7D838386"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The Joint Applicants claimed that although there was no public bid process for the Proposed Transaction, the parties undertook arm’s length negotiations to reach acceptable purchase terms, and engaged the services of an independent financial advisor, Moelis &amp; Company LLC (Moelis) to assist in the evaluation of the Proposed Transaction.  The Joint Applicants argued that Moelis provided a Fairness Opinion that stated that the purchase price of the Proposed Transaction is appropriate.  According to the Joint Applicants, a competitive bid process would likely have resulted in a higher price, as multiple purchasers may have sought to outbid each other.  Joint Applicants M.B. at</w:t>
      </w:r>
      <w:r w:rsidR="001B087C">
        <w:rPr>
          <w:rFonts w:eastAsiaTheme="minorHAnsi"/>
          <w:sz w:val="26"/>
          <w:szCs w:val="26"/>
        </w:rPr>
        <w:t> </w:t>
      </w:r>
      <w:r w:rsidRPr="00E85E42">
        <w:rPr>
          <w:rFonts w:eastAsiaTheme="minorHAnsi"/>
          <w:sz w:val="26"/>
          <w:szCs w:val="26"/>
        </w:rPr>
        <w:t>15</w:t>
      </w:r>
      <w:r w:rsidRPr="00E85E42">
        <w:rPr>
          <w:rFonts w:eastAsiaTheme="minorHAnsi"/>
          <w:sz w:val="26"/>
          <w:szCs w:val="26"/>
        </w:rPr>
        <w:noBreakHyphen/>
        <w:t>16.</w:t>
      </w:r>
    </w:p>
    <w:p w14:paraId="158C402F" w14:textId="77777777" w:rsidR="00E85E42" w:rsidRPr="00E85E42" w:rsidRDefault="00E85E42" w:rsidP="00B24187">
      <w:pPr>
        <w:widowControl/>
        <w:spacing w:after="200" w:line="360" w:lineRule="auto"/>
        <w:ind w:firstLine="1440"/>
        <w:contextualSpacing/>
        <w:rPr>
          <w:rFonts w:eastAsiaTheme="minorHAnsi"/>
          <w:sz w:val="26"/>
          <w:szCs w:val="26"/>
        </w:rPr>
      </w:pPr>
    </w:p>
    <w:p w14:paraId="4087122E" w14:textId="038DBCC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 xml:space="preserve">The Joint Applicants also stressed that goodwill, transaction costs, and the equity and debt issued to finance the Proposed Transaction will not be passed through to the customers of either Aqua PA or the Peoples Companies and will not be recovered in either of the utilities’ rates.  As such, the Joint Applicants submitted that the amount of the premium/goodwill should only be relevant to Commission review to the extent that the financing of the purchase price will present a risk of harm to the financial stability of the combined companies after the closing of the Proposed Transaction.  However, the Joint Applicants averred that there is no evidence that the transaction financing will present any real risk of harm to customers.  Namely, the Joint Applicants pointed to several provisions of the Settlement, </w:t>
      </w:r>
      <w:r w:rsidRPr="00E85E42">
        <w:rPr>
          <w:rFonts w:eastAsiaTheme="minorHAnsi"/>
          <w:i/>
          <w:iCs/>
          <w:sz w:val="26"/>
          <w:szCs w:val="26"/>
        </w:rPr>
        <w:t xml:space="preserve">supra, </w:t>
      </w:r>
      <w:r w:rsidRPr="00E85E42">
        <w:rPr>
          <w:rFonts w:eastAsiaTheme="minorHAnsi"/>
          <w:sz w:val="26"/>
          <w:szCs w:val="26"/>
        </w:rPr>
        <w:t xml:space="preserve">regarding the financial structure of the </w:t>
      </w:r>
      <w:r w:rsidRPr="00E85E42">
        <w:rPr>
          <w:rFonts w:eastAsiaTheme="minorHAnsi"/>
          <w:sz w:val="26"/>
          <w:szCs w:val="26"/>
        </w:rPr>
        <w:lastRenderedPageBreak/>
        <w:t>Proposed Transaction that are designed to protect ratepayers.  Joint Applicants M.B. at</w:t>
      </w:r>
      <w:r w:rsidR="006D2898">
        <w:rPr>
          <w:rFonts w:eastAsiaTheme="minorHAnsi"/>
          <w:sz w:val="26"/>
          <w:szCs w:val="26"/>
        </w:rPr>
        <w:t> </w:t>
      </w:r>
      <w:r w:rsidRPr="00E85E42">
        <w:rPr>
          <w:rFonts w:eastAsiaTheme="minorHAnsi"/>
          <w:sz w:val="26"/>
          <w:szCs w:val="26"/>
        </w:rPr>
        <w:t>17-18.</w:t>
      </w:r>
    </w:p>
    <w:p w14:paraId="18D15704" w14:textId="77777777" w:rsidR="00E85E42" w:rsidRPr="00E85E42" w:rsidRDefault="00E85E42" w:rsidP="00B24187">
      <w:pPr>
        <w:widowControl/>
        <w:spacing w:after="200" w:line="360" w:lineRule="auto"/>
        <w:ind w:firstLine="1440"/>
        <w:contextualSpacing/>
        <w:rPr>
          <w:rFonts w:eastAsiaTheme="minorHAnsi"/>
          <w:sz w:val="26"/>
          <w:szCs w:val="26"/>
        </w:rPr>
      </w:pPr>
    </w:p>
    <w:p w14:paraId="3203E1F0" w14:textId="7777777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Further, the Joint Applicants submitted that investors do not perceive substantial risk from the Proposed Transaction.  The Joint Applicants pointed to the rebound in Aqua America’s stock price after an initial decline following the announcement of the Proposed Transaction.  The Joint Applicants also pointed out that investor demand for the equity capital needed for the Proposed Transaction was approximately four times the amount of new equity that was sought and that Aqua America issued substantially less debt than initially anticipated to finance the proposed transaction.  Joint Applicants M.B. at 18-20.</w:t>
      </w:r>
    </w:p>
    <w:p w14:paraId="59FF717A" w14:textId="77777777" w:rsidR="00E85E42" w:rsidRPr="00E85E42" w:rsidRDefault="00E85E42" w:rsidP="00B24187">
      <w:pPr>
        <w:widowControl/>
        <w:spacing w:after="200" w:line="360" w:lineRule="auto"/>
        <w:ind w:right="-1440" w:firstLine="1440"/>
        <w:contextualSpacing/>
        <w:rPr>
          <w:rFonts w:eastAsiaTheme="minorHAnsi"/>
          <w:sz w:val="26"/>
          <w:szCs w:val="26"/>
        </w:rPr>
      </w:pPr>
    </w:p>
    <w:p w14:paraId="37B1457D" w14:textId="70C5E2B3"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The OCA explained that given the size and the unique nature of the Proposed Transaction, it sought certain protections related to the financing of the Proposed Transaction, the future ratemaking treatment of acquisition premiums and other costs, and the subsequent capital structure of the Joint Applicants.  Namely, the OCA stated that it focused on the provi</w:t>
      </w:r>
      <w:r w:rsidR="00770762">
        <w:rPr>
          <w:rFonts w:eastAsiaTheme="minorHAnsi"/>
          <w:sz w:val="26"/>
          <w:szCs w:val="26"/>
        </w:rPr>
        <w:t>sion</w:t>
      </w:r>
      <w:r w:rsidRPr="00E85E42">
        <w:rPr>
          <w:rFonts w:eastAsiaTheme="minorHAnsi"/>
          <w:sz w:val="26"/>
          <w:szCs w:val="26"/>
        </w:rPr>
        <w:t xml:space="preserve"> of a rate credit to the Joint Applicants customers, the amount of goodwill associated with the Proposed Transaction, the Joint Applicants' financing plan for the proposed transaction, potential ring-fencing requirements, the possibility of a credit downgrade, and the Joint Applicants</w:t>
      </w:r>
      <w:r w:rsidR="00C105C1">
        <w:rPr>
          <w:rFonts w:eastAsiaTheme="minorHAnsi"/>
          <w:sz w:val="26"/>
          <w:szCs w:val="26"/>
        </w:rPr>
        <w:t>’</w:t>
      </w:r>
      <w:r w:rsidRPr="00E85E42">
        <w:rPr>
          <w:rFonts w:eastAsiaTheme="minorHAnsi"/>
          <w:sz w:val="26"/>
          <w:szCs w:val="26"/>
        </w:rPr>
        <w:t xml:space="preserve"> treatment of debt incurred as a result of this Proposed Transaction.  Therefore, the OCA submitted that the above Settlement provisions satisfy each of the OCA’s concerns.  The OCA specifically highlighted, </w:t>
      </w:r>
      <w:r w:rsidRPr="00E85E42">
        <w:rPr>
          <w:rFonts w:eastAsiaTheme="minorHAnsi"/>
          <w:i/>
          <w:iCs/>
          <w:sz w:val="26"/>
          <w:szCs w:val="26"/>
        </w:rPr>
        <w:t>inter alia</w:t>
      </w:r>
      <w:r w:rsidRPr="00E85E42">
        <w:rPr>
          <w:rFonts w:eastAsiaTheme="minorHAnsi"/>
          <w:sz w:val="26"/>
          <w:szCs w:val="26"/>
        </w:rPr>
        <w:t xml:space="preserve">, the provisions of the Settlement that prohibit recovering the $2 billion of goodwill associated with the Proposed Transaction from ratepayers.  The OCA also asserted that the provision that Aqua America will issue a one-time rate credit to customers of Aqua PA and the Peoples Companies recognizes that synergies and savings could be achieved in the Proposed Transaction and are passed on to ratepayers.  Additionally, the OCA submitted that the above Settlement provisions solidify Aqua America’s commitment to finance the Proposed Transaction in a fiscally responsible </w:t>
      </w:r>
      <w:r w:rsidRPr="00E85E42">
        <w:rPr>
          <w:rFonts w:eastAsiaTheme="minorHAnsi"/>
          <w:sz w:val="26"/>
          <w:szCs w:val="26"/>
        </w:rPr>
        <w:lastRenderedPageBreak/>
        <w:t>manner.  Finally, the OCA highlighted that the above Settlement provisions require the Joint Applicants to provide both notice of and reasons for any credit downgrade, as well as a plan to rehabilitate their credit ratings back to a strong position.  OCA R.B. at 8-11.</w:t>
      </w:r>
    </w:p>
    <w:p w14:paraId="26C3A307" w14:textId="77777777" w:rsidR="00E85E42" w:rsidRPr="00E85E42" w:rsidRDefault="00E85E42" w:rsidP="00B24187">
      <w:pPr>
        <w:widowControl/>
        <w:spacing w:after="200" w:line="360" w:lineRule="auto"/>
        <w:ind w:right="-1440"/>
        <w:contextualSpacing/>
        <w:rPr>
          <w:rFonts w:eastAsiaTheme="minorHAnsi"/>
          <w:sz w:val="26"/>
          <w:szCs w:val="26"/>
        </w:rPr>
      </w:pPr>
    </w:p>
    <w:p w14:paraId="3A521C7C" w14:textId="7777777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 xml:space="preserve">I&amp;E submitted that Aqua America lacks the requisite financial fitness to own, operate, and manage an NGDC.  I&amp;E highlighted that Aqua America agreed to pay more than double the book value for the Peoples Companies’ assets, including $2 billion in goodwill, which will not produce any revenue for Aqua America.  I&amp;E also noted that Aqua America </w:t>
      </w:r>
      <w:r w:rsidR="00770762">
        <w:rPr>
          <w:rFonts w:eastAsiaTheme="minorHAnsi"/>
          <w:sz w:val="26"/>
          <w:szCs w:val="26"/>
        </w:rPr>
        <w:t xml:space="preserve">also </w:t>
      </w:r>
      <w:r w:rsidRPr="00E85E42">
        <w:rPr>
          <w:rFonts w:eastAsiaTheme="minorHAnsi"/>
          <w:sz w:val="26"/>
          <w:szCs w:val="26"/>
        </w:rPr>
        <w:t>anticipated an addition of $0.4 to $0.9 billion in debt.  As such, I&amp;E argued that the Proposed Transaction will increase Aqua America’s financial risk, while not providing any benefits.  I&amp;E M.B. at 10.</w:t>
      </w:r>
    </w:p>
    <w:p w14:paraId="7B1B8BD2" w14:textId="77777777" w:rsidR="00E85E42" w:rsidRPr="00E85E42" w:rsidRDefault="00E85E42" w:rsidP="00B24187">
      <w:pPr>
        <w:widowControl/>
        <w:spacing w:after="200" w:line="360" w:lineRule="auto"/>
        <w:ind w:firstLine="1440"/>
        <w:contextualSpacing/>
        <w:rPr>
          <w:rFonts w:eastAsiaTheme="minorHAnsi"/>
          <w:sz w:val="26"/>
          <w:szCs w:val="26"/>
        </w:rPr>
      </w:pPr>
    </w:p>
    <w:p w14:paraId="6AD00221" w14:textId="7553359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 xml:space="preserve">I&amp;E also claimed that because the Peoples Companies were not in a dire condition such that a sale was necessary to protect their customers, the Proposed Transaction arose simply because of Aqua America’s desire to own an NGDC.  I&amp;E pointed out that the Peoples Companies were never publicly up for sale and that no competitive bid process was undertaken prior to the Proposed Transaction.  As such, I&amp;E asserted that Aqua America may have overpaid for the Peoples Companies.  I&amp;E M.B. at 15; I&amp;E R.B. at 8.  I&amp;E also pointed to the testimony of the OCA’s witness Mr. </w:t>
      </w:r>
      <w:r w:rsidR="001F6FE7">
        <w:rPr>
          <w:rFonts w:eastAsiaTheme="minorHAnsi"/>
          <w:sz w:val="26"/>
          <w:szCs w:val="26"/>
        </w:rPr>
        <w:t xml:space="preserve">Matthew I. </w:t>
      </w:r>
      <w:r w:rsidRPr="00E85E42">
        <w:rPr>
          <w:rFonts w:eastAsiaTheme="minorHAnsi"/>
          <w:sz w:val="26"/>
          <w:szCs w:val="26"/>
        </w:rPr>
        <w:t>Kahal that the Proposed Transaction could put substantial financial pressure on Aqua America, Aqua PA, and the Peoples Companies that does not currently exist.  I&amp;E M.B. at 15 (citing OCA St. 1 at 10).  For example, I&amp;E asserted that while Aqua America’s debt will increase, the number of Aqua PA and the Peoples Companies’ customers will largely remain unchanged, meaning that there are no additional revenue streams and no reductions in costs.  I&amp;E argued that this, when coupled with Aqua America needing to finance $2 billion in goodwill for which it will not be permitted to earn any revenues on, increases the riskiness of the Proposed Transaction.  I&amp;E M.B. at 15-16.</w:t>
      </w:r>
    </w:p>
    <w:p w14:paraId="48EE9C28" w14:textId="77777777" w:rsidR="00E85E42" w:rsidRPr="00E85E42" w:rsidRDefault="00E85E42" w:rsidP="00B24187">
      <w:pPr>
        <w:widowControl/>
        <w:spacing w:after="200" w:line="360" w:lineRule="auto"/>
        <w:ind w:firstLine="1440"/>
        <w:contextualSpacing/>
        <w:rPr>
          <w:rFonts w:eastAsiaTheme="minorHAnsi"/>
          <w:sz w:val="26"/>
          <w:szCs w:val="26"/>
        </w:rPr>
      </w:pPr>
    </w:p>
    <w:p w14:paraId="04E9813A" w14:textId="7C5DD980" w:rsidR="00E85E42" w:rsidRPr="00E85E42" w:rsidRDefault="00E85E42" w:rsidP="00B24187">
      <w:pPr>
        <w:widowControl/>
        <w:spacing w:after="200" w:line="360" w:lineRule="auto"/>
        <w:ind w:firstLine="1440"/>
        <w:contextualSpacing/>
        <w:rPr>
          <w:rFonts w:eastAsiaTheme="minorHAnsi"/>
          <w:bCs/>
          <w:sz w:val="26"/>
          <w:szCs w:val="26"/>
        </w:rPr>
      </w:pPr>
      <w:r w:rsidRPr="00E85E42">
        <w:rPr>
          <w:rFonts w:eastAsiaTheme="minorHAnsi"/>
          <w:sz w:val="26"/>
          <w:szCs w:val="26"/>
        </w:rPr>
        <w:lastRenderedPageBreak/>
        <w:t>Additionally, I&amp;E argued that the terms of the Settlement</w:t>
      </w:r>
      <w:r w:rsidRPr="00E85E42">
        <w:rPr>
          <w:rFonts w:eastAsiaTheme="minorHAnsi"/>
          <w:bCs/>
          <w:sz w:val="26"/>
          <w:szCs w:val="26"/>
        </w:rPr>
        <w:t xml:space="preserve"> do not in any way adjust downward the purchase price of the Proposed Transaction.  According to I&amp;E, the increase in debt, combined with the financial impact of the commitments in the Settlement may also have the effect of putting immense financial pressure on both Aqua America and the Peoples Companies.  I&amp;E suggested that the </w:t>
      </w:r>
      <w:r w:rsidRPr="00E85E42">
        <w:rPr>
          <w:rFonts w:eastAsiaTheme="minorHAnsi"/>
          <w:sz w:val="26"/>
          <w:szCs w:val="26"/>
        </w:rPr>
        <w:t xml:space="preserve">financial impact of the Proposed Transaction could be mitigated either by restructuring the sale price of financing so as to avoid any material increase in debt or by making </w:t>
      </w:r>
      <w:r w:rsidRPr="00E85E42">
        <w:rPr>
          <w:rFonts w:eastAsiaTheme="minorHAnsi"/>
          <w:bCs/>
          <w:sz w:val="26"/>
          <w:szCs w:val="26"/>
        </w:rPr>
        <w:t xml:space="preserve">commitments that interest costs claimed in future rate proceedings may not exceed those consistent with the current debt ratings for both entities.  However, I&amp;E noted that neither of these are a condition of the Settlement.  I&amp;E M.B. at 16-17.  Further, I&amp;E cited to the testimony of the OSBA’s witness Mr. </w:t>
      </w:r>
      <w:r w:rsidR="00B61B88">
        <w:rPr>
          <w:rFonts w:eastAsiaTheme="minorHAnsi"/>
          <w:bCs/>
          <w:sz w:val="26"/>
          <w:szCs w:val="26"/>
        </w:rPr>
        <w:t xml:space="preserve">Robert </w:t>
      </w:r>
      <w:r w:rsidR="00B039A3">
        <w:rPr>
          <w:rFonts w:eastAsiaTheme="minorHAnsi"/>
          <w:bCs/>
          <w:sz w:val="26"/>
          <w:szCs w:val="26"/>
        </w:rPr>
        <w:t xml:space="preserve">D. </w:t>
      </w:r>
      <w:r w:rsidRPr="00E85E42">
        <w:rPr>
          <w:rFonts w:eastAsiaTheme="minorHAnsi"/>
          <w:bCs/>
          <w:sz w:val="26"/>
          <w:szCs w:val="26"/>
        </w:rPr>
        <w:t xml:space="preserve">Knecht that there are few combined water and natural gas utilities and suggested that the synergies between the two types of utilities are not substantial.  </w:t>
      </w:r>
      <w:r w:rsidRPr="00E85E42">
        <w:rPr>
          <w:rFonts w:eastAsiaTheme="minorHAnsi"/>
          <w:bCs/>
          <w:i/>
          <w:iCs/>
          <w:sz w:val="26"/>
          <w:szCs w:val="26"/>
        </w:rPr>
        <w:t xml:space="preserve">Id. </w:t>
      </w:r>
      <w:r w:rsidRPr="00E85E42">
        <w:rPr>
          <w:rFonts w:eastAsiaTheme="minorHAnsi"/>
          <w:bCs/>
          <w:sz w:val="26"/>
          <w:szCs w:val="26"/>
        </w:rPr>
        <w:t>at 17 (citing OSBA Exh. IEc-3, response to OCA-IV-67, OCA St. 2 at</w:t>
      </w:r>
      <w:r w:rsidR="006D2898">
        <w:rPr>
          <w:rFonts w:eastAsiaTheme="minorHAnsi"/>
          <w:bCs/>
          <w:sz w:val="26"/>
          <w:szCs w:val="26"/>
        </w:rPr>
        <w:t> </w:t>
      </w:r>
      <w:r w:rsidRPr="00E85E42">
        <w:rPr>
          <w:rFonts w:eastAsiaTheme="minorHAnsi"/>
          <w:bCs/>
          <w:sz w:val="26"/>
          <w:szCs w:val="26"/>
        </w:rPr>
        <w:t>28).</w:t>
      </w:r>
    </w:p>
    <w:p w14:paraId="0D0F479E" w14:textId="77777777" w:rsidR="00E85E42" w:rsidRPr="00E85E42" w:rsidRDefault="00E85E42" w:rsidP="00B24187">
      <w:pPr>
        <w:widowControl/>
        <w:spacing w:after="200" w:line="360" w:lineRule="auto"/>
        <w:ind w:right="-1440"/>
        <w:contextualSpacing/>
        <w:rPr>
          <w:rFonts w:eastAsiaTheme="minorHAnsi"/>
          <w:sz w:val="26"/>
          <w:szCs w:val="26"/>
        </w:rPr>
      </w:pPr>
    </w:p>
    <w:p w14:paraId="1E3B3F0F" w14:textId="209C7ED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The OSBA, likewise, expressed concern regarding the purchase price of the Proposed Transaction.  More specifically, the OSBA shared I&amp;E’s concern that under the Proposed Transaction, SteelRiver will be paid approximately $2.0 billion for a goodwill asset, that will be financed via new debt and equity, but which will produce no revenue.  As such, the OSBA reasoned that the new debt will add to the overall riskiness of the combined company relative to the status quo.  OSBA M.B. at 14.  In this regard, the OSBA claimed that both Standard &amp; Poor and Moody</w:t>
      </w:r>
      <w:r w:rsidR="003945F0">
        <w:rPr>
          <w:rFonts w:eastAsiaTheme="minorHAnsi"/>
          <w:sz w:val="26"/>
          <w:szCs w:val="26"/>
        </w:rPr>
        <w:t>s</w:t>
      </w:r>
      <w:r w:rsidRPr="00E85E42">
        <w:rPr>
          <w:rFonts w:eastAsiaTheme="minorHAnsi"/>
          <w:sz w:val="26"/>
          <w:szCs w:val="26"/>
        </w:rPr>
        <w:t xml:space="preserve"> explicitly recognize that the Proposed Transaction will increase the riskiness of Aqua America debt.  </w:t>
      </w:r>
      <w:r w:rsidRPr="00E85E42">
        <w:rPr>
          <w:rFonts w:eastAsiaTheme="minorHAnsi"/>
          <w:i/>
          <w:iCs/>
          <w:sz w:val="26"/>
          <w:szCs w:val="26"/>
        </w:rPr>
        <w:t xml:space="preserve">Id. </w:t>
      </w:r>
      <w:r w:rsidRPr="00E85E42">
        <w:rPr>
          <w:rFonts w:eastAsiaTheme="minorHAnsi"/>
          <w:sz w:val="26"/>
          <w:szCs w:val="26"/>
        </w:rPr>
        <w:t>(citing OSBA St. 1-S at 6).  The OSBA reasoned that lower credit ratings for debt will serve to lower the value of that debt, resulting in higher interest rates that will be passed on to ratepayers.  OSBA M.B. at 14.</w:t>
      </w:r>
    </w:p>
    <w:p w14:paraId="61EEE0F0" w14:textId="77777777" w:rsidR="00E85E42" w:rsidRPr="00E85E42" w:rsidRDefault="00E85E42" w:rsidP="00B24187">
      <w:pPr>
        <w:widowControl/>
        <w:spacing w:after="200" w:line="360" w:lineRule="auto"/>
        <w:ind w:firstLine="1440"/>
        <w:contextualSpacing/>
        <w:rPr>
          <w:rFonts w:eastAsiaTheme="minorHAnsi"/>
          <w:sz w:val="26"/>
          <w:szCs w:val="26"/>
        </w:rPr>
      </w:pPr>
    </w:p>
    <w:p w14:paraId="243843C3" w14:textId="7777777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 xml:space="preserve">In addition, the OSBA claimed that the new equity will dilute the existing earnings of Aqua PA and the Peoples Companies because the same level of earnings </w:t>
      </w:r>
      <w:r w:rsidRPr="00E85E42">
        <w:rPr>
          <w:rFonts w:eastAsiaTheme="minorHAnsi"/>
          <w:sz w:val="26"/>
          <w:szCs w:val="26"/>
        </w:rPr>
        <w:lastRenderedPageBreak/>
        <w:t>would need to be spread over a larger equity base, resulting in a negative impact on the combined entity’s ability to raise equity capital in the future.  The OSBA claimed that the stock market</w:t>
      </w:r>
      <w:r w:rsidR="003945F0">
        <w:rPr>
          <w:rFonts w:eastAsiaTheme="minorHAnsi"/>
          <w:sz w:val="26"/>
          <w:szCs w:val="26"/>
        </w:rPr>
        <w:t>’s</w:t>
      </w:r>
      <w:r w:rsidRPr="00E85E42">
        <w:rPr>
          <w:rFonts w:eastAsiaTheme="minorHAnsi"/>
          <w:sz w:val="26"/>
          <w:szCs w:val="26"/>
        </w:rPr>
        <w:t xml:space="preserve"> reaction was consistent with the conclusion of the debt rating agencies, in that the announcement of the Proposed Transaction was not well-received.  Namely, the OSBA noted that the impact of the announcement of the Proposed Transaction on Aqua America’s stock price was an almost immediate reduction of about eleven percent in the three days following the announcement of the Proposed Transaction, relative to the Dow Jones Utility Index (DJU).  OSBA M.B. at 14-15.  </w:t>
      </w:r>
    </w:p>
    <w:p w14:paraId="1D8C4AE3" w14:textId="77777777" w:rsidR="00E85E42" w:rsidRPr="00E85E42" w:rsidRDefault="00E85E42" w:rsidP="00B24187">
      <w:pPr>
        <w:widowControl/>
        <w:spacing w:after="200" w:line="360" w:lineRule="auto"/>
        <w:ind w:firstLine="1440"/>
        <w:contextualSpacing/>
        <w:rPr>
          <w:rFonts w:eastAsiaTheme="minorHAnsi"/>
          <w:sz w:val="26"/>
          <w:szCs w:val="26"/>
        </w:rPr>
      </w:pPr>
    </w:p>
    <w:p w14:paraId="2A219F0A" w14:textId="77777777" w:rsidR="00E85E42" w:rsidRPr="00E85E42" w:rsidRDefault="00E85E42" w:rsidP="006D2898">
      <w:pPr>
        <w:widowControl/>
        <w:spacing w:line="360" w:lineRule="auto"/>
        <w:ind w:firstLine="1440"/>
        <w:contextualSpacing/>
        <w:rPr>
          <w:rFonts w:eastAsiaTheme="minorHAnsi"/>
          <w:sz w:val="26"/>
          <w:szCs w:val="26"/>
        </w:rPr>
      </w:pPr>
      <w:r w:rsidRPr="00E85E42">
        <w:rPr>
          <w:rFonts w:eastAsiaTheme="minorHAnsi"/>
          <w:sz w:val="26"/>
          <w:szCs w:val="26"/>
        </w:rPr>
        <w:t xml:space="preserve">The OSBA further observed that the Joint Applicants have committed to numerous construction projects in the Settlement, many of which will require large amounts of capital to complete.  Accordingly, the OSBA took the position that the Proposed Transaction will be financially destabilizing and that creating a combined entity that is less financially stable than both Aqua PA and the Peoples Companies as they currently exist is not an affirmative public benefit.  OSBA M.B. at 15.  </w:t>
      </w:r>
    </w:p>
    <w:p w14:paraId="66DEFB6D" w14:textId="77777777" w:rsidR="00E85E42" w:rsidRPr="00E85E42" w:rsidRDefault="00E85E42" w:rsidP="006D2898">
      <w:pPr>
        <w:widowControl/>
        <w:spacing w:line="360" w:lineRule="auto"/>
        <w:ind w:right="-1440"/>
        <w:contextualSpacing/>
        <w:rPr>
          <w:rFonts w:eastAsiaTheme="minorHAnsi"/>
          <w:sz w:val="26"/>
          <w:szCs w:val="26"/>
        </w:rPr>
      </w:pPr>
    </w:p>
    <w:p w14:paraId="136078AA" w14:textId="77777777" w:rsidR="00E85E42" w:rsidRPr="00E85E42" w:rsidRDefault="00E85E42" w:rsidP="00C85B04">
      <w:pPr>
        <w:pStyle w:val="Heading4"/>
        <w:widowControl/>
        <w:ind w:left="2160" w:hanging="720"/>
        <w:rPr>
          <w:rFonts w:eastAsiaTheme="minorHAnsi"/>
        </w:rPr>
      </w:pPr>
      <w:bookmarkStart w:id="36" w:name="_Toc29278188"/>
      <w:r w:rsidRPr="00E85E42">
        <w:rPr>
          <w:rFonts w:eastAsiaTheme="minorHAnsi"/>
        </w:rPr>
        <w:t>Recommended Decision</w:t>
      </w:r>
      <w:bookmarkEnd w:id="36"/>
    </w:p>
    <w:p w14:paraId="7701D318" w14:textId="77777777" w:rsidR="00E85E42" w:rsidRPr="00E85E42" w:rsidRDefault="00E85E42" w:rsidP="00C85B04">
      <w:pPr>
        <w:keepNext/>
        <w:keepLines/>
        <w:widowControl/>
        <w:spacing w:line="360" w:lineRule="auto"/>
        <w:ind w:right="-1440" w:firstLine="1440"/>
        <w:contextualSpacing/>
        <w:rPr>
          <w:rFonts w:eastAsiaTheme="minorHAnsi"/>
          <w:sz w:val="26"/>
          <w:szCs w:val="26"/>
        </w:rPr>
      </w:pPr>
    </w:p>
    <w:p w14:paraId="1C0C288C" w14:textId="77777777" w:rsidR="00E85E42" w:rsidRPr="00E85E42" w:rsidRDefault="00E85E42" w:rsidP="00C85B04">
      <w:pPr>
        <w:keepNext/>
        <w:widowControl/>
        <w:spacing w:line="360" w:lineRule="auto"/>
        <w:ind w:firstLine="1440"/>
        <w:contextualSpacing/>
        <w:rPr>
          <w:rFonts w:eastAsiaTheme="minorHAnsi"/>
          <w:sz w:val="26"/>
          <w:szCs w:val="26"/>
        </w:rPr>
      </w:pPr>
      <w:r w:rsidRPr="00E85E42">
        <w:rPr>
          <w:rFonts w:eastAsiaTheme="minorHAnsi"/>
          <w:sz w:val="26"/>
          <w:szCs w:val="26"/>
        </w:rPr>
        <w:t xml:space="preserve">The ALJ concluded that Aqua America is financially fit to assume control of the Peoples Companies.  R.D. at 104, Conclusion of Law No. 4.  The ALJ explained that in examining the financing of the Proposed Transaction, one must do so with the understanding that the Commission generally does not interfere in the management decisions of regulated public utilities.  As such, the ALJ stated that the focus of the Commission’s review in examining whether an acquisition is in the public interest focuses on whether the public utilities affected by the transaction will be able to render safe and effective public utility service at just and reasonable rates.  R.D. at 32 (citing </w:t>
      </w:r>
      <w:r w:rsidRPr="00E85E42">
        <w:rPr>
          <w:rFonts w:eastAsiaTheme="minorHAnsi"/>
          <w:i/>
          <w:iCs/>
          <w:sz w:val="26"/>
          <w:szCs w:val="26"/>
        </w:rPr>
        <w:t>Pa. P</w:t>
      </w:r>
      <w:r w:rsidR="00F53712">
        <w:rPr>
          <w:rFonts w:eastAsiaTheme="minorHAnsi"/>
          <w:i/>
          <w:iCs/>
          <w:sz w:val="26"/>
          <w:szCs w:val="26"/>
        </w:rPr>
        <w:t>UC v</w:t>
      </w:r>
      <w:r w:rsidRPr="00E85E42">
        <w:rPr>
          <w:rFonts w:eastAsiaTheme="minorHAnsi"/>
          <w:i/>
          <w:iCs/>
          <w:sz w:val="26"/>
          <w:szCs w:val="26"/>
        </w:rPr>
        <w:t>. Philadelphia Electric Company</w:t>
      </w:r>
      <w:r w:rsidRPr="00E85E42">
        <w:rPr>
          <w:rFonts w:eastAsiaTheme="minorHAnsi"/>
          <w:sz w:val="26"/>
          <w:szCs w:val="26"/>
        </w:rPr>
        <w:t xml:space="preserve">, 460 A.2d 734 (Pa. 1983)).  Applying this </w:t>
      </w:r>
      <w:r w:rsidR="00F53712">
        <w:rPr>
          <w:rFonts w:eastAsiaTheme="minorHAnsi"/>
          <w:sz w:val="26"/>
          <w:szCs w:val="26"/>
        </w:rPr>
        <w:t xml:space="preserve">reasoning </w:t>
      </w:r>
      <w:r w:rsidRPr="00E85E42">
        <w:rPr>
          <w:rFonts w:eastAsiaTheme="minorHAnsi"/>
          <w:sz w:val="26"/>
          <w:szCs w:val="26"/>
        </w:rPr>
        <w:t xml:space="preserve">to the instant proceeding, the ALJ found that the record evidence, when combined with the commitments the Joint Applicants made in the Settlement, </w:t>
      </w:r>
      <w:r w:rsidRPr="00E85E42">
        <w:rPr>
          <w:rFonts w:eastAsiaTheme="minorHAnsi"/>
          <w:sz w:val="26"/>
          <w:szCs w:val="26"/>
        </w:rPr>
        <w:lastRenderedPageBreak/>
        <w:t xml:space="preserve">demonstrates that neither the purchase price nor the financing of the Proposed Transaction will unduly impair the ability of either the Peoples Companies or Aqua PA to meet their obligations to the public.  Conversely, the ALJ characterized the arguments raised by I&amp;E and the OSBA regarding the potential financial risk of the Proposed Transaction to be speculative.  R.D. at 32-33.  </w:t>
      </w:r>
    </w:p>
    <w:p w14:paraId="197C3AD5" w14:textId="77777777" w:rsidR="00E85E42" w:rsidRPr="00E85E42" w:rsidRDefault="00E85E42" w:rsidP="00B24187">
      <w:pPr>
        <w:widowControl/>
        <w:spacing w:after="200" w:line="360" w:lineRule="auto"/>
        <w:ind w:firstLine="1440"/>
        <w:contextualSpacing/>
        <w:rPr>
          <w:rFonts w:eastAsiaTheme="minorHAnsi"/>
          <w:sz w:val="26"/>
          <w:szCs w:val="26"/>
        </w:rPr>
      </w:pPr>
    </w:p>
    <w:p w14:paraId="4DE9CB27" w14:textId="77777777" w:rsid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First, the ALJ stated that there is nothing in the Code that prohibits the acquisition of a healthy public utility or the acquisition of a utility that is not openly for sale.  Further, the ALJ found that there is no compelling reason to probe into the negotiated purchase price of a healthy public utility that was not otherwise for sale.  According to the ALJ, there could be many reasons why the Joint Applicants negotiated the purchase price, including market conditions at the time, evaluations of market conditions in the future, and a myriad of other considerations which informed the negotiators’ ultimate agreement on the price.  Thus, the ALJ concluded that because ratepayers are adequately protected from recovery of the purchase price, this matter is one for shareholders, and not the Commission.  R.D. at 33.</w:t>
      </w:r>
    </w:p>
    <w:p w14:paraId="1D2385D7" w14:textId="77777777" w:rsidR="003945F0" w:rsidRPr="00E85E42" w:rsidRDefault="003945F0" w:rsidP="00B24187">
      <w:pPr>
        <w:widowControl/>
        <w:spacing w:after="200" w:line="360" w:lineRule="auto"/>
        <w:ind w:firstLine="1440"/>
        <w:contextualSpacing/>
        <w:rPr>
          <w:rFonts w:eastAsiaTheme="minorHAnsi"/>
          <w:sz w:val="26"/>
          <w:szCs w:val="26"/>
        </w:rPr>
      </w:pPr>
    </w:p>
    <w:p w14:paraId="76D24771" w14:textId="7777777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 xml:space="preserve">Second, the ALJ found that it is not unusual for a public utility to pay more than book value when acquiring another public utility.  The ALJ reasoned </w:t>
      </w:r>
      <w:bookmarkStart w:id="37" w:name="_Hlk27695269"/>
      <w:r w:rsidRPr="00E85E42">
        <w:rPr>
          <w:rFonts w:eastAsiaTheme="minorHAnsi"/>
          <w:sz w:val="26"/>
          <w:szCs w:val="26"/>
        </w:rPr>
        <w:t>that the negotiated purchase price and the premium above book value in the Proposed Transaction are consistent with market pricing.</w:t>
      </w:r>
      <w:bookmarkEnd w:id="37"/>
      <w:r w:rsidRPr="00E85E42">
        <w:rPr>
          <w:rFonts w:eastAsiaTheme="minorHAnsi"/>
          <w:sz w:val="26"/>
          <w:szCs w:val="26"/>
        </w:rPr>
        <w:t xml:space="preserve">  Namely, the ALJ noted Aqua America has a wealth of experience in acquiring utilities and used a variety of financial analyses to measure the long-term value of the acquisition.  Further, the ALJ pointed out that the purchase price paid for SteelRiver’s equity is about three times book value and that Aqua America’s stock price over the past five years has traded at an average of three times book value per share.  Therefore, the ALJ rejected the arguments of I&amp;E and the OSBA that </w:t>
      </w:r>
      <w:bookmarkStart w:id="38" w:name="_Hlk27141239"/>
      <w:r w:rsidRPr="00E85E42">
        <w:rPr>
          <w:rFonts w:eastAsiaTheme="minorHAnsi"/>
          <w:sz w:val="26"/>
          <w:szCs w:val="26"/>
        </w:rPr>
        <w:t>the $2 billion in goodwill</w:t>
      </w:r>
      <w:bookmarkEnd w:id="38"/>
      <w:r w:rsidRPr="00E85E42">
        <w:rPr>
          <w:rFonts w:eastAsiaTheme="minorHAnsi"/>
          <w:sz w:val="26"/>
          <w:szCs w:val="26"/>
        </w:rPr>
        <w:t xml:space="preserve"> is unreasonable.  In the ALJ’s view, the amount paid above the book value of the Peoples Companies would not be financially destabilizing to Aqua America.  R.D. at 33-34.</w:t>
      </w:r>
    </w:p>
    <w:p w14:paraId="7C0BBF0C" w14:textId="77777777" w:rsidR="00E85E42" w:rsidRPr="00E85E42" w:rsidRDefault="00E85E42" w:rsidP="00B24187">
      <w:pPr>
        <w:widowControl/>
        <w:spacing w:after="200" w:line="360" w:lineRule="auto"/>
        <w:ind w:right="-1440" w:firstLine="1440"/>
        <w:contextualSpacing/>
        <w:rPr>
          <w:rFonts w:eastAsiaTheme="minorHAnsi"/>
          <w:sz w:val="26"/>
          <w:szCs w:val="26"/>
        </w:rPr>
      </w:pPr>
    </w:p>
    <w:p w14:paraId="69AD1915" w14:textId="3B8DC322" w:rsidR="00E85E42" w:rsidRPr="00E85E42" w:rsidRDefault="00E85E42" w:rsidP="0030018A">
      <w:pPr>
        <w:widowControl/>
        <w:spacing w:after="120" w:line="360" w:lineRule="auto"/>
        <w:ind w:firstLine="1440"/>
        <w:contextualSpacing/>
        <w:rPr>
          <w:rFonts w:eastAsiaTheme="minorHAnsi"/>
          <w:sz w:val="26"/>
          <w:szCs w:val="26"/>
        </w:rPr>
      </w:pPr>
      <w:r w:rsidRPr="00E85E42">
        <w:rPr>
          <w:rFonts w:eastAsiaTheme="minorHAnsi"/>
          <w:sz w:val="26"/>
          <w:szCs w:val="26"/>
        </w:rPr>
        <w:t xml:space="preserve">The ALJ also found that I&amp;E and the OSBA both misinterpreted the amount of debt which will be necessary to effectuate the Proposed Transaction.  The ALJ noted the testimony of the Joint Applicants’ witness Mr. </w:t>
      </w:r>
      <w:r w:rsidR="00B039A3">
        <w:rPr>
          <w:rFonts w:eastAsiaTheme="minorHAnsi"/>
          <w:sz w:val="26"/>
          <w:szCs w:val="26"/>
        </w:rPr>
        <w:t xml:space="preserve">Daniel J. </w:t>
      </w:r>
      <w:r w:rsidRPr="00E85E42">
        <w:rPr>
          <w:rFonts w:eastAsiaTheme="minorHAnsi"/>
          <w:sz w:val="26"/>
          <w:szCs w:val="26"/>
        </w:rPr>
        <w:t>Schuller that financing for the Proposed Transaction was complete and included $436 million in debt.  R.D. at 36 (citing Tr. at 127-28).  The ALJ emphasized that at forty-two percent, this amount of debt is less than the fifty percent that was agreed to by the Settling Parties in the Settlement.  The ALJ also noted that this debt will be held by Aqua America, and not Aqua PA.  R.D. at 36-37.</w:t>
      </w:r>
    </w:p>
    <w:p w14:paraId="30A81FDC" w14:textId="77777777" w:rsidR="00E85E42" w:rsidRPr="006D2898" w:rsidRDefault="00E85E42" w:rsidP="0030018A">
      <w:pPr>
        <w:widowControl/>
        <w:spacing w:after="120" w:line="360" w:lineRule="auto"/>
        <w:ind w:firstLine="1440"/>
        <w:contextualSpacing/>
        <w:rPr>
          <w:rFonts w:eastAsiaTheme="minorHAnsi"/>
          <w:sz w:val="26"/>
          <w:szCs w:val="26"/>
        </w:rPr>
      </w:pPr>
    </w:p>
    <w:p w14:paraId="3CDAFD9C" w14:textId="77777777" w:rsidR="00E85E42" w:rsidRPr="00E85E42" w:rsidRDefault="00E85E42" w:rsidP="0030018A">
      <w:pPr>
        <w:widowControl/>
        <w:spacing w:after="120" w:line="360" w:lineRule="auto"/>
        <w:ind w:firstLine="1440"/>
        <w:contextualSpacing/>
        <w:rPr>
          <w:rFonts w:eastAsiaTheme="minorHAnsi"/>
          <w:sz w:val="26"/>
          <w:szCs w:val="26"/>
        </w:rPr>
      </w:pPr>
      <w:r w:rsidRPr="00E85E42">
        <w:rPr>
          <w:rFonts w:eastAsiaTheme="minorHAnsi"/>
          <w:sz w:val="26"/>
          <w:szCs w:val="26"/>
        </w:rPr>
        <w:t xml:space="preserve">Additionally, the ALJ rejected the arguments of the OSBA regarding the dip in Aqua America’s stock price and the potential drop in Aqua America’s credit rating.  </w:t>
      </w:r>
      <w:r w:rsidRPr="00B039A3">
        <w:rPr>
          <w:rFonts w:eastAsiaTheme="minorHAnsi"/>
          <w:sz w:val="26"/>
          <w:szCs w:val="26"/>
        </w:rPr>
        <w:t>Namely, the ALJ found that the OSBA’s argument that the purchase price of the Proposed Transaction, combined with the market’s reaction to it, demonstrate that the Proposed Transaction will be financially destabilizing for both enti</w:t>
      </w:r>
      <w:r w:rsidRPr="00736E12">
        <w:rPr>
          <w:rFonts w:eastAsiaTheme="minorHAnsi"/>
          <w:sz w:val="26"/>
          <w:szCs w:val="26"/>
        </w:rPr>
        <w:t xml:space="preserve">ties, disregards the </w:t>
      </w:r>
      <w:r w:rsidRPr="00C226E2">
        <w:rPr>
          <w:rFonts w:eastAsiaTheme="minorHAnsi"/>
          <w:sz w:val="26"/>
          <w:szCs w:val="26"/>
        </w:rPr>
        <w:t>subsequent recovery in Aqua America’s stock price.</w:t>
      </w:r>
      <w:r w:rsidRPr="00E85E42">
        <w:rPr>
          <w:rFonts w:eastAsiaTheme="minorHAnsi"/>
          <w:sz w:val="26"/>
          <w:szCs w:val="26"/>
        </w:rPr>
        <w:t xml:space="preserve">  In addition, the ALJ found that the OSBA failed to produce any evidence to demonstrate that a moderate drop in Aqua America’s credit rating will have a significant impact on Aqua America’s ability to raise capital at reasonable interest rates or that </w:t>
      </w:r>
      <w:r w:rsidR="0049775C">
        <w:rPr>
          <w:rFonts w:eastAsiaTheme="minorHAnsi"/>
          <w:sz w:val="26"/>
          <w:szCs w:val="26"/>
        </w:rPr>
        <w:t xml:space="preserve">it </w:t>
      </w:r>
      <w:r w:rsidRPr="00E85E42">
        <w:rPr>
          <w:rFonts w:eastAsiaTheme="minorHAnsi"/>
          <w:sz w:val="26"/>
          <w:szCs w:val="26"/>
        </w:rPr>
        <w:t xml:space="preserve">would alter Aqua America’s otherwise strong market performance.  Rather, the ALJ concluded that the Joint Applicants provided ample support to show </w:t>
      </w:r>
      <w:bookmarkStart w:id="39" w:name="_Hlk27742638"/>
      <w:r w:rsidRPr="00E85E42">
        <w:rPr>
          <w:rFonts w:eastAsiaTheme="minorHAnsi"/>
          <w:sz w:val="26"/>
          <w:szCs w:val="26"/>
        </w:rPr>
        <w:t>that capital will be available to Aqua America after the Proposed Transaction</w:t>
      </w:r>
      <w:bookmarkEnd w:id="39"/>
      <w:r w:rsidRPr="00E85E42">
        <w:rPr>
          <w:rFonts w:eastAsiaTheme="minorHAnsi"/>
          <w:sz w:val="26"/>
          <w:szCs w:val="26"/>
        </w:rPr>
        <w:t xml:space="preserve"> and that the commitments in the Settlement adequately protect ratepayers.  R.D. at 37-39.</w:t>
      </w:r>
    </w:p>
    <w:p w14:paraId="38401679" w14:textId="77777777" w:rsidR="00E85E42" w:rsidRPr="00E85E42" w:rsidRDefault="00E85E42" w:rsidP="00B24187">
      <w:pPr>
        <w:widowControl/>
        <w:spacing w:after="200" w:line="360" w:lineRule="auto"/>
        <w:ind w:firstLine="1440"/>
        <w:contextualSpacing/>
        <w:rPr>
          <w:rFonts w:eastAsiaTheme="minorHAnsi"/>
          <w:sz w:val="26"/>
          <w:szCs w:val="26"/>
        </w:rPr>
      </w:pPr>
    </w:p>
    <w:p w14:paraId="0DAB00C5" w14:textId="7777777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 xml:space="preserve">Finally, the ALJ recommended that I&amp;E’s argument that the Commission should impose a condition that interest costs claimed in future proceedings not exceed those with current debt ratings of the utilities should be denied.  According to the ALJ, this condition is not necessary given the protections offered by the terms of the </w:t>
      </w:r>
      <w:r w:rsidRPr="00E85E42">
        <w:rPr>
          <w:rFonts w:eastAsiaTheme="minorHAnsi"/>
          <w:sz w:val="26"/>
          <w:szCs w:val="26"/>
        </w:rPr>
        <w:lastRenderedPageBreak/>
        <w:t>Settlement and Aqua America’s ability to finance the Proposed Transaction with less than fifty percent debt.  R.D. at 40.</w:t>
      </w:r>
    </w:p>
    <w:p w14:paraId="74492CC0" w14:textId="77777777" w:rsidR="00E85E42" w:rsidRPr="00E85E42" w:rsidRDefault="00E85E42" w:rsidP="00B24187">
      <w:pPr>
        <w:widowControl/>
        <w:spacing w:line="360" w:lineRule="auto"/>
        <w:ind w:right="-1440" w:firstLine="1440"/>
        <w:contextualSpacing/>
        <w:rPr>
          <w:rFonts w:eastAsiaTheme="minorHAnsi"/>
          <w:sz w:val="26"/>
          <w:szCs w:val="26"/>
        </w:rPr>
      </w:pPr>
    </w:p>
    <w:p w14:paraId="3646C1E1" w14:textId="77777777" w:rsidR="00CC0A26" w:rsidRDefault="00CA6ECA" w:rsidP="00C85B04">
      <w:pPr>
        <w:pStyle w:val="Heading4"/>
        <w:widowControl/>
        <w:ind w:left="2160" w:hanging="720"/>
      </w:pPr>
      <w:bookmarkStart w:id="40" w:name="_Toc29278189"/>
      <w:r>
        <w:rPr>
          <w:rFonts w:eastAsiaTheme="minorHAnsi"/>
        </w:rPr>
        <w:t>Exceptions and Replies</w:t>
      </w:r>
      <w:bookmarkEnd w:id="40"/>
      <w:r w:rsidR="00CC0A26">
        <w:t xml:space="preserve"> </w:t>
      </w:r>
    </w:p>
    <w:p w14:paraId="53889F97" w14:textId="77777777" w:rsidR="00CC0A26" w:rsidRDefault="00CC0A26" w:rsidP="00C85B04">
      <w:pPr>
        <w:keepNext/>
        <w:keepLines/>
        <w:widowControl/>
        <w:spacing w:after="200" w:line="360" w:lineRule="auto"/>
        <w:ind w:right="-1440" w:firstLine="1440"/>
        <w:contextualSpacing/>
        <w:rPr>
          <w:rFonts w:eastAsiaTheme="minorHAnsi"/>
          <w:sz w:val="26"/>
          <w:szCs w:val="26"/>
        </w:rPr>
      </w:pPr>
    </w:p>
    <w:p w14:paraId="3B5F4F4E" w14:textId="77777777" w:rsidR="00E85E42" w:rsidRPr="00E85E42" w:rsidRDefault="00E85E42" w:rsidP="00C85B04">
      <w:pPr>
        <w:keepNext/>
        <w:widowControl/>
        <w:spacing w:after="200" w:line="360" w:lineRule="auto"/>
        <w:ind w:firstLine="1440"/>
        <w:contextualSpacing/>
        <w:rPr>
          <w:rFonts w:eastAsiaTheme="minorHAnsi"/>
          <w:sz w:val="26"/>
          <w:szCs w:val="26"/>
        </w:rPr>
      </w:pPr>
      <w:r w:rsidRPr="00E85E42">
        <w:rPr>
          <w:rFonts w:eastAsiaTheme="minorHAnsi"/>
          <w:sz w:val="26"/>
          <w:szCs w:val="26"/>
        </w:rPr>
        <w:t>In its Exception No. 1, I&amp;E objects to the ALJ’s conclusion that Aqua America is financially fit to own and operate the Peoples Companies.  I&amp;E remains of the opinion that the financial risk associated with the Proposed Transaction greatly exceeds the average transactional risk given the approximately $4 billion purchase price.  I&amp;E restates its assertion that the Joint Applicants failed to show that any synergies will result from the Proposed Transaction and failed to demonstrate that the combined entity will be strengthened financially or will be more financially stable than the Companies currently are on a separate basis.  I&amp;E insists that given the increased financial risk of the Proposed Transaction, the combined entity will experience higher interest rates on debt which then must be borne by ratepayers.  I&amp;E Exc. at 5-6.</w:t>
      </w:r>
    </w:p>
    <w:p w14:paraId="527228F2" w14:textId="77777777" w:rsidR="00E85E42" w:rsidRPr="00E85E42" w:rsidRDefault="00E85E42" w:rsidP="00B24187">
      <w:pPr>
        <w:widowControl/>
        <w:spacing w:after="200" w:line="360" w:lineRule="auto"/>
        <w:ind w:right="-1440" w:firstLine="1440"/>
        <w:contextualSpacing/>
        <w:rPr>
          <w:rFonts w:eastAsiaTheme="minorHAnsi"/>
          <w:sz w:val="26"/>
          <w:szCs w:val="26"/>
        </w:rPr>
      </w:pPr>
    </w:p>
    <w:p w14:paraId="00999BF1" w14:textId="7777777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In its Exception No. 2, the OSBA argues that the ALJ erred in concluding that there was no reason to delve into the purchase price of the Proposed Transaction given that ratepayers are adequately protected from the recovery of the purchase price.  The OSBA insists that the reaction of the stock market to the Proposed Transaction demonstrates that the Proposed Transaction will increase risk.  Namely, the OSBA stresses that in the three days following the announcement of the Proposed Transaction, Aqua America</w:t>
      </w:r>
      <w:r w:rsidR="00524286">
        <w:rPr>
          <w:rFonts w:eastAsiaTheme="minorHAnsi"/>
          <w:sz w:val="26"/>
          <w:szCs w:val="26"/>
        </w:rPr>
        <w:t>’</w:t>
      </w:r>
      <w:r w:rsidRPr="00E85E42">
        <w:rPr>
          <w:rFonts w:eastAsiaTheme="minorHAnsi"/>
          <w:sz w:val="26"/>
          <w:szCs w:val="26"/>
        </w:rPr>
        <w:t>s stock price fell approximately eleven percent relative to the DJU.  The OSBA further remains of the opinion that the Proposed Transaction will increase the riskiness of Aqua America’s debt and lead to higher interest rates that will be passed on to ratepayers.  Therefore, the OSBA submits that it is appropriate to examine the purchase price of the Proposed Transaction and whether it has a negative impact on ratepayers.  OSBA Exc. at 3-4.</w:t>
      </w:r>
    </w:p>
    <w:p w14:paraId="20001FBB" w14:textId="77777777" w:rsidR="00E85E42" w:rsidRPr="00E85E42" w:rsidRDefault="00E85E42" w:rsidP="00B24187">
      <w:pPr>
        <w:widowControl/>
        <w:spacing w:after="200" w:line="360" w:lineRule="auto"/>
        <w:ind w:firstLine="1440"/>
        <w:contextualSpacing/>
        <w:rPr>
          <w:rFonts w:eastAsiaTheme="minorHAnsi"/>
          <w:sz w:val="26"/>
          <w:szCs w:val="26"/>
        </w:rPr>
      </w:pPr>
    </w:p>
    <w:p w14:paraId="3FCDFEBC" w14:textId="7777777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lastRenderedPageBreak/>
        <w:t>In its Exception No. 3, the OSBA takes issue with the ALJ’s conclusion that the $2 billion in goodwill that will be paid as part of the Proposed Transaction is reasonable.  The OSBA argues that the purchase price of the Proposed Transaction substantially exceeds the book value of the companies being purchased.  According to the OSBA, while the Joint Applicants relied on a Fairness Opinion authored by Moelis to justify the amount being paid in the Proposed Transaction, the record evidence demonstrates that the Fairness Opinion was not authored by an independent, unbiased entity.  In addition, the OSBA asserts that ALJ Long’s price premium analysis appears to rely entirely on her observation regarding Aqua America's share price and book value.  Further, the OSBA notes that the Proposed Transaction involves the purchase of a natural gas utility and not a Pennsylvania water utility.  Therefore, the OSBA claims that the high market to book ratio observed by the ALJ for Aqua America may result from many factors that do not apply to an NGDC.  OSBA Exc. at 4.</w:t>
      </w:r>
    </w:p>
    <w:p w14:paraId="5CB2414F" w14:textId="77777777" w:rsidR="00E85E42" w:rsidRPr="00E85E42" w:rsidRDefault="00E85E42" w:rsidP="00B24187">
      <w:pPr>
        <w:widowControl/>
        <w:spacing w:after="200" w:line="360" w:lineRule="auto"/>
        <w:ind w:firstLine="1440"/>
        <w:contextualSpacing/>
        <w:rPr>
          <w:rFonts w:eastAsiaTheme="minorHAnsi"/>
          <w:sz w:val="26"/>
          <w:szCs w:val="26"/>
        </w:rPr>
      </w:pPr>
    </w:p>
    <w:p w14:paraId="3D804F1D" w14:textId="7777777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In its Exception No. 4, the OSBA claims that the ALJ improperly concluded that the Joint Applicants demonstrated that the amount paid above the book value would not be financially destabilizing to Aqua America.  The OSBA reasons that because goodwill does not produce revenue, the new debt associated with the Proposed Transaction simply adds to the overall riskiness of the combined company, equating to higher interest rates.  The OSBA restates its earlier argument that if new equity is raised to pay the $2 billion in goodwill, the new equity will serve to dilute the existing earnings of the independent companies, which will likely negatively impact the combined company</w:t>
      </w:r>
      <w:r w:rsidR="00524286">
        <w:rPr>
          <w:rFonts w:eastAsiaTheme="minorHAnsi"/>
          <w:sz w:val="26"/>
          <w:szCs w:val="26"/>
        </w:rPr>
        <w:t>’</w:t>
      </w:r>
      <w:r w:rsidRPr="00E85E42">
        <w:rPr>
          <w:rFonts w:eastAsiaTheme="minorHAnsi"/>
          <w:sz w:val="26"/>
          <w:szCs w:val="26"/>
        </w:rPr>
        <w:t xml:space="preserve">s ability to raise equity in the future.  The OSBA remains of the opinion that the difficulty raising equity, combined with the lower credit ratings for debt will be financially destabilizing for Aqua America.  Further, the OSBA submits that the Proposed Transaction does not need to be destabilizing or shocking for it to have a negative impact on ratepayers.  The OSBA emphasizes that the standard for determining whether the Proposed Transaction should be approved is whether it produces an </w:t>
      </w:r>
      <w:r w:rsidRPr="00E85E42">
        <w:rPr>
          <w:rFonts w:eastAsiaTheme="minorHAnsi"/>
          <w:sz w:val="26"/>
          <w:szCs w:val="26"/>
        </w:rPr>
        <w:lastRenderedPageBreak/>
        <w:t>affirmative public benefit.  In the OSBA’s view, no such affirmative public benefit exists.  OSBA Exc. at 5.</w:t>
      </w:r>
    </w:p>
    <w:p w14:paraId="7E67D616" w14:textId="77777777" w:rsidR="00E85E42" w:rsidRPr="00E85E42" w:rsidRDefault="00E85E42" w:rsidP="00B24187">
      <w:pPr>
        <w:widowControl/>
        <w:spacing w:after="200" w:line="360" w:lineRule="auto"/>
        <w:ind w:firstLine="1440"/>
        <w:contextualSpacing/>
        <w:rPr>
          <w:rFonts w:eastAsiaTheme="minorHAnsi"/>
          <w:sz w:val="26"/>
          <w:szCs w:val="26"/>
        </w:rPr>
      </w:pPr>
    </w:p>
    <w:p w14:paraId="708CFFED" w14:textId="77777777" w:rsidR="00E85E42" w:rsidRPr="00E85E42" w:rsidRDefault="00E85E42" w:rsidP="00B24187">
      <w:pPr>
        <w:widowControl/>
        <w:spacing w:after="200" w:line="360" w:lineRule="auto"/>
        <w:ind w:firstLine="1440"/>
        <w:contextualSpacing/>
        <w:rPr>
          <w:rFonts w:eastAsiaTheme="minorHAnsi"/>
          <w:sz w:val="26"/>
          <w:szCs w:val="26"/>
        </w:rPr>
      </w:pPr>
      <w:bookmarkStart w:id="41" w:name="_Hlk26767779"/>
      <w:r w:rsidRPr="00E85E42">
        <w:rPr>
          <w:rFonts w:eastAsiaTheme="minorHAnsi"/>
          <w:sz w:val="26"/>
          <w:szCs w:val="26"/>
        </w:rPr>
        <w:t>In reply to I&amp;E’s Exception No.1 and the OSBA’s Exception</w:t>
      </w:r>
      <w:r w:rsidR="00524286">
        <w:rPr>
          <w:rFonts w:eastAsiaTheme="minorHAnsi"/>
          <w:sz w:val="26"/>
          <w:szCs w:val="26"/>
        </w:rPr>
        <w:t>s</w:t>
      </w:r>
      <w:r w:rsidRPr="00E85E42">
        <w:rPr>
          <w:rFonts w:eastAsiaTheme="minorHAnsi"/>
          <w:sz w:val="26"/>
          <w:szCs w:val="26"/>
        </w:rPr>
        <w:t xml:space="preserve"> Nos. 2 through 4, the Joint Applicants assert that because their analyses of recent comparable utility transactions were unrebutted, the ALJ properly concluded that the purchase price of the Proposed Transaction is reasonable and would not be financially destabilizing to Aqua America.  Joint Applicants R. Exc. at 5.</w:t>
      </w:r>
    </w:p>
    <w:p w14:paraId="6C4323B3" w14:textId="77777777" w:rsidR="00E85E42" w:rsidRPr="00E85E42" w:rsidRDefault="00E85E42" w:rsidP="00B24187">
      <w:pPr>
        <w:widowControl/>
        <w:spacing w:after="200" w:line="360" w:lineRule="auto"/>
        <w:ind w:firstLine="1440"/>
        <w:contextualSpacing/>
        <w:rPr>
          <w:rFonts w:eastAsiaTheme="minorHAnsi"/>
          <w:sz w:val="26"/>
          <w:szCs w:val="26"/>
        </w:rPr>
      </w:pPr>
    </w:p>
    <w:p w14:paraId="66BD8CED" w14:textId="77777777" w:rsid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 xml:space="preserve">The Joint Applicants also provided more detailed replies to each of the OSBA’s Exceptions regarding the purchase price and the financing of the Proposed Transaction.  In response to the OSBA’s Exception No. 2, the Joint Applicants assert that the ALJ properly rejected the </w:t>
      </w:r>
      <w:bookmarkStart w:id="42" w:name="_Hlk27696093"/>
      <w:r w:rsidRPr="00E85E42">
        <w:rPr>
          <w:rFonts w:eastAsiaTheme="minorHAnsi"/>
          <w:sz w:val="26"/>
          <w:szCs w:val="26"/>
        </w:rPr>
        <w:t xml:space="preserve">OSBA’s arguments regarding the drop in Aqua America’s stock price and the increase in the riskiness of Aqua America’s debt.  </w:t>
      </w:r>
      <w:bookmarkEnd w:id="42"/>
      <w:r w:rsidRPr="00E85E42">
        <w:rPr>
          <w:rFonts w:eastAsiaTheme="minorHAnsi"/>
          <w:sz w:val="26"/>
          <w:szCs w:val="26"/>
        </w:rPr>
        <w:t>Namely, the Joint Applicants argue that</w:t>
      </w:r>
      <w:r w:rsidR="00524286">
        <w:rPr>
          <w:rFonts w:eastAsiaTheme="minorHAnsi"/>
          <w:sz w:val="26"/>
          <w:szCs w:val="26"/>
        </w:rPr>
        <w:t>:</w:t>
      </w:r>
      <w:r w:rsidRPr="00E85E42">
        <w:rPr>
          <w:rFonts w:eastAsiaTheme="minorHAnsi"/>
          <w:sz w:val="26"/>
          <w:szCs w:val="26"/>
        </w:rPr>
        <w:t xml:space="preserve"> (1) Aqua America’s stock price quickly recovered; (2) Aqua America was able to raise sufficient debt at favorable terms; and (3) demand for Aqua America’s issuances of equity was approximately four times the amount of new equity sought.  </w:t>
      </w:r>
      <w:r w:rsidRPr="00E85E42">
        <w:rPr>
          <w:rFonts w:eastAsiaTheme="minorHAnsi"/>
          <w:iCs/>
          <w:sz w:val="26"/>
          <w:szCs w:val="26"/>
        </w:rPr>
        <w:t>In the Joint Applicants’ view, the debt and equity</w:t>
      </w:r>
      <w:r w:rsidRPr="00E85E42">
        <w:rPr>
          <w:rFonts w:eastAsiaTheme="minorHAnsi"/>
          <w:sz w:val="26"/>
          <w:szCs w:val="26"/>
        </w:rPr>
        <w:t xml:space="preserve"> markets have spoken positively and conclusively.  Joint Applicants R. Exc. at 5-6.</w:t>
      </w:r>
    </w:p>
    <w:p w14:paraId="10D44687" w14:textId="77777777" w:rsidR="00E33830" w:rsidRPr="00E85E42" w:rsidRDefault="00E33830" w:rsidP="00B24187">
      <w:pPr>
        <w:widowControl/>
        <w:spacing w:after="200" w:line="360" w:lineRule="auto"/>
        <w:ind w:firstLine="1440"/>
        <w:contextualSpacing/>
        <w:rPr>
          <w:rFonts w:eastAsiaTheme="minorHAnsi"/>
          <w:sz w:val="26"/>
          <w:szCs w:val="26"/>
        </w:rPr>
      </w:pPr>
    </w:p>
    <w:p w14:paraId="3AA26822" w14:textId="2EBAB52E" w:rsidR="00E85E42" w:rsidRPr="00E85E42" w:rsidRDefault="00E85E42" w:rsidP="00B24187">
      <w:pPr>
        <w:widowControl/>
        <w:spacing w:after="200" w:line="360" w:lineRule="auto"/>
        <w:ind w:firstLine="1440"/>
        <w:contextualSpacing/>
        <w:rPr>
          <w:rFonts w:eastAsiaTheme="minorHAnsi"/>
          <w:iCs/>
          <w:sz w:val="26"/>
          <w:szCs w:val="26"/>
        </w:rPr>
      </w:pPr>
      <w:r w:rsidRPr="00E85E42">
        <w:rPr>
          <w:rFonts w:eastAsiaTheme="minorHAnsi"/>
          <w:sz w:val="26"/>
          <w:szCs w:val="26"/>
        </w:rPr>
        <w:t>In reply to the OSBA’s Exc</w:t>
      </w:r>
      <w:r w:rsidR="001F507C">
        <w:rPr>
          <w:rFonts w:eastAsiaTheme="minorHAnsi"/>
          <w:sz w:val="26"/>
          <w:szCs w:val="26"/>
        </w:rPr>
        <w:t>eption</w:t>
      </w:r>
      <w:r w:rsidRPr="00E85E42">
        <w:rPr>
          <w:rFonts w:eastAsiaTheme="minorHAnsi"/>
          <w:sz w:val="26"/>
          <w:szCs w:val="26"/>
        </w:rPr>
        <w:t xml:space="preserve"> No. 3, the Joint Applicants assert that the OSBA advances a mischaracterized interpretation of the Fairness Opinion obtained by Aqua America regarding the purchase price.  The Joint Applicants submit that the ALJ properly concluded that the purchase price was reasonable based on a wealth of record evidence presented by the Joint Applicants.  </w:t>
      </w:r>
      <w:r w:rsidRPr="00E85E42">
        <w:rPr>
          <w:rFonts w:eastAsiaTheme="minorHAnsi"/>
          <w:iCs/>
          <w:sz w:val="26"/>
          <w:szCs w:val="26"/>
        </w:rPr>
        <w:t>Joint Applicants R. Exc. at 6.</w:t>
      </w:r>
    </w:p>
    <w:p w14:paraId="0381B7F2" w14:textId="77777777" w:rsidR="00E85E42" w:rsidRPr="00E85E42" w:rsidRDefault="00E85E42" w:rsidP="00B24187">
      <w:pPr>
        <w:widowControl/>
        <w:spacing w:after="200" w:line="360" w:lineRule="auto"/>
        <w:ind w:firstLine="1440"/>
        <w:contextualSpacing/>
        <w:rPr>
          <w:rFonts w:eastAsiaTheme="minorHAnsi"/>
          <w:iCs/>
          <w:sz w:val="26"/>
          <w:szCs w:val="26"/>
        </w:rPr>
      </w:pPr>
    </w:p>
    <w:p w14:paraId="227A7F5B" w14:textId="7777777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 xml:space="preserve">In its reply to the OSBA’s Exception No. 4, the Joint Applicants argue that there is no requirement that the acquisition price or financing be shown as an affirmative public benefit.  Rather, the Joint Applicants submit that the standard is whether Aqua </w:t>
      </w:r>
      <w:r w:rsidRPr="00E85E42">
        <w:rPr>
          <w:rFonts w:eastAsiaTheme="minorHAnsi"/>
          <w:sz w:val="26"/>
          <w:szCs w:val="26"/>
        </w:rPr>
        <w:lastRenderedPageBreak/>
        <w:t>America is financially fit.  The Joint Applicants assert that the record demonstrates that Aqua America is and will remain financially fit.  Joint Applicants R. Exc. at 6.</w:t>
      </w:r>
    </w:p>
    <w:p w14:paraId="507481A0" w14:textId="77777777" w:rsidR="00E85E42" w:rsidRPr="00E85E42" w:rsidRDefault="00E85E42" w:rsidP="00B24187">
      <w:pPr>
        <w:widowControl/>
        <w:spacing w:after="200" w:line="360" w:lineRule="auto"/>
        <w:ind w:firstLine="1440"/>
        <w:contextualSpacing/>
        <w:rPr>
          <w:rFonts w:eastAsiaTheme="minorHAnsi"/>
          <w:sz w:val="26"/>
          <w:szCs w:val="26"/>
        </w:rPr>
      </w:pPr>
    </w:p>
    <w:p w14:paraId="209DC07A" w14:textId="5F53202E" w:rsid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In its reply to the above Exceptions of I&amp;E and the OSBA, the OCA argues that the Joint Applicants successfully demonstrated that Aqua America is financially fit.  The OCA points to the Joint Applicants’ testimony regarding Aqua America’s success in raising capital and earnings on equity.  The OCA also points to the commitments the Joint Applicants made regarding the maximum debt ratios that the Joint Applicants will maintain post-closing, set forth in Paragraph Nos. 51 and 52 of the Settlement.  According to the OCA, this demonstrates that Aqua America has a concrete plan to finance the Proposed Transaction in a fiscally responsible manner.  OCA R. Exc. at</w:t>
      </w:r>
      <w:r w:rsidR="006D2898">
        <w:rPr>
          <w:rFonts w:eastAsiaTheme="minorHAnsi"/>
          <w:sz w:val="26"/>
          <w:szCs w:val="26"/>
        </w:rPr>
        <w:t> </w:t>
      </w:r>
      <w:r w:rsidRPr="00E85E42">
        <w:rPr>
          <w:rFonts w:eastAsiaTheme="minorHAnsi"/>
          <w:sz w:val="26"/>
          <w:szCs w:val="26"/>
        </w:rPr>
        <w:t>12</w:t>
      </w:r>
      <w:r w:rsidRPr="00E85E42">
        <w:rPr>
          <w:rFonts w:eastAsiaTheme="minorHAnsi"/>
          <w:sz w:val="26"/>
          <w:szCs w:val="26"/>
        </w:rPr>
        <w:noBreakHyphen/>
        <w:t>13.</w:t>
      </w:r>
    </w:p>
    <w:p w14:paraId="13067854" w14:textId="77777777" w:rsidR="00C02C37" w:rsidRPr="00E85E42" w:rsidRDefault="00C02C37" w:rsidP="00B24187">
      <w:pPr>
        <w:widowControl/>
        <w:spacing w:after="200" w:line="360" w:lineRule="auto"/>
        <w:ind w:firstLine="1440"/>
        <w:contextualSpacing/>
        <w:rPr>
          <w:rFonts w:eastAsiaTheme="minorHAnsi"/>
          <w:sz w:val="26"/>
          <w:szCs w:val="26"/>
        </w:rPr>
      </w:pPr>
    </w:p>
    <w:p w14:paraId="6383792C" w14:textId="07AB636F" w:rsidR="00E85E42" w:rsidRPr="00E85E42" w:rsidRDefault="00E85E42" w:rsidP="00C02C37">
      <w:pPr>
        <w:widowControl/>
        <w:spacing w:line="360" w:lineRule="auto"/>
        <w:ind w:firstLine="1440"/>
        <w:contextualSpacing/>
        <w:rPr>
          <w:rFonts w:eastAsiaTheme="minorHAnsi"/>
          <w:sz w:val="26"/>
          <w:szCs w:val="26"/>
        </w:rPr>
      </w:pPr>
      <w:r w:rsidRPr="00E85E42">
        <w:rPr>
          <w:rFonts w:eastAsiaTheme="minorHAnsi"/>
          <w:sz w:val="26"/>
          <w:szCs w:val="26"/>
        </w:rPr>
        <w:t>The OCA also submits that the ALJ correctly concluded that there is no compelling reason for the Commission to delve into Aqua America’s long-term investment strategy or its ultimate motivation, and that there is no reason to deny the Proposed Transaction based on the purchase price.  The OCA restates its support of the above Settlement terms, set forth in Paragraph Nos. 45-47, 51-52, and 54 regarding the exclusion of all goodwill associated with the Proposed Transaction from the base rates of the Pennsylvania utility subsidiaries of Aqua America, Aqua America’s financing plan for the Proposed Transaction, and the subsequent capital structure of the Pennsylvania utility subsidiaries of Aqua America.  Therefore, the OCA contends that I&amp;E’s Exception No. 1 and the OSBA’s Exception</w:t>
      </w:r>
      <w:r w:rsidR="005A29CF">
        <w:rPr>
          <w:rFonts w:eastAsiaTheme="minorHAnsi"/>
          <w:sz w:val="26"/>
          <w:szCs w:val="26"/>
        </w:rPr>
        <w:t>s</w:t>
      </w:r>
      <w:r w:rsidRPr="00E85E42">
        <w:rPr>
          <w:rFonts w:eastAsiaTheme="minorHAnsi"/>
          <w:sz w:val="26"/>
          <w:szCs w:val="26"/>
        </w:rPr>
        <w:t xml:space="preserve"> Nos. 2, 3, and 4 should be denied. OCA R. Exc. at</w:t>
      </w:r>
      <w:r w:rsidR="006D2898">
        <w:rPr>
          <w:rFonts w:eastAsiaTheme="minorHAnsi"/>
          <w:sz w:val="26"/>
          <w:szCs w:val="26"/>
        </w:rPr>
        <w:t> </w:t>
      </w:r>
      <w:r w:rsidRPr="00E85E42">
        <w:rPr>
          <w:rFonts w:eastAsiaTheme="minorHAnsi"/>
          <w:sz w:val="26"/>
          <w:szCs w:val="26"/>
        </w:rPr>
        <w:t>20</w:t>
      </w:r>
      <w:r w:rsidR="006D2898">
        <w:rPr>
          <w:rFonts w:eastAsiaTheme="minorHAnsi"/>
          <w:sz w:val="26"/>
          <w:szCs w:val="26"/>
        </w:rPr>
        <w:noBreakHyphen/>
      </w:r>
      <w:r w:rsidRPr="00E85E42">
        <w:rPr>
          <w:rFonts w:eastAsiaTheme="minorHAnsi"/>
          <w:sz w:val="26"/>
          <w:szCs w:val="26"/>
        </w:rPr>
        <w:t xml:space="preserve">22.  </w:t>
      </w:r>
    </w:p>
    <w:p w14:paraId="45CC8266" w14:textId="77777777" w:rsidR="00E85E42" w:rsidRPr="00E85E42" w:rsidRDefault="00E85E42" w:rsidP="00C02C37">
      <w:pPr>
        <w:widowControl/>
        <w:spacing w:line="360" w:lineRule="auto"/>
        <w:ind w:firstLine="1440"/>
        <w:contextualSpacing/>
        <w:rPr>
          <w:rFonts w:eastAsiaTheme="minorHAnsi"/>
          <w:sz w:val="26"/>
          <w:szCs w:val="26"/>
        </w:rPr>
      </w:pPr>
    </w:p>
    <w:p w14:paraId="51B34EBB" w14:textId="77777777" w:rsidR="00E85E42" w:rsidRPr="00E85E42" w:rsidRDefault="00E85E42" w:rsidP="00C02C37">
      <w:pPr>
        <w:pStyle w:val="Heading4"/>
        <w:widowControl/>
        <w:ind w:left="2160" w:hanging="720"/>
        <w:rPr>
          <w:rFonts w:eastAsiaTheme="minorHAnsi"/>
        </w:rPr>
      </w:pPr>
      <w:bookmarkStart w:id="43" w:name="_Toc29278190"/>
      <w:r w:rsidRPr="00E85E42">
        <w:rPr>
          <w:rFonts w:eastAsiaTheme="minorHAnsi"/>
        </w:rPr>
        <w:lastRenderedPageBreak/>
        <w:t>Disposition</w:t>
      </w:r>
      <w:bookmarkEnd w:id="43"/>
    </w:p>
    <w:p w14:paraId="66E0474E" w14:textId="77777777" w:rsidR="00E85E42" w:rsidRPr="00E85E42" w:rsidRDefault="00E85E42" w:rsidP="00C02C37">
      <w:pPr>
        <w:keepNext/>
        <w:keepLines/>
        <w:widowControl/>
        <w:spacing w:line="360" w:lineRule="auto"/>
        <w:ind w:firstLine="1440"/>
        <w:contextualSpacing/>
        <w:rPr>
          <w:rFonts w:eastAsiaTheme="minorHAnsi"/>
          <w:sz w:val="26"/>
          <w:szCs w:val="26"/>
        </w:rPr>
      </w:pPr>
    </w:p>
    <w:p w14:paraId="451C6057" w14:textId="77777777" w:rsidR="00E85E42" w:rsidRPr="00E85E42" w:rsidRDefault="00E85E42" w:rsidP="0030018A">
      <w:pPr>
        <w:keepNext/>
        <w:widowControl/>
        <w:spacing w:line="360" w:lineRule="auto"/>
        <w:ind w:firstLine="1440"/>
        <w:contextualSpacing/>
        <w:rPr>
          <w:rFonts w:eastAsiaTheme="minorHAnsi"/>
          <w:sz w:val="26"/>
          <w:szCs w:val="26"/>
        </w:rPr>
      </w:pPr>
      <w:r w:rsidRPr="00E85E42">
        <w:rPr>
          <w:rFonts w:eastAsiaTheme="minorHAnsi"/>
          <w:sz w:val="26"/>
          <w:szCs w:val="26"/>
        </w:rPr>
        <w:t>On consideration of the record evidence in this proceeding, we will deny the Exceptions of I&amp;E and the OCA and adopt the recommendation of ALJ Long, consistent with the discussion below.</w:t>
      </w:r>
    </w:p>
    <w:p w14:paraId="6CA8BDBF" w14:textId="77777777" w:rsidR="00E85E42" w:rsidRPr="00E85E42" w:rsidRDefault="00E85E42" w:rsidP="0030018A">
      <w:pPr>
        <w:widowControl/>
        <w:spacing w:line="360" w:lineRule="auto"/>
        <w:ind w:firstLine="1440"/>
        <w:contextualSpacing/>
        <w:rPr>
          <w:rFonts w:eastAsiaTheme="minorHAnsi"/>
          <w:sz w:val="26"/>
          <w:szCs w:val="26"/>
        </w:rPr>
      </w:pPr>
    </w:p>
    <w:p w14:paraId="208447EB" w14:textId="55B83E5B" w:rsidR="00E85E42" w:rsidRPr="00E85E42" w:rsidRDefault="00E85E42" w:rsidP="0030018A">
      <w:pPr>
        <w:keepNext/>
        <w:keepLines/>
        <w:widowControl/>
        <w:spacing w:line="360" w:lineRule="auto"/>
        <w:ind w:left="2160"/>
        <w:contextualSpacing/>
        <w:rPr>
          <w:rFonts w:eastAsiaTheme="minorHAnsi"/>
          <w:b/>
          <w:bCs/>
          <w:sz w:val="26"/>
          <w:szCs w:val="26"/>
        </w:rPr>
      </w:pPr>
      <w:bookmarkStart w:id="44" w:name="_Hlk27639620"/>
      <w:r w:rsidRPr="00E85E42">
        <w:rPr>
          <w:rFonts w:eastAsiaTheme="minorHAnsi"/>
          <w:b/>
          <w:bCs/>
          <w:sz w:val="26"/>
          <w:szCs w:val="26"/>
        </w:rPr>
        <w:t>(</w:t>
      </w:r>
      <w:r w:rsidR="00CA6ECA">
        <w:rPr>
          <w:rFonts w:eastAsiaTheme="minorHAnsi"/>
          <w:b/>
          <w:bCs/>
          <w:sz w:val="26"/>
          <w:szCs w:val="26"/>
        </w:rPr>
        <w:t>1</w:t>
      </w:r>
      <w:r w:rsidRPr="00E85E42">
        <w:rPr>
          <w:rFonts w:eastAsiaTheme="minorHAnsi"/>
          <w:b/>
          <w:bCs/>
          <w:sz w:val="26"/>
          <w:szCs w:val="26"/>
        </w:rPr>
        <w:t>)</w:t>
      </w:r>
      <w:r w:rsidR="00CA6ECA">
        <w:rPr>
          <w:rFonts w:eastAsiaTheme="minorHAnsi"/>
          <w:b/>
          <w:bCs/>
          <w:sz w:val="26"/>
          <w:szCs w:val="26"/>
        </w:rPr>
        <w:tab/>
      </w:r>
      <w:r w:rsidRPr="00E85E42">
        <w:rPr>
          <w:rFonts w:eastAsiaTheme="minorHAnsi"/>
          <w:b/>
          <w:bCs/>
          <w:sz w:val="26"/>
          <w:szCs w:val="26"/>
        </w:rPr>
        <w:t>Financial Fitness</w:t>
      </w:r>
    </w:p>
    <w:bookmarkEnd w:id="44"/>
    <w:p w14:paraId="0DC7BBD8" w14:textId="77777777" w:rsidR="00E85E42" w:rsidRPr="00E85E42" w:rsidRDefault="00E85E42" w:rsidP="0030018A">
      <w:pPr>
        <w:keepNext/>
        <w:keepLines/>
        <w:widowControl/>
        <w:spacing w:line="360" w:lineRule="auto"/>
        <w:ind w:firstLine="1440"/>
        <w:contextualSpacing/>
        <w:rPr>
          <w:rFonts w:eastAsiaTheme="minorHAnsi"/>
          <w:sz w:val="26"/>
          <w:szCs w:val="26"/>
        </w:rPr>
      </w:pPr>
    </w:p>
    <w:p w14:paraId="427E0D28" w14:textId="77777777" w:rsidR="00E85E42" w:rsidRPr="00E85E42" w:rsidRDefault="00E85E42" w:rsidP="0030018A">
      <w:pPr>
        <w:keepNext/>
        <w:widowControl/>
        <w:spacing w:line="360" w:lineRule="auto"/>
        <w:ind w:firstLine="1440"/>
        <w:contextualSpacing/>
        <w:rPr>
          <w:rFonts w:eastAsiaTheme="minorHAnsi"/>
          <w:sz w:val="26"/>
          <w:szCs w:val="26"/>
        </w:rPr>
      </w:pPr>
      <w:r w:rsidRPr="00E85E42">
        <w:rPr>
          <w:rFonts w:eastAsiaTheme="minorHAnsi"/>
          <w:sz w:val="26"/>
          <w:szCs w:val="26"/>
        </w:rPr>
        <w:t xml:space="preserve">We find that the Joint Applicants have met their burden of demonstrating, by a preponderance of the evidence, that Aqua America possesses the requisite financial fitness that is necessary to own and operate the assets it seeks to acquire from the Peoples Companies.  The record indicates that Aqua America has gained substantial experience in raising both debt and equity capital in the public and private markets over 130 years and that Aqua America has over $5.4 billion in utility assets and $809 million in annual revenues.  For example, the Joint Applicants’ witness Mr. Schuller testified that in 2018, Aqua America secured a total of $275 million in long-term debt to support its infrastructure investments and water and wastewater acquisitions.  Joint Applicants St. 2 at 3, 7.  Additionally, as discussed, </w:t>
      </w:r>
      <w:r w:rsidRPr="00E85E42">
        <w:rPr>
          <w:rFonts w:eastAsiaTheme="minorHAnsi"/>
          <w:i/>
          <w:iCs/>
          <w:sz w:val="26"/>
          <w:szCs w:val="26"/>
        </w:rPr>
        <w:t xml:space="preserve">infra, </w:t>
      </w:r>
      <w:r w:rsidRPr="00E85E42">
        <w:rPr>
          <w:rFonts w:eastAsiaTheme="minorHAnsi"/>
          <w:sz w:val="26"/>
          <w:szCs w:val="26"/>
        </w:rPr>
        <w:t>in our analysis of whether the return of the Peoples Companies to Pennsylvania-based public ownership constitutes an affirmative benefit, Aqua America, as a publicly traded company, has access to equity capital through both public and private markets through a diverse pool of investors.</w:t>
      </w:r>
    </w:p>
    <w:p w14:paraId="78CBA081" w14:textId="77777777" w:rsidR="00E85E42" w:rsidRPr="00E85E42" w:rsidRDefault="00E85E42" w:rsidP="00B24187">
      <w:pPr>
        <w:widowControl/>
        <w:spacing w:after="200" w:line="360" w:lineRule="auto"/>
        <w:ind w:firstLine="1440"/>
        <w:contextualSpacing/>
        <w:rPr>
          <w:rFonts w:eastAsiaTheme="minorHAnsi"/>
          <w:sz w:val="26"/>
          <w:szCs w:val="26"/>
        </w:rPr>
      </w:pPr>
    </w:p>
    <w:p w14:paraId="36D96110" w14:textId="7777777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With regard to the Proposed Transaction, the record also indicates that Aqua America was able to raise the necessary capital to fund the acquisition, on reasonable and attractive terms.  More specifically, the record depicts that when Aqua America issued the equity and equity</w:t>
      </w:r>
      <w:r w:rsidR="00E4665F">
        <w:rPr>
          <w:rFonts w:eastAsiaTheme="minorHAnsi"/>
          <w:sz w:val="26"/>
          <w:szCs w:val="26"/>
        </w:rPr>
        <w:t>-</w:t>
      </w:r>
      <w:r w:rsidRPr="00E85E42">
        <w:rPr>
          <w:rFonts w:eastAsiaTheme="minorHAnsi"/>
          <w:sz w:val="26"/>
          <w:szCs w:val="26"/>
        </w:rPr>
        <w:t xml:space="preserve">linked securities for the Proposed Transaction, these issuances were highly successful with demand of approximately four times the supply.  In addition, the actual debt issued to finance the Proposed Transaction was $436 million, with an average tenor of </w:t>
      </w:r>
      <w:r w:rsidR="00E4665F">
        <w:rPr>
          <w:rFonts w:eastAsiaTheme="minorHAnsi"/>
          <w:sz w:val="26"/>
          <w:szCs w:val="26"/>
        </w:rPr>
        <w:t>twenty-one</w:t>
      </w:r>
      <w:r w:rsidRPr="00E85E42">
        <w:rPr>
          <w:rFonts w:eastAsiaTheme="minorHAnsi"/>
          <w:sz w:val="26"/>
          <w:szCs w:val="26"/>
        </w:rPr>
        <w:t xml:space="preserve"> years and an average interest rate of 3.96%.  </w:t>
      </w:r>
      <w:r w:rsidRPr="00E85E42">
        <w:rPr>
          <w:rFonts w:eastAsiaTheme="minorHAnsi"/>
          <w:sz w:val="26"/>
          <w:szCs w:val="26"/>
        </w:rPr>
        <w:lastRenderedPageBreak/>
        <w:t>Joint Applicants St. 2-R at 9, 15-16.  This falls on the lower end of the new debt the Joint Applicants anticipated needing to raise.  Further, the Joint Applicants provided evidence regarding various analyses of the pro-forma earnings and cash-flow impacts of the Proposed Transaction that indicate that it will increase the combined companies’ financial stability.  We find that this increased financial strength will aid the Joint Applicants in carrying out the various commitments made in the Settlement.  Finally, we find it especially noteworthy that neither I&amp;E nor the OSBA offered evidence to counter the Joint Applicants’ testimony regarding Aqua America’s ability to raise capital and earnings or to demonstrate that capital will not continue to be available to Aqua America on reasonable terms after the Proposed Transaction.</w:t>
      </w:r>
    </w:p>
    <w:p w14:paraId="4C6D6161" w14:textId="77777777" w:rsidR="00E85E42" w:rsidRPr="00E85E42" w:rsidRDefault="00E85E42" w:rsidP="00B24187">
      <w:pPr>
        <w:widowControl/>
        <w:spacing w:after="200" w:line="360" w:lineRule="auto"/>
        <w:ind w:firstLine="1440"/>
        <w:contextualSpacing/>
        <w:rPr>
          <w:rFonts w:eastAsiaTheme="minorHAnsi"/>
          <w:sz w:val="26"/>
          <w:szCs w:val="26"/>
        </w:rPr>
      </w:pPr>
    </w:p>
    <w:p w14:paraId="1B3D936B" w14:textId="77777777" w:rsidR="00E85E42" w:rsidRPr="00E85E42" w:rsidRDefault="00E85E42" w:rsidP="00C85B04">
      <w:pPr>
        <w:keepNext/>
        <w:keepLines/>
        <w:widowControl/>
        <w:spacing w:after="200" w:line="360" w:lineRule="auto"/>
        <w:ind w:left="2880" w:hanging="720"/>
        <w:contextualSpacing/>
        <w:rPr>
          <w:rFonts w:eastAsiaTheme="minorHAnsi"/>
          <w:b/>
          <w:bCs/>
          <w:sz w:val="26"/>
          <w:szCs w:val="26"/>
        </w:rPr>
      </w:pPr>
      <w:bookmarkStart w:id="45" w:name="_Hlk27645277"/>
      <w:r w:rsidRPr="00E85E42">
        <w:rPr>
          <w:rFonts w:eastAsiaTheme="minorHAnsi"/>
          <w:b/>
          <w:bCs/>
          <w:sz w:val="26"/>
          <w:szCs w:val="26"/>
        </w:rPr>
        <w:t>(</w:t>
      </w:r>
      <w:r w:rsidR="00CA6ECA">
        <w:rPr>
          <w:rFonts w:eastAsiaTheme="minorHAnsi"/>
          <w:b/>
          <w:bCs/>
          <w:sz w:val="26"/>
          <w:szCs w:val="26"/>
        </w:rPr>
        <w:t>2</w:t>
      </w:r>
      <w:r w:rsidRPr="00E85E42">
        <w:rPr>
          <w:rFonts w:eastAsiaTheme="minorHAnsi"/>
          <w:b/>
          <w:bCs/>
          <w:sz w:val="26"/>
          <w:szCs w:val="26"/>
        </w:rPr>
        <w:t>)</w:t>
      </w:r>
      <w:r w:rsidRPr="00E85E42">
        <w:rPr>
          <w:rFonts w:eastAsiaTheme="minorHAnsi"/>
          <w:b/>
          <w:bCs/>
          <w:sz w:val="26"/>
          <w:szCs w:val="26"/>
        </w:rPr>
        <w:tab/>
        <w:t>Purchase Price and Financing</w:t>
      </w:r>
    </w:p>
    <w:p w14:paraId="244D26CC" w14:textId="77777777" w:rsidR="00E85E42" w:rsidRPr="00E85E42" w:rsidRDefault="00E85E42" w:rsidP="00C85B04">
      <w:pPr>
        <w:keepNext/>
        <w:keepLines/>
        <w:widowControl/>
        <w:spacing w:after="200" w:line="360" w:lineRule="auto"/>
        <w:ind w:firstLine="1440"/>
        <w:contextualSpacing/>
        <w:rPr>
          <w:rFonts w:eastAsiaTheme="minorHAnsi"/>
          <w:sz w:val="26"/>
          <w:szCs w:val="26"/>
        </w:rPr>
      </w:pPr>
    </w:p>
    <w:bookmarkEnd w:id="45"/>
    <w:p w14:paraId="3ED6190E" w14:textId="251F7727" w:rsidR="00E85E42" w:rsidRPr="00E85E42" w:rsidRDefault="00E85E42" w:rsidP="00C85B04">
      <w:pPr>
        <w:keepNext/>
        <w:widowControl/>
        <w:spacing w:line="360" w:lineRule="auto"/>
        <w:ind w:firstLine="1440"/>
        <w:contextualSpacing/>
        <w:rPr>
          <w:sz w:val="26"/>
          <w:szCs w:val="26"/>
        </w:rPr>
      </w:pPr>
      <w:r w:rsidRPr="00E85E42">
        <w:rPr>
          <w:rFonts w:eastAsiaTheme="minorHAnsi"/>
          <w:sz w:val="26"/>
          <w:szCs w:val="26"/>
        </w:rPr>
        <w:t xml:space="preserve">As to the purchase price of the Proposed Transaction, we note that </w:t>
      </w:r>
      <w:r w:rsidRPr="00E85E42">
        <w:rPr>
          <w:sz w:val="26"/>
          <w:szCs w:val="26"/>
        </w:rPr>
        <w:t xml:space="preserve">we </w:t>
      </w:r>
      <w:r w:rsidR="003A591D" w:rsidRPr="00E85E42">
        <w:rPr>
          <w:sz w:val="26"/>
          <w:szCs w:val="26"/>
        </w:rPr>
        <w:t>have consistently</w:t>
      </w:r>
      <w:r w:rsidRPr="00E85E42">
        <w:rPr>
          <w:sz w:val="26"/>
          <w:szCs w:val="26"/>
        </w:rPr>
        <w:t xml:space="preserve"> refused to regulate utility market prices.  As we stated in </w:t>
      </w:r>
      <w:r w:rsidRPr="00E85E42">
        <w:rPr>
          <w:i/>
          <w:sz w:val="26"/>
          <w:szCs w:val="26"/>
        </w:rPr>
        <w:t>Pa. PUC v. The York Water Company</w:t>
      </w:r>
      <w:r w:rsidRPr="00E85E42">
        <w:rPr>
          <w:sz w:val="26"/>
          <w:szCs w:val="26"/>
        </w:rPr>
        <w:t>, 62 Pa. P</w:t>
      </w:r>
      <w:r w:rsidR="00E4665F">
        <w:rPr>
          <w:sz w:val="26"/>
          <w:szCs w:val="26"/>
        </w:rPr>
        <w:t>.</w:t>
      </w:r>
      <w:r w:rsidRPr="00E85E42">
        <w:rPr>
          <w:sz w:val="26"/>
          <w:szCs w:val="26"/>
        </w:rPr>
        <w:t>U</w:t>
      </w:r>
      <w:r w:rsidR="00E4665F">
        <w:rPr>
          <w:sz w:val="26"/>
          <w:szCs w:val="26"/>
        </w:rPr>
        <w:t>.</w:t>
      </w:r>
      <w:r w:rsidRPr="00E85E42">
        <w:rPr>
          <w:sz w:val="26"/>
          <w:szCs w:val="26"/>
        </w:rPr>
        <w:t>C</w:t>
      </w:r>
      <w:r w:rsidR="00E4665F">
        <w:rPr>
          <w:sz w:val="26"/>
          <w:szCs w:val="26"/>
        </w:rPr>
        <w:t>.</w:t>
      </w:r>
      <w:r w:rsidRPr="00E85E42">
        <w:rPr>
          <w:sz w:val="26"/>
          <w:szCs w:val="26"/>
        </w:rPr>
        <w:t xml:space="preserve"> 459, 502 n. 24:</w:t>
      </w:r>
    </w:p>
    <w:p w14:paraId="368C09B9" w14:textId="77777777" w:rsidR="00E85E42" w:rsidRPr="00E85E42" w:rsidRDefault="00E85E42" w:rsidP="00B24187">
      <w:pPr>
        <w:widowControl/>
        <w:spacing w:line="360" w:lineRule="auto"/>
        <w:ind w:firstLine="720"/>
        <w:contextualSpacing/>
        <w:rPr>
          <w:sz w:val="26"/>
          <w:szCs w:val="26"/>
        </w:rPr>
      </w:pPr>
    </w:p>
    <w:p w14:paraId="355DDDAB" w14:textId="77777777" w:rsidR="00E85E42" w:rsidRPr="00E85E42" w:rsidRDefault="00E85E42" w:rsidP="00B24187">
      <w:pPr>
        <w:widowControl/>
        <w:spacing w:after="240"/>
        <w:ind w:left="1440" w:right="1440"/>
        <w:contextualSpacing/>
        <w:rPr>
          <w:iCs/>
          <w:sz w:val="26"/>
          <w:szCs w:val="26"/>
        </w:rPr>
      </w:pPr>
      <w:r w:rsidRPr="00E85E42">
        <w:rPr>
          <w:iCs/>
          <w:sz w:val="26"/>
          <w:szCs w:val="26"/>
        </w:rPr>
        <w:t>We have noted that at transcript page 437, Mr. Rothschild stated that it is his view that the Commission has the “responsibility to converge book value and market price….” (T</w:t>
      </w:r>
      <w:r w:rsidR="00E4665F">
        <w:rPr>
          <w:iCs/>
          <w:sz w:val="26"/>
          <w:szCs w:val="26"/>
        </w:rPr>
        <w:t>r</w:t>
      </w:r>
      <w:r w:rsidRPr="00E85E42">
        <w:rPr>
          <w:iCs/>
          <w:sz w:val="26"/>
          <w:szCs w:val="26"/>
        </w:rPr>
        <w:t>. 437)</w:t>
      </w:r>
      <w:r w:rsidR="00F61204">
        <w:rPr>
          <w:iCs/>
          <w:sz w:val="26"/>
          <w:szCs w:val="26"/>
        </w:rPr>
        <w:t>.</w:t>
      </w:r>
      <w:r w:rsidRPr="00E85E42">
        <w:rPr>
          <w:iCs/>
          <w:sz w:val="26"/>
          <w:szCs w:val="26"/>
        </w:rPr>
        <w:t xml:space="preserve">  We have in the past repeatedly refused to attempt to manipulate the market to book ratio through our determination of the cost of common equity.</w:t>
      </w:r>
    </w:p>
    <w:p w14:paraId="6D0DAC54" w14:textId="77777777" w:rsidR="00E85E42" w:rsidRPr="00E85E42" w:rsidRDefault="00E85E42" w:rsidP="00B24187">
      <w:pPr>
        <w:widowControl/>
        <w:spacing w:line="360" w:lineRule="auto"/>
        <w:contextualSpacing/>
        <w:rPr>
          <w:sz w:val="26"/>
          <w:szCs w:val="26"/>
        </w:rPr>
      </w:pPr>
    </w:p>
    <w:p w14:paraId="40991019" w14:textId="77777777" w:rsidR="00E85E42" w:rsidRPr="00E85E42" w:rsidRDefault="00E85E42" w:rsidP="00B24187">
      <w:pPr>
        <w:widowControl/>
        <w:spacing w:line="360" w:lineRule="auto"/>
        <w:contextualSpacing/>
        <w:rPr>
          <w:sz w:val="26"/>
          <w:szCs w:val="26"/>
        </w:rPr>
      </w:pPr>
      <w:r w:rsidRPr="00E85E42">
        <w:rPr>
          <w:sz w:val="26"/>
          <w:szCs w:val="26"/>
        </w:rPr>
        <w:t xml:space="preserve">Likewise, here, we reject the arguments of I&amp;E and the OSBA that we should examine the purchase price of the Proposed Transaction, as well as their associated arguments that the purchase price will have a detrimental effect on ratepayers.  The Settlement provides that no equity or debt issued to finance the acquisition premium or goodwill will be included in the ratemaking capital structure of either Aqua PA or the Peoples Companies.  The Settlement also states that all goodwill associated with the Proposed Transaction will be permanently excluded from the base rates of Aqua America’s Pennsylvania utility </w:t>
      </w:r>
      <w:r w:rsidRPr="00E85E42">
        <w:rPr>
          <w:sz w:val="26"/>
          <w:szCs w:val="26"/>
        </w:rPr>
        <w:lastRenderedPageBreak/>
        <w:t xml:space="preserve">subsidiaries.  Settlement at ¶¶ 45, 54.  In addition, the record confirms the assertions of the Joint Applicants that the premium to book value being paid in the Proposed Transaction is consistent with other recent utility transactions and that the increased goodwill experienced by Aqua America is within the range of increased goodwill experienced in other comparable acquisitions.  </w:t>
      </w:r>
      <w:r w:rsidRPr="00E85E42">
        <w:rPr>
          <w:i/>
          <w:iCs/>
          <w:sz w:val="26"/>
          <w:szCs w:val="26"/>
        </w:rPr>
        <w:t>See</w:t>
      </w:r>
      <w:r w:rsidRPr="00E85E42">
        <w:rPr>
          <w:sz w:val="26"/>
          <w:szCs w:val="26"/>
        </w:rPr>
        <w:t xml:space="preserve"> Exhs.</w:t>
      </w:r>
      <w:r w:rsidRPr="00E85E42">
        <w:rPr>
          <w:i/>
          <w:iCs/>
          <w:sz w:val="26"/>
          <w:szCs w:val="26"/>
        </w:rPr>
        <w:t xml:space="preserve"> </w:t>
      </w:r>
      <w:r w:rsidRPr="00E85E42">
        <w:rPr>
          <w:sz w:val="26"/>
          <w:szCs w:val="26"/>
        </w:rPr>
        <w:t>DJS-2R and DJS-5R.  Therefore, we reach the same conclusions as ALJ Long that ratepayers will be adequately protected from the purchase price of the Proposed Transaction and that the negotiated purchase price and the premium above book value in the Proposed Transaction are consistent with market pricing.</w:t>
      </w:r>
    </w:p>
    <w:p w14:paraId="4B0B530B" w14:textId="77777777" w:rsidR="00E85E42" w:rsidRPr="00E85E42" w:rsidRDefault="00E85E42" w:rsidP="00B24187">
      <w:pPr>
        <w:widowControl/>
        <w:spacing w:after="200" w:line="360" w:lineRule="auto"/>
        <w:ind w:firstLine="1440"/>
        <w:contextualSpacing/>
        <w:rPr>
          <w:rFonts w:eastAsiaTheme="minorHAnsi"/>
          <w:sz w:val="26"/>
          <w:szCs w:val="26"/>
        </w:rPr>
      </w:pPr>
    </w:p>
    <w:p w14:paraId="0C7D9D2C" w14:textId="7777777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 xml:space="preserve">We also find no merit in the OSBA’s arguments in its Exceptions that the financial markets viewed the Proposed Transaction in a negative light.  First, as the ALJ noted, the OSBA’s arguments regarding the dip in Aqua America’s stock price following the announcement of the Proposed Transaction omit the subsequent rebound in the price thereafter.  Namely, the record indicates that as of April 25, 2019, Aqua America’s share price had outperformed the DJU by 2.2% since the announcement of the Proposed Transaction.  This includes having outperformed the DJU by 12.7% since the date of Aqua America’s share price low on November 8, 2018.  Joint Applicants St. 2-R at 16; Joint Applicants Exh. DJS-4R.  Second, as discussed above, Aqua America was able to finance the Proposed Transaction with less debt than initially anticipated.  The record illustrates that the public offering for this debt was more than four times the amount raised.  Joint Applicants St. 2-R at 12.  Thus, the record supports the Joint Applicants’ position that the market reacted favorably to the Proposed Transaction.  </w:t>
      </w:r>
    </w:p>
    <w:p w14:paraId="4A036219" w14:textId="77777777" w:rsidR="00E85E42" w:rsidRPr="00E85E42" w:rsidRDefault="00E85E42" w:rsidP="00B24187">
      <w:pPr>
        <w:widowControl/>
        <w:spacing w:after="200" w:line="360" w:lineRule="auto"/>
        <w:ind w:firstLine="1440"/>
        <w:contextualSpacing/>
        <w:rPr>
          <w:rFonts w:eastAsiaTheme="minorHAnsi"/>
          <w:sz w:val="26"/>
          <w:szCs w:val="26"/>
        </w:rPr>
      </w:pPr>
    </w:p>
    <w:p w14:paraId="7ED72D00" w14:textId="7777777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 xml:space="preserve">Further, we echo the OCA’s statement that the commitments the Joint Applicants made in the Settlement regarding the financing of the Proposed Transaction demonstrate that Aqua America has a concrete plan to do so in a fiscally responsible manner.  Namely, as outlined above, the Joint Applicants committed to finance the Proposed Transaction with at least fifty percent equity and to establish maximum debt </w:t>
      </w:r>
      <w:r w:rsidRPr="00E85E42">
        <w:rPr>
          <w:rFonts w:eastAsiaTheme="minorHAnsi"/>
          <w:sz w:val="26"/>
          <w:szCs w:val="26"/>
        </w:rPr>
        <w:lastRenderedPageBreak/>
        <w:t>ratios for at least five years post-closing of no more than fifty percent.  In our view, Aqua America’s financing plan is in the public interest.</w:t>
      </w:r>
    </w:p>
    <w:p w14:paraId="1FE643A0" w14:textId="77777777" w:rsidR="00E85E42" w:rsidRPr="00E85E42" w:rsidRDefault="00E85E42" w:rsidP="00B24187">
      <w:pPr>
        <w:widowControl/>
        <w:spacing w:after="200" w:line="360" w:lineRule="auto"/>
        <w:ind w:firstLine="1440"/>
        <w:contextualSpacing/>
        <w:rPr>
          <w:rFonts w:eastAsiaTheme="minorHAnsi"/>
          <w:sz w:val="26"/>
          <w:szCs w:val="26"/>
        </w:rPr>
      </w:pPr>
    </w:p>
    <w:p w14:paraId="5FBD16E2" w14:textId="77777777" w:rsidR="00E85E42" w:rsidRPr="00E85E42" w:rsidRDefault="00E85E42" w:rsidP="00C85B04">
      <w:pPr>
        <w:keepNext/>
        <w:keepLines/>
        <w:widowControl/>
        <w:spacing w:after="200" w:line="360" w:lineRule="auto"/>
        <w:ind w:left="2880" w:hanging="720"/>
        <w:contextualSpacing/>
        <w:rPr>
          <w:rFonts w:eastAsiaTheme="minorHAnsi"/>
          <w:b/>
          <w:bCs/>
          <w:sz w:val="26"/>
          <w:szCs w:val="26"/>
        </w:rPr>
      </w:pPr>
      <w:r w:rsidRPr="00E85E42">
        <w:rPr>
          <w:rFonts w:eastAsiaTheme="minorHAnsi"/>
          <w:b/>
          <w:bCs/>
          <w:sz w:val="26"/>
          <w:szCs w:val="26"/>
        </w:rPr>
        <w:t>(</w:t>
      </w:r>
      <w:r w:rsidR="00CA6ECA">
        <w:rPr>
          <w:rFonts w:eastAsiaTheme="minorHAnsi"/>
          <w:b/>
          <w:bCs/>
          <w:sz w:val="26"/>
          <w:szCs w:val="26"/>
        </w:rPr>
        <w:t>3</w:t>
      </w:r>
      <w:r w:rsidRPr="00E85E42">
        <w:rPr>
          <w:rFonts w:eastAsiaTheme="minorHAnsi"/>
          <w:b/>
          <w:bCs/>
          <w:sz w:val="26"/>
          <w:szCs w:val="26"/>
        </w:rPr>
        <w:t>)</w:t>
      </w:r>
      <w:r w:rsidRPr="00E85E42">
        <w:rPr>
          <w:rFonts w:eastAsiaTheme="minorHAnsi"/>
          <w:b/>
          <w:bCs/>
          <w:sz w:val="26"/>
          <w:szCs w:val="26"/>
        </w:rPr>
        <w:tab/>
        <w:t>Financial Safeguards in the Settlement</w:t>
      </w:r>
    </w:p>
    <w:p w14:paraId="7423BA0F" w14:textId="77777777" w:rsidR="00E85E42" w:rsidRPr="00E85E42" w:rsidRDefault="00E85E42" w:rsidP="00C85B04">
      <w:pPr>
        <w:keepNext/>
        <w:keepLines/>
        <w:widowControl/>
        <w:spacing w:after="200" w:line="360" w:lineRule="auto"/>
        <w:ind w:firstLine="1440"/>
        <w:contextualSpacing/>
        <w:rPr>
          <w:rFonts w:eastAsiaTheme="minorHAnsi"/>
          <w:sz w:val="26"/>
          <w:szCs w:val="26"/>
        </w:rPr>
      </w:pPr>
    </w:p>
    <w:p w14:paraId="19A5C91D" w14:textId="77777777" w:rsidR="00E85E42" w:rsidRPr="00E85E42" w:rsidRDefault="00E85E42" w:rsidP="00C85B04">
      <w:pPr>
        <w:keepNext/>
        <w:widowControl/>
        <w:spacing w:after="200" w:line="360" w:lineRule="auto"/>
        <w:ind w:firstLine="1440"/>
        <w:contextualSpacing/>
        <w:rPr>
          <w:rFonts w:eastAsiaTheme="minorHAnsi"/>
          <w:sz w:val="26"/>
          <w:szCs w:val="26"/>
        </w:rPr>
      </w:pPr>
      <w:r w:rsidRPr="00E85E42">
        <w:rPr>
          <w:rFonts w:eastAsiaTheme="minorHAnsi"/>
          <w:sz w:val="26"/>
          <w:szCs w:val="26"/>
        </w:rPr>
        <w:t xml:space="preserve">Before concluding this section of our Opinion and Order, we note that Paragraphs 41 through 67 of the Settlement, </w:t>
      </w:r>
      <w:r w:rsidRPr="00E85E42">
        <w:rPr>
          <w:rFonts w:eastAsiaTheme="minorHAnsi"/>
          <w:i/>
          <w:iCs/>
          <w:sz w:val="26"/>
          <w:szCs w:val="26"/>
        </w:rPr>
        <w:t>supra,</w:t>
      </w:r>
      <w:r w:rsidRPr="00E85E42">
        <w:rPr>
          <w:rFonts w:eastAsiaTheme="minorHAnsi"/>
          <w:sz w:val="26"/>
          <w:szCs w:val="26"/>
        </w:rPr>
        <w:t xml:space="preserve"> outline the financial safeguards the Joint Applicants committed to in the Settlement.  In her Recommended Decision, ALJ Long explained that neither I&amp;E nor the OSBA took issue with these provisions, except as addressed in their objections to the purchase price and financing of the Proposed Transaction.  The ALJ then discussed various provisions outlined in these Paragraphs of the Settlement.  The ALJ found that these commitments offer important protections and are in the public interest.  R.D. at 92-94.  No party excepted to this finding.  </w:t>
      </w:r>
    </w:p>
    <w:p w14:paraId="08211429" w14:textId="77777777" w:rsidR="00E85E42" w:rsidRPr="00E85E42" w:rsidRDefault="00E85E42" w:rsidP="00B24187">
      <w:pPr>
        <w:widowControl/>
        <w:spacing w:after="200" w:line="360" w:lineRule="auto"/>
        <w:ind w:firstLine="1440"/>
        <w:contextualSpacing/>
        <w:rPr>
          <w:rFonts w:eastAsiaTheme="minorHAnsi"/>
          <w:sz w:val="26"/>
          <w:szCs w:val="26"/>
        </w:rPr>
      </w:pPr>
    </w:p>
    <w:p w14:paraId="780F2C54" w14:textId="4F3116F8"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We find the ALJ’s finding reasonable.  Namely, our review of the financial safeguards in the Settlement indicates that there are a number of safeguards that are beneficial to customers.  Among these safeguards are</w:t>
      </w:r>
      <w:r w:rsidR="000F4469">
        <w:rPr>
          <w:rFonts w:eastAsiaTheme="minorHAnsi"/>
          <w:sz w:val="26"/>
          <w:szCs w:val="26"/>
        </w:rPr>
        <w:t>:</w:t>
      </w:r>
      <w:r w:rsidRPr="00E85E42">
        <w:rPr>
          <w:rFonts w:eastAsiaTheme="minorHAnsi"/>
          <w:sz w:val="26"/>
          <w:szCs w:val="26"/>
        </w:rPr>
        <w:t xml:space="preserve"> (1) the one-time $10 million rate credit to customers of the Peoples Companies and Aqua PA, separate and apart from the $13 million rate credit provided for the Peoples Companies’ customers in relation to the </w:t>
      </w:r>
      <w:r w:rsidR="000F4469">
        <w:rPr>
          <w:rFonts w:eastAsiaTheme="minorHAnsi"/>
          <w:sz w:val="26"/>
          <w:szCs w:val="26"/>
        </w:rPr>
        <w:t>Goodwin and Tombaugh Gathering</w:t>
      </w:r>
      <w:r w:rsidRPr="00E85E42">
        <w:rPr>
          <w:rFonts w:eastAsiaTheme="minorHAnsi"/>
          <w:sz w:val="26"/>
          <w:szCs w:val="26"/>
        </w:rPr>
        <w:t xml:space="preserve"> Systems</w:t>
      </w:r>
      <w:r w:rsidR="00B039A3">
        <w:rPr>
          <w:rFonts w:eastAsiaTheme="minorHAnsi"/>
          <w:sz w:val="26"/>
          <w:szCs w:val="26"/>
        </w:rPr>
        <w:t xml:space="preserve"> (GT Systems)</w:t>
      </w:r>
      <w:r w:rsidRPr="00E85E42">
        <w:rPr>
          <w:rFonts w:eastAsiaTheme="minorHAnsi"/>
          <w:sz w:val="26"/>
          <w:szCs w:val="26"/>
        </w:rPr>
        <w:t>; (2) the ring-fencing provisions</w:t>
      </w:r>
      <w:r w:rsidR="00451C25">
        <w:rPr>
          <w:rFonts w:eastAsiaTheme="minorHAnsi"/>
          <w:sz w:val="26"/>
          <w:szCs w:val="26"/>
        </w:rPr>
        <w:t>,</w:t>
      </w:r>
      <w:r w:rsidRPr="00E85E42">
        <w:rPr>
          <w:rFonts w:eastAsiaTheme="minorHAnsi"/>
          <w:sz w:val="26"/>
          <w:szCs w:val="26"/>
        </w:rPr>
        <w:t xml:space="preserve"> including the commitment of the Joint Applicants to operate the Peoples Companies and Aqua PA as separate corporate subsidiaries and to maintain separate financial statements pursuant to Commission requirements; (3) the agreement that no equity or debt issued to finance the acquisition premium or goodwill will be included in the ratemaking capital structure of either Aqua PA or the Peoples Companies; (4) the agreement that the Joint Applicants will notify the Commission of changes in credit ratings or metrics and that they will provide reasons for such changes and a rehabilitation plan thereto; (5) the commitment of Aqua America to finance the Proposed Transaction with at least fifty percent common equity and to maintain a debt ratio of no greater than </w:t>
      </w:r>
      <w:r w:rsidRPr="00E85E42">
        <w:rPr>
          <w:rFonts w:eastAsiaTheme="minorHAnsi"/>
          <w:sz w:val="26"/>
          <w:szCs w:val="26"/>
        </w:rPr>
        <w:lastRenderedPageBreak/>
        <w:t xml:space="preserve">fifty percent for at least five years post-closing; (6) the agreement that any transaction costs, transition costs, and termination fees associated with the Proposed Transaction will be shouldered by the Joint Applicants’ shareholders and not the customers of either utility and that such costs and fees will not be recovered in rates; (7) the commitments regarding the identification of tax impacts on the Peoples Companies resulting from post-merger participation in a federal consolidated tax return, and the assurance that the Proposed Transaction will not affect accounting and ratemaking treatments of the Peoples Companies ADIT, including excess deferred income taxes, accumulated deferred tax credits, and net operating losses; (8) the commitment of the Joint Applicants to investigate the feasibility of implementing a commercial paper program to provide a second, less expensive means of obtaining short-term debt for the Peoples Companies; and (9) the Commitment of Aqua America to continue to seek to acquire and rehabilitate troubled water and wastewater systems in the Commonwealth of Pennsylvania.  </w:t>
      </w:r>
    </w:p>
    <w:p w14:paraId="79247EA2" w14:textId="77777777" w:rsidR="00E85E42" w:rsidRPr="00E85E42" w:rsidRDefault="00E85E42" w:rsidP="00B24187">
      <w:pPr>
        <w:widowControl/>
        <w:spacing w:after="200" w:line="360" w:lineRule="auto"/>
        <w:ind w:firstLine="1440"/>
        <w:contextualSpacing/>
        <w:rPr>
          <w:rFonts w:eastAsiaTheme="minorHAnsi"/>
          <w:sz w:val="26"/>
          <w:szCs w:val="26"/>
        </w:rPr>
      </w:pPr>
    </w:p>
    <w:p w14:paraId="081B1141" w14:textId="77777777" w:rsidR="00E85E42" w:rsidRPr="00E85E42" w:rsidRDefault="00E85E42" w:rsidP="00B24187">
      <w:pPr>
        <w:widowControl/>
        <w:spacing w:after="200" w:line="360" w:lineRule="auto"/>
        <w:ind w:firstLine="1440"/>
        <w:contextualSpacing/>
        <w:rPr>
          <w:rFonts w:eastAsiaTheme="minorHAnsi"/>
          <w:sz w:val="26"/>
          <w:szCs w:val="26"/>
        </w:rPr>
      </w:pPr>
      <w:r w:rsidRPr="00E85E42">
        <w:rPr>
          <w:rFonts w:eastAsiaTheme="minorHAnsi"/>
          <w:sz w:val="26"/>
          <w:szCs w:val="26"/>
        </w:rPr>
        <w:t>For the reasons stated above and in the Settling Parties Statements in Support</w:t>
      </w:r>
      <w:r w:rsidR="005A29CF">
        <w:rPr>
          <w:rFonts w:eastAsiaTheme="minorHAnsi"/>
          <w:sz w:val="26"/>
          <w:szCs w:val="26"/>
        </w:rPr>
        <w:t xml:space="preserve"> of the Settlement</w:t>
      </w:r>
      <w:r w:rsidRPr="00E85E42">
        <w:rPr>
          <w:rFonts w:eastAsiaTheme="minorHAnsi"/>
          <w:sz w:val="26"/>
          <w:szCs w:val="26"/>
        </w:rPr>
        <w:t>, we agree with the ALJ’s conclusion that these financial safeguards offer important protections to ratepayers.  As such, we find that they constitute affirmative public benefits of the Proposed Transaction.  Further, we shall adopt the ALJ’s findings regarding the financial fitness of Aqua America and the purchase price and financing of the Proposed Transaction.  Accordingly, we shall deny I&amp;E’s Exception No. 1, as it relates to the financial fitness of Aqua America, as well as the OSBA’s Exception</w:t>
      </w:r>
      <w:r w:rsidR="00451C25">
        <w:rPr>
          <w:rFonts w:eastAsiaTheme="minorHAnsi"/>
          <w:sz w:val="26"/>
          <w:szCs w:val="26"/>
        </w:rPr>
        <w:t>s</w:t>
      </w:r>
      <w:r w:rsidRPr="00E85E42">
        <w:rPr>
          <w:rFonts w:eastAsiaTheme="minorHAnsi"/>
          <w:sz w:val="26"/>
          <w:szCs w:val="26"/>
        </w:rPr>
        <w:t xml:space="preserve"> Nos. 2, 3, and 4. </w:t>
      </w:r>
    </w:p>
    <w:p w14:paraId="4E912C9D" w14:textId="77777777" w:rsidR="00451C25" w:rsidRDefault="00451C25" w:rsidP="00B24187">
      <w:pPr>
        <w:widowControl/>
        <w:spacing w:line="360" w:lineRule="auto"/>
        <w:ind w:firstLine="1440"/>
        <w:contextualSpacing/>
        <w:rPr>
          <w:rFonts w:eastAsiaTheme="minorHAnsi"/>
          <w:sz w:val="26"/>
          <w:szCs w:val="26"/>
        </w:rPr>
      </w:pPr>
    </w:p>
    <w:p w14:paraId="3269621F" w14:textId="77777777" w:rsidR="00F7662E" w:rsidRPr="00F7662E" w:rsidRDefault="00F7662E" w:rsidP="006D2898">
      <w:pPr>
        <w:pStyle w:val="Heading3"/>
        <w:keepNext/>
        <w:ind w:left="1440" w:hanging="720"/>
      </w:pPr>
      <w:bookmarkStart w:id="46" w:name="_Toc29278191"/>
      <w:bookmarkEnd w:id="41"/>
      <w:r w:rsidRPr="00F7662E">
        <w:t>Legal Fitness</w:t>
      </w:r>
      <w:bookmarkEnd w:id="46"/>
      <w:r w:rsidRPr="00F7662E">
        <w:t xml:space="preserve"> </w:t>
      </w:r>
    </w:p>
    <w:p w14:paraId="0FE605FF" w14:textId="77777777" w:rsidR="00F7662E" w:rsidRPr="00F7662E" w:rsidRDefault="00F7662E" w:rsidP="006D2898">
      <w:pPr>
        <w:keepNext/>
        <w:widowControl/>
        <w:spacing w:line="360" w:lineRule="auto"/>
        <w:rPr>
          <w:sz w:val="26"/>
          <w:szCs w:val="26"/>
        </w:rPr>
      </w:pPr>
    </w:p>
    <w:p w14:paraId="0680CD19" w14:textId="5FF8C13A" w:rsidR="00F7662E" w:rsidRPr="00F7662E" w:rsidRDefault="00F7662E" w:rsidP="006D2898">
      <w:pPr>
        <w:keepNext/>
        <w:widowControl/>
        <w:spacing w:line="360" w:lineRule="auto"/>
        <w:rPr>
          <w:sz w:val="26"/>
          <w:szCs w:val="26"/>
        </w:rPr>
      </w:pPr>
      <w:r w:rsidRPr="00F7662E">
        <w:rPr>
          <w:sz w:val="26"/>
          <w:szCs w:val="26"/>
        </w:rPr>
        <w:tab/>
      </w:r>
      <w:r w:rsidRPr="00F7662E">
        <w:rPr>
          <w:sz w:val="26"/>
          <w:szCs w:val="26"/>
        </w:rPr>
        <w:tab/>
      </w:r>
      <w:r w:rsidR="00451C25">
        <w:rPr>
          <w:sz w:val="26"/>
          <w:szCs w:val="26"/>
        </w:rPr>
        <w:t>N</w:t>
      </w:r>
      <w:r w:rsidRPr="00F7662E">
        <w:rPr>
          <w:sz w:val="26"/>
          <w:szCs w:val="26"/>
        </w:rPr>
        <w:t>o party has challenged the legal fitness of Aqua America to operate the Peoples Companies before the ALJ</w:t>
      </w:r>
      <w:r w:rsidRPr="00F7662E">
        <w:rPr>
          <w:sz w:val="26"/>
          <w:szCs w:val="26"/>
          <w:vertAlign w:val="superscript"/>
        </w:rPr>
        <w:footnoteReference w:id="16"/>
      </w:r>
      <w:r w:rsidRPr="00F7662E">
        <w:rPr>
          <w:sz w:val="26"/>
          <w:szCs w:val="26"/>
        </w:rPr>
        <w:t xml:space="preserve"> or through the filing of Exceptions to the R.D.  The </w:t>
      </w:r>
      <w:r w:rsidRPr="00F7662E">
        <w:rPr>
          <w:sz w:val="26"/>
          <w:szCs w:val="26"/>
        </w:rPr>
        <w:lastRenderedPageBreak/>
        <w:t xml:space="preserve">ALJ appropriately noted that the Joint Applicants have demonstrated Aqua America’s and its subsidiaries’ culture of regulatory compliance that is anticipated to continue if the </w:t>
      </w:r>
      <w:r w:rsidR="00C07E3E">
        <w:rPr>
          <w:sz w:val="26"/>
          <w:szCs w:val="26"/>
        </w:rPr>
        <w:t xml:space="preserve">Joint </w:t>
      </w:r>
      <w:r w:rsidRPr="00F7662E">
        <w:rPr>
          <w:sz w:val="26"/>
          <w:szCs w:val="26"/>
        </w:rPr>
        <w:t xml:space="preserve">Application is granted.  R.D. at 40.  The ALJ also observed and we </w:t>
      </w:r>
      <w:r w:rsidR="003A591D" w:rsidRPr="00F7662E">
        <w:rPr>
          <w:sz w:val="26"/>
          <w:szCs w:val="26"/>
        </w:rPr>
        <w:t>agree</w:t>
      </w:r>
      <w:r w:rsidRPr="00F7662E">
        <w:rPr>
          <w:sz w:val="26"/>
          <w:szCs w:val="26"/>
        </w:rPr>
        <w:t xml:space="preserve"> that nothing in the Purchase Agreement disclosures suggests that there is a legal impediment to this Commission’s approval of the proposed transaction.  </w:t>
      </w:r>
      <w:r w:rsidRPr="00F7662E">
        <w:rPr>
          <w:i/>
          <w:iCs/>
          <w:sz w:val="26"/>
          <w:szCs w:val="26"/>
        </w:rPr>
        <w:t>Id</w:t>
      </w:r>
      <w:r w:rsidRPr="00F7662E">
        <w:rPr>
          <w:sz w:val="26"/>
          <w:szCs w:val="26"/>
        </w:rPr>
        <w:t>.  For these reasons, we find Aqua America to be legally fit to operate the Peoples Companies.</w:t>
      </w:r>
    </w:p>
    <w:p w14:paraId="1648FA2C" w14:textId="77777777" w:rsidR="00F7662E" w:rsidRDefault="00F7662E" w:rsidP="00B24187">
      <w:pPr>
        <w:widowControl/>
        <w:spacing w:line="360" w:lineRule="auto"/>
        <w:rPr>
          <w:sz w:val="26"/>
          <w:szCs w:val="26"/>
        </w:rPr>
      </w:pPr>
    </w:p>
    <w:p w14:paraId="08B22568" w14:textId="77777777" w:rsidR="00DE46D6" w:rsidRDefault="00625381" w:rsidP="006D2898">
      <w:pPr>
        <w:pStyle w:val="Heading2"/>
        <w:widowControl/>
        <w:numPr>
          <w:ilvl w:val="0"/>
          <w:numId w:val="26"/>
        </w:numPr>
        <w:ind w:hanging="720"/>
      </w:pPr>
      <w:bookmarkStart w:id="47" w:name="_Toc29278192"/>
      <w:bookmarkStart w:id="48" w:name="_Hlk25220580"/>
      <w:bookmarkStart w:id="49" w:name="_Hlk25220405"/>
      <w:r>
        <w:t>Benefits Identified in the Joint Application and Settlement</w:t>
      </w:r>
      <w:bookmarkEnd w:id="47"/>
    </w:p>
    <w:bookmarkEnd w:id="48"/>
    <w:p w14:paraId="3551BBD5" w14:textId="77777777" w:rsidR="0098344B" w:rsidRPr="0098344B" w:rsidRDefault="0098344B" w:rsidP="006D2898">
      <w:pPr>
        <w:keepNext/>
        <w:widowControl/>
        <w:spacing w:line="360" w:lineRule="auto"/>
        <w:rPr>
          <w:sz w:val="26"/>
          <w:szCs w:val="26"/>
        </w:rPr>
      </w:pPr>
    </w:p>
    <w:p w14:paraId="1B9FA4EF" w14:textId="77777777" w:rsidR="00C718FD" w:rsidRPr="00D427DC" w:rsidRDefault="00C718FD" w:rsidP="006D2898">
      <w:pPr>
        <w:pStyle w:val="Heading3"/>
        <w:keepNext/>
        <w:numPr>
          <w:ilvl w:val="0"/>
          <w:numId w:val="27"/>
        </w:numPr>
        <w:ind w:left="1440" w:hanging="720"/>
      </w:pPr>
      <w:bookmarkStart w:id="50" w:name="_Toc29278193"/>
      <w:r w:rsidRPr="00D427DC">
        <w:t>Goodwin and Tomb</w:t>
      </w:r>
      <w:r w:rsidR="00AC438C">
        <w:t>a</w:t>
      </w:r>
      <w:r w:rsidRPr="00D427DC">
        <w:t>ugh Gathering Systems</w:t>
      </w:r>
      <w:bookmarkEnd w:id="50"/>
      <w:r w:rsidR="00CD5356">
        <w:t xml:space="preserve"> </w:t>
      </w:r>
    </w:p>
    <w:p w14:paraId="56873466" w14:textId="77777777" w:rsidR="00C718FD" w:rsidRPr="004B2DAF" w:rsidRDefault="00C718FD" w:rsidP="006D2898">
      <w:pPr>
        <w:keepNext/>
        <w:widowControl/>
        <w:spacing w:line="360" w:lineRule="auto"/>
        <w:rPr>
          <w:sz w:val="26"/>
          <w:szCs w:val="26"/>
        </w:rPr>
      </w:pPr>
    </w:p>
    <w:p w14:paraId="1BF20326" w14:textId="77777777" w:rsidR="004B2DAF" w:rsidRPr="004B2DAF" w:rsidRDefault="00BF05B1" w:rsidP="006D2898">
      <w:pPr>
        <w:pStyle w:val="Heading4"/>
        <w:widowControl/>
        <w:numPr>
          <w:ilvl w:val="0"/>
          <w:numId w:val="28"/>
        </w:numPr>
        <w:ind w:left="2160" w:hanging="720"/>
      </w:pPr>
      <w:bookmarkStart w:id="51" w:name="_Toc29278194"/>
      <w:r>
        <w:t xml:space="preserve">Background and </w:t>
      </w:r>
      <w:r w:rsidR="004B2DAF">
        <w:t xml:space="preserve">Description of the </w:t>
      </w:r>
      <w:r w:rsidR="00CD5356">
        <w:t>G/T</w:t>
      </w:r>
      <w:r w:rsidR="004B2DAF">
        <w:t xml:space="preserve"> Systems</w:t>
      </w:r>
      <w:bookmarkEnd w:id="51"/>
    </w:p>
    <w:p w14:paraId="2E6F9755" w14:textId="77777777" w:rsidR="004B2DAF" w:rsidRDefault="004B2DAF" w:rsidP="006D2898">
      <w:pPr>
        <w:keepNext/>
        <w:widowControl/>
        <w:spacing w:line="360" w:lineRule="auto"/>
        <w:rPr>
          <w:sz w:val="26"/>
          <w:szCs w:val="26"/>
        </w:rPr>
      </w:pPr>
    </w:p>
    <w:p w14:paraId="0A0D5925" w14:textId="414AEB5F" w:rsidR="004B2DAF" w:rsidRDefault="00936E5A" w:rsidP="006D2898">
      <w:pPr>
        <w:keepNext/>
        <w:widowControl/>
        <w:spacing w:line="360" w:lineRule="auto"/>
        <w:ind w:firstLine="1440"/>
        <w:rPr>
          <w:sz w:val="26"/>
          <w:szCs w:val="26"/>
        </w:rPr>
      </w:pPr>
      <w:r>
        <w:rPr>
          <w:sz w:val="26"/>
          <w:szCs w:val="26"/>
        </w:rPr>
        <w:t>The G/T Systems are primarily gathering systems</w:t>
      </w:r>
      <w:r w:rsidR="00F41F29">
        <w:rPr>
          <w:sz w:val="26"/>
          <w:szCs w:val="26"/>
        </w:rPr>
        <w:t>, located in Greene and Washington Counties,</w:t>
      </w:r>
      <w:r w:rsidR="00CB33EE">
        <w:rPr>
          <w:sz w:val="26"/>
          <w:szCs w:val="26"/>
        </w:rPr>
        <w:t xml:space="preserve"> developed to aggregate, or collect, producer supplies from individual wells for subsequent delivery to the </w:t>
      </w:r>
      <w:r w:rsidR="002F7E2F">
        <w:rPr>
          <w:sz w:val="26"/>
          <w:szCs w:val="26"/>
        </w:rPr>
        <w:t>NGDC</w:t>
      </w:r>
      <w:r w:rsidR="00770762">
        <w:rPr>
          <w:sz w:val="26"/>
          <w:szCs w:val="26"/>
        </w:rPr>
        <w:t>’s</w:t>
      </w:r>
      <w:r w:rsidR="00CB33EE">
        <w:rPr>
          <w:sz w:val="26"/>
          <w:szCs w:val="26"/>
        </w:rPr>
        <w:t xml:space="preserve"> distribution system.</w:t>
      </w:r>
      <w:r w:rsidR="0075445A">
        <w:rPr>
          <w:sz w:val="26"/>
          <w:szCs w:val="26"/>
        </w:rPr>
        <w:t xml:space="preserve"> </w:t>
      </w:r>
      <w:r w:rsidR="00CB33EE">
        <w:rPr>
          <w:sz w:val="26"/>
          <w:szCs w:val="26"/>
        </w:rPr>
        <w:t xml:space="preserve"> </w:t>
      </w:r>
      <w:r w:rsidR="00D427DC">
        <w:rPr>
          <w:sz w:val="26"/>
          <w:szCs w:val="26"/>
        </w:rPr>
        <w:t xml:space="preserve">Frequently, there are customers of </w:t>
      </w:r>
      <w:r w:rsidR="009035AD">
        <w:rPr>
          <w:sz w:val="26"/>
          <w:szCs w:val="26"/>
        </w:rPr>
        <w:t>a natural gas distribution company</w:t>
      </w:r>
      <w:r w:rsidR="00D427DC">
        <w:rPr>
          <w:sz w:val="26"/>
          <w:szCs w:val="26"/>
        </w:rPr>
        <w:t xml:space="preserve"> located near a gathering system who are served directly from the gathering system.</w:t>
      </w:r>
      <w:r w:rsidR="009035AD">
        <w:rPr>
          <w:sz w:val="26"/>
          <w:szCs w:val="26"/>
        </w:rPr>
        <w:t xml:space="preserve">  </w:t>
      </w:r>
      <w:r w:rsidR="0075445A">
        <w:rPr>
          <w:sz w:val="26"/>
          <w:szCs w:val="26"/>
        </w:rPr>
        <w:t xml:space="preserve">Over time natural gas production on the G/T Systems has declined, and the producer supplies became insufficient to meet the requirements of the customers served by the G/T Systems.  To meet customer requirements, interstate pipeline interconnects were built to provide additional supplies to customers served by the G/T Systems.  </w:t>
      </w:r>
    </w:p>
    <w:p w14:paraId="3D219BEF" w14:textId="77777777" w:rsidR="008642EC" w:rsidRDefault="008642EC" w:rsidP="00B24187">
      <w:pPr>
        <w:widowControl/>
        <w:spacing w:line="360" w:lineRule="auto"/>
        <w:ind w:firstLine="1440"/>
        <w:rPr>
          <w:sz w:val="26"/>
          <w:szCs w:val="26"/>
        </w:rPr>
      </w:pPr>
    </w:p>
    <w:p w14:paraId="4D680234" w14:textId="77777777" w:rsidR="008642EC" w:rsidRDefault="008642EC" w:rsidP="00B24187">
      <w:pPr>
        <w:widowControl/>
        <w:spacing w:line="360" w:lineRule="auto"/>
        <w:ind w:firstLine="1440"/>
        <w:rPr>
          <w:sz w:val="26"/>
          <w:szCs w:val="26"/>
        </w:rPr>
      </w:pPr>
      <w:r>
        <w:rPr>
          <w:sz w:val="26"/>
          <w:szCs w:val="26"/>
        </w:rPr>
        <w:t xml:space="preserve">The Joint Applicants </w:t>
      </w:r>
      <w:r w:rsidR="00CD5356">
        <w:rPr>
          <w:sz w:val="26"/>
          <w:szCs w:val="26"/>
        </w:rPr>
        <w:t>described the G/T Systems as follows:</w:t>
      </w:r>
    </w:p>
    <w:p w14:paraId="2A2971B0" w14:textId="77777777" w:rsidR="00D64746" w:rsidRDefault="00D64746" w:rsidP="00B24187">
      <w:pPr>
        <w:widowControl/>
        <w:ind w:left="1440" w:right="1440" w:firstLine="720"/>
        <w:rPr>
          <w:sz w:val="26"/>
          <w:szCs w:val="26"/>
        </w:rPr>
      </w:pPr>
    </w:p>
    <w:p w14:paraId="12FB3CE4" w14:textId="132783C7" w:rsidR="004B2DAF" w:rsidRDefault="005E367C" w:rsidP="00B24187">
      <w:pPr>
        <w:widowControl/>
        <w:ind w:left="1440" w:right="1440" w:firstLine="720"/>
        <w:rPr>
          <w:sz w:val="26"/>
          <w:szCs w:val="26"/>
        </w:rPr>
      </w:pPr>
      <w:r w:rsidRPr="005E367C">
        <w:rPr>
          <w:sz w:val="26"/>
          <w:szCs w:val="26"/>
        </w:rPr>
        <w:t>The combined systems, when acquired, included 374 miles of pipelines.</w:t>
      </w:r>
      <w:r>
        <w:rPr>
          <w:sz w:val="26"/>
          <w:szCs w:val="26"/>
        </w:rPr>
        <w:t xml:space="preserve">  </w:t>
      </w:r>
      <w:r w:rsidRPr="005E367C">
        <w:rPr>
          <w:sz w:val="26"/>
          <w:szCs w:val="26"/>
        </w:rPr>
        <w:t>Those gathering lines also supply natural gas</w:t>
      </w:r>
      <w:r>
        <w:rPr>
          <w:sz w:val="26"/>
          <w:szCs w:val="26"/>
        </w:rPr>
        <w:t xml:space="preserve"> </w:t>
      </w:r>
      <w:r w:rsidRPr="005E367C">
        <w:rPr>
          <w:sz w:val="26"/>
          <w:szCs w:val="26"/>
        </w:rPr>
        <w:t>directly to various small distribution</w:t>
      </w:r>
      <w:r>
        <w:rPr>
          <w:sz w:val="26"/>
          <w:szCs w:val="26"/>
        </w:rPr>
        <w:t xml:space="preserve"> </w:t>
      </w:r>
      <w:r w:rsidRPr="005E367C">
        <w:rPr>
          <w:sz w:val="26"/>
          <w:szCs w:val="26"/>
        </w:rPr>
        <w:t>areas that consist of 23 miles of distribution pipelines.</w:t>
      </w:r>
      <w:r>
        <w:rPr>
          <w:sz w:val="26"/>
          <w:szCs w:val="26"/>
        </w:rPr>
        <w:t xml:space="preserve"> </w:t>
      </w:r>
      <w:r w:rsidRPr="005E367C">
        <w:rPr>
          <w:sz w:val="26"/>
          <w:szCs w:val="26"/>
        </w:rPr>
        <w:t xml:space="preserve"> Since December of 2013,</w:t>
      </w:r>
      <w:r>
        <w:rPr>
          <w:sz w:val="26"/>
          <w:szCs w:val="26"/>
        </w:rPr>
        <w:t xml:space="preserve"> </w:t>
      </w:r>
      <w:r w:rsidRPr="005E367C">
        <w:rPr>
          <w:sz w:val="26"/>
          <w:szCs w:val="26"/>
        </w:rPr>
        <w:t>the Company retired 8 miles of bare steel gathering lines and</w:t>
      </w:r>
      <w:r>
        <w:rPr>
          <w:sz w:val="26"/>
          <w:szCs w:val="26"/>
        </w:rPr>
        <w:t xml:space="preserve"> </w:t>
      </w:r>
      <w:r w:rsidRPr="005E367C">
        <w:rPr>
          <w:sz w:val="26"/>
          <w:szCs w:val="26"/>
        </w:rPr>
        <w:t>replaced a</w:t>
      </w:r>
      <w:r>
        <w:rPr>
          <w:sz w:val="26"/>
          <w:szCs w:val="26"/>
        </w:rPr>
        <w:t xml:space="preserve"> </w:t>
      </w:r>
      <w:r w:rsidRPr="005E367C">
        <w:rPr>
          <w:sz w:val="26"/>
          <w:szCs w:val="26"/>
        </w:rPr>
        <w:t>total of 2</w:t>
      </w:r>
      <w:r>
        <w:rPr>
          <w:sz w:val="26"/>
          <w:szCs w:val="26"/>
        </w:rPr>
        <w:t xml:space="preserve"> </w:t>
      </w:r>
      <w:r w:rsidRPr="005E367C">
        <w:rPr>
          <w:sz w:val="26"/>
          <w:szCs w:val="26"/>
        </w:rPr>
        <w:t xml:space="preserve">miles of bare steel gathering pipelines in </w:t>
      </w:r>
      <w:r w:rsidRPr="005E367C">
        <w:rPr>
          <w:sz w:val="26"/>
          <w:szCs w:val="26"/>
        </w:rPr>
        <w:lastRenderedPageBreak/>
        <w:t>situations where repairs were not</w:t>
      </w:r>
      <w:r>
        <w:rPr>
          <w:sz w:val="26"/>
          <w:szCs w:val="26"/>
        </w:rPr>
        <w:t xml:space="preserve"> </w:t>
      </w:r>
      <w:r w:rsidRPr="005E367C">
        <w:rPr>
          <w:sz w:val="26"/>
          <w:szCs w:val="26"/>
        </w:rPr>
        <w:t>feasible.</w:t>
      </w:r>
      <w:r>
        <w:rPr>
          <w:sz w:val="26"/>
          <w:szCs w:val="26"/>
        </w:rPr>
        <w:t xml:space="preserve"> </w:t>
      </w:r>
      <w:r w:rsidRPr="005E367C">
        <w:rPr>
          <w:sz w:val="26"/>
          <w:szCs w:val="26"/>
        </w:rPr>
        <w:t xml:space="preserve"> As of today</w:t>
      </w:r>
      <w:r w:rsidR="00BB1187">
        <w:rPr>
          <w:sz w:val="26"/>
          <w:szCs w:val="26"/>
        </w:rPr>
        <w:t>,</w:t>
      </w:r>
      <w:r w:rsidRPr="005E367C">
        <w:rPr>
          <w:sz w:val="26"/>
          <w:szCs w:val="26"/>
        </w:rPr>
        <w:t xml:space="preserve"> there are 391 total miles of pipelines in those systems, 314</w:t>
      </w:r>
      <w:r>
        <w:rPr>
          <w:sz w:val="26"/>
          <w:szCs w:val="26"/>
        </w:rPr>
        <w:t xml:space="preserve"> </w:t>
      </w:r>
      <w:r w:rsidRPr="005E367C">
        <w:rPr>
          <w:sz w:val="26"/>
          <w:szCs w:val="26"/>
        </w:rPr>
        <w:t xml:space="preserve">miles of which are bare/unprotected gathering pipelines. </w:t>
      </w:r>
      <w:r>
        <w:rPr>
          <w:sz w:val="26"/>
          <w:szCs w:val="26"/>
        </w:rPr>
        <w:t xml:space="preserve"> </w:t>
      </w:r>
      <w:r w:rsidRPr="005E367C">
        <w:rPr>
          <w:sz w:val="26"/>
          <w:szCs w:val="26"/>
        </w:rPr>
        <w:t>Also, there</w:t>
      </w:r>
      <w:r>
        <w:rPr>
          <w:sz w:val="26"/>
          <w:szCs w:val="26"/>
        </w:rPr>
        <w:t xml:space="preserve"> </w:t>
      </w:r>
      <w:r w:rsidRPr="005E367C">
        <w:rPr>
          <w:sz w:val="26"/>
          <w:szCs w:val="26"/>
        </w:rPr>
        <w:t>are a total of</w:t>
      </w:r>
      <w:r>
        <w:rPr>
          <w:sz w:val="26"/>
          <w:szCs w:val="26"/>
        </w:rPr>
        <w:t xml:space="preserve"> </w:t>
      </w:r>
      <w:r w:rsidRPr="005E367C">
        <w:rPr>
          <w:sz w:val="26"/>
          <w:szCs w:val="26"/>
        </w:rPr>
        <w:t>1,695 customers served off</w:t>
      </w:r>
      <w:r>
        <w:rPr>
          <w:sz w:val="26"/>
          <w:szCs w:val="26"/>
        </w:rPr>
        <w:t xml:space="preserve"> </w:t>
      </w:r>
      <w:r w:rsidRPr="005E367C">
        <w:rPr>
          <w:sz w:val="26"/>
          <w:szCs w:val="26"/>
        </w:rPr>
        <w:t xml:space="preserve">of these gathering systems. </w:t>
      </w:r>
      <w:r>
        <w:rPr>
          <w:sz w:val="26"/>
          <w:szCs w:val="26"/>
        </w:rPr>
        <w:t xml:space="preserve"> </w:t>
      </w:r>
      <w:r w:rsidRPr="005E367C">
        <w:rPr>
          <w:sz w:val="26"/>
          <w:szCs w:val="26"/>
        </w:rPr>
        <w:t>Included in this customer</w:t>
      </w:r>
      <w:r>
        <w:rPr>
          <w:sz w:val="26"/>
          <w:szCs w:val="26"/>
        </w:rPr>
        <w:t xml:space="preserve"> </w:t>
      </w:r>
      <w:r w:rsidRPr="005E367C">
        <w:rPr>
          <w:sz w:val="26"/>
          <w:szCs w:val="26"/>
        </w:rPr>
        <w:t>count are 130 consumers that receive free gas from local producers under the</w:t>
      </w:r>
      <w:r>
        <w:rPr>
          <w:sz w:val="26"/>
          <w:szCs w:val="26"/>
        </w:rPr>
        <w:t xml:space="preserve"> </w:t>
      </w:r>
      <w:r w:rsidRPr="005E367C">
        <w:rPr>
          <w:sz w:val="26"/>
          <w:szCs w:val="26"/>
        </w:rPr>
        <w:t xml:space="preserve">terms of their natural gas leases. </w:t>
      </w:r>
      <w:r>
        <w:rPr>
          <w:sz w:val="26"/>
          <w:szCs w:val="26"/>
        </w:rPr>
        <w:t xml:space="preserve"> </w:t>
      </w:r>
      <w:r w:rsidRPr="005E367C">
        <w:rPr>
          <w:sz w:val="26"/>
          <w:szCs w:val="26"/>
        </w:rPr>
        <w:t>Lastly, the customers on these</w:t>
      </w:r>
      <w:r>
        <w:rPr>
          <w:sz w:val="26"/>
          <w:szCs w:val="26"/>
        </w:rPr>
        <w:t xml:space="preserve"> </w:t>
      </w:r>
      <w:r w:rsidRPr="005E367C">
        <w:rPr>
          <w:sz w:val="26"/>
          <w:szCs w:val="26"/>
        </w:rPr>
        <w:t>systems are</w:t>
      </w:r>
      <w:r>
        <w:rPr>
          <w:sz w:val="26"/>
          <w:szCs w:val="26"/>
        </w:rPr>
        <w:t xml:space="preserve"> </w:t>
      </w:r>
      <w:r w:rsidRPr="005E367C">
        <w:rPr>
          <w:sz w:val="26"/>
          <w:szCs w:val="26"/>
        </w:rPr>
        <w:t>supplied from 109 active producer supply taps, four interstate interconnects, and</w:t>
      </w:r>
      <w:r>
        <w:rPr>
          <w:sz w:val="26"/>
          <w:szCs w:val="26"/>
        </w:rPr>
        <w:t xml:space="preserve"> </w:t>
      </w:r>
      <w:r w:rsidRPr="005E367C">
        <w:rPr>
          <w:sz w:val="26"/>
          <w:szCs w:val="26"/>
        </w:rPr>
        <w:t>five Company interconnects.</w:t>
      </w:r>
    </w:p>
    <w:p w14:paraId="4B5BA309" w14:textId="77777777" w:rsidR="005E367C" w:rsidRDefault="005E367C" w:rsidP="00B24187">
      <w:pPr>
        <w:widowControl/>
        <w:spacing w:line="360" w:lineRule="auto"/>
        <w:rPr>
          <w:sz w:val="26"/>
          <w:szCs w:val="26"/>
        </w:rPr>
      </w:pPr>
    </w:p>
    <w:p w14:paraId="158A708E" w14:textId="77777777" w:rsidR="00EE5576" w:rsidRDefault="005E367C" w:rsidP="00B24187">
      <w:pPr>
        <w:widowControl/>
        <w:spacing w:line="360" w:lineRule="auto"/>
        <w:rPr>
          <w:sz w:val="26"/>
          <w:szCs w:val="26"/>
        </w:rPr>
      </w:pPr>
      <w:r>
        <w:rPr>
          <w:sz w:val="26"/>
          <w:szCs w:val="26"/>
        </w:rPr>
        <w:t>Joint Applicants St. 6-R at 4</w:t>
      </w:r>
      <w:r w:rsidR="00EE5576">
        <w:rPr>
          <w:sz w:val="26"/>
          <w:szCs w:val="26"/>
        </w:rPr>
        <w:t>.</w:t>
      </w:r>
    </w:p>
    <w:p w14:paraId="7B0CBAB8" w14:textId="77777777" w:rsidR="00D64746" w:rsidRDefault="00D64746" w:rsidP="00B24187">
      <w:pPr>
        <w:widowControl/>
        <w:spacing w:line="360" w:lineRule="auto"/>
        <w:rPr>
          <w:sz w:val="26"/>
          <w:szCs w:val="26"/>
        </w:rPr>
      </w:pPr>
    </w:p>
    <w:p w14:paraId="32641B75" w14:textId="77777777" w:rsidR="003540E2" w:rsidRDefault="00E84BD1" w:rsidP="00B24187">
      <w:pPr>
        <w:widowControl/>
        <w:spacing w:line="360" w:lineRule="auto"/>
        <w:ind w:firstLine="1440"/>
        <w:rPr>
          <w:sz w:val="26"/>
          <w:szCs w:val="26"/>
        </w:rPr>
      </w:pPr>
      <w:r>
        <w:rPr>
          <w:sz w:val="26"/>
          <w:szCs w:val="26"/>
        </w:rPr>
        <w:t>In</w:t>
      </w:r>
      <w:r w:rsidR="0056347B">
        <w:rPr>
          <w:sz w:val="26"/>
          <w:szCs w:val="26"/>
        </w:rPr>
        <w:t xml:space="preserve"> 2012, Equitable</w:t>
      </w:r>
      <w:r>
        <w:rPr>
          <w:sz w:val="26"/>
          <w:szCs w:val="26"/>
        </w:rPr>
        <w:t>, not yet a part of the Peoples Companies,</w:t>
      </w:r>
      <w:r w:rsidR="0056347B">
        <w:rPr>
          <w:sz w:val="26"/>
          <w:szCs w:val="26"/>
        </w:rPr>
        <w:t xml:space="preserve"> submitted a</w:t>
      </w:r>
      <w:r w:rsidR="002C1218">
        <w:rPr>
          <w:sz w:val="26"/>
          <w:szCs w:val="26"/>
        </w:rPr>
        <w:t xml:space="preserve"> filing</w:t>
      </w:r>
      <w:r w:rsidR="0056347B">
        <w:rPr>
          <w:sz w:val="26"/>
          <w:szCs w:val="26"/>
        </w:rPr>
        <w:t xml:space="preserve"> to the Commission seeking to acquire the G/T Systems</w:t>
      </w:r>
      <w:r>
        <w:rPr>
          <w:sz w:val="26"/>
          <w:szCs w:val="26"/>
        </w:rPr>
        <w:t xml:space="preserve"> from its unregulated affiliates, EQT Gathering</w:t>
      </w:r>
      <w:r w:rsidR="00B11459">
        <w:rPr>
          <w:sz w:val="26"/>
          <w:szCs w:val="26"/>
        </w:rPr>
        <w:t>, LLC (EQT Gathering)</w:t>
      </w:r>
      <w:r>
        <w:rPr>
          <w:sz w:val="26"/>
          <w:szCs w:val="26"/>
        </w:rPr>
        <w:t xml:space="preserve"> and Equitrans.</w:t>
      </w:r>
      <w:r w:rsidR="008549D1">
        <w:rPr>
          <w:rStyle w:val="FootnoteReference"/>
          <w:sz w:val="26"/>
          <w:szCs w:val="26"/>
        </w:rPr>
        <w:footnoteReference w:id="17"/>
      </w:r>
      <w:r w:rsidR="00AB4192">
        <w:rPr>
          <w:sz w:val="26"/>
          <w:szCs w:val="26"/>
        </w:rPr>
        <w:t xml:space="preserve">  </w:t>
      </w:r>
      <w:r w:rsidR="00AA47F0">
        <w:rPr>
          <w:sz w:val="26"/>
          <w:szCs w:val="26"/>
        </w:rPr>
        <w:t xml:space="preserve">In that proceeding, a non-unanimous settlement was reached; however, the settlement was denied in the ALJ’s Recommended Decision.  Equitable subsequently filed a Petition </w:t>
      </w:r>
      <w:r w:rsidR="00A73E1D">
        <w:rPr>
          <w:sz w:val="26"/>
          <w:szCs w:val="26"/>
        </w:rPr>
        <w:t>for</w:t>
      </w:r>
      <w:r w:rsidR="00AA47F0">
        <w:rPr>
          <w:sz w:val="26"/>
          <w:szCs w:val="26"/>
        </w:rPr>
        <w:t xml:space="preserve"> Leave to Withdraw the filing, </w:t>
      </w:r>
      <w:r w:rsidR="002F1A7D">
        <w:rPr>
          <w:sz w:val="26"/>
          <w:szCs w:val="26"/>
        </w:rPr>
        <w:t>with the intention of</w:t>
      </w:r>
      <w:r w:rsidR="00AA47F0">
        <w:rPr>
          <w:sz w:val="26"/>
          <w:szCs w:val="26"/>
        </w:rPr>
        <w:t xml:space="preserve"> alternatively consolidat</w:t>
      </w:r>
      <w:r w:rsidR="002F1A7D">
        <w:rPr>
          <w:sz w:val="26"/>
          <w:szCs w:val="26"/>
        </w:rPr>
        <w:t>ing</w:t>
      </w:r>
      <w:r w:rsidR="00AA47F0">
        <w:rPr>
          <w:sz w:val="26"/>
          <w:szCs w:val="26"/>
        </w:rPr>
        <w:t xml:space="preserve"> the proceeding with the soon-to-be filed </w:t>
      </w:r>
      <w:r w:rsidR="00622DAE">
        <w:rPr>
          <w:sz w:val="26"/>
          <w:szCs w:val="26"/>
        </w:rPr>
        <w:t xml:space="preserve">2013 </w:t>
      </w:r>
      <w:r w:rsidR="00F11061">
        <w:rPr>
          <w:sz w:val="26"/>
          <w:szCs w:val="26"/>
        </w:rPr>
        <w:t>M</w:t>
      </w:r>
      <w:r w:rsidR="00622DAE">
        <w:rPr>
          <w:sz w:val="26"/>
          <w:szCs w:val="26"/>
        </w:rPr>
        <w:t xml:space="preserve">erger </w:t>
      </w:r>
      <w:r w:rsidR="00F11061">
        <w:rPr>
          <w:sz w:val="26"/>
          <w:szCs w:val="26"/>
        </w:rPr>
        <w:t>A</w:t>
      </w:r>
      <w:r w:rsidR="00622DAE">
        <w:rPr>
          <w:sz w:val="26"/>
          <w:szCs w:val="26"/>
        </w:rPr>
        <w:t xml:space="preserve">pplication.  </w:t>
      </w:r>
    </w:p>
    <w:p w14:paraId="457E1FA9" w14:textId="77777777" w:rsidR="00B16D32" w:rsidRDefault="00B16D32" w:rsidP="00B24187">
      <w:pPr>
        <w:widowControl/>
        <w:spacing w:line="360" w:lineRule="auto"/>
        <w:ind w:firstLine="1440"/>
        <w:rPr>
          <w:sz w:val="26"/>
          <w:szCs w:val="26"/>
        </w:rPr>
      </w:pPr>
    </w:p>
    <w:p w14:paraId="12916D2A" w14:textId="77777777" w:rsidR="001313C3" w:rsidRDefault="001313C3" w:rsidP="00B24187">
      <w:pPr>
        <w:widowControl/>
        <w:spacing w:line="360" w:lineRule="auto"/>
        <w:ind w:firstLine="1440"/>
        <w:rPr>
          <w:sz w:val="26"/>
          <w:szCs w:val="26"/>
        </w:rPr>
      </w:pPr>
      <w:r>
        <w:rPr>
          <w:sz w:val="26"/>
          <w:szCs w:val="26"/>
        </w:rPr>
        <w:t>As explained above,</w:t>
      </w:r>
      <w:r w:rsidR="007E1C2E">
        <w:rPr>
          <w:sz w:val="26"/>
          <w:szCs w:val="26"/>
        </w:rPr>
        <w:t xml:space="preserve"> at the time</w:t>
      </w:r>
      <w:r>
        <w:rPr>
          <w:sz w:val="26"/>
          <w:szCs w:val="26"/>
        </w:rPr>
        <w:t xml:space="preserve"> the 2013 Merger Application was filed, the G/T Systems were owned by unregulated affiliates of Equitable,</w:t>
      </w:r>
      <w:r w:rsidR="00026F9D">
        <w:rPr>
          <w:sz w:val="26"/>
          <w:szCs w:val="26"/>
        </w:rPr>
        <w:t xml:space="preserve"> with Equitable being</w:t>
      </w:r>
      <w:r>
        <w:rPr>
          <w:sz w:val="26"/>
          <w:szCs w:val="26"/>
        </w:rPr>
        <w:t xml:space="preserve"> an indirect subsidiary of EQT Corporation (EQT).  </w:t>
      </w:r>
      <w:r w:rsidR="0099555A">
        <w:rPr>
          <w:sz w:val="26"/>
          <w:szCs w:val="26"/>
        </w:rPr>
        <w:t>As conditioned by the 2013 Equitable Settlement, the 2013 Merger Application was approved by the Commission</w:t>
      </w:r>
      <w:r w:rsidR="00F32598">
        <w:rPr>
          <w:sz w:val="26"/>
          <w:szCs w:val="26"/>
        </w:rPr>
        <w:t>, resulting in the acquisition of Equitable by PNG</w:t>
      </w:r>
      <w:r w:rsidR="00981B96">
        <w:rPr>
          <w:sz w:val="26"/>
          <w:szCs w:val="26"/>
        </w:rPr>
        <w:t>, along with the transfer of various assets between the Peoples Companies gas distribution subsidiaries of PNG and EQT</w:t>
      </w:r>
      <w:r w:rsidR="00F32598">
        <w:rPr>
          <w:sz w:val="26"/>
          <w:szCs w:val="26"/>
        </w:rPr>
        <w:t>.</w:t>
      </w:r>
      <w:r w:rsidR="006B61AC">
        <w:rPr>
          <w:sz w:val="26"/>
          <w:szCs w:val="26"/>
        </w:rPr>
        <w:t xml:space="preserve">  </w:t>
      </w:r>
      <w:r w:rsidR="00813589">
        <w:rPr>
          <w:sz w:val="26"/>
          <w:szCs w:val="26"/>
        </w:rPr>
        <w:t>The G/T Systems were a</w:t>
      </w:r>
      <w:r w:rsidR="00785FA3">
        <w:rPr>
          <w:sz w:val="26"/>
          <w:szCs w:val="26"/>
        </w:rPr>
        <w:t>mong</w:t>
      </w:r>
      <w:r w:rsidR="00981B96">
        <w:rPr>
          <w:sz w:val="26"/>
          <w:szCs w:val="26"/>
        </w:rPr>
        <w:t xml:space="preserve"> the assets transferred to the Peoples Companies</w:t>
      </w:r>
      <w:r w:rsidR="006B61AC">
        <w:rPr>
          <w:sz w:val="26"/>
          <w:szCs w:val="26"/>
        </w:rPr>
        <w:t xml:space="preserve"> through the Commission’s approval</w:t>
      </w:r>
      <w:r w:rsidR="00981B96">
        <w:rPr>
          <w:sz w:val="26"/>
          <w:szCs w:val="26"/>
        </w:rPr>
        <w:t xml:space="preserve"> </w:t>
      </w:r>
      <w:r w:rsidR="006B61AC">
        <w:rPr>
          <w:sz w:val="26"/>
          <w:szCs w:val="26"/>
        </w:rPr>
        <w:t>of the transaction</w:t>
      </w:r>
      <w:r w:rsidR="00981B96">
        <w:rPr>
          <w:sz w:val="26"/>
          <w:szCs w:val="26"/>
        </w:rPr>
        <w:t>.</w:t>
      </w:r>
      <w:r w:rsidR="00F32598">
        <w:rPr>
          <w:sz w:val="26"/>
          <w:szCs w:val="26"/>
        </w:rPr>
        <w:t xml:space="preserve">  </w:t>
      </w:r>
    </w:p>
    <w:p w14:paraId="7015A4C5" w14:textId="77777777" w:rsidR="001313C3" w:rsidRDefault="001313C3" w:rsidP="00B24187">
      <w:pPr>
        <w:widowControl/>
        <w:spacing w:line="360" w:lineRule="auto"/>
        <w:ind w:firstLine="1440"/>
        <w:rPr>
          <w:sz w:val="26"/>
          <w:szCs w:val="26"/>
        </w:rPr>
      </w:pPr>
    </w:p>
    <w:p w14:paraId="095F0278" w14:textId="6110F4AB" w:rsidR="004B2DAF" w:rsidRDefault="00435134" w:rsidP="00B24187">
      <w:pPr>
        <w:widowControl/>
        <w:spacing w:line="360" w:lineRule="auto"/>
        <w:ind w:firstLine="1440"/>
        <w:rPr>
          <w:sz w:val="26"/>
          <w:szCs w:val="26"/>
        </w:rPr>
      </w:pPr>
      <w:r>
        <w:rPr>
          <w:sz w:val="26"/>
          <w:szCs w:val="26"/>
        </w:rPr>
        <w:lastRenderedPageBreak/>
        <w:t>At the time the 2013 Merger Application was filed</w:t>
      </w:r>
      <w:r w:rsidR="00813589">
        <w:rPr>
          <w:sz w:val="26"/>
          <w:szCs w:val="26"/>
        </w:rPr>
        <w:t>,</w:t>
      </w:r>
      <w:r>
        <w:rPr>
          <w:sz w:val="26"/>
          <w:szCs w:val="26"/>
        </w:rPr>
        <w:t xml:space="preserve"> the G/T systems were in need of </w:t>
      </w:r>
      <w:r w:rsidR="00291ADD">
        <w:rPr>
          <w:sz w:val="26"/>
          <w:szCs w:val="26"/>
        </w:rPr>
        <w:t>remediation</w:t>
      </w:r>
      <w:r>
        <w:rPr>
          <w:sz w:val="26"/>
          <w:szCs w:val="26"/>
        </w:rPr>
        <w:t xml:space="preserve"> to address leaks and ensure safe and reliable service.  </w:t>
      </w:r>
      <w:r w:rsidR="00B22AE9">
        <w:rPr>
          <w:sz w:val="26"/>
          <w:szCs w:val="26"/>
        </w:rPr>
        <w:t xml:space="preserve">According to I&amp;E, in 2012, the </w:t>
      </w:r>
      <w:r w:rsidR="00813589">
        <w:rPr>
          <w:sz w:val="26"/>
          <w:szCs w:val="26"/>
        </w:rPr>
        <w:t xml:space="preserve">UFG levels for the </w:t>
      </w:r>
      <w:r w:rsidR="00B22AE9">
        <w:rPr>
          <w:sz w:val="26"/>
          <w:szCs w:val="26"/>
        </w:rPr>
        <w:t>Goodwin Gathering System was 83</w:t>
      </w:r>
      <w:r w:rsidR="005619CE">
        <w:rPr>
          <w:sz w:val="26"/>
          <w:szCs w:val="26"/>
        </w:rPr>
        <w:t>%</w:t>
      </w:r>
      <w:r w:rsidR="00B22AE9">
        <w:rPr>
          <w:sz w:val="26"/>
          <w:szCs w:val="26"/>
        </w:rPr>
        <w:t>, and the UFG level</w:t>
      </w:r>
      <w:r w:rsidR="00813589">
        <w:rPr>
          <w:sz w:val="26"/>
          <w:szCs w:val="26"/>
        </w:rPr>
        <w:t>s</w:t>
      </w:r>
      <w:r w:rsidR="00B22AE9">
        <w:rPr>
          <w:sz w:val="26"/>
          <w:szCs w:val="26"/>
        </w:rPr>
        <w:t xml:space="preserve"> for the Tombaugh System was 63</w:t>
      </w:r>
      <w:r w:rsidR="005619CE">
        <w:rPr>
          <w:sz w:val="26"/>
          <w:szCs w:val="26"/>
        </w:rPr>
        <w:t>%</w:t>
      </w:r>
      <w:r w:rsidR="00B22AE9">
        <w:rPr>
          <w:sz w:val="26"/>
          <w:szCs w:val="26"/>
        </w:rPr>
        <w:t xml:space="preserve">.  </w:t>
      </w:r>
      <w:r w:rsidR="00813589">
        <w:rPr>
          <w:sz w:val="26"/>
          <w:szCs w:val="26"/>
        </w:rPr>
        <w:t xml:space="preserve">2013 Equitable Settlement, I&amp;E Statement in Support at 16.  </w:t>
      </w:r>
      <w:r w:rsidR="00ED0142">
        <w:rPr>
          <w:sz w:val="26"/>
          <w:szCs w:val="26"/>
        </w:rPr>
        <w:t xml:space="preserve">At the time of the development of the evidentiary record in the instant proceeding, </w:t>
      </w:r>
      <w:r w:rsidR="00C039C7">
        <w:rPr>
          <w:sz w:val="26"/>
          <w:szCs w:val="26"/>
        </w:rPr>
        <w:t xml:space="preserve">the UFG levels for the Goodwin and Tombaugh Gathering Systems </w:t>
      </w:r>
      <w:r w:rsidR="008C0C4D">
        <w:rPr>
          <w:sz w:val="26"/>
          <w:szCs w:val="26"/>
        </w:rPr>
        <w:t>were</w:t>
      </w:r>
      <w:r w:rsidR="00C039C7">
        <w:rPr>
          <w:sz w:val="26"/>
          <w:szCs w:val="26"/>
        </w:rPr>
        <w:t xml:space="preserve"> 82 percent and 44 percent, respectively.</w:t>
      </w:r>
      <w:r w:rsidR="009B179A">
        <w:rPr>
          <w:rStyle w:val="FootnoteReference"/>
          <w:sz w:val="26"/>
          <w:szCs w:val="26"/>
        </w:rPr>
        <w:footnoteReference w:id="18"/>
      </w:r>
      <w:r w:rsidR="00C039C7">
        <w:rPr>
          <w:sz w:val="26"/>
          <w:szCs w:val="26"/>
        </w:rPr>
        <w:t xml:space="preserve">  OCA St. 4 at 5.</w:t>
      </w:r>
    </w:p>
    <w:p w14:paraId="1CEE7476" w14:textId="77777777" w:rsidR="009B179A" w:rsidRPr="004B2DAF" w:rsidRDefault="009B179A" w:rsidP="00B24187">
      <w:pPr>
        <w:widowControl/>
        <w:spacing w:line="360" w:lineRule="auto"/>
        <w:ind w:firstLine="1440"/>
        <w:rPr>
          <w:sz w:val="26"/>
          <w:szCs w:val="26"/>
        </w:rPr>
      </w:pPr>
    </w:p>
    <w:p w14:paraId="02F6958F" w14:textId="77777777" w:rsidR="00272D83" w:rsidRPr="004B2DAF" w:rsidRDefault="00B665F9" w:rsidP="00BB1187">
      <w:pPr>
        <w:pStyle w:val="Heading4"/>
        <w:widowControl/>
        <w:ind w:left="2160" w:hanging="720"/>
      </w:pPr>
      <w:bookmarkStart w:id="53" w:name="_Toc29278195"/>
      <w:bookmarkStart w:id="54" w:name="_Hlk26511276"/>
      <w:r>
        <w:t xml:space="preserve">2013 Equitable </w:t>
      </w:r>
      <w:r w:rsidR="00272D83" w:rsidRPr="004B2DAF">
        <w:t>Settlement Terms</w:t>
      </w:r>
      <w:bookmarkEnd w:id="53"/>
    </w:p>
    <w:bookmarkEnd w:id="54"/>
    <w:p w14:paraId="48D43563" w14:textId="77777777" w:rsidR="00272D83" w:rsidRDefault="00272D83" w:rsidP="00BB1187">
      <w:pPr>
        <w:keepNext/>
        <w:widowControl/>
        <w:spacing w:line="360" w:lineRule="auto"/>
        <w:rPr>
          <w:sz w:val="26"/>
          <w:szCs w:val="26"/>
        </w:rPr>
      </w:pPr>
    </w:p>
    <w:p w14:paraId="1010F7C7" w14:textId="77777777" w:rsidR="00B665F9" w:rsidRDefault="007F4D34" w:rsidP="00BB1187">
      <w:pPr>
        <w:keepNext/>
        <w:widowControl/>
        <w:spacing w:line="360" w:lineRule="auto"/>
        <w:ind w:firstLine="1440"/>
        <w:rPr>
          <w:sz w:val="26"/>
          <w:szCs w:val="26"/>
        </w:rPr>
      </w:pPr>
      <w:r>
        <w:rPr>
          <w:sz w:val="26"/>
          <w:szCs w:val="26"/>
        </w:rPr>
        <w:t xml:space="preserve">The G/T </w:t>
      </w:r>
      <w:r w:rsidR="00B77B08">
        <w:rPr>
          <w:sz w:val="26"/>
          <w:szCs w:val="26"/>
        </w:rPr>
        <w:t>S</w:t>
      </w:r>
      <w:r>
        <w:rPr>
          <w:sz w:val="26"/>
          <w:szCs w:val="26"/>
        </w:rPr>
        <w:t xml:space="preserve">ystems were addressed in Paragraph </w:t>
      </w:r>
      <w:r w:rsidRPr="00AA091E">
        <w:rPr>
          <w:sz w:val="26"/>
          <w:szCs w:val="26"/>
        </w:rPr>
        <w:t>65 of the 2013 Equitable Settlement</w:t>
      </w:r>
      <w:r w:rsidR="002312FC" w:rsidRPr="00AA091E">
        <w:rPr>
          <w:sz w:val="26"/>
          <w:szCs w:val="26"/>
        </w:rPr>
        <w:t>, which provided for the transfer of ownership of the G/T Systems to a new</w:t>
      </w:r>
      <w:r w:rsidR="002312FC">
        <w:rPr>
          <w:sz w:val="26"/>
          <w:szCs w:val="26"/>
        </w:rPr>
        <w:t xml:space="preserve"> subsidiary of PNG, PNG Gathering LLC</w:t>
      </w:r>
      <w:r w:rsidR="008F6D94">
        <w:rPr>
          <w:sz w:val="26"/>
          <w:szCs w:val="26"/>
        </w:rPr>
        <w:t xml:space="preserve"> (PNG Gathering)</w:t>
      </w:r>
      <w:r w:rsidR="002312FC">
        <w:rPr>
          <w:sz w:val="26"/>
          <w:szCs w:val="26"/>
        </w:rPr>
        <w:t>.</w:t>
      </w:r>
      <w:r w:rsidR="002238B5">
        <w:rPr>
          <w:rStyle w:val="FootnoteReference"/>
          <w:sz w:val="26"/>
          <w:szCs w:val="26"/>
        </w:rPr>
        <w:footnoteReference w:id="19"/>
      </w:r>
      <w:r w:rsidR="002312FC">
        <w:rPr>
          <w:sz w:val="26"/>
          <w:szCs w:val="26"/>
        </w:rPr>
        <w:t xml:space="preserve">  Additional select provisions of Paragraph 65 were as follows:</w:t>
      </w:r>
    </w:p>
    <w:p w14:paraId="37A2A4BF" w14:textId="77777777" w:rsidR="003D76D1" w:rsidRDefault="003D76D1" w:rsidP="00B24187">
      <w:pPr>
        <w:widowControl/>
        <w:spacing w:line="360" w:lineRule="auto"/>
        <w:ind w:firstLine="1440"/>
        <w:rPr>
          <w:sz w:val="26"/>
          <w:szCs w:val="26"/>
        </w:rPr>
      </w:pPr>
    </w:p>
    <w:p w14:paraId="7596FEFD" w14:textId="77777777" w:rsidR="002312FC" w:rsidRDefault="008F6D94" w:rsidP="00B24187">
      <w:pPr>
        <w:widowControl/>
        <w:ind w:left="2160" w:right="1440" w:hanging="720"/>
        <w:rPr>
          <w:sz w:val="26"/>
          <w:szCs w:val="26"/>
        </w:rPr>
      </w:pPr>
      <w:r>
        <w:rPr>
          <w:sz w:val="26"/>
          <w:szCs w:val="26"/>
        </w:rPr>
        <w:t>(d)</w:t>
      </w:r>
      <w:r>
        <w:rPr>
          <w:sz w:val="26"/>
          <w:szCs w:val="26"/>
        </w:rPr>
        <w:tab/>
        <w:t>At Closing, EQT will provide $5 million to PNG Gathering for use in connection with the Gathering Systems as described further in subparagraph e. below (</w:t>
      </w:r>
      <w:r w:rsidR="001825E3">
        <w:rPr>
          <w:sz w:val="26"/>
          <w:szCs w:val="26"/>
        </w:rPr>
        <w:t>the “EQT Contribution”).</w:t>
      </w:r>
    </w:p>
    <w:p w14:paraId="3CC11451" w14:textId="77777777" w:rsidR="001825E3" w:rsidRDefault="001825E3" w:rsidP="00B24187">
      <w:pPr>
        <w:widowControl/>
        <w:ind w:left="2160" w:right="1440" w:hanging="720"/>
        <w:rPr>
          <w:sz w:val="26"/>
          <w:szCs w:val="26"/>
        </w:rPr>
      </w:pPr>
    </w:p>
    <w:p w14:paraId="56352A30" w14:textId="77777777" w:rsidR="00C059E8" w:rsidRDefault="00C059E8" w:rsidP="00B24187">
      <w:pPr>
        <w:widowControl/>
        <w:ind w:left="2160" w:right="1440" w:hanging="720"/>
        <w:rPr>
          <w:sz w:val="26"/>
          <w:szCs w:val="26"/>
        </w:rPr>
      </w:pPr>
      <w:r>
        <w:rPr>
          <w:sz w:val="26"/>
          <w:szCs w:val="26"/>
        </w:rPr>
        <w:t>(e)</w:t>
      </w:r>
      <w:r>
        <w:rPr>
          <w:sz w:val="26"/>
          <w:szCs w:val="26"/>
        </w:rPr>
        <w:tab/>
      </w:r>
      <w:bookmarkStart w:id="55" w:name="_Hlk26443901"/>
      <w:r>
        <w:rPr>
          <w:sz w:val="26"/>
          <w:szCs w:val="26"/>
        </w:rPr>
        <w:t>Peoples and PNG Gathering will use the EQT Contribution to assess and improve the Gathering System facilities as described below.</w:t>
      </w:r>
      <w:bookmarkEnd w:id="55"/>
    </w:p>
    <w:p w14:paraId="50A04735" w14:textId="77777777" w:rsidR="00C059E8" w:rsidRDefault="00C059E8" w:rsidP="00B24187">
      <w:pPr>
        <w:widowControl/>
        <w:ind w:left="2160" w:right="1440" w:hanging="720"/>
        <w:rPr>
          <w:sz w:val="26"/>
          <w:szCs w:val="26"/>
        </w:rPr>
      </w:pPr>
    </w:p>
    <w:p w14:paraId="2FD898F1" w14:textId="77777777" w:rsidR="00C059E8" w:rsidRDefault="00C059E8" w:rsidP="00B24187">
      <w:pPr>
        <w:pStyle w:val="ListParagraph"/>
        <w:widowControl/>
        <w:numPr>
          <w:ilvl w:val="0"/>
          <w:numId w:val="8"/>
        </w:numPr>
        <w:ind w:right="1440"/>
        <w:rPr>
          <w:sz w:val="26"/>
          <w:szCs w:val="26"/>
        </w:rPr>
      </w:pPr>
      <w:bookmarkStart w:id="56" w:name="_Hlk26444617"/>
      <w:r>
        <w:rPr>
          <w:sz w:val="26"/>
          <w:szCs w:val="26"/>
        </w:rPr>
        <w:lastRenderedPageBreak/>
        <w:t>Peoples will assess the Gathering Systems facilities and develop and implement an initial plan, in conjunction with the Gas Safety Division, to address improvements.</w:t>
      </w:r>
    </w:p>
    <w:p w14:paraId="2370237A" w14:textId="77777777" w:rsidR="00C059E8" w:rsidRDefault="00C059E8" w:rsidP="00B24187">
      <w:pPr>
        <w:pStyle w:val="ListParagraph"/>
        <w:widowControl/>
        <w:ind w:left="2880" w:right="1440"/>
        <w:rPr>
          <w:sz w:val="26"/>
          <w:szCs w:val="26"/>
        </w:rPr>
      </w:pPr>
    </w:p>
    <w:p w14:paraId="200DD591" w14:textId="77777777" w:rsidR="00C059E8" w:rsidRDefault="00C059E8" w:rsidP="00B24187">
      <w:pPr>
        <w:pStyle w:val="ListParagraph"/>
        <w:widowControl/>
        <w:numPr>
          <w:ilvl w:val="0"/>
          <w:numId w:val="8"/>
        </w:numPr>
        <w:ind w:right="1440"/>
        <w:rPr>
          <w:sz w:val="26"/>
          <w:szCs w:val="26"/>
        </w:rPr>
      </w:pPr>
      <w:bookmarkStart w:id="57" w:name="_Hlk26443886"/>
      <w:r>
        <w:rPr>
          <w:sz w:val="26"/>
          <w:szCs w:val="26"/>
        </w:rPr>
        <w:t xml:space="preserve">The Gas Safety Division will be permitted to access the Gathering Systems facilities to </w:t>
      </w:r>
      <w:r w:rsidRPr="00C059E8">
        <w:rPr>
          <w:sz w:val="26"/>
          <w:szCs w:val="26"/>
        </w:rPr>
        <w:t>conduct safety inspections and to observe and verify improvements.</w:t>
      </w:r>
    </w:p>
    <w:p w14:paraId="4DC6D1C6" w14:textId="77777777" w:rsidR="003D76D1" w:rsidRPr="003D76D1" w:rsidRDefault="003D76D1" w:rsidP="00B24187">
      <w:pPr>
        <w:widowControl/>
        <w:ind w:left="2160" w:right="1440"/>
        <w:rPr>
          <w:sz w:val="26"/>
          <w:szCs w:val="26"/>
        </w:rPr>
      </w:pPr>
    </w:p>
    <w:p w14:paraId="5F6A7850" w14:textId="1A0694AA" w:rsidR="004E7586" w:rsidRPr="004E7586" w:rsidRDefault="004E7586" w:rsidP="006D2898">
      <w:pPr>
        <w:widowControl/>
        <w:ind w:left="2880" w:right="1440" w:hanging="720"/>
        <w:rPr>
          <w:sz w:val="26"/>
          <w:szCs w:val="26"/>
        </w:rPr>
      </w:pPr>
      <w:r>
        <w:rPr>
          <w:sz w:val="26"/>
          <w:szCs w:val="26"/>
        </w:rPr>
        <w:t>(iii)</w:t>
      </w:r>
      <w:r>
        <w:rPr>
          <w:sz w:val="26"/>
          <w:szCs w:val="26"/>
        </w:rPr>
        <w:tab/>
        <w:t>A summary of activities Peoples expects to be able to complete is provided in “Appendix C</w:t>
      </w:r>
      <w:r w:rsidR="00AA091E">
        <w:rPr>
          <w:sz w:val="26"/>
          <w:szCs w:val="26"/>
        </w:rPr>
        <w:t>.</w:t>
      </w:r>
      <w:r>
        <w:rPr>
          <w:sz w:val="26"/>
          <w:szCs w:val="26"/>
        </w:rPr>
        <w:t xml:space="preserve">”  </w:t>
      </w:r>
    </w:p>
    <w:bookmarkEnd w:id="56"/>
    <w:bookmarkEnd w:id="57"/>
    <w:p w14:paraId="129677AC" w14:textId="77777777" w:rsidR="00D14A4E" w:rsidRPr="00C059E8" w:rsidRDefault="00D14A4E" w:rsidP="00B24187">
      <w:pPr>
        <w:widowControl/>
        <w:ind w:left="1440" w:right="1440"/>
        <w:jc w:val="center"/>
        <w:rPr>
          <w:sz w:val="26"/>
          <w:szCs w:val="26"/>
        </w:rPr>
      </w:pPr>
    </w:p>
    <w:p w14:paraId="3179B676" w14:textId="77777777" w:rsidR="00B665F9" w:rsidRDefault="00C059E8" w:rsidP="00B24187">
      <w:pPr>
        <w:widowControl/>
        <w:ind w:left="2160" w:right="1440" w:hanging="720"/>
        <w:contextualSpacing/>
        <w:rPr>
          <w:sz w:val="26"/>
          <w:szCs w:val="26"/>
        </w:rPr>
      </w:pPr>
      <w:r w:rsidRPr="00C059E8">
        <w:rPr>
          <w:sz w:val="26"/>
          <w:szCs w:val="26"/>
        </w:rPr>
        <w:t>(f)</w:t>
      </w:r>
      <w:r w:rsidRPr="00C059E8">
        <w:rPr>
          <w:sz w:val="26"/>
          <w:szCs w:val="26"/>
        </w:rPr>
        <w:tab/>
        <w:t>After completion of the assessment, Peoples and PNG Gathering will</w:t>
      </w:r>
      <w:r w:rsidR="009B17C7">
        <w:rPr>
          <w:sz w:val="26"/>
          <w:szCs w:val="26"/>
        </w:rPr>
        <w:t xml:space="preserve"> present a plan to the Commission, after consultation with the Gas Safety Division, OCA, and OSBA, estimating the additional funds necessary, if any, to provide safe and reliable service from the Gathering Systems.  At the time it presents the plan to the Commission, Peoples also will serve PIOGA.  In such filed plan, Peoples and PNG Gathering will make a recommendation whether to proceed with rehabilitation of all or some of the Gathering Systems and/or with abandonment of some or all of the customers served off of the Gathering Systems.</w:t>
      </w:r>
    </w:p>
    <w:p w14:paraId="25599074" w14:textId="77777777" w:rsidR="005C085B" w:rsidRPr="00C059E8" w:rsidRDefault="005C085B" w:rsidP="00B24187">
      <w:pPr>
        <w:widowControl/>
        <w:ind w:left="2160" w:right="1440" w:hanging="720"/>
        <w:contextualSpacing/>
        <w:rPr>
          <w:sz w:val="26"/>
          <w:szCs w:val="26"/>
        </w:rPr>
      </w:pPr>
    </w:p>
    <w:p w14:paraId="780785D5" w14:textId="77777777" w:rsidR="00436DAF" w:rsidRDefault="00436DAF" w:rsidP="00B24187">
      <w:pPr>
        <w:pStyle w:val="ListParagraph"/>
        <w:widowControl/>
        <w:numPr>
          <w:ilvl w:val="0"/>
          <w:numId w:val="9"/>
        </w:numPr>
        <w:ind w:right="1440"/>
        <w:rPr>
          <w:sz w:val="26"/>
          <w:szCs w:val="26"/>
        </w:rPr>
      </w:pPr>
      <w:r>
        <w:rPr>
          <w:sz w:val="26"/>
          <w:szCs w:val="26"/>
        </w:rPr>
        <w:t>The</w:t>
      </w:r>
      <w:r w:rsidRPr="00436DAF">
        <w:rPr>
          <w:sz w:val="26"/>
          <w:szCs w:val="26"/>
        </w:rPr>
        <w:t xml:space="preserve"> Signatory Parties agree that the Gathering Systems may be transferred to Peoples if the amount of additional investment necessary to provide safe and reliable service from the Gathering Systems is equal to or less than the sum of the remaining portion of the EQT Contribution, the estimated $12 million cost to convert customers to alternative fuels, the estimated incremental rate base investment of $6 million that would be supported by revenues from the approximately 1,500 customers served by the Gathering Systems, and any additional investment supported by incremental revenues on the Gathering Systems facilities.</w:t>
      </w:r>
      <w:r w:rsidR="00267DE6">
        <w:rPr>
          <w:sz w:val="26"/>
          <w:szCs w:val="26"/>
        </w:rPr>
        <w:t xml:space="preserve">  </w:t>
      </w:r>
      <w:r w:rsidRPr="00436DAF">
        <w:rPr>
          <w:sz w:val="26"/>
          <w:szCs w:val="26"/>
        </w:rPr>
        <w:t>The parties agree that the remainder of the EQT</w:t>
      </w:r>
      <w:r w:rsidR="00267DE6">
        <w:rPr>
          <w:sz w:val="26"/>
          <w:szCs w:val="26"/>
        </w:rPr>
        <w:t xml:space="preserve"> </w:t>
      </w:r>
      <w:r w:rsidRPr="00436DAF">
        <w:rPr>
          <w:sz w:val="26"/>
          <w:szCs w:val="26"/>
        </w:rPr>
        <w:t xml:space="preserve">contribution, the $12 million conversion cost and the estimated $6 million in customer </w:t>
      </w:r>
      <w:r w:rsidRPr="00436DAF">
        <w:rPr>
          <w:sz w:val="26"/>
          <w:szCs w:val="26"/>
        </w:rPr>
        <w:lastRenderedPageBreak/>
        <w:t>revenues comprise the economic test of whether the Gathering Systems are transferred to Peoples.</w:t>
      </w:r>
      <w:r w:rsidR="00267DE6">
        <w:rPr>
          <w:sz w:val="26"/>
          <w:szCs w:val="26"/>
        </w:rPr>
        <w:t xml:space="preserve">  </w:t>
      </w:r>
      <w:r w:rsidRPr="00436DAF">
        <w:rPr>
          <w:sz w:val="26"/>
          <w:szCs w:val="26"/>
        </w:rPr>
        <w:t>If the economic test is satisfied and the Commission approves transfer of the Gathering Systems, Peoples Equitable Division will be permitted to include in rate base the investments it makes to improve the Gathering Systems other than the EQT Contribution</w:t>
      </w:r>
      <w:r w:rsidR="00267DE6">
        <w:rPr>
          <w:sz w:val="26"/>
          <w:szCs w:val="26"/>
        </w:rPr>
        <w:t>.</w:t>
      </w:r>
    </w:p>
    <w:p w14:paraId="53A63876" w14:textId="77777777" w:rsidR="00436DAF" w:rsidRPr="00436DAF" w:rsidRDefault="00436DAF" w:rsidP="00B24187">
      <w:pPr>
        <w:pStyle w:val="ListParagraph"/>
        <w:widowControl/>
        <w:ind w:left="2880" w:right="1440"/>
        <w:rPr>
          <w:sz w:val="26"/>
          <w:szCs w:val="26"/>
        </w:rPr>
      </w:pPr>
    </w:p>
    <w:p w14:paraId="2AD0D8EA" w14:textId="77777777" w:rsidR="00436DAF" w:rsidRPr="00267DE6" w:rsidRDefault="00267DE6" w:rsidP="00B24187">
      <w:pPr>
        <w:pStyle w:val="ListParagraph"/>
        <w:widowControl/>
        <w:numPr>
          <w:ilvl w:val="0"/>
          <w:numId w:val="9"/>
        </w:numPr>
        <w:ind w:right="1440"/>
        <w:rPr>
          <w:sz w:val="26"/>
          <w:szCs w:val="26"/>
        </w:rPr>
      </w:pPr>
      <w:r>
        <w:rPr>
          <w:sz w:val="26"/>
          <w:szCs w:val="26"/>
        </w:rPr>
        <w:t xml:space="preserve">If </w:t>
      </w:r>
      <w:r w:rsidRPr="00267DE6">
        <w:rPr>
          <w:sz w:val="26"/>
          <w:szCs w:val="26"/>
        </w:rPr>
        <w:t>the economic test is not satisfied because the amount of additional investment necessary to provide safe and reliable service from the Gathering Systems is more than the sum of the remaining portion of the EQT Contribution, the estimated $12 million cost to convert customers to alternative fuels, the estimated incremental</w:t>
      </w:r>
      <w:r>
        <w:rPr>
          <w:sz w:val="26"/>
          <w:szCs w:val="26"/>
        </w:rPr>
        <w:t xml:space="preserve"> </w:t>
      </w:r>
      <w:r w:rsidRPr="00267DE6">
        <w:rPr>
          <w:sz w:val="26"/>
          <w:szCs w:val="26"/>
        </w:rPr>
        <w:t>rate base investment of $6 million that would be supported by revenues from the approximately 1,500 customers served by the Gathering Systems, and any additional investment supported by incremental revenues on the Gathering Systems facilities, Peoples will make a recommendation not to further invest in the Gathering Systems.</w:t>
      </w:r>
      <w:r>
        <w:rPr>
          <w:sz w:val="26"/>
          <w:szCs w:val="26"/>
        </w:rPr>
        <w:t xml:space="preserve"> </w:t>
      </w:r>
      <w:r w:rsidRPr="00267DE6">
        <w:rPr>
          <w:sz w:val="26"/>
          <w:szCs w:val="26"/>
        </w:rPr>
        <w:t xml:space="preserve"> In such a scenario, all other parties expressly reserve the right to present their own recommendations to the Commission as to the disposition of the Gathering Systems.</w:t>
      </w:r>
    </w:p>
    <w:p w14:paraId="291E5EE1" w14:textId="77777777" w:rsidR="00436DAF" w:rsidRDefault="00436DAF" w:rsidP="00B24187">
      <w:pPr>
        <w:widowControl/>
        <w:spacing w:line="360" w:lineRule="auto"/>
        <w:rPr>
          <w:sz w:val="26"/>
          <w:szCs w:val="26"/>
        </w:rPr>
      </w:pPr>
    </w:p>
    <w:p w14:paraId="0D2A975D" w14:textId="77777777" w:rsidR="00267DE6" w:rsidRPr="00C059E8" w:rsidRDefault="00267DE6" w:rsidP="00B24187">
      <w:pPr>
        <w:widowControl/>
        <w:spacing w:line="360" w:lineRule="auto"/>
        <w:rPr>
          <w:sz w:val="26"/>
          <w:szCs w:val="26"/>
        </w:rPr>
      </w:pPr>
      <w:r>
        <w:rPr>
          <w:sz w:val="26"/>
          <w:szCs w:val="26"/>
        </w:rPr>
        <w:t xml:space="preserve">2013 Equitable Settlement </w:t>
      </w:r>
      <w:r w:rsidR="00500529">
        <w:rPr>
          <w:sz w:val="26"/>
          <w:szCs w:val="26"/>
        </w:rPr>
        <w:t xml:space="preserve">at </w:t>
      </w:r>
      <w:r w:rsidR="009723AA">
        <w:rPr>
          <w:sz w:val="26"/>
          <w:szCs w:val="26"/>
        </w:rPr>
        <w:t>¶ 65</w:t>
      </w:r>
      <w:r w:rsidR="00500529">
        <w:rPr>
          <w:sz w:val="26"/>
          <w:szCs w:val="26"/>
        </w:rPr>
        <w:t xml:space="preserve">.  </w:t>
      </w:r>
    </w:p>
    <w:p w14:paraId="35FD720C" w14:textId="77777777" w:rsidR="00C059E8" w:rsidRDefault="00C059E8" w:rsidP="00B24187">
      <w:pPr>
        <w:widowControl/>
        <w:spacing w:line="360" w:lineRule="auto"/>
        <w:rPr>
          <w:sz w:val="26"/>
          <w:szCs w:val="26"/>
        </w:rPr>
      </w:pPr>
    </w:p>
    <w:p w14:paraId="570D1717" w14:textId="77777777" w:rsidR="002F00D4" w:rsidRDefault="002F00D4" w:rsidP="00B24187">
      <w:pPr>
        <w:widowControl/>
        <w:spacing w:line="360" w:lineRule="auto"/>
        <w:ind w:firstLine="1440"/>
        <w:rPr>
          <w:sz w:val="26"/>
          <w:szCs w:val="26"/>
        </w:rPr>
      </w:pPr>
      <w:r>
        <w:rPr>
          <w:sz w:val="26"/>
          <w:szCs w:val="26"/>
        </w:rPr>
        <w:t>As of the date of the evidentiary hearing in the instant proceeding, the</w:t>
      </w:r>
      <w:r w:rsidR="009872CB">
        <w:rPr>
          <w:sz w:val="26"/>
          <w:szCs w:val="26"/>
        </w:rPr>
        <w:t xml:space="preserve"> </w:t>
      </w:r>
      <w:r>
        <w:rPr>
          <w:sz w:val="26"/>
          <w:szCs w:val="26"/>
        </w:rPr>
        <w:t>investigation</w:t>
      </w:r>
      <w:r w:rsidR="00AC4886">
        <w:rPr>
          <w:sz w:val="26"/>
          <w:szCs w:val="26"/>
        </w:rPr>
        <w:t xml:space="preserve"> and assessment</w:t>
      </w:r>
      <w:r w:rsidR="007D701A">
        <w:rPr>
          <w:sz w:val="26"/>
          <w:szCs w:val="26"/>
        </w:rPr>
        <w:t>s</w:t>
      </w:r>
      <w:r>
        <w:rPr>
          <w:sz w:val="26"/>
          <w:szCs w:val="26"/>
        </w:rPr>
        <w:t xml:space="preserve"> contemplated by the 2013 Equitable Settlement</w:t>
      </w:r>
      <w:r w:rsidR="009872CB">
        <w:rPr>
          <w:sz w:val="26"/>
          <w:szCs w:val="26"/>
        </w:rPr>
        <w:t xml:space="preserve"> have been completed</w:t>
      </w:r>
      <w:r w:rsidR="00AC4886">
        <w:rPr>
          <w:sz w:val="26"/>
          <w:szCs w:val="26"/>
        </w:rPr>
        <w:t xml:space="preserve">.  As a result of </w:t>
      </w:r>
      <w:r w:rsidR="009872CB">
        <w:rPr>
          <w:sz w:val="26"/>
          <w:szCs w:val="26"/>
        </w:rPr>
        <w:t>those</w:t>
      </w:r>
      <w:r w:rsidR="00AC4886">
        <w:rPr>
          <w:sz w:val="26"/>
          <w:szCs w:val="26"/>
        </w:rPr>
        <w:t xml:space="preserve"> assessment</w:t>
      </w:r>
      <w:r w:rsidR="007D701A">
        <w:rPr>
          <w:sz w:val="26"/>
          <w:szCs w:val="26"/>
        </w:rPr>
        <w:t xml:space="preserve">s, </w:t>
      </w:r>
      <w:r w:rsidR="003D76D1">
        <w:rPr>
          <w:sz w:val="26"/>
          <w:szCs w:val="26"/>
        </w:rPr>
        <w:t xml:space="preserve">the </w:t>
      </w:r>
      <w:r w:rsidR="007D701A">
        <w:rPr>
          <w:sz w:val="26"/>
          <w:szCs w:val="26"/>
        </w:rPr>
        <w:t>Joint Applicants</w:t>
      </w:r>
      <w:r w:rsidR="00800897">
        <w:rPr>
          <w:sz w:val="26"/>
          <w:szCs w:val="26"/>
        </w:rPr>
        <w:t>’</w:t>
      </w:r>
      <w:r w:rsidR="007D701A">
        <w:rPr>
          <w:sz w:val="26"/>
          <w:szCs w:val="26"/>
        </w:rPr>
        <w:t xml:space="preserve"> witness Joseph Gregorini explained that</w:t>
      </w:r>
      <w:r w:rsidR="00AC4886">
        <w:rPr>
          <w:sz w:val="26"/>
          <w:szCs w:val="26"/>
        </w:rPr>
        <w:t xml:space="preserve"> three scenarios</w:t>
      </w:r>
      <w:r w:rsidR="007D701A">
        <w:rPr>
          <w:sz w:val="26"/>
          <w:szCs w:val="26"/>
        </w:rPr>
        <w:t xml:space="preserve"> have been developed</w:t>
      </w:r>
      <w:r w:rsidR="00AC4886">
        <w:rPr>
          <w:sz w:val="26"/>
          <w:szCs w:val="26"/>
        </w:rPr>
        <w:t xml:space="preserve"> for addressing the repair and rehabilitation of the G/T Systems; however, </w:t>
      </w:r>
      <w:r w:rsidR="00431599">
        <w:rPr>
          <w:sz w:val="26"/>
          <w:szCs w:val="26"/>
        </w:rPr>
        <w:t>the Peoples Companies have not yet convened the consultative group provided for in the 2013 Equitable Settlement, nor have the assessments been submitted to the Commission for consideration</w:t>
      </w:r>
      <w:r w:rsidR="00800897">
        <w:rPr>
          <w:sz w:val="26"/>
          <w:szCs w:val="26"/>
        </w:rPr>
        <w:t>.</w:t>
      </w:r>
      <w:r w:rsidR="007D701A">
        <w:rPr>
          <w:sz w:val="26"/>
          <w:szCs w:val="26"/>
        </w:rPr>
        <w:t xml:space="preserve"> </w:t>
      </w:r>
      <w:r w:rsidR="00800897">
        <w:rPr>
          <w:sz w:val="26"/>
          <w:szCs w:val="26"/>
        </w:rPr>
        <w:t xml:space="preserve"> R</w:t>
      </w:r>
      <w:r w:rsidR="007D701A">
        <w:rPr>
          <w:sz w:val="26"/>
          <w:szCs w:val="26"/>
        </w:rPr>
        <w:t>ather</w:t>
      </w:r>
      <w:r w:rsidR="00800897">
        <w:rPr>
          <w:sz w:val="26"/>
          <w:szCs w:val="26"/>
        </w:rPr>
        <w:t>,</w:t>
      </w:r>
      <w:r w:rsidR="007D701A">
        <w:rPr>
          <w:sz w:val="26"/>
          <w:szCs w:val="26"/>
        </w:rPr>
        <w:t xml:space="preserve"> those </w:t>
      </w:r>
      <w:r w:rsidR="007D701A">
        <w:rPr>
          <w:sz w:val="26"/>
          <w:szCs w:val="26"/>
        </w:rPr>
        <w:lastRenderedPageBreak/>
        <w:t>potential options were submitted for review in this proceeding.</w:t>
      </w:r>
      <w:r w:rsidR="00671B2F">
        <w:rPr>
          <w:rStyle w:val="FootnoteReference"/>
          <w:sz w:val="26"/>
          <w:szCs w:val="26"/>
        </w:rPr>
        <w:footnoteReference w:id="20"/>
      </w:r>
      <w:r w:rsidR="007D701A">
        <w:rPr>
          <w:sz w:val="26"/>
          <w:szCs w:val="26"/>
        </w:rPr>
        <w:t xml:space="preserve">  Joint Applicants St. 6-R at 9-</w:t>
      </w:r>
      <w:r w:rsidR="0057765A">
        <w:rPr>
          <w:sz w:val="26"/>
          <w:szCs w:val="26"/>
        </w:rPr>
        <w:t xml:space="preserve">11.  </w:t>
      </w:r>
      <w:r w:rsidR="004D31A8">
        <w:rPr>
          <w:sz w:val="26"/>
          <w:szCs w:val="26"/>
        </w:rPr>
        <w:t xml:space="preserve">Only one of these scenarios would pass the economic test as </w:t>
      </w:r>
      <w:r w:rsidR="00800897">
        <w:rPr>
          <w:sz w:val="26"/>
          <w:szCs w:val="26"/>
        </w:rPr>
        <w:t>described in Paragraph 65(f)(i) and (ii)</w:t>
      </w:r>
      <w:r w:rsidR="004D31A8">
        <w:rPr>
          <w:sz w:val="26"/>
          <w:szCs w:val="26"/>
        </w:rPr>
        <w:t xml:space="preserve"> in the 2013 Equitable Settlement.  As the Recommended Decision </w:t>
      </w:r>
      <w:r w:rsidR="00CD2E6C">
        <w:rPr>
          <w:sz w:val="26"/>
          <w:szCs w:val="26"/>
        </w:rPr>
        <w:t>p</w:t>
      </w:r>
      <w:r w:rsidR="004D31A8">
        <w:rPr>
          <w:sz w:val="26"/>
          <w:szCs w:val="26"/>
        </w:rPr>
        <w:t xml:space="preserve">rovides: </w:t>
      </w:r>
    </w:p>
    <w:p w14:paraId="2C3BBA4E" w14:textId="77777777" w:rsidR="004D31A8" w:rsidRDefault="004D31A8" w:rsidP="00B24187">
      <w:pPr>
        <w:widowControl/>
        <w:spacing w:line="360" w:lineRule="auto"/>
        <w:ind w:firstLine="1440"/>
        <w:rPr>
          <w:sz w:val="26"/>
          <w:szCs w:val="26"/>
        </w:rPr>
      </w:pPr>
    </w:p>
    <w:p w14:paraId="0A66F9DD" w14:textId="77777777" w:rsidR="004D31A8" w:rsidRPr="004D31A8" w:rsidRDefault="004D31A8" w:rsidP="00B24187">
      <w:pPr>
        <w:widowControl/>
        <w:ind w:left="1440" w:right="1440"/>
        <w:rPr>
          <w:sz w:val="26"/>
          <w:szCs w:val="26"/>
        </w:rPr>
      </w:pPr>
      <w:r w:rsidRPr="004D31A8">
        <w:rPr>
          <w:sz w:val="26"/>
          <w:szCs w:val="26"/>
        </w:rPr>
        <w:t xml:space="preserve">Of the three scenarios developed by the Peoples Companies, only one would pass the economic test of the 2013 Equitable Settlement. </w:t>
      </w:r>
      <w:r w:rsidR="00800897">
        <w:rPr>
          <w:sz w:val="26"/>
          <w:szCs w:val="26"/>
        </w:rPr>
        <w:t xml:space="preserve"> </w:t>
      </w:r>
      <w:r w:rsidRPr="004D31A8">
        <w:rPr>
          <w:sz w:val="26"/>
          <w:szCs w:val="26"/>
        </w:rPr>
        <w:t>This scenario would permit the Peoples Companies to retain 66 miles of pipeline and 723 customers. The remaining 325 miles of pipeline and 972 customers would be abandoned.</w:t>
      </w:r>
      <w:r w:rsidR="006123EE">
        <w:rPr>
          <w:sz w:val="26"/>
          <w:szCs w:val="26"/>
        </w:rPr>
        <w:t xml:space="preserve">  Another scenario included an analysis of the cost of retaining the entirety of both gathering systems and maintaining service to all existing 1,695 customers.  This scenario estimated the total capital pipeline replacement costs to be $121.6 million.</w:t>
      </w:r>
    </w:p>
    <w:p w14:paraId="2B8C3741" w14:textId="77777777" w:rsidR="002F00D4" w:rsidRDefault="002F00D4" w:rsidP="00B24187">
      <w:pPr>
        <w:widowControl/>
        <w:spacing w:line="360" w:lineRule="auto"/>
        <w:rPr>
          <w:sz w:val="26"/>
          <w:szCs w:val="26"/>
        </w:rPr>
      </w:pPr>
    </w:p>
    <w:p w14:paraId="3D307348" w14:textId="77777777" w:rsidR="00800897" w:rsidRDefault="004D31A8" w:rsidP="00B24187">
      <w:pPr>
        <w:widowControl/>
        <w:spacing w:line="360" w:lineRule="auto"/>
        <w:rPr>
          <w:sz w:val="26"/>
          <w:szCs w:val="26"/>
        </w:rPr>
      </w:pPr>
      <w:r>
        <w:rPr>
          <w:sz w:val="26"/>
          <w:szCs w:val="26"/>
        </w:rPr>
        <w:t>R.D. at 45</w:t>
      </w:r>
      <w:r w:rsidR="006123EE">
        <w:rPr>
          <w:sz w:val="26"/>
          <w:szCs w:val="26"/>
        </w:rPr>
        <w:t xml:space="preserve"> (citing Joint Applicants St. 6-R at 9, 12-13).</w:t>
      </w:r>
      <w:r w:rsidR="00E96FCC">
        <w:rPr>
          <w:sz w:val="26"/>
          <w:szCs w:val="26"/>
        </w:rPr>
        <w:t xml:space="preserve">  </w:t>
      </w:r>
    </w:p>
    <w:p w14:paraId="06C3739E" w14:textId="77777777" w:rsidR="00800897" w:rsidRDefault="00800897" w:rsidP="00B24187">
      <w:pPr>
        <w:widowControl/>
        <w:spacing w:line="360" w:lineRule="auto"/>
        <w:rPr>
          <w:sz w:val="26"/>
          <w:szCs w:val="26"/>
        </w:rPr>
      </w:pPr>
    </w:p>
    <w:p w14:paraId="13371B70" w14:textId="77777777" w:rsidR="003D76D1" w:rsidRDefault="00800897" w:rsidP="00B24187">
      <w:pPr>
        <w:widowControl/>
        <w:spacing w:line="360" w:lineRule="auto"/>
        <w:rPr>
          <w:sz w:val="26"/>
          <w:szCs w:val="26"/>
        </w:rPr>
      </w:pPr>
      <w:r>
        <w:rPr>
          <w:sz w:val="26"/>
          <w:szCs w:val="26"/>
        </w:rPr>
        <w:tab/>
      </w:r>
      <w:r>
        <w:rPr>
          <w:sz w:val="26"/>
          <w:szCs w:val="26"/>
        </w:rPr>
        <w:tab/>
      </w:r>
      <w:r w:rsidR="00E96FCC">
        <w:rPr>
          <w:sz w:val="26"/>
          <w:szCs w:val="26"/>
        </w:rPr>
        <w:t xml:space="preserve">The </w:t>
      </w:r>
      <w:r>
        <w:rPr>
          <w:sz w:val="26"/>
          <w:szCs w:val="26"/>
        </w:rPr>
        <w:t xml:space="preserve">Joint Applicants’ </w:t>
      </w:r>
      <w:r w:rsidR="00E96FCC">
        <w:rPr>
          <w:sz w:val="26"/>
          <w:szCs w:val="26"/>
        </w:rPr>
        <w:t xml:space="preserve">total estimated capital pipeline replacement costs of $121.6 million assume that the bare steel gathering lines are replaced over the same remaining timeframe as the Peoples Companies’ approved existing </w:t>
      </w:r>
      <w:r w:rsidR="00F30CD6">
        <w:rPr>
          <w:sz w:val="26"/>
          <w:szCs w:val="26"/>
        </w:rPr>
        <w:t>Long-Term Infrastructure Improvement Plan (</w:t>
      </w:r>
      <w:r w:rsidR="00E96FCC">
        <w:rPr>
          <w:sz w:val="26"/>
          <w:szCs w:val="26"/>
        </w:rPr>
        <w:t>LTIIP</w:t>
      </w:r>
      <w:r w:rsidR="00F30CD6">
        <w:rPr>
          <w:sz w:val="26"/>
          <w:szCs w:val="26"/>
        </w:rPr>
        <w:t>)</w:t>
      </w:r>
      <w:r w:rsidR="00E96FCC">
        <w:rPr>
          <w:sz w:val="26"/>
          <w:szCs w:val="26"/>
        </w:rPr>
        <w:t xml:space="preserve"> that runs through 2034.  Joint Applicants St. </w:t>
      </w:r>
    </w:p>
    <w:p w14:paraId="44246384" w14:textId="77777777" w:rsidR="004D31A8" w:rsidRDefault="00E96FCC" w:rsidP="00B24187">
      <w:pPr>
        <w:widowControl/>
        <w:spacing w:line="360" w:lineRule="auto"/>
        <w:rPr>
          <w:sz w:val="26"/>
          <w:szCs w:val="26"/>
        </w:rPr>
      </w:pPr>
      <w:r>
        <w:rPr>
          <w:sz w:val="26"/>
          <w:szCs w:val="26"/>
        </w:rPr>
        <w:t xml:space="preserve">6-R at 9; Joint Applicants Exh. JAG-1R.  </w:t>
      </w:r>
      <w:r w:rsidR="00D00F94">
        <w:rPr>
          <w:sz w:val="26"/>
          <w:szCs w:val="26"/>
        </w:rPr>
        <w:t xml:space="preserve">The estimated total capital cost of $127 million ($5.4 million higher than the current fifteen-year LTIIP replacement schedule estimate of </w:t>
      </w:r>
      <w:r w:rsidR="00D00F94">
        <w:rPr>
          <w:sz w:val="26"/>
          <w:szCs w:val="26"/>
        </w:rPr>
        <w:lastRenderedPageBreak/>
        <w:t>$121.6 million) associated with Mr. Gregorini</w:t>
      </w:r>
      <w:r w:rsidR="00800897">
        <w:rPr>
          <w:sz w:val="26"/>
          <w:szCs w:val="26"/>
        </w:rPr>
        <w:t>’s</w:t>
      </w:r>
      <w:r w:rsidR="00D00F94">
        <w:rPr>
          <w:sz w:val="26"/>
          <w:szCs w:val="26"/>
        </w:rPr>
        <w:t xml:space="preserve"> first scenario</w:t>
      </w:r>
      <w:r w:rsidR="007A4881">
        <w:rPr>
          <w:sz w:val="26"/>
          <w:szCs w:val="26"/>
        </w:rPr>
        <w:t xml:space="preserve"> includes increased costs of replacing all of the bare steel gathering pipelines over an accelerated schedule.</w:t>
      </w:r>
      <w:r w:rsidR="00F30CD6">
        <w:rPr>
          <w:sz w:val="26"/>
          <w:szCs w:val="26"/>
        </w:rPr>
        <w:t xml:space="preserve">  Joint Applicants St. 6-R at 9-10.  </w:t>
      </w:r>
    </w:p>
    <w:p w14:paraId="430A91E6" w14:textId="77777777" w:rsidR="006A7DEE" w:rsidRDefault="006A7DEE" w:rsidP="00B24187">
      <w:pPr>
        <w:widowControl/>
        <w:spacing w:line="360" w:lineRule="auto"/>
        <w:rPr>
          <w:sz w:val="26"/>
          <w:szCs w:val="26"/>
        </w:rPr>
      </w:pPr>
    </w:p>
    <w:p w14:paraId="078C0152" w14:textId="77777777" w:rsidR="00C220CA" w:rsidRPr="004B2DAF" w:rsidRDefault="00C220CA" w:rsidP="00BB1187">
      <w:pPr>
        <w:pStyle w:val="Heading4"/>
        <w:widowControl/>
        <w:ind w:left="2160" w:hanging="720"/>
      </w:pPr>
      <w:bookmarkStart w:id="59" w:name="_Toc29278196"/>
      <w:r w:rsidRPr="004B2DAF">
        <w:t>Settlement Terms</w:t>
      </w:r>
      <w:r w:rsidR="00AD2BBC">
        <w:t xml:space="preserve"> in this Proceeding</w:t>
      </w:r>
      <w:bookmarkEnd w:id="59"/>
    </w:p>
    <w:p w14:paraId="211B5552" w14:textId="77777777" w:rsidR="00C220CA" w:rsidRDefault="00C220CA" w:rsidP="00BB1187">
      <w:pPr>
        <w:keepNext/>
        <w:widowControl/>
        <w:spacing w:line="360" w:lineRule="auto"/>
        <w:rPr>
          <w:sz w:val="26"/>
          <w:szCs w:val="26"/>
        </w:rPr>
      </w:pPr>
    </w:p>
    <w:p w14:paraId="30A4FCE9" w14:textId="77777777" w:rsidR="00E75984" w:rsidRDefault="003D76D1" w:rsidP="00BB1187">
      <w:pPr>
        <w:keepNext/>
        <w:widowControl/>
        <w:spacing w:line="360" w:lineRule="auto"/>
        <w:ind w:firstLine="1440"/>
        <w:rPr>
          <w:sz w:val="26"/>
          <w:szCs w:val="26"/>
        </w:rPr>
      </w:pPr>
      <w:r>
        <w:rPr>
          <w:sz w:val="26"/>
          <w:szCs w:val="26"/>
        </w:rPr>
        <w:t>T</w:t>
      </w:r>
      <w:r w:rsidR="00B3643A">
        <w:rPr>
          <w:sz w:val="26"/>
          <w:szCs w:val="26"/>
        </w:rPr>
        <w:t>he Settlement</w:t>
      </w:r>
      <w:r>
        <w:rPr>
          <w:sz w:val="26"/>
          <w:szCs w:val="26"/>
        </w:rPr>
        <w:t xml:space="preserve"> terms</w:t>
      </w:r>
      <w:r w:rsidR="00C836AC">
        <w:rPr>
          <w:sz w:val="26"/>
          <w:szCs w:val="26"/>
        </w:rPr>
        <w:t xml:space="preserve"> include commitments</w:t>
      </w:r>
      <w:r w:rsidR="002F0A6D">
        <w:rPr>
          <w:sz w:val="26"/>
          <w:szCs w:val="26"/>
        </w:rPr>
        <w:t xml:space="preserve"> intended to</w:t>
      </w:r>
      <w:r w:rsidR="00DA2B75">
        <w:rPr>
          <w:sz w:val="26"/>
          <w:szCs w:val="26"/>
        </w:rPr>
        <w:t xml:space="preserve"> reasonably and effectively provide a just</w:t>
      </w:r>
      <w:r w:rsidR="002F0A6D">
        <w:rPr>
          <w:sz w:val="26"/>
          <w:szCs w:val="26"/>
        </w:rPr>
        <w:t xml:space="preserve"> resol</w:t>
      </w:r>
      <w:r w:rsidR="00DA2B75">
        <w:rPr>
          <w:sz w:val="26"/>
          <w:szCs w:val="26"/>
        </w:rPr>
        <w:t>ution to</w:t>
      </w:r>
      <w:r w:rsidR="00630891">
        <w:rPr>
          <w:sz w:val="26"/>
          <w:szCs w:val="26"/>
        </w:rPr>
        <w:t xml:space="preserve"> </w:t>
      </w:r>
      <w:r w:rsidR="00C00A61">
        <w:rPr>
          <w:sz w:val="26"/>
          <w:szCs w:val="26"/>
        </w:rPr>
        <w:t>several</w:t>
      </w:r>
      <w:r w:rsidR="00D576A7">
        <w:rPr>
          <w:sz w:val="26"/>
          <w:szCs w:val="26"/>
        </w:rPr>
        <w:t xml:space="preserve"> </w:t>
      </w:r>
      <w:r w:rsidR="00630891">
        <w:rPr>
          <w:sz w:val="26"/>
          <w:szCs w:val="26"/>
        </w:rPr>
        <w:t>concerns</w:t>
      </w:r>
      <w:r w:rsidR="00D576A7">
        <w:rPr>
          <w:sz w:val="26"/>
          <w:szCs w:val="26"/>
        </w:rPr>
        <w:t xml:space="preserve"> raised</w:t>
      </w:r>
      <w:r w:rsidR="002F0A6D">
        <w:rPr>
          <w:sz w:val="26"/>
          <w:szCs w:val="26"/>
        </w:rPr>
        <w:t xml:space="preserve"> by</w:t>
      </w:r>
      <w:r w:rsidR="00C00A61">
        <w:rPr>
          <w:sz w:val="26"/>
          <w:szCs w:val="26"/>
        </w:rPr>
        <w:t xml:space="preserve"> the</w:t>
      </w:r>
      <w:r w:rsidR="002F0A6D">
        <w:rPr>
          <w:sz w:val="26"/>
          <w:szCs w:val="26"/>
        </w:rPr>
        <w:t xml:space="preserve"> </w:t>
      </w:r>
      <w:r w:rsidR="00CA4821">
        <w:rPr>
          <w:sz w:val="26"/>
          <w:szCs w:val="26"/>
        </w:rPr>
        <w:t>P</w:t>
      </w:r>
      <w:r w:rsidR="002F0A6D">
        <w:rPr>
          <w:sz w:val="26"/>
          <w:szCs w:val="26"/>
        </w:rPr>
        <w:t>arties in this proceeding</w:t>
      </w:r>
      <w:r w:rsidR="00630891">
        <w:rPr>
          <w:sz w:val="26"/>
          <w:szCs w:val="26"/>
        </w:rPr>
        <w:t xml:space="preserve"> </w:t>
      </w:r>
      <w:r w:rsidR="002F0A6D">
        <w:rPr>
          <w:sz w:val="26"/>
          <w:szCs w:val="26"/>
        </w:rPr>
        <w:t xml:space="preserve">regarding the remediation of the G/T Systems to address leaks and </w:t>
      </w:r>
      <w:r w:rsidR="00CA4821">
        <w:rPr>
          <w:sz w:val="26"/>
          <w:szCs w:val="26"/>
        </w:rPr>
        <w:t xml:space="preserve">to </w:t>
      </w:r>
      <w:r w:rsidR="002F0A6D">
        <w:rPr>
          <w:sz w:val="26"/>
          <w:szCs w:val="26"/>
        </w:rPr>
        <w:t>ensure safe and reliable service.</w:t>
      </w:r>
      <w:r w:rsidR="005C69A8">
        <w:rPr>
          <w:sz w:val="26"/>
          <w:szCs w:val="26"/>
        </w:rPr>
        <w:t xml:space="preserve">  </w:t>
      </w:r>
      <w:r>
        <w:rPr>
          <w:sz w:val="26"/>
          <w:szCs w:val="26"/>
        </w:rPr>
        <w:t>T</w:t>
      </w:r>
      <w:r w:rsidR="005C69A8">
        <w:rPr>
          <w:sz w:val="26"/>
          <w:szCs w:val="26"/>
        </w:rPr>
        <w:t>he Settling Parties agreed as follows:</w:t>
      </w:r>
    </w:p>
    <w:p w14:paraId="4487537B" w14:textId="77777777" w:rsidR="005C69A8" w:rsidRDefault="005C69A8" w:rsidP="00B24187">
      <w:pPr>
        <w:widowControl/>
        <w:spacing w:line="360" w:lineRule="auto"/>
        <w:ind w:firstLine="1440"/>
        <w:rPr>
          <w:sz w:val="26"/>
          <w:szCs w:val="26"/>
        </w:rPr>
      </w:pPr>
    </w:p>
    <w:p w14:paraId="169A718C" w14:textId="77777777" w:rsidR="005D596B" w:rsidRDefault="005D596B" w:rsidP="00B24187">
      <w:pPr>
        <w:widowControl/>
        <w:ind w:left="1440" w:right="1440"/>
        <w:rPr>
          <w:sz w:val="26"/>
          <w:szCs w:val="26"/>
        </w:rPr>
      </w:pPr>
      <w:r>
        <w:rPr>
          <w:sz w:val="26"/>
          <w:szCs w:val="26"/>
        </w:rPr>
        <w:t>29.</w:t>
      </w:r>
      <w:r>
        <w:rPr>
          <w:sz w:val="26"/>
          <w:szCs w:val="26"/>
        </w:rPr>
        <w:tab/>
      </w:r>
      <w:r w:rsidRPr="005D596B">
        <w:rPr>
          <w:sz w:val="26"/>
          <w:szCs w:val="26"/>
        </w:rPr>
        <w:t xml:space="preserve">Aqua America commits to addressing the replacement of gathering pipe representing remediation of the bare steel within the Goodwin/Tombaugh Gathering System over a seven-year timeframe. </w:t>
      </w:r>
      <w:r>
        <w:rPr>
          <w:sz w:val="26"/>
          <w:szCs w:val="26"/>
        </w:rPr>
        <w:t xml:space="preserve"> </w:t>
      </w:r>
      <w:r w:rsidRPr="005D596B">
        <w:rPr>
          <w:sz w:val="26"/>
          <w:szCs w:val="26"/>
        </w:rPr>
        <w:t>The work to begin repair and replacement of the system would begin three months after closing (such work includes engineering and planning) and the Peoples Companies and interested parties would meet to discuss and provide updates on the status of the project every six months</w:t>
      </w:r>
      <w:r>
        <w:rPr>
          <w:sz w:val="26"/>
          <w:szCs w:val="26"/>
        </w:rPr>
        <w:t xml:space="preserve">.  </w:t>
      </w:r>
    </w:p>
    <w:p w14:paraId="3E02D5DC" w14:textId="77777777" w:rsidR="005D596B" w:rsidRDefault="005D596B" w:rsidP="00B24187">
      <w:pPr>
        <w:widowControl/>
        <w:ind w:left="2160" w:right="1440" w:hanging="720"/>
        <w:rPr>
          <w:sz w:val="26"/>
          <w:szCs w:val="26"/>
        </w:rPr>
      </w:pPr>
    </w:p>
    <w:p w14:paraId="0DD33623" w14:textId="77777777" w:rsidR="005C69A8" w:rsidRDefault="005D596B" w:rsidP="00B24187">
      <w:pPr>
        <w:widowControl/>
        <w:ind w:left="1440" w:right="1440"/>
        <w:rPr>
          <w:sz w:val="26"/>
          <w:szCs w:val="26"/>
        </w:rPr>
      </w:pPr>
      <w:r>
        <w:rPr>
          <w:sz w:val="26"/>
          <w:szCs w:val="26"/>
        </w:rPr>
        <w:t>30.</w:t>
      </w:r>
      <w:r>
        <w:rPr>
          <w:sz w:val="26"/>
          <w:szCs w:val="26"/>
        </w:rPr>
        <w:tab/>
      </w:r>
      <w:r w:rsidRPr="005D596B">
        <w:rPr>
          <w:sz w:val="26"/>
          <w:szCs w:val="26"/>
        </w:rPr>
        <w:t>Capital replaced and remediated for the</w:t>
      </w:r>
      <w:r>
        <w:rPr>
          <w:sz w:val="26"/>
          <w:szCs w:val="26"/>
        </w:rPr>
        <w:t xml:space="preserve"> </w:t>
      </w:r>
      <w:r w:rsidRPr="005D596B">
        <w:rPr>
          <w:sz w:val="26"/>
          <w:szCs w:val="26"/>
        </w:rPr>
        <w:t>Goodwin/Tombaugh systems will be recovered through a base rate case (rather than a DSIC).</w:t>
      </w:r>
      <w:r>
        <w:rPr>
          <w:sz w:val="26"/>
          <w:szCs w:val="26"/>
        </w:rPr>
        <w:t xml:space="preserve"> </w:t>
      </w:r>
      <w:r w:rsidRPr="005D596B">
        <w:rPr>
          <w:sz w:val="26"/>
          <w:szCs w:val="26"/>
        </w:rPr>
        <w:t xml:space="preserve"> In addition, remediation of the Goodwin/Tombaugh systems shall occur concurrently with the Peoples Companies’ other replacement projects</w:t>
      </w:r>
      <w:r>
        <w:rPr>
          <w:sz w:val="26"/>
          <w:szCs w:val="26"/>
        </w:rPr>
        <w:t>.</w:t>
      </w:r>
    </w:p>
    <w:p w14:paraId="7AD08EB0" w14:textId="77777777" w:rsidR="005D596B" w:rsidRDefault="005D596B" w:rsidP="00B24187">
      <w:pPr>
        <w:widowControl/>
        <w:ind w:left="1440" w:right="1440"/>
        <w:rPr>
          <w:sz w:val="26"/>
          <w:szCs w:val="26"/>
        </w:rPr>
      </w:pPr>
    </w:p>
    <w:p w14:paraId="2DFEFC10" w14:textId="77777777" w:rsidR="005D596B" w:rsidRDefault="005D596B" w:rsidP="00B24187">
      <w:pPr>
        <w:widowControl/>
        <w:ind w:left="1440" w:right="1440"/>
        <w:rPr>
          <w:sz w:val="26"/>
          <w:szCs w:val="26"/>
        </w:rPr>
      </w:pPr>
      <w:r>
        <w:rPr>
          <w:sz w:val="26"/>
          <w:szCs w:val="26"/>
        </w:rPr>
        <w:t>31.</w:t>
      </w:r>
      <w:r>
        <w:rPr>
          <w:sz w:val="26"/>
          <w:szCs w:val="26"/>
        </w:rPr>
        <w:tab/>
      </w:r>
      <w:r w:rsidRPr="005D596B">
        <w:rPr>
          <w:sz w:val="26"/>
          <w:szCs w:val="26"/>
        </w:rPr>
        <w:t>As the capital is completed and placed in service, the plant will then be transferred and become part of Peoples Natural Gas and regulated under the Commission’s jurisdiction and classified as distribution pipeline and operated for safety purposes following all provisions under 49 C.F.R. § 192 for distribution pipeline.</w:t>
      </w:r>
    </w:p>
    <w:p w14:paraId="2A18AAAF" w14:textId="77777777" w:rsidR="005D596B" w:rsidRDefault="005D596B" w:rsidP="00B24187">
      <w:pPr>
        <w:widowControl/>
        <w:ind w:left="1440" w:right="1440"/>
        <w:rPr>
          <w:sz w:val="26"/>
          <w:szCs w:val="26"/>
        </w:rPr>
      </w:pPr>
    </w:p>
    <w:p w14:paraId="0F58D03F" w14:textId="252B9D3B" w:rsidR="005D596B" w:rsidRPr="005D596B" w:rsidRDefault="005D596B" w:rsidP="00B24187">
      <w:pPr>
        <w:widowControl/>
        <w:ind w:left="1440" w:right="1440"/>
        <w:rPr>
          <w:sz w:val="26"/>
          <w:szCs w:val="26"/>
        </w:rPr>
      </w:pPr>
      <w:r>
        <w:rPr>
          <w:sz w:val="26"/>
          <w:szCs w:val="26"/>
        </w:rPr>
        <w:t>32.</w:t>
      </w:r>
      <w:r>
        <w:rPr>
          <w:sz w:val="26"/>
          <w:szCs w:val="26"/>
        </w:rPr>
        <w:tab/>
      </w:r>
      <w:r w:rsidRPr="005D596B">
        <w:rPr>
          <w:sz w:val="26"/>
          <w:szCs w:val="26"/>
        </w:rPr>
        <w:t>The intent of this section is to replace and repair all the bare steel in the system so that customers are not abandoned.</w:t>
      </w:r>
      <w:r w:rsidR="001A3239">
        <w:rPr>
          <w:sz w:val="26"/>
          <w:szCs w:val="26"/>
        </w:rPr>
        <w:t xml:space="preserve">  </w:t>
      </w:r>
      <w:r w:rsidRPr="005D596B">
        <w:rPr>
          <w:sz w:val="26"/>
          <w:szCs w:val="26"/>
        </w:rPr>
        <w:t xml:space="preserve">However, there will likely be circumstances that require </w:t>
      </w:r>
      <w:r w:rsidRPr="005D596B">
        <w:rPr>
          <w:sz w:val="26"/>
          <w:szCs w:val="26"/>
        </w:rPr>
        <w:lastRenderedPageBreak/>
        <w:t>further evaluation.</w:t>
      </w:r>
      <w:r w:rsidR="001A3239">
        <w:rPr>
          <w:sz w:val="26"/>
          <w:szCs w:val="26"/>
        </w:rPr>
        <w:t xml:space="preserve"> </w:t>
      </w:r>
      <w:r w:rsidRPr="005D596B">
        <w:rPr>
          <w:sz w:val="26"/>
          <w:szCs w:val="26"/>
        </w:rPr>
        <w:t xml:space="preserve"> For these situations, the interested parties and the Peoples Companies will meet to discuss at or before the </w:t>
      </w:r>
      <w:r w:rsidR="003A591D" w:rsidRPr="005D596B">
        <w:rPr>
          <w:sz w:val="26"/>
          <w:szCs w:val="26"/>
        </w:rPr>
        <w:t>six-month</w:t>
      </w:r>
      <w:r w:rsidRPr="005D596B">
        <w:rPr>
          <w:sz w:val="26"/>
          <w:szCs w:val="26"/>
        </w:rPr>
        <w:t xml:space="preserve"> check meetings discussed above.</w:t>
      </w:r>
      <w:r w:rsidR="001A3239">
        <w:rPr>
          <w:sz w:val="26"/>
          <w:szCs w:val="26"/>
        </w:rPr>
        <w:t xml:space="preserve"> </w:t>
      </w:r>
      <w:r w:rsidRPr="005D596B">
        <w:rPr>
          <w:sz w:val="26"/>
          <w:szCs w:val="26"/>
        </w:rPr>
        <w:t xml:space="preserve"> As a general matter for discussion, PNG will identify areas where customer saturation levels may require further study and analysis.</w:t>
      </w:r>
    </w:p>
    <w:p w14:paraId="5D39BE1A" w14:textId="77777777" w:rsidR="005D596B" w:rsidRPr="005D596B" w:rsidRDefault="005D596B" w:rsidP="00B24187">
      <w:pPr>
        <w:widowControl/>
        <w:ind w:left="1440" w:right="1440"/>
        <w:rPr>
          <w:sz w:val="26"/>
          <w:szCs w:val="26"/>
        </w:rPr>
      </w:pPr>
    </w:p>
    <w:p w14:paraId="0B3ED4A6" w14:textId="77777777" w:rsidR="001A3239" w:rsidRDefault="001A3239" w:rsidP="00B24187">
      <w:pPr>
        <w:widowControl/>
        <w:ind w:left="1440" w:right="1440"/>
        <w:rPr>
          <w:sz w:val="26"/>
          <w:szCs w:val="26"/>
        </w:rPr>
      </w:pPr>
      <w:bookmarkStart w:id="60" w:name="_Hlk30518267"/>
      <w:r>
        <w:rPr>
          <w:sz w:val="26"/>
          <w:szCs w:val="26"/>
        </w:rPr>
        <w:t>33.</w:t>
      </w:r>
      <w:r>
        <w:rPr>
          <w:sz w:val="26"/>
          <w:szCs w:val="26"/>
        </w:rPr>
        <w:tab/>
      </w:r>
      <w:r w:rsidRPr="001A3239">
        <w:rPr>
          <w:sz w:val="26"/>
          <w:szCs w:val="26"/>
        </w:rPr>
        <w:t>Complete rehabilitation of the bare steel in the system is estimated to cost $120 million in present dollars.</w:t>
      </w:r>
      <w:r>
        <w:rPr>
          <w:sz w:val="26"/>
          <w:szCs w:val="26"/>
        </w:rPr>
        <w:t xml:space="preserve">  </w:t>
      </w:r>
      <w:r w:rsidRPr="001A3239">
        <w:rPr>
          <w:sz w:val="26"/>
          <w:szCs w:val="26"/>
        </w:rPr>
        <w:t>The Peoples Companies will receive full recovery for the actual</w:t>
      </w:r>
      <w:r>
        <w:rPr>
          <w:sz w:val="26"/>
          <w:szCs w:val="26"/>
        </w:rPr>
        <w:t xml:space="preserve"> </w:t>
      </w:r>
      <w:r w:rsidRPr="001A3239">
        <w:rPr>
          <w:sz w:val="26"/>
          <w:szCs w:val="26"/>
        </w:rPr>
        <w:t xml:space="preserve">capital spent for the complete rehabilitation of the bare steel in the system up to $120 million. </w:t>
      </w:r>
      <w:r>
        <w:rPr>
          <w:sz w:val="26"/>
          <w:szCs w:val="26"/>
        </w:rPr>
        <w:t xml:space="preserve"> </w:t>
      </w:r>
      <w:r w:rsidRPr="001A3239">
        <w:rPr>
          <w:sz w:val="26"/>
          <w:szCs w:val="26"/>
        </w:rPr>
        <w:t>During the repair and replacement of the system, if it becomes apparent that this estimate is no longer sufficient, based on the actual extent of the rehabilitation effort, the Peoples Companies and the statutory advocates will meet to discuss.</w:t>
      </w:r>
      <w:r>
        <w:rPr>
          <w:sz w:val="26"/>
          <w:szCs w:val="26"/>
        </w:rPr>
        <w:t xml:space="preserve"> </w:t>
      </w:r>
      <w:r w:rsidRPr="001A3239">
        <w:rPr>
          <w:sz w:val="26"/>
          <w:szCs w:val="26"/>
        </w:rPr>
        <w:t xml:space="preserve"> If an agreement cannot be reached, the Peoples Companies will submit a filing to the Commission for decision for those amounts over the $120 million.</w:t>
      </w:r>
      <w:r>
        <w:rPr>
          <w:sz w:val="26"/>
          <w:szCs w:val="26"/>
        </w:rPr>
        <w:t xml:space="preserve"> </w:t>
      </w:r>
      <w:r w:rsidRPr="001A3239">
        <w:rPr>
          <w:sz w:val="26"/>
          <w:szCs w:val="26"/>
        </w:rPr>
        <w:t xml:space="preserve"> All parties will retain their rights to either challenge or support such a filing. </w:t>
      </w:r>
      <w:r>
        <w:rPr>
          <w:sz w:val="26"/>
          <w:szCs w:val="26"/>
        </w:rPr>
        <w:t xml:space="preserve"> </w:t>
      </w:r>
      <w:r w:rsidRPr="001A3239">
        <w:rPr>
          <w:sz w:val="26"/>
          <w:szCs w:val="26"/>
        </w:rPr>
        <w:t xml:space="preserve">Regardless of the actual capital spent to rehabilitate the systems, Aqua America agrees to provide all Peoples Companies’ customers a rate credit of $13 million. </w:t>
      </w:r>
      <w:r>
        <w:rPr>
          <w:sz w:val="26"/>
          <w:szCs w:val="26"/>
        </w:rPr>
        <w:t xml:space="preserve"> </w:t>
      </w:r>
      <w:r w:rsidRPr="001A3239">
        <w:rPr>
          <w:sz w:val="26"/>
          <w:szCs w:val="26"/>
        </w:rPr>
        <w:t>The rate credit will appear on the Peoples Companies’ customers’ bills before the end of 2019.</w:t>
      </w:r>
    </w:p>
    <w:bookmarkEnd w:id="60"/>
    <w:p w14:paraId="047098AF" w14:textId="77777777" w:rsidR="001855DA" w:rsidRDefault="001855DA" w:rsidP="00B24187">
      <w:pPr>
        <w:widowControl/>
        <w:ind w:left="1440" w:right="1440"/>
        <w:rPr>
          <w:sz w:val="26"/>
          <w:szCs w:val="26"/>
        </w:rPr>
      </w:pPr>
    </w:p>
    <w:p w14:paraId="6E9E23C6" w14:textId="77777777" w:rsidR="001A3239" w:rsidRPr="001A3239" w:rsidRDefault="001A3239" w:rsidP="00B24187">
      <w:pPr>
        <w:widowControl/>
        <w:ind w:left="1440" w:right="1440"/>
        <w:rPr>
          <w:sz w:val="26"/>
          <w:szCs w:val="26"/>
        </w:rPr>
      </w:pPr>
      <w:r>
        <w:rPr>
          <w:sz w:val="26"/>
          <w:szCs w:val="26"/>
        </w:rPr>
        <w:t>34.</w:t>
      </w:r>
      <w:r>
        <w:rPr>
          <w:sz w:val="26"/>
          <w:szCs w:val="26"/>
        </w:rPr>
        <w:tab/>
      </w:r>
      <w:r w:rsidRPr="001A3239">
        <w:rPr>
          <w:sz w:val="26"/>
          <w:szCs w:val="26"/>
        </w:rPr>
        <w:t xml:space="preserve">Peoples Natural Gas and Aqua America will look to create and find synergies in the replacement of gathering and distribution pipe that eventually flow back to customers. </w:t>
      </w:r>
      <w:r>
        <w:rPr>
          <w:sz w:val="26"/>
          <w:szCs w:val="26"/>
        </w:rPr>
        <w:t xml:space="preserve"> </w:t>
      </w:r>
      <w:r w:rsidRPr="001A3239">
        <w:rPr>
          <w:sz w:val="26"/>
          <w:szCs w:val="26"/>
        </w:rPr>
        <w:t>In addition, the companies will explore the opportunity of grant eligibility and include PIOGA members for possible solutions and partnership in addressing the issue.</w:t>
      </w:r>
    </w:p>
    <w:p w14:paraId="43CF5798" w14:textId="77777777" w:rsidR="001A3239" w:rsidRPr="001A3239" w:rsidRDefault="001A3239" w:rsidP="00B24187">
      <w:pPr>
        <w:widowControl/>
        <w:ind w:left="1440" w:right="1440"/>
        <w:rPr>
          <w:sz w:val="26"/>
          <w:szCs w:val="26"/>
        </w:rPr>
      </w:pPr>
    </w:p>
    <w:p w14:paraId="04603505" w14:textId="77777777" w:rsidR="001A3239" w:rsidRDefault="001A3239" w:rsidP="00B24187">
      <w:pPr>
        <w:widowControl/>
        <w:ind w:left="1440" w:right="1440"/>
        <w:rPr>
          <w:sz w:val="26"/>
          <w:szCs w:val="26"/>
        </w:rPr>
      </w:pPr>
      <w:r>
        <w:rPr>
          <w:sz w:val="26"/>
          <w:szCs w:val="26"/>
        </w:rPr>
        <w:t>35.</w:t>
      </w:r>
      <w:r>
        <w:rPr>
          <w:sz w:val="26"/>
          <w:szCs w:val="26"/>
        </w:rPr>
        <w:tab/>
      </w:r>
      <w:r w:rsidRPr="001A3239">
        <w:rPr>
          <w:sz w:val="26"/>
          <w:szCs w:val="26"/>
        </w:rPr>
        <w:t>The Commission’s Gas Safety Division will be provided access to these systems to inspect for any safety concerns through the remediation period, and this access will continue at all times after the remediation is complete.</w:t>
      </w:r>
    </w:p>
    <w:p w14:paraId="79DEA946" w14:textId="77777777" w:rsidR="001A3239" w:rsidRDefault="001A3239" w:rsidP="00B24187">
      <w:pPr>
        <w:widowControl/>
        <w:ind w:left="1440" w:right="1440"/>
        <w:rPr>
          <w:sz w:val="26"/>
          <w:szCs w:val="26"/>
        </w:rPr>
      </w:pPr>
    </w:p>
    <w:p w14:paraId="6E10E5ED" w14:textId="2D26FAF8" w:rsidR="001A3239" w:rsidRDefault="001A3239" w:rsidP="00B24187">
      <w:pPr>
        <w:widowControl/>
        <w:ind w:left="1440" w:right="1440"/>
        <w:rPr>
          <w:sz w:val="26"/>
          <w:szCs w:val="26"/>
        </w:rPr>
      </w:pPr>
      <w:r>
        <w:rPr>
          <w:sz w:val="26"/>
          <w:szCs w:val="26"/>
        </w:rPr>
        <w:t>36.</w:t>
      </w:r>
      <w:r>
        <w:rPr>
          <w:sz w:val="26"/>
          <w:szCs w:val="26"/>
        </w:rPr>
        <w:tab/>
      </w:r>
      <w:r w:rsidRPr="001A3239">
        <w:rPr>
          <w:sz w:val="26"/>
          <w:szCs w:val="26"/>
        </w:rPr>
        <w:t>Effective October 1</w:t>
      </w:r>
      <w:r w:rsidRPr="001A3239">
        <w:rPr>
          <w:sz w:val="26"/>
          <w:szCs w:val="26"/>
          <w:vertAlign w:val="superscript"/>
        </w:rPr>
        <w:t>st</w:t>
      </w:r>
      <w:r w:rsidRPr="001A3239">
        <w:rPr>
          <w:sz w:val="26"/>
          <w:szCs w:val="26"/>
        </w:rPr>
        <w:t xml:space="preserve"> following the first Unaccounted </w:t>
      </w:r>
      <w:r w:rsidR="003A591D" w:rsidRPr="001A3239">
        <w:rPr>
          <w:sz w:val="26"/>
          <w:szCs w:val="26"/>
        </w:rPr>
        <w:t>for</w:t>
      </w:r>
      <w:r w:rsidRPr="001A3239">
        <w:rPr>
          <w:sz w:val="26"/>
          <w:szCs w:val="26"/>
        </w:rPr>
        <w:t xml:space="preserve"> Gas (“UFG”) reporting period in which the Peoples Companies begin remediation of the Goodwin/Tombaugh systems, Peoples Natural Gas will adjust the annual Goodwin system retainage rate applicable to producers delivering gas into the Goodwin system. </w:t>
      </w:r>
      <w:r>
        <w:rPr>
          <w:sz w:val="26"/>
          <w:szCs w:val="26"/>
        </w:rPr>
        <w:t xml:space="preserve"> </w:t>
      </w:r>
      <w:r w:rsidRPr="001A3239">
        <w:rPr>
          <w:sz w:val="26"/>
          <w:szCs w:val="26"/>
        </w:rPr>
        <w:t xml:space="preserve">The Goodwin system retainage </w:t>
      </w:r>
      <w:r w:rsidRPr="001A3239">
        <w:rPr>
          <w:sz w:val="26"/>
          <w:szCs w:val="26"/>
        </w:rPr>
        <w:lastRenderedPageBreak/>
        <w:t>rate shall be adjusted annually to reflect the lower of: 1) the actual calculated UFG rate on the Goodwin system; or 2) a retainage rate calculated by reducing the then-effective annual retainage rate by a percentage (percentage rate of decline) that is equal to the annual rate of pipeline replacement on</w:t>
      </w:r>
      <w:r>
        <w:rPr>
          <w:sz w:val="26"/>
          <w:szCs w:val="26"/>
        </w:rPr>
        <w:t xml:space="preserve"> </w:t>
      </w:r>
      <w:r w:rsidRPr="001A3239">
        <w:rPr>
          <w:sz w:val="26"/>
          <w:szCs w:val="26"/>
        </w:rPr>
        <w:t xml:space="preserve">the Goodwin system. </w:t>
      </w:r>
      <w:r>
        <w:rPr>
          <w:sz w:val="26"/>
          <w:szCs w:val="26"/>
        </w:rPr>
        <w:t xml:space="preserve"> </w:t>
      </w:r>
      <w:r w:rsidRPr="001A3239">
        <w:rPr>
          <w:sz w:val="26"/>
          <w:szCs w:val="26"/>
        </w:rPr>
        <w:t xml:space="preserve">Peoples Natural Gas also agrees to conduct interim semi-annual reviews of actual Goodwin system UFG levels based on a rolling 12-month period and if a UFG decline trend is evident Peoples Natural Gas will also make an interim adjustment to the effective retainage rate to reflect the actual UFG level for the interim rolling 12-month period. </w:t>
      </w:r>
      <w:r>
        <w:rPr>
          <w:sz w:val="26"/>
          <w:szCs w:val="26"/>
        </w:rPr>
        <w:t xml:space="preserve"> </w:t>
      </w:r>
      <w:r w:rsidRPr="001A3239">
        <w:rPr>
          <w:sz w:val="26"/>
          <w:szCs w:val="26"/>
        </w:rPr>
        <w:t>In no case shall the Goodwin system retainage rate be less than the currently effective system-wide producer retainage charge.</w:t>
      </w:r>
    </w:p>
    <w:p w14:paraId="1951ACE9" w14:textId="77777777" w:rsidR="001A3239" w:rsidRDefault="001A3239" w:rsidP="00B24187">
      <w:pPr>
        <w:widowControl/>
        <w:ind w:left="1440" w:right="1440"/>
        <w:rPr>
          <w:sz w:val="26"/>
          <w:szCs w:val="26"/>
        </w:rPr>
      </w:pPr>
    </w:p>
    <w:p w14:paraId="6D632B34" w14:textId="77777777" w:rsidR="001A3239" w:rsidRPr="001A3239" w:rsidRDefault="001A3239" w:rsidP="00B24187">
      <w:pPr>
        <w:widowControl/>
        <w:ind w:left="1440" w:right="1440"/>
        <w:rPr>
          <w:sz w:val="26"/>
          <w:szCs w:val="26"/>
        </w:rPr>
      </w:pPr>
      <w:r>
        <w:rPr>
          <w:sz w:val="26"/>
          <w:szCs w:val="26"/>
        </w:rPr>
        <w:t>37.</w:t>
      </w:r>
      <w:r>
        <w:rPr>
          <w:sz w:val="26"/>
          <w:szCs w:val="26"/>
        </w:rPr>
        <w:tab/>
      </w:r>
      <w:r w:rsidRPr="001A3239">
        <w:rPr>
          <w:sz w:val="26"/>
          <w:szCs w:val="26"/>
        </w:rPr>
        <w:t xml:space="preserve">Peoples Natural Gas will perform annual, instead of triennial (once every three years), leak surveys of all bare steel segments in the Goodwin/Tombaugh systems until that particular pipeline section is replaced as part of this remediation. </w:t>
      </w:r>
      <w:r>
        <w:rPr>
          <w:sz w:val="26"/>
          <w:szCs w:val="26"/>
        </w:rPr>
        <w:t xml:space="preserve"> </w:t>
      </w:r>
      <w:r w:rsidRPr="001A3239">
        <w:rPr>
          <w:sz w:val="26"/>
          <w:szCs w:val="26"/>
        </w:rPr>
        <w:t>This survey will be a walking survey in which the company will start at one end of the line and finish at the other.</w:t>
      </w:r>
    </w:p>
    <w:p w14:paraId="107D4B73" w14:textId="77777777" w:rsidR="001A3239" w:rsidRDefault="001A3239" w:rsidP="00B24187">
      <w:pPr>
        <w:widowControl/>
        <w:ind w:left="1440" w:right="1440"/>
        <w:rPr>
          <w:sz w:val="26"/>
          <w:szCs w:val="26"/>
        </w:rPr>
      </w:pPr>
    </w:p>
    <w:p w14:paraId="31C44170" w14:textId="77777777" w:rsidR="001A3239" w:rsidRDefault="001A3239" w:rsidP="00B24187">
      <w:pPr>
        <w:widowControl/>
        <w:ind w:left="1440" w:right="1440"/>
        <w:rPr>
          <w:sz w:val="26"/>
          <w:szCs w:val="26"/>
        </w:rPr>
      </w:pPr>
      <w:r>
        <w:rPr>
          <w:sz w:val="26"/>
          <w:szCs w:val="26"/>
        </w:rPr>
        <w:t>38.</w:t>
      </w:r>
      <w:r>
        <w:rPr>
          <w:sz w:val="26"/>
          <w:szCs w:val="26"/>
        </w:rPr>
        <w:tab/>
      </w:r>
      <w:r w:rsidRPr="001A3239">
        <w:rPr>
          <w:sz w:val="26"/>
          <w:szCs w:val="26"/>
        </w:rPr>
        <w:t>Every leak detected as part of the accelerated annual surveys undertaken pursuant to Paragraph 37 that is within 450 feet of a house shall be fixed within 6 months unless it is located on a line scheduled for replacement within 6 months.</w:t>
      </w:r>
    </w:p>
    <w:p w14:paraId="510F242D" w14:textId="77777777" w:rsidR="001A3239" w:rsidRDefault="001A3239" w:rsidP="00B24187">
      <w:pPr>
        <w:widowControl/>
        <w:ind w:left="1440" w:right="1440"/>
        <w:rPr>
          <w:sz w:val="26"/>
          <w:szCs w:val="26"/>
        </w:rPr>
      </w:pPr>
    </w:p>
    <w:p w14:paraId="4CEBBEEB" w14:textId="77777777" w:rsidR="001A3239" w:rsidRDefault="001A3239" w:rsidP="00B24187">
      <w:pPr>
        <w:widowControl/>
        <w:ind w:left="1440" w:right="1440"/>
        <w:rPr>
          <w:sz w:val="26"/>
          <w:szCs w:val="26"/>
        </w:rPr>
      </w:pPr>
      <w:r>
        <w:rPr>
          <w:sz w:val="26"/>
          <w:szCs w:val="26"/>
        </w:rPr>
        <w:t>39.</w:t>
      </w:r>
      <w:r>
        <w:rPr>
          <w:sz w:val="26"/>
          <w:szCs w:val="26"/>
        </w:rPr>
        <w:tab/>
      </w:r>
      <w:r w:rsidRPr="001A3239">
        <w:rPr>
          <w:sz w:val="26"/>
          <w:szCs w:val="26"/>
        </w:rPr>
        <w:t>All company and customer service lines (curb to meter) will be replaced by Peoples Natural Gas as part of the Goodwin/Tombaugh replacement program.</w:t>
      </w:r>
    </w:p>
    <w:p w14:paraId="0B081EC8" w14:textId="77777777" w:rsidR="001A3239" w:rsidRDefault="001A3239" w:rsidP="00B24187">
      <w:pPr>
        <w:widowControl/>
        <w:ind w:left="1440" w:right="1440"/>
        <w:rPr>
          <w:sz w:val="26"/>
          <w:szCs w:val="26"/>
        </w:rPr>
      </w:pPr>
    </w:p>
    <w:p w14:paraId="5191973A" w14:textId="77777777" w:rsidR="001A3239" w:rsidRPr="001A3239" w:rsidRDefault="001A3239" w:rsidP="00B24187">
      <w:pPr>
        <w:widowControl/>
        <w:ind w:left="1440" w:right="1440"/>
        <w:rPr>
          <w:sz w:val="26"/>
          <w:szCs w:val="26"/>
        </w:rPr>
      </w:pPr>
      <w:r>
        <w:rPr>
          <w:sz w:val="26"/>
          <w:szCs w:val="26"/>
        </w:rPr>
        <w:t>40.</w:t>
      </w:r>
      <w:r>
        <w:rPr>
          <w:sz w:val="26"/>
          <w:szCs w:val="26"/>
        </w:rPr>
        <w:tab/>
      </w:r>
      <w:r w:rsidRPr="001A3239">
        <w:rPr>
          <w:sz w:val="26"/>
          <w:szCs w:val="26"/>
        </w:rPr>
        <w:t>All inside meters in the Goodwin/Tombaugh systems shall be placed outside the wall of the structures.</w:t>
      </w:r>
    </w:p>
    <w:p w14:paraId="59636B3A" w14:textId="77777777" w:rsidR="001A3239" w:rsidRPr="001A3239" w:rsidRDefault="001A3239" w:rsidP="00B24187">
      <w:pPr>
        <w:widowControl/>
        <w:spacing w:line="360" w:lineRule="auto"/>
        <w:ind w:right="1440"/>
        <w:rPr>
          <w:sz w:val="26"/>
          <w:szCs w:val="26"/>
        </w:rPr>
      </w:pPr>
    </w:p>
    <w:p w14:paraId="56158422" w14:textId="77777777" w:rsidR="001A3239" w:rsidRPr="001A3239" w:rsidRDefault="00C46920" w:rsidP="00B24187">
      <w:pPr>
        <w:widowControl/>
        <w:spacing w:line="360" w:lineRule="auto"/>
        <w:ind w:right="1440"/>
        <w:rPr>
          <w:sz w:val="26"/>
          <w:szCs w:val="26"/>
        </w:rPr>
      </w:pPr>
      <w:r>
        <w:rPr>
          <w:sz w:val="26"/>
          <w:szCs w:val="26"/>
        </w:rPr>
        <w:t xml:space="preserve">Settlement at </w:t>
      </w:r>
      <w:r w:rsidR="00184666">
        <w:rPr>
          <w:sz w:val="26"/>
          <w:szCs w:val="26"/>
        </w:rPr>
        <w:t>¶¶ 29-40</w:t>
      </w:r>
      <w:r>
        <w:rPr>
          <w:sz w:val="26"/>
          <w:szCs w:val="26"/>
        </w:rPr>
        <w:t>.</w:t>
      </w:r>
    </w:p>
    <w:p w14:paraId="127AF40E" w14:textId="77777777" w:rsidR="00630891" w:rsidRPr="004B2DAF" w:rsidRDefault="00630891" w:rsidP="00B24187">
      <w:pPr>
        <w:widowControl/>
        <w:spacing w:line="360" w:lineRule="auto"/>
        <w:rPr>
          <w:sz w:val="26"/>
          <w:szCs w:val="26"/>
        </w:rPr>
      </w:pPr>
    </w:p>
    <w:p w14:paraId="11F17F8D" w14:textId="77777777" w:rsidR="00272D83" w:rsidRPr="00403B03" w:rsidRDefault="00272D83" w:rsidP="00BB1187">
      <w:pPr>
        <w:pStyle w:val="Heading4"/>
        <w:widowControl/>
        <w:ind w:left="2160" w:hanging="720"/>
      </w:pPr>
      <w:bookmarkStart w:id="61" w:name="_Toc29278197"/>
      <w:r w:rsidRPr="00403B03">
        <w:lastRenderedPageBreak/>
        <w:t>Positions of the Parties</w:t>
      </w:r>
      <w:bookmarkEnd w:id="61"/>
    </w:p>
    <w:p w14:paraId="78B6FC1E" w14:textId="77777777" w:rsidR="00272D83" w:rsidRDefault="00272D83" w:rsidP="00BB1187">
      <w:pPr>
        <w:pStyle w:val="ListParagraph"/>
        <w:keepNext/>
        <w:widowControl/>
        <w:spacing w:line="360" w:lineRule="auto"/>
        <w:rPr>
          <w:b/>
          <w:bCs/>
          <w:sz w:val="26"/>
          <w:szCs w:val="26"/>
        </w:rPr>
      </w:pPr>
    </w:p>
    <w:p w14:paraId="1EF2F812" w14:textId="77777777" w:rsidR="00026BA0" w:rsidRDefault="00352B24" w:rsidP="00BB1187">
      <w:pPr>
        <w:pStyle w:val="ListParagraph"/>
        <w:keepNext/>
        <w:widowControl/>
        <w:spacing w:line="360" w:lineRule="auto"/>
        <w:ind w:left="0" w:firstLine="1440"/>
        <w:rPr>
          <w:sz w:val="26"/>
          <w:szCs w:val="26"/>
        </w:rPr>
      </w:pPr>
      <w:r>
        <w:rPr>
          <w:sz w:val="26"/>
          <w:szCs w:val="26"/>
        </w:rPr>
        <w:t>The Joint Applicants</w:t>
      </w:r>
      <w:r w:rsidR="0030673A">
        <w:rPr>
          <w:sz w:val="26"/>
          <w:szCs w:val="26"/>
        </w:rPr>
        <w:t xml:space="preserve"> asserted that the Settlement terms related to the G/T Systems should be adopted without modification</w:t>
      </w:r>
      <w:r w:rsidR="00BE5F65">
        <w:rPr>
          <w:sz w:val="26"/>
          <w:szCs w:val="26"/>
        </w:rPr>
        <w:t>, as they result in substantial affirmative public benefits</w:t>
      </w:r>
      <w:r w:rsidR="0030673A">
        <w:rPr>
          <w:sz w:val="26"/>
          <w:szCs w:val="26"/>
        </w:rPr>
        <w:t xml:space="preserve">.  Joint Applicants R.B. at 34.  </w:t>
      </w:r>
      <w:r w:rsidR="004A06A7">
        <w:rPr>
          <w:sz w:val="26"/>
          <w:szCs w:val="26"/>
        </w:rPr>
        <w:t>Specifically,</w:t>
      </w:r>
      <w:r w:rsidR="00026BA0">
        <w:rPr>
          <w:sz w:val="26"/>
          <w:szCs w:val="26"/>
        </w:rPr>
        <w:t xml:space="preserve"> </w:t>
      </w:r>
      <w:r w:rsidR="00BE5F65">
        <w:rPr>
          <w:sz w:val="26"/>
          <w:szCs w:val="26"/>
        </w:rPr>
        <w:t xml:space="preserve">the Joint Applicants stated </w:t>
      </w:r>
      <w:r w:rsidR="00026BA0">
        <w:rPr>
          <w:sz w:val="26"/>
          <w:szCs w:val="26"/>
        </w:rPr>
        <w:t xml:space="preserve">that the replacement of all the bare steel pipe of the G/T Systems would benefit the public by avoiding abandonment and conversion of </w:t>
      </w:r>
      <w:r w:rsidR="00BE5F65">
        <w:rPr>
          <w:sz w:val="26"/>
          <w:szCs w:val="26"/>
        </w:rPr>
        <w:t xml:space="preserve">1,700 </w:t>
      </w:r>
      <w:r w:rsidR="00026BA0">
        <w:rPr>
          <w:sz w:val="26"/>
          <w:szCs w:val="26"/>
        </w:rPr>
        <w:t>existing customers to potentially higher cost alternative fuel sources</w:t>
      </w:r>
      <w:r w:rsidR="000249A1">
        <w:rPr>
          <w:sz w:val="26"/>
          <w:szCs w:val="26"/>
        </w:rPr>
        <w:t>,</w:t>
      </w:r>
      <w:r w:rsidR="00026BA0">
        <w:rPr>
          <w:sz w:val="26"/>
          <w:szCs w:val="26"/>
        </w:rPr>
        <w:t xml:space="preserve"> ensuring that existing shallow-well producers can continue to provide gas into the system</w:t>
      </w:r>
      <w:r w:rsidR="00F97813">
        <w:rPr>
          <w:sz w:val="26"/>
          <w:szCs w:val="26"/>
        </w:rPr>
        <w:t>, thereby promoting economic development in these areas</w:t>
      </w:r>
      <w:r w:rsidR="000249A1">
        <w:rPr>
          <w:sz w:val="26"/>
          <w:szCs w:val="26"/>
        </w:rPr>
        <w:t>, and improving overall safety</w:t>
      </w:r>
      <w:r w:rsidR="00026BA0">
        <w:rPr>
          <w:sz w:val="26"/>
          <w:szCs w:val="26"/>
        </w:rPr>
        <w:t>.  Joint Applicants Statement in Support</w:t>
      </w:r>
      <w:r w:rsidR="000249A1">
        <w:rPr>
          <w:sz w:val="26"/>
          <w:szCs w:val="26"/>
        </w:rPr>
        <w:t xml:space="preserve"> at 12.  </w:t>
      </w:r>
    </w:p>
    <w:p w14:paraId="6A23970A" w14:textId="77777777" w:rsidR="000249A1" w:rsidRDefault="000249A1" w:rsidP="00B24187">
      <w:pPr>
        <w:pStyle w:val="ListParagraph"/>
        <w:widowControl/>
        <w:spacing w:line="360" w:lineRule="auto"/>
        <w:ind w:left="0" w:firstLine="1440"/>
        <w:rPr>
          <w:sz w:val="26"/>
          <w:szCs w:val="26"/>
        </w:rPr>
      </w:pPr>
    </w:p>
    <w:p w14:paraId="726645ED" w14:textId="77777777" w:rsidR="000249A1" w:rsidRDefault="000249A1" w:rsidP="00B24187">
      <w:pPr>
        <w:pStyle w:val="ListParagraph"/>
        <w:widowControl/>
        <w:spacing w:line="360" w:lineRule="auto"/>
        <w:ind w:left="0" w:firstLine="1440"/>
        <w:rPr>
          <w:sz w:val="26"/>
          <w:szCs w:val="26"/>
        </w:rPr>
      </w:pPr>
      <w:r>
        <w:rPr>
          <w:sz w:val="26"/>
          <w:szCs w:val="26"/>
        </w:rPr>
        <w:t>The Joint Applicants</w:t>
      </w:r>
      <w:r w:rsidR="00FA2993">
        <w:rPr>
          <w:sz w:val="26"/>
          <w:szCs w:val="26"/>
        </w:rPr>
        <w:t>’ Statement in Support</w:t>
      </w:r>
      <w:r w:rsidR="00C7181C">
        <w:rPr>
          <w:sz w:val="26"/>
          <w:szCs w:val="26"/>
        </w:rPr>
        <w:t xml:space="preserve"> </w:t>
      </w:r>
      <w:r w:rsidR="00E31E5A">
        <w:rPr>
          <w:sz w:val="26"/>
          <w:szCs w:val="26"/>
        </w:rPr>
        <w:t xml:space="preserve">explained that </w:t>
      </w:r>
      <w:r w:rsidR="00FA2993">
        <w:rPr>
          <w:sz w:val="26"/>
          <w:szCs w:val="26"/>
        </w:rPr>
        <w:t xml:space="preserve">the commitments in the Settlement </w:t>
      </w:r>
      <w:r w:rsidR="00E31E5A">
        <w:rPr>
          <w:sz w:val="26"/>
          <w:szCs w:val="26"/>
        </w:rPr>
        <w:t xml:space="preserve">were </w:t>
      </w:r>
      <w:r w:rsidR="00FA2993">
        <w:rPr>
          <w:sz w:val="26"/>
          <w:szCs w:val="26"/>
        </w:rPr>
        <w:t>designed to provide</w:t>
      </w:r>
      <w:r w:rsidR="0099250A">
        <w:rPr>
          <w:sz w:val="26"/>
          <w:szCs w:val="26"/>
        </w:rPr>
        <w:t xml:space="preserve"> </w:t>
      </w:r>
      <w:r w:rsidR="00FA2993">
        <w:rPr>
          <w:sz w:val="26"/>
          <w:szCs w:val="26"/>
        </w:rPr>
        <w:t xml:space="preserve">safety benefits. </w:t>
      </w:r>
      <w:r w:rsidR="00E31E5A">
        <w:rPr>
          <w:sz w:val="26"/>
          <w:szCs w:val="26"/>
        </w:rPr>
        <w:t xml:space="preserve"> </w:t>
      </w:r>
      <w:r w:rsidR="00CA3301">
        <w:rPr>
          <w:sz w:val="26"/>
          <w:szCs w:val="26"/>
        </w:rPr>
        <w:t xml:space="preserve">These commitments include: (1) </w:t>
      </w:r>
      <w:r w:rsidR="00745A74">
        <w:rPr>
          <w:sz w:val="26"/>
          <w:szCs w:val="26"/>
        </w:rPr>
        <w:t xml:space="preserve">providing </w:t>
      </w:r>
      <w:r w:rsidR="00E31E5A">
        <w:rPr>
          <w:sz w:val="26"/>
          <w:szCs w:val="26"/>
        </w:rPr>
        <w:t xml:space="preserve">the Commission’s </w:t>
      </w:r>
      <w:r w:rsidR="00745A74">
        <w:rPr>
          <w:sz w:val="26"/>
          <w:szCs w:val="26"/>
        </w:rPr>
        <w:t>Pipeline Safety Division access to the G/T Systems to inspect and monitor their remediation</w:t>
      </w:r>
      <w:r w:rsidR="00C90F7B">
        <w:rPr>
          <w:sz w:val="26"/>
          <w:szCs w:val="26"/>
        </w:rPr>
        <w:t xml:space="preserve"> (Settlement at ¶ 35); </w:t>
      </w:r>
      <w:r w:rsidR="00745A74">
        <w:rPr>
          <w:sz w:val="26"/>
          <w:szCs w:val="26"/>
        </w:rPr>
        <w:t>(2) adherence to a plan for monitoring and reducing UFG levels on the G/T Systems, which includes increasing the frequency at which Peoples Natural Gas will perform leak surveys from once every three years, to once a year</w:t>
      </w:r>
      <w:r w:rsidR="00C90F7B">
        <w:rPr>
          <w:sz w:val="26"/>
          <w:szCs w:val="26"/>
        </w:rPr>
        <w:t xml:space="preserve"> (Settlement at ¶ 37)</w:t>
      </w:r>
      <w:r w:rsidR="00745A74">
        <w:rPr>
          <w:sz w:val="26"/>
          <w:szCs w:val="26"/>
        </w:rPr>
        <w:t xml:space="preserve">; and (3) </w:t>
      </w:r>
      <w:r w:rsidR="00320123">
        <w:rPr>
          <w:sz w:val="26"/>
          <w:szCs w:val="26"/>
        </w:rPr>
        <w:t>a focus on repairing leaks near houses, replacing service lines and moving inside meters outside</w:t>
      </w:r>
      <w:r w:rsidR="00C90F7B">
        <w:rPr>
          <w:sz w:val="26"/>
          <w:szCs w:val="26"/>
        </w:rPr>
        <w:t xml:space="preserve"> (Settlement at ¶</w:t>
      </w:r>
      <w:r w:rsidR="007E6F07">
        <w:rPr>
          <w:sz w:val="26"/>
          <w:szCs w:val="26"/>
        </w:rPr>
        <w:t xml:space="preserve"> 38-40)</w:t>
      </w:r>
      <w:r w:rsidR="00320123">
        <w:rPr>
          <w:sz w:val="26"/>
          <w:szCs w:val="26"/>
        </w:rPr>
        <w:t xml:space="preserve">.  Joint Applicants Statement in Support at 12-13. </w:t>
      </w:r>
    </w:p>
    <w:p w14:paraId="5895997F" w14:textId="77777777" w:rsidR="00654528" w:rsidRDefault="00654528" w:rsidP="00B24187">
      <w:pPr>
        <w:pStyle w:val="ListParagraph"/>
        <w:widowControl/>
        <w:spacing w:line="360" w:lineRule="auto"/>
        <w:ind w:left="0" w:firstLine="1440"/>
        <w:rPr>
          <w:sz w:val="26"/>
          <w:szCs w:val="26"/>
        </w:rPr>
      </w:pPr>
    </w:p>
    <w:p w14:paraId="7E2E7579" w14:textId="77777777" w:rsidR="00AF7497" w:rsidRDefault="00AF7497" w:rsidP="00B24187">
      <w:pPr>
        <w:pStyle w:val="ListParagraph"/>
        <w:widowControl/>
        <w:spacing w:line="360" w:lineRule="auto"/>
        <w:ind w:left="0" w:firstLine="1440"/>
        <w:rPr>
          <w:sz w:val="26"/>
          <w:szCs w:val="26"/>
        </w:rPr>
      </w:pPr>
      <w:r>
        <w:rPr>
          <w:sz w:val="26"/>
          <w:szCs w:val="26"/>
        </w:rPr>
        <w:t xml:space="preserve">The Joint Applicants further explained that </w:t>
      </w:r>
      <w:r w:rsidR="00104CD1">
        <w:rPr>
          <w:sz w:val="26"/>
          <w:szCs w:val="26"/>
        </w:rPr>
        <w:t>the specific commitments regarding the remediation and replacement plan contemplated in paragraphs 29 through 40 of the Settlement involve a sharing of costs</w:t>
      </w:r>
      <w:r w:rsidR="00247606">
        <w:rPr>
          <w:sz w:val="26"/>
          <w:szCs w:val="26"/>
        </w:rPr>
        <w:t xml:space="preserve"> between Aqua America and Peoples Natural Gas’ customers. </w:t>
      </w:r>
      <w:r w:rsidR="00104CD1">
        <w:rPr>
          <w:sz w:val="26"/>
          <w:szCs w:val="26"/>
        </w:rPr>
        <w:t xml:space="preserve"> </w:t>
      </w:r>
      <w:r w:rsidR="00247606">
        <w:rPr>
          <w:sz w:val="26"/>
          <w:szCs w:val="26"/>
        </w:rPr>
        <w:t xml:space="preserve">Specifically, </w:t>
      </w:r>
      <w:r w:rsidR="00104CD1">
        <w:rPr>
          <w:sz w:val="26"/>
          <w:szCs w:val="26"/>
        </w:rPr>
        <w:t>Aqua America</w:t>
      </w:r>
      <w:r w:rsidR="00247606">
        <w:rPr>
          <w:sz w:val="26"/>
          <w:szCs w:val="26"/>
        </w:rPr>
        <w:t xml:space="preserve"> will</w:t>
      </w:r>
      <w:r w:rsidR="00104CD1">
        <w:rPr>
          <w:sz w:val="26"/>
          <w:szCs w:val="26"/>
        </w:rPr>
        <w:t xml:space="preserve"> commit $13 million</w:t>
      </w:r>
      <w:r w:rsidR="00433A19">
        <w:rPr>
          <w:sz w:val="26"/>
          <w:szCs w:val="26"/>
        </w:rPr>
        <w:t xml:space="preserve"> toward the replacement cost, to be provided as</w:t>
      </w:r>
      <w:r w:rsidR="00104CD1">
        <w:rPr>
          <w:sz w:val="26"/>
          <w:szCs w:val="26"/>
        </w:rPr>
        <w:t xml:space="preserve"> an immediate rate credit</w:t>
      </w:r>
      <w:r w:rsidR="00433A19">
        <w:rPr>
          <w:sz w:val="26"/>
          <w:szCs w:val="26"/>
        </w:rPr>
        <w:t xml:space="preserve"> to Peoples Natural Gas’ customers</w:t>
      </w:r>
      <w:r w:rsidR="00104CD1">
        <w:rPr>
          <w:sz w:val="26"/>
          <w:szCs w:val="26"/>
        </w:rPr>
        <w:t>, and Peoples Natural Gas</w:t>
      </w:r>
      <w:r w:rsidR="00576517">
        <w:rPr>
          <w:sz w:val="26"/>
          <w:szCs w:val="26"/>
        </w:rPr>
        <w:t>’ residential</w:t>
      </w:r>
      <w:r w:rsidR="00104CD1">
        <w:rPr>
          <w:sz w:val="26"/>
          <w:szCs w:val="26"/>
        </w:rPr>
        <w:t xml:space="preserve"> customers</w:t>
      </w:r>
      <w:r w:rsidR="00576517">
        <w:rPr>
          <w:sz w:val="26"/>
          <w:szCs w:val="26"/>
        </w:rPr>
        <w:t xml:space="preserve"> will</w:t>
      </w:r>
      <w:r w:rsidR="00104CD1">
        <w:rPr>
          <w:sz w:val="26"/>
          <w:szCs w:val="26"/>
        </w:rPr>
        <w:t xml:space="preserve"> ultimately experie</w:t>
      </w:r>
      <w:r w:rsidR="00576517">
        <w:rPr>
          <w:sz w:val="26"/>
          <w:szCs w:val="26"/>
        </w:rPr>
        <w:t>nce</w:t>
      </w:r>
      <w:r w:rsidR="00104CD1">
        <w:rPr>
          <w:sz w:val="26"/>
          <w:szCs w:val="26"/>
        </w:rPr>
        <w:t xml:space="preserve"> a </w:t>
      </w:r>
      <w:r w:rsidR="00E804EF">
        <w:rPr>
          <w:sz w:val="26"/>
          <w:szCs w:val="26"/>
        </w:rPr>
        <w:t>roughly</w:t>
      </w:r>
      <w:r w:rsidR="00104CD1">
        <w:rPr>
          <w:sz w:val="26"/>
          <w:szCs w:val="26"/>
        </w:rPr>
        <w:t xml:space="preserve"> 1% increase in their rates</w:t>
      </w:r>
      <w:r w:rsidR="0094286F">
        <w:rPr>
          <w:sz w:val="26"/>
          <w:szCs w:val="26"/>
        </w:rPr>
        <w:t xml:space="preserve"> (approximately $1.00 per month)</w:t>
      </w:r>
      <w:r w:rsidR="00576517">
        <w:rPr>
          <w:sz w:val="26"/>
          <w:szCs w:val="26"/>
        </w:rPr>
        <w:t xml:space="preserve">, </w:t>
      </w:r>
      <w:r w:rsidR="00251F9B">
        <w:rPr>
          <w:sz w:val="26"/>
          <w:szCs w:val="26"/>
        </w:rPr>
        <w:t>enabling</w:t>
      </w:r>
      <w:r w:rsidR="00576517">
        <w:rPr>
          <w:sz w:val="26"/>
          <w:szCs w:val="26"/>
        </w:rPr>
        <w:t xml:space="preserve"> the </w:t>
      </w:r>
      <w:r w:rsidR="00576517">
        <w:rPr>
          <w:sz w:val="26"/>
          <w:szCs w:val="26"/>
        </w:rPr>
        <w:lastRenderedPageBreak/>
        <w:t>replacement of all the bare steel pipe of the G/T Systems.  Joint Applicants M.B. at 37</w:t>
      </w:r>
      <w:r w:rsidR="00D643CE">
        <w:rPr>
          <w:sz w:val="26"/>
          <w:szCs w:val="26"/>
        </w:rPr>
        <w:t xml:space="preserve">; </w:t>
      </w:r>
      <w:r w:rsidR="00D643CE" w:rsidRPr="00D643CE">
        <w:rPr>
          <w:i/>
          <w:iCs/>
          <w:sz w:val="26"/>
          <w:szCs w:val="26"/>
        </w:rPr>
        <w:t>See also</w:t>
      </w:r>
      <w:r w:rsidR="00D643CE">
        <w:rPr>
          <w:sz w:val="26"/>
          <w:szCs w:val="26"/>
        </w:rPr>
        <w:t xml:space="preserve"> Joint Applicants St. 6-R at 10</w:t>
      </w:r>
      <w:r w:rsidR="00F24B34">
        <w:rPr>
          <w:sz w:val="26"/>
          <w:szCs w:val="26"/>
        </w:rPr>
        <w:t>;</w:t>
      </w:r>
      <w:r w:rsidR="00D643CE">
        <w:rPr>
          <w:sz w:val="26"/>
          <w:szCs w:val="26"/>
        </w:rPr>
        <w:t xml:space="preserve"> Joint Applicants Exh. JAG-2R.</w:t>
      </w:r>
    </w:p>
    <w:p w14:paraId="575DA914" w14:textId="77777777" w:rsidR="009D27AF" w:rsidRPr="00BA4398" w:rsidRDefault="009D27AF" w:rsidP="00B24187">
      <w:pPr>
        <w:widowControl/>
        <w:spacing w:line="360" w:lineRule="auto"/>
        <w:rPr>
          <w:b/>
          <w:bCs/>
          <w:sz w:val="26"/>
          <w:szCs w:val="26"/>
        </w:rPr>
      </w:pPr>
    </w:p>
    <w:p w14:paraId="3F2C4380" w14:textId="1F233EF0" w:rsidR="00E27BCA" w:rsidRDefault="003C6085" w:rsidP="00B24187">
      <w:pPr>
        <w:widowControl/>
        <w:spacing w:line="360" w:lineRule="auto"/>
        <w:ind w:firstLine="1440"/>
        <w:rPr>
          <w:sz w:val="26"/>
          <w:szCs w:val="26"/>
        </w:rPr>
      </w:pPr>
      <w:r>
        <w:rPr>
          <w:sz w:val="26"/>
          <w:szCs w:val="26"/>
        </w:rPr>
        <w:t xml:space="preserve">In their respective Main Briefs, both I&amp;E and </w:t>
      </w:r>
      <w:r w:rsidR="004A2663">
        <w:rPr>
          <w:sz w:val="26"/>
          <w:szCs w:val="26"/>
        </w:rPr>
        <w:t xml:space="preserve">the </w:t>
      </w:r>
      <w:r>
        <w:rPr>
          <w:sz w:val="26"/>
          <w:szCs w:val="26"/>
        </w:rPr>
        <w:t xml:space="preserve">OSBA placed great emphasis on the 2013 Equitable Settlement and the reliance on the economic analysis </w:t>
      </w:r>
      <w:r w:rsidR="00F24B34">
        <w:rPr>
          <w:sz w:val="26"/>
          <w:szCs w:val="26"/>
        </w:rPr>
        <w:t xml:space="preserve">and economic test </w:t>
      </w:r>
      <w:r>
        <w:rPr>
          <w:sz w:val="26"/>
          <w:szCs w:val="26"/>
        </w:rPr>
        <w:t>contained therein.  I&amp;E and</w:t>
      </w:r>
      <w:r w:rsidR="004A2663">
        <w:rPr>
          <w:sz w:val="26"/>
          <w:szCs w:val="26"/>
        </w:rPr>
        <w:t xml:space="preserve"> the</w:t>
      </w:r>
      <w:r>
        <w:rPr>
          <w:sz w:val="26"/>
          <w:szCs w:val="26"/>
        </w:rPr>
        <w:t xml:space="preserve"> OSBA both argued that the plan to repair the entirety of the G/T Systems as set out in the </w:t>
      </w:r>
      <w:r w:rsidR="00B039A3">
        <w:rPr>
          <w:sz w:val="26"/>
          <w:szCs w:val="26"/>
        </w:rPr>
        <w:t>instant</w:t>
      </w:r>
      <w:r w:rsidR="00982DA9">
        <w:rPr>
          <w:sz w:val="26"/>
          <w:szCs w:val="26"/>
        </w:rPr>
        <w:t xml:space="preserve"> </w:t>
      </w:r>
      <w:r>
        <w:rPr>
          <w:sz w:val="26"/>
          <w:szCs w:val="26"/>
        </w:rPr>
        <w:t>Settlement is</w:t>
      </w:r>
      <w:r w:rsidR="007B55C6">
        <w:rPr>
          <w:sz w:val="26"/>
          <w:szCs w:val="26"/>
        </w:rPr>
        <w:t xml:space="preserve"> an</w:t>
      </w:r>
      <w:r>
        <w:rPr>
          <w:sz w:val="26"/>
          <w:szCs w:val="26"/>
        </w:rPr>
        <w:t xml:space="preserve"> uneconomic</w:t>
      </w:r>
      <w:r w:rsidR="007B55C6">
        <w:rPr>
          <w:sz w:val="26"/>
          <w:szCs w:val="26"/>
        </w:rPr>
        <w:t xml:space="preserve"> project that will be funded almost entirely by ratepayers, providing no affirmative public benefits,</w:t>
      </w:r>
      <w:r w:rsidR="00F73E55">
        <w:rPr>
          <w:sz w:val="26"/>
          <w:szCs w:val="26"/>
        </w:rPr>
        <w:t xml:space="preserve"> and thus</w:t>
      </w:r>
      <w:r w:rsidR="007B55C6">
        <w:rPr>
          <w:sz w:val="26"/>
          <w:szCs w:val="26"/>
        </w:rPr>
        <w:t xml:space="preserve"> </w:t>
      </w:r>
      <w:r w:rsidR="00F73E55">
        <w:rPr>
          <w:sz w:val="26"/>
          <w:szCs w:val="26"/>
        </w:rPr>
        <w:t>must be rejected.</w:t>
      </w:r>
      <w:r w:rsidR="00A829CB">
        <w:rPr>
          <w:sz w:val="26"/>
          <w:szCs w:val="26"/>
        </w:rPr>
        <w:t xml:space="preserve">  I&amp;E M.B. at 24-25; OSBA M.B. at 22-26.  </w:t>
      </w:r>
      <w:r w:rsidR="00D25711">
        <w:rPr>
          <w:sz w:val="26"/>
          <w:szCs w:val="26"/>
        </w:rPr>
        <w:t xml:space="preserve">The </w:t>
      </w:r>
      <w:r w:rsidR="00A829CB">
        <w:rPr>
          <w:sz w:val="26"/>
          <w:szCs w:val="26"/>
        </w:rPr>
        <w:t xml:space="preserve">OSBA contended that it is unreasonable for ratepayers to assume the responsibility for at least $107 million ($120 million less $13 million one-time credit) </w:t>
      </w:r>
      <w:r w:rsidR="006955E9">
        <w:rPr>
          <w:sz w:val="26"/>
          <w:szCs w:val="26"/>
        </w:rPr>
        <w:t>associated with the</w:t>
      </w:r>
      <w:r w:rsidR="00A829CB">
        <w:rPr>
          <w:sz w:val="26"/>
          <w:szCs w:val="26"/>
        </w:rPr>
        <w:t xml:space="preserve"> rehabilitation of the G/T Systems</w:t>
      </w:r>
      <w:r w:rsidR="00876C97">
        <w:rPr>
          <w:sz w:val="26"/>
          <w:szCs w:val="26"/>
        </w:rPr>
        <w:t>, which, as I&amp;E pointed out, far exceeds the $23 million threshold detailed in the 2013 Equitable Settlement’s economic test</w:t>
      </w:r>
      <w:r w:rsidR="00A829CB">
        <w:rPr>
          <w:sz w:val="26"/>
          <w:szCs w:val="26"/>
        </w:rPr>
        <w:t xml:space="preserve">.  </w:t>
      </w:r>
      <w:r w:rsidR="00004BC1">
        <w:rPr>
          <w:sz w:val="26"/>
          <w:szCs w:val="26"/>
        </w:rPr>
        <w:t>OSBA M.B. at 23</w:t>
      </w:r>
      <w:r w:rsidR="00876C97">
        <w:rPr>
          <w:sz w:val="26"/>
          <w:szCs w:val="26"/>
        </w:rPr>
        <w:t>; I&amp;E M.B. at 27.</w:t>
      </w:r>
      <w:r w:rsidR="00B563E8">
        <w:rPr>
          <w:sz w:val="26"/>
          <w:szCs w:val="26"/>
        </w:rPr>
        <w:t xml:space="preserve">  Additionally, I&amp;E </w:t>
      </w:r>
      <w:r w:rsidR="00D25711">
        <w:rPr>
          <w:sz w:val="26"/>
          <w:szCs w:val="26"/>
        </w:rPr>
        <w:t>wa</w:t>
      </w:r>
      <w:r w:rsidR="00B563E8">
        <w:rPr>
          <w:sz w:val="26"/>
          <w:szCs w:val="26"/>
        </w:rPr>
        <w:t>s concerned that the $120</w:t>
      </w:r>
      <w:r w:rsidR="00846A3E">
        <w:rPr>
          <w:sz w:val="26"/>
          <w:szCs w:val="26"/>
        </w:rPr>
        <w:t xml:space="preserve"> million estimate is artificially low and that the </w:t>
      </w:r>
      <w:r w:rsidR="00D86A9B">
        <w:rPr>
          <w:sz w:val="26"/>
          <w:szCs w:val="26"/>
        </w:rPr>
        <w:t>safeguards</w:t>
      </w:r>
      <w:r w:rsidR="00846A3E">
        <w:rPr>
          <w:sz w:val="26"/>
          <w:szCs w:val="26"/>
        </w:rPr>
        <w:t xml:space="preserve"> provided for in paragraph 33 of the </w:t>
      </w:r>
      <w:r w:rsidR="00C53A24">
        <w:rPr>
          <w:sz w:val="26"/>
          <w:szCs w:val="26"/>
        </w:rPr>
        <w:t>instant</w:t>
      </w:r>
      <w:r w:rsidR="00982DA9">
        <w:rPr>
          <w:sz w:val="26"/>
          <w:szCs w:val="26"/>
        </w:rPr>
        <w:t xml:space="preserve"> </w:t>
      </w:r>
      <w:r w:rsidR="00846A3E">
        <w:rPr>
          <w:sz w:val="26"/>
          <w:szCs w:val="26"/>
        </w:rPr>
        <w:t>Settlement fail to provide any protection to ratepayers</w:t>
      </w:r>
      <w:r w:rsidR="00305849">
        <w:rPr>
          <w:sz w:val="26"/>
          <w:szCs w:val="26"/>
        </w:rPr>
        <w:t xml:space="preserve"> should the $120 million estimate prove to be insufficient</w:t>
      </w:r>
      <w:r w:rsidR="00846A3E">
        <w:rPr>
          <w:sz w:val="26"/>
          <w:szCs w:val="26"/>
        </w:rPr>
        <w:t>.  I&amp;E M.B. at 27.</w:t>
      </w:r>
      <w:r w:rsidR="00E10CDB">
        <w:rPr>
          <w:sz w:val="26"/>
          <w:szCs w:val="26"/>
        </w:rPr>
        <w:t xml:space="preserve">  </w:t>
      </w:r>
      <w:r w:rsidR="00846A3E">
        <w:rPr>
          <w:sz w:val="26"/>
          <w:szCs w:val="26"/>
        </w:rPr>
        <w:t>The Joint Applicants rebutted I&amp;E’s contention</w:t>
      </w:r>
      <w:r w:rsidR="003301EB">
        <w:rPr>
          <w:sz w:val="26"/>
          <w:szCs w:val="26"/>
        </w:rPr>
        <w:t xml:space="preserve">, explaining that </w:t>
      </w:r>
      <w:r w:rsidR="00C01F64">
        <w:rPr>
          <w:sz w:val="26"/>
          <w:szCs w:val="26"/>
        </w:rPr>
        <w:t>in developing its projected cost figures</w:t>
      </w:r>
      <w:r w:rsidR="005767A5">
        <w:rPr>
          <w:sz w:val="26"/>
          <w:szCs w:val="26"/>
        </w:rPr>
        <w:t>,</w:t>
      </w:r>
      <w:r w:rsidR="00C01F64">
        <w:rPr>
          <w:sz w:val="26"/>
          <w:szCs w:val="26"/>
        </w:rPr>
        <w:t xml:space="preserve"> I&amp;E used replacement costs for </w:t>
      </w:r>
      <w:r w:rsidR="003301EB">
        <w:rPr>
          <w:sz w:val="26"/>
          <w:szCs w:val="26"/>
        </w:rPr>
        <w:t xml:space="preserve">pipeline in urban areas of the Peoples Companies’ service territory, </w:t>
      </w:r>
      <w:r w:rsidR="00C01F64">
        <w:rPr>
          <w:sz w:val="26"/>
          <w:szCs w:val="26"/>
        </w:rPr>
        <w:t xml:space="preserve">which are higher than the </w:t>
      </w:r>
      <w:r w:rsidR="003301EB">
        <w:rPr>
          <w:sz w:val="26"/>
          <w:szCs w:val="26"/>
        </w:rPr>
        <w:t xml:space="preserve">replacement costs incurred in rural areas, </w:t>
      </w:r>
      <w:r w:rsidR="00C01F64">
        <w:rPr>
          <w:sz w:val="26"/>
          <w:szCs w:val="26"/>
        </w:rPr>
        <w:t xml:space="preserve">such as </w:t>
      </w:r>
      <w:r w:rsidR="003301EB">
        <w:rPr>
          <w:sz w:val="26"/>
          <w:szCs w:val="26"/>
        </w:rPr>
        <w:t>where the G/T Systems are located.  Joint Applicants St. 5-R at 13.</w:t>
      </w:r>
      <w:r w:rsidR="0070610F">
        <w:rPr>
          <w:sz w:val="26"/>
          <w:szCs w:val="26"/>
        </w:rPr>
        <w:t xml:space="preserve">  </w:t>
      </w:r>
    </w:p>
    <w:p w14:paraId="20265A2C" w14:textId="77777777" w:rsidR="00520879" w:rsidRDefault="00520879" w:rsidP="00B24187">
      <w:pPr>
        <w:widowControl/>
        <w:spacing w:line="360" w:lineRule="auto"/>
        <w:rPr>
          <w:sz w:val="26"/>
          <w:szCs w:val="26"/>
        </w:rPr>
      </w:pPr>
    </w:p>
    <w:p w14:paraId="7A5E0733" w14:textId="4B77BF54" w:rsidR="00520879" w:rsidRDefault="00520879" w:rsidP="00B24187">
      <w:pPr>
        <w:widowControl/>
        <w:spacing w:line="360" w:lineRule="auto"/>
        <w:ind w:firstLine="1440"/>
        <w:rPr>
          <w:sz w:val="26"/>
          <w:szCs w:val="26"/>
        </w:rPr>
      </w:pPr>
      <w:r>
        <w:rPr>
          <w:sz w:val="26"/>
          <w:szCs w:val="26"/>
        </w:rPr>
        <w:t>Alternatively, should the Commission decide to approve the Joint Application, as conditioned by the</w:t>
      </w:r>
      <w:r w:rsidR="00982DA9">
        <w:rPr>
          <w:sz w:val="26"/>
          <w:szCs w:val="26"/>
        </w:rPr>
        <w:t xml:space="preserve"> proposed</w:t>
      </w:r>
      <w:r w:rsidR="003A591D">
        <w:rPr>
          <w:sz w:val="26"/>
          <w:szCs w:val="26"/>
        </w:rPr>
        <w:t xml:space="preserve"> </w:t>
      </w:r>
      <w:r>
        <w:rPr>
          <w:sz w:val="26"/>
          <w:szCs w:val="26"/>
        </w:rPr>
        <w:t>Settlement, I&amp;E argued that the Commission should condition its approval on SteelRiver bearing the burden of the repairs by contributing $127 million to the rehabilitation of the G/T Systems.  I</w:t>
      </w:r>
      <w:bookmarkStart w:id="62" w:name="_Hlk27488668"/>
      <w:r>
        <w:rPr>
          <w:sz w:val="26"/>
          <w:szCs w:val="26"/>
        </w:rPr>
        <w:t>&amp;E proposed that $127 million of</w:t>
      </w:r>
      <w:r w:rsidR="00DD5409">
        <w:rPr>
          <w:sz w:val="26"/>
          <w:szCs w:val="26"/>
        </w:rPr>
        <w:t xml:space="preserve"> the</w:t>
      </w:r>
      <w:r>
        <w:rPr>
          <w:sz w:val="26"/>
          <w:szCs w:val="26"/>
        </w:rPr>
        <w:t xml:space="preserve"> purchase price be withheld and placed in an escrow fund to facilitate rehabilitation of the G/T </w:t>
      </w:r>
      <w:r w:rsidR="004A2663">
        <w:rPr>
          <w:sz w:val="26"/>
          <w:szCs w:val="26"/>
        </w:rPr>
        <w:t>S</w:t>
      </w:r>
      <w:r>
        <w:rPr>
          <w:sz w:val="26"/>
          <w:szCs w:val="26"/>
        </w:rPr>
        <w:t>ystems</w:t>
      </w:r>
      <w:bookmarkEnd w:id="62"/>
      <w:r>
        <w:rPr>
          <w:sz w:val="26"/>
          <w:szCs w:val="26"/>
        </w:rPr>
        <w:t>, with any amount remaining</w:t>
      </w:r>
      <w:r w:rsidR="00DD5409">
        <w:rPr>
          <w:sz w:val="26"/>
          <w:szCs w:val="26"/>
        </w:rPr>
        <w:t xml:space="preserve"> to be</w:t>
      </w:r>
      <w:r>
        <w:rPr>
          <w:sz w:val="26"/>
          <w:szCs w:val="26"/>
        </w:rPr>
        <w:t xml:space="preserve"> returned to SteelRiver once the lines were replaced or abandoned in accordance with the </w:t>
      </w:r>
      <w:r>
        <w:rPr>
          <w:sz w:val="26"/>
          <w:szCs w:val="26"/>
        </w:rPr>
        <w:lastRenderedPageBreak/>
        <w:t>Commission’s approved plan.  I&amp;E M.B. at 7; I&amp;E St. 2-SR at 18.</w:t>
      </w:r>
      <w:r w:rsidR="00A86F0D">
        <w:rPr>
          <w:sz w:val="26"/>
          <w:szCs w:val="26"/>
        </w:rPr>
        <w:t xml:space="preserve">  </w:t>
      </w:r>
      <w:r w:rsidR="00F0425C">
        <w:rPr>
          <w:sz w:val="26"/>
          <w:szCs w:val="26"/>
        </w:rPr>
        <w:t>Additionally, t</w:t>
      </w:r>
      <w:r w:rsidR="00DD5409">
        <w:rPr>
          <w:sz w:val="26"/>
          <w:szCs w:val="26"/>
        </w:rPr>
        <w:t xml:space="preserve">he </w:t>
      </w:r>
      <w:r>
        <w:rPr>
          <w:sz w:val="26"/>
          <w:szCs w:val="26"/>
        </w:rPr>
        <w:t xml:space="preserve">OSBA argued that the issues concerning the rehabilitation of the G/T Systems do not belong in this proceeding and that </w:t>
      </w:r>
      <w:r w:rsidR="005767A5">
        <w:rPr>
          <w:sz w:val="26"/>
          <w:szCs w:val="26"/>
        </w:rPr>
        <w:t>these issues</w:t>
      </w:r>
      <w:r>
        <w:rPr>
          <w:sz w:val="26"/>
          <w:szCs w:val="26"/>
        </w:rPr>
        <w:t xml:space="preserve"> should be severed and assigned to a separate matter.</w:t>
      </w:r>
      <w:r w:rsidR="00DD5409">
        <w:rPr>
          <w:sz w:val="26"/>
          <w:szCs w:val="26"/>
        </w:rPr>
        <w:t xml:space="preserve">  The </w:t>
      </w:r>
      <w:r>
        <w:rPr>
          <w:sz w:val="26"/>
          <w:szCs w:val="26"/>
        </w:rPr>
        <w:t>OSBA also made an argument that Aqua has no experience in the repair of a natural gas system, and seemingly question</w:t>
      </w:r>
      <w:r w:rsidR="005767A5">
        <w:rPr>
          <w:sz w:val="26"/>
          <w:szCs w:val="26"/>
        </w:rPr>
        <w:t>ed</w:t>
      </w:r>
      <w:r>
        <w:rPr>
          <w:sz w:val="26"/>
          <w:szCs w:val="26"/>
        </w:rPr>
        <w:t xml:space="preserve"> whether Aqua is technically fit to perform the task.  I&amp;E M.B. at 24-25; OSBA M.B. at 22-26.  </w:t>
      </w:r>
    </w:p>
    <w:p w14:paraId="044718BB" w14:textId="77777777" w:rsidR="00520879" w:rsidRDefault="00520879" w:rsidP="00B24187">
      <w:pPr>
        <w:widowControl/>
        <w:spacing w:line="360" w:lineRule="auto"/>
        <w:rPr>
          <w:sz w:val="26"/>
          <w:szCs w:val="26"/>
        </w:rPr>
      </w:pPr>
    </w:p>
    <w:p w14:paraId="368C724F" w14:textId="03E53762" w:rsidR="00E27BCA" w:rsidRDefault="002368F3" w:rsidP="00B24187">
      <w:pPr>
        <w:widowControl/>
        <w:spacing w:line="360" w:lineRule="auto"/>
        <w:ind w:firstLine="1440"/>
        <w:rPr>
          <w:sz w:val="26"/>
          <w:szCs w:val="26"/>
        </w:rPr>
      </w:pPr>
      <w:r>
        <w:rPr>
          <w:sz w:val="26"/>
          <w:szCs w:val="26"/>
        </w:rPr>
        <w:t>Both the Joint Applicants and the OCA opposed the arguments proffered by I&amp;E and the OSBA, submitting that a resolution of the G/T Systems matter should not be based solely upon a strict “economic” test, which i</w:t>
      </w:r>
      <w:r w:rsidR="008F7EB9">
        <w:rPr>
          <w:sz w:val="26"/>
          <w:szCs w:val="26"/>
        </w:rPr>
        <w:t>gnores the many benefits</w:t>
      </w:r>
      <w:r w:rsidR="00C72325">
        <w:rPr>
          <w:sz w:val="26"/>
          <w:szCs w:val="26"/>
        </w:rPr>
        <w:t xml:space="preserve"> </w:t>
      </w:r>
      <w:r w:rsidR="005B5EAB">
        <w:rPr>
          <w:sz w:val="26"/>
          <w:szCs w:val="26"/>
        </w:rPr>
        <w:t>that</w:t>
      </w:r>
      <w:r w:rsidR="00C72325">
        <w:rPr>
          <w:sz w:val="26"/>
          <w:szCs w:val="26"/>
        </w:rPr>
        <w:t xml:space="preserve"> w</w:t>
      </w:r>
      <w:r w:rsidR="00900486">
        <w:rPr>
          <w:sz w:val="26"/>
          <w:szCs w:val="26"/>
        </w:rPr>
        <w:t>ould</w:t>
      </w:r>
      <w:r w:rsidR="00C72325">
        <w:rPr>
          <w:sz w:val="26"/>
          <w:szCs w:val="26"/>
        </w:rPr>
        <w:t xml:space="preserve"> accompany the nearly 1,000 existing customers who will keep low-cost natural gas service and access to low-income customer </w:t>
      </w:r>
      <w:r w:rsidR="00835E4D">
        <w:rPr>
          <w:sz w:val="26"/>
          <w:szCs w:val="26"/>
        </w:rPr>
        <w:t xml:space="preserve">programs </w:t>
      </w:r>
      <w:r w:rsidR="00C72325">
        <w:rPr>
          <w:sz w:val="26"/>
          <w:szCs w:val="26"/>
        </w:rPr>
        <w:t>and service termination protections</w:t>
      </w:r>
      <w:r w:rsidR="00A231C7">
        <w:rPr>
          <w:sz w:val="26"/>
          <w:szCs w:val="26"/>
        </w:rPr>
        <w:t xml:space="preserve"> as a result of the proposed Settlement approval</w:t>
      </w:r>
      <w:r w:rsidR="00C72325">
        <w:rPr>
          <w:sz w:val="26"/>
          <w:szCs w:val="26"/>
        </w:rPr>
        <w:t xml:space="preserve">.  </w:t>
      </w:r>
      <w:r w:rsidR="000065F7">
        <w:rPr>
          <w:sz w:val="26"/>
          <w:szCs w:val="26"/>
        </w:rPr>
        <w:t xml:space="preserve">Joint Applicants M.B. at 43-44; Joint Applicants R.B. </w:t>
      </w:r>
      <w:r w:rsidR="00835E4D">
        <w:rPr>
          <w:sz w:val="26"/>
          <w:szCs w:val="26"/>
        </w:rPr>
        <w:t xml:space="preserve">at </w:t>
      </w:r>
      <w:r w:rsidR="000065F7">
        <w:rPr>
          <w:sz w:val="26"/>
          <w:szCs w:val="26"/>
        </w:rPr>
        <w:t xml:space="preserve">39-40; OCA R.B. </w:t>
      </w:r>
      <w:r w:rsidR="00835E4D">
        <w:rPr>
          <w:sz w:val="26"/>
          <w:szCs w:val="26"/>
        </w:rPr>
        <w:t xml:space="preserve">at </w:t>
      </w:r>
      <w:r w:rsidR="000065F7">
        <w:rPr>
          <w:sz w:val="26"/>
          <w:szCs w:val="26"/>
        </w:rPr>
        <w:t>18-26.</w:t>
      </w:r>
      <w:r w:rsidR="00687CB6">
        <w:rPr>
          <w:sz w:val="26"/>
          <w:szCs w:val="26"/>
        </w:rPr>
        <w:t xml:space="preserve">  The Joint Applicants explained that these benefits can only be experienced through addressing the G/T Systems, pursuant to the Settlement, which consists of additional capital improvements to increase safety and reliability (</w:t>
      </w:r>
      <w:r w:rsidR="00687CB6" w:rsidRPr="00687CB6">
        <w:rPr>
          <w:i/>
          <w:iCs/>
          <w:sz w:val="26"/>
          <w:szCs w:val="26"/>
        </w:rPr>
        <w:t>i.e.</w:t>
      </w:r>
      <w:r w:rsidR="00835E4D">
        <w:rPr>
          <w:sz w:val="26"/>
          <w:szCs w:val="26"/>
        </w:rPr>
        <w:t>,</w:t>
      </w:r>
      <w:r w:rsidR="00687CB6">
        <w:rPr>
          <w:sz w:val="26"/>
          <w:szCs w:val="26"/>
        </w:rPr>
        <w:t xml:space="preserve"> decrease leaks and the mileage of at-risk pipe); therefore, entitling Peoples Natural Gas to a return of and return on these investments under the regulatory compact.  Joint Applicants M.B. at 46.  </w:t>
      </w:r>
    </w:p>
    <w:p w14:paraId="450A1944" w14:textId="77777777" w:rsidR="007B74A5" w:rsidRDefault="007B74A5" w:rsidP="00B24187">
      <w:pPr>
        <w:widowControl/>
        <w:spacing w:line="360" w:lineRule="auto"/>
        <w:ind w:firstLine="1440"/>
        <w:rPr>
          <w:sz w:val="26"/>
          <w:szCs w:val="26"/>
        </w:rPr>
      </w:pPr>
    </w:p>
    <w:p w14:paraId="2F781401" w14:textId="77777777" w:rsidR="007131B6" w:rsidRDefault="006350FB" w:rsidP="00B24187">
      <w:pPr>
        <w:widowControl/>
        <w:spacing w:line="360" w:lineRule="auto"/>
        <w:ind w:firstLine="1440"/>
        <w:rPr>
          <w:sz w:val="26"/>
          <w:szCs w:val="26"/>
        </w:rPr>
      </w:pPr>
      <w:r>
        <w:rPr>
          <w:sz w:val="26"/>
          <w:szCs w:val="26"/>
        </w:rPr>
        <w:t xml:space="preserve">The Joint Applicants explained that the proposals submitted by I&amp;E and </w:t>
      </w:r>
      <w:r w:rsidR="00ED6549">
        <w:rPr>
          <w:sz w:val="26"/>
          <w:szCs w:val="26"/>
        </w:rPr>
        <w:t xml:space="preserve">the </w:t>
      </w:r>
      <w:r>
        <w:rPr>
          <w:sz w:val="26"/>
          <w:szCs w:val="26"/>
        </w:rPr>
        <w:t>OSBA, which single out particular segments of existing customers for individualized economic analysis, i</w:t>
      </w:r>
      <w:r w:rsidR="001430ED">
        <w:rPr>
          <w:sz w:val="26"/>
          <w:szCs w:val="26"/>
        </w:rPr>
        <w:t>gnore the basic business model of public utility systems, which takes advantage of economies of scale and scope by socializing costs among a large number of customers, to reduce the effects upon a smaller subset of customers.</w:t>
      </w:r>
      <w:r w:rsidR="001430ED">
        <w:rPr>
          <w:rStyle w:val="FootnoteReference"/>
          <w:sz w:val="26"/>
          <w:szCs w:val="26"/>
        </w:rPr>
        <w:footnoteReference w:id="21"/>
      </w:r>
      <w:r w:rsidR="00584E8A">
        <w:rPr>
          <w:sz w:val="26"/>
          <w:szCs w:val="26"/>
        </w:rPr>
        <w:t xml:space="preserve">  Joint Applicants M.B. at 43.  </w:t>
      </w:r>
      <w:r w:rsidR="000931E5">
        <w:rPr>
          <w:sz w:val="26"/>
          <w:szCs w:val="26"/>
        </w:rPr>
        <w:t>C</w:t>
      </w:r>
      <w:r w:rsidR="00C65465">
        <w:rPr>
          <w:sz w:val="26"/>
          <w:szCs w:val="26"/>
        </w:rPr>
        <w:t>it</w:t>
      </w:r>
      <w:r w:rsidR="007131B6">
        <w:rPr>
          <w:sz w:val="26"/>
          <w:szCs w:val="26"/>
        </w:rPr>
        <w:t>ing</w:t>
      </w:r>
      <w:r w:rsidR="00C65465">
        <w:rPr>
          <w:sz w:val="26"/>
          <w:szCs w:val="26"/>
        </w:rPr>
        <w:t xml:space="preserve"> to</w:t>
      </w:r>
      <w:r w:rsidR="007131B6">
        <w:rPr>
          <w:sz w:val="26"/>
          <w:szCs w:val="26"/>
        </w:rPr>
        <w:t xml:space="preserve"> testimony offered</w:t>
      </w:r>
      <w:r w:rsidR="00C169D0">
        <w:rPr>
          <w:sz w:val="26"/>
          <w:szCs w:val="26"/>
        </w:rPr>
        <w:t xml:space="preserve"> by Mr. O’Brien</w:t>
      </w:r>
      <w:r w:rsidR="000931E5">
        <w:rPr>
          <w:sz w:val="26"/>
          <w:szCs w:val="26"/>
        </w:rPr>
        <w:t xml:space="preserve"> under cross-examination</w:t>
      </w:r>
      <w:r w:rsidR="007131B6">
        <w:rPr>
          <w:sz w:val="26"/>
          <w:szCs w:val="26"/>
        </w:rPr>
        <w:t>,</w:t>
      </w:r>
      <w:r w:rsidR="00C65465">
        <w:rPr>
          <w:sz w:val="26"/>
          <w:szCs w:val="26"/>
        </w:rPr>
        <w:t xml:space="preserve"> </w:t>
      </w:r>
      <w:r w:rsidR="000931E5">
        <w:rPr>
          <w:sz w:val="26"/>
          <w:szCs w:val="26"/>
        </w:rPr>
        <w:t xml:space="preserve">the </w:t>
      </w:r>
      <w:r w:rsidR="000931E5">
        <w:rPr>
          <w:sz w:val="26"/>
          <w:szCs w:val="26"/>
        </w:rPr>
        <w:lastRenderedPageBreak/>
        <w:t xml:space="preserve">Joint Applicants and the OCA </w:t>
      </w:r>
      <w:r w:rsidR="007131B6">
        <w:rPr>
          <w:sz w:val="26"/>
          <w:szCs w:val="26"/>
        </w:rPr>
        <w:t>indicated</w:t>
      </w:r>
      <w:r w:rsidR="00C65465">
        <w:rPr>
          <w:sz w:val="26"/>
          <w:szCs w:val="26"/>
        </w:rPr>
        <w:t xml:space="preserve"> that it is reasonable to conclude that customers connected to the G/T Systems have been</w:t>
      </w:r>
      <w:r w:rsidR="00210EBA">
        <w:rPr>
          <w:sz w:val="26"/>
          <w:szCs w:val="26"/>
        </w:rPr>
        <w:t xml:space="preserve"> conversely</w:t>
      </w:r>
      <w:r w:rsidR="00C65465">
        <w:rPr>
          <w:sz w:val="26"/>
          <w:szCs w:val="26"/>
        </w:rPr>
        <w:t xml:space="preserve"> subsidizing other Peoples Natural Gas customers for many years</w:t>
      </w:r>
      <w:r w:rsidR="0089759D">
        <w:rPr>
          <w:sz w:val="26"/>
          <w:szCs w:val="26"/>
        </w:rPr>
        <w:t xml:space="preserve">.  </w:t>
      </w:r>
      <w:r w:rsidR="00835E4D">
        <w:rPr>
          <w:sz w:val="26"/>
          <w:szCs w:val="26"/>
        </w:rPr>
        <w:t xml:space="preserve">Joint Applicants R.B. at 37-38; OCA R.B. at 19-20 (citing </w:t>
      </w:r>
      <w:r w:rsidR="007131B6" w:rsidRPr="00CA3307">
        <w:rPr>
          <w:sz w:val="26"/>
          <w:szCs w:val="26"/>
        </w:rPr>
        <w:t xml:space="preserve">Tr. at </w:t>
      </w:r>
      <w:r w:rsidR="007131B6">
        <w:rPr>
          <w:sz w:val="26"/>
          <w:szCs w:val="26"/>
        </w:rPr>
        <w:t>105-</w:t>
      </w:r>
      <w:r w:rsidR="007131B6" w:rsidRPr="00CA3307">
        <w:rPr>
          <w:sz w:val="26"/>
          <w:szCs w:val="26"/>
        </w:rPr>
        <w:t>106</w:t>
      </w:r>
      <w:r w:rsidR="00835E4D">
        <w:rPr>
          <w:sz w:val="26"/>
          <w:szCs w:val="26"/>
        </w:rPr>
        <w:t>)</w:t>
      </w:r>
      <w:r w:rsidR="007131B6" w:rsidRPr="00CA3307">
        <w:rPr>
          <w:sz w:val="26"/>
          <w:szCs w:val="26"/>
        </w:rPr>
        <w:t>.</w:t>
      </w:r>
    </w:p>
    <w:p w14:paraId="2CA43D16" w14:textId="77777777" w:rsidR="00B16D32" w:rsidRPr="00CA3307" w:rsidRDefault="00B16D32" w:rsidP="00B24187">
      <w:pPr>
        <w:widowControl/>
        <w:rPr>
          <w:sz w:val="26"/>
          <w:szCs w:val="26"/>
        </w:rPr>
      </w:pPr>
    </w:p>
    <w:p w14:paraId="33C83CD9" w14:textId="12A0A55F" w:rsidR="00AF2109" w:rsidRDefault="00BD3DC7" w:rsidP="00B24187">
      <w:pPr>
        <w:widowControl/>
        <w:spacing w:line="360" w:lineRule="auto"/>
        <w:ind w:firstLine="1440"/>
        <w:rPr>
          <w:sz w:val="26"/>
          <w:szCs w:val="26"/>
        </w:rPr>
      </w:pPr>
      <w:r>
        <w:rPr>
          <w:sz w:val="26"/>
          <w:szCs w:val="26"/>
        </w:rPr>
        <w:t xml:space="preserve">The Joint Applicants and the OCA explained </w:t>
      </w:r>
      <w:r w:rsidR="00900486">
        <w:rPr>
          <w:sz w:val="26"/>
          <w:szCs w:val="26"/>
        </w:rPr>
        <w:t xml:space="preserve">how I&amp;E and the OSBA’s narrow focus further </w:t>
      </w:r>
      <w:r w:rsidR="001B3F8D">
        <w:rPr>
          <w:sz w:val="26"/>
          <w:szCs w:val="26"/>
        </w:rPr>
        <w:t>inhibits</w:t>
      </w:r>
      <w:r w:rsidR="00900486">
        <w:rPr>
          <w:sz w:val="26"/>
          <w:szCs w:val="26"/>
        </w:rPr>
        <w:t xml:space="preserve"> consideration of other direct and indirect costs existing in such a potential abandonment situation.  In its experience, </w:t>
      </w:r>
      <w:r w:rsidR="00ED6549">
        <w:rPr>
          <w:sz w:val="26"/>
          <w:szCs w:val="26"/>
        </w:rPr>
        <w:t xml:space="preserve">the </w:t>
      </w:r>
      <w:r w:rsidR="00900486">
        <w:rPr>
          <w:sz w:val="26"/>
          <w:szCs w:val="26"/>
        </w:rPr>
        <w:t xml:space="preserve">OCA averred that proceedings that seek to abandon existing natural gas customers </w:t>
      </w:r>
      <w:r w:rsidR="008965F8">
        <w:rPr>
          <w:sz w:val="26"/>
          <w:szCs w:val="26"/>
        </w:rPr>
        <w:t>are often very contentious and resource intensive.</w:t>
      </w:r>
      <w:r w:rsidR="008965F8">
        <w:rPr>
          <w:rStyle w:val="FootnoteReference"/>
          <w:sz w:val="26"/>
          <w:szCs w:val="26"/>
        </w:rPr>
        <w:footnoteReference w:id="22"/>
      </w:r>
      <w:r w:rsidR="00B27508">
        <w:rPr>
          <w:sz w:val="26"/>
          <w:szCs w:val="26"/>
        </w:rPr>
        <w:t xml:space="preserve">  OCA R.B. at 23-26.</w:t>
      </w:r>
      <w:r w:rsidR="002C32B2">
        <w:rPr>
          <w:sz w:val="26"/>
          <w:szCs w:val="26"/>
        </w:rPr>
        <w:t xml:space="preserve"> </w:t>
      </w:r>
      <w:r w:rsidR="008965F8">
        <w:rPr>
          <w:sz w:val="26"/>
          <w:szCs w:val="26"/>
        </w:rPr>
        <w:t xml:space="preserve"> </w:t>
      </w:r>
      <w:r w:rsidR="00935D33">
        <w:rPr>
          <w:sz w:val="26"/>
          <w:szCs w:val="26"/>
        </w:rPr>
        <w:t>The Joint Applicants asserted that there is much more to be considered here than the pure “economic analysis,</w:t>
      </w:r>
      <w:r w:rsidR="00F55D1D">
        <w:rPr>
          <w:sz w:val="26"/>
          <w:szCs w:val="26"/>
        </w:rPr>
        <w:t>”</w:t>
      </w:r>
      <w:r w:rsidR="00935D33">
        <w:rPr>
          <w:sz w:val="26"/>
          <w:szCs w:val="26"/>
        </w:rPr>
        <w:t xml:space="preserve"> as Mr. Franklin testified</w:t>
      </w:r>
      <w:r w:rsidR="0002708B">
        <w:rPr>
          <w:sz w:val="26"/>
          <w:szCs w:val="26"/>
        </w:rPr>
        <w:t xml:space="preserve">.  </w:t>
      </w:r>
      <w:r w:rsidR="00935D33" w:rsidRPr="00913FDC">
        <w:rPr>
          <w:sz w:val="26"/>
          <w:szCs w:val="26"/>
        </w:rPr>
        <w:t>Tr. at 79-80</w:t>
      </w:r>
      <w:r w:rsidR="00935D33">
        <w:rPr>
          <w:sz w:val="26"/>
          <w:szCs w:val="26"/>
        </w:rPr>
        <w:t>.</w:t>
      </w:r>
      <w:r w:rsidR="0002708B">
        <w:rPr>
          <w:sz w:val="26"/>
          <w:szCs w:val="26"/>
        </w:rPr>
        <w:t xml:space="preserve">  The J</w:t>
      </w:r>
      <w:r w:rsidR="00AF2109">
        <w:rPr>
          <w:sz w:val="26"/>
          <w:szCs w:val="26"/>
        </w:rPr>
        <w:t xml:space="preserve">oint Applicants explained, considering that a number of the customers on the G/T </w:t>
      </w:r>
      <w:r w:rsidR="001A024E">
        <w:rPr>
          <w:sz w:val="26"/>
          <w:szCs w:val="26"/>
        </w:rPr>
        <w:t>S</w:t>
      </w:r>
      <w:r w:rsidR="00AF2109">
        <w:rPr>
          <w:sz w:val="26"/>
          <w:szCs w:val="26"/>
        </w:rPr>
        <w:t>ystem</w:t>
      </w:r>
      <w:r w:rsidR="00880902">
        <w:rPr>
          <w:sz w:val="26"/>
          <w:szCs w:val="26"/>
        </w:rPr>
        <w:t>s</w:t>
      </w:r>
      <w:r w:rsidR="00AF2109">
        <w:rPr>
          <w:sz w:val="26"/>
          <w:szCs w:val="26"/>
        </w:rPr>
        <w:t xml:space="preserve"> are lower income customers,</w:t>
      </w:r>
      <w:r w:rsidR="00A45A85">
        <w:rPr>
          <w:sz w:val="26"/>
          <w:szCs w:val="26"/>
        </w:rPr>
        <w:t xml:space="preserve"> </w:t>
      </w:r>
      <w:r w:rsidR="00AF2109">
        <w:rPr>
          <w:sz w:val="26"/>
          <w:szCs w:val="26"/>
        </w:rPr>
        <w:t xml:space="preserve">such potential abandonments, would deprive these customers of </w:t>
      </w:r>
      <w:r w:rsidR="00A45A85">
        <w:rPr>
          <w:sz w:val="26"/>
          <w:szCs w:val="26"/>
        </w:rPr>
        <w:t>access to the Peoples Companies’ low</w:t>
      </w:r>
      <w:r w:rsidR="00E96680">
        <w:rPr>
          <w:sz w:val="26"/>
          <w:szCs w:val="26"/>
        </w:rPr>
        <w:noBreakHyphen/>
      </w:r>
      <w:r w:rsidR="00A45A85">
        <w:rPr>
          <w:sz w:val="26"/>
          <w:szCs w:val="26"/>
        </w:rPr>
        <w:t xml:space="preserve">income customer assistance programs and the protections of Chapter 14 of the Code and Chapter 56 of the Commission’s Regulations.  </w:t>
      </w:r>
      <w:r w:rsidR="005862CC" w:rsidRPr="005862CC">
        <w:rPr>
          <w:i/>
          <w:iCs/>
          <w:sz w:val="26"/>
          <w:szCs w:val="26"/>
        </w:rPr>
        <w:t>Id</w:t>
      </w:r>
      <w:r w:rsidR="005862CC">
        <w:rPr>
          <w:sz w:val="26"/>
          <w:szCs w:val="26"/>
        </w:rPr>
        <w:t>.</w:t>
      </w:r>
      <w:r w:rsidR="00A45A85">
        <w:rPr>
          <w:sz w:val="26"/>
          <w:szCs w:val="26"/>
        </w:rPr>
        <w:t xml:space="preserve">; </w:t>
      </w:r>
      <w:r w:rsidR="00A45A85" w:rsidRPr="00A45A85">
        <w:rPr>
          <w:i/>
          <w:iCs/>
          <w:sz w:val="26"/>
          <w:szCs w:val="26"/>
        </w:rPr>
        <w:t>see</w:t>
      </w:r>
      <w:r w:rsidR="00A45A85">
        <w:rPr>
          <w:sz w:val="26"/>
          <w:szCs w:val="26"/>
        </w:rPr>
        <w:t xml:space="preserve"> </w:t>
      </w:r>
      <w:r w:rsidR="00846D2D" w:rsidRPr="00846D2D">
        <w:rPr>
          <w:i/>
          <w:iCs/>
          <w:sz w:val="26"/>
          <w:szCs w:val="26"/>
        </w:rPr>
        <w:t>also</w:t>
      </w:r>
      <w:r w:rsidR="00846D2D">
        <w:rPr>
          <w:sz w:val="26"/>
          <w:szCs w:val="26"/>
        </w:rPr>
        <w:t xml:space="preserve"> </w:t>
      </w:r>
      <w:r w:rsidR="00A45A85">
        <w:rPr>
          <w:sz w:val="26"/>
          <w:szCs w:val="26"/>
        </w:rPr>
        <w:t>Tr. at 139.</w:t>
      </w:r>
    </w:p>
    <w:p w14:paraId="23D33217" w14:textId="77777777" w:rsidR="00AF2109" w:rsidRDefault="00AF2109" w:rsidP="00B24187">
      <w:pPr>
        <w:widowControl/>
        <w:ind w:firstLine="1440"/>
        <w:rPr>
          <w:sz w:val="26"/>
          <w:szCs w:val="26"/>
        </w:rPr>
      </w:pPr>
    </w:p>
    <w:p w14:paraId="78356D5A" w14:textId="77777777" w:rsidR="00323FC4" w:rsidRPr="00880902" w:rsidRDefault="00880902" w:rsidP="00C02C37">
      <w:pPr>
        <w:widowControl/>
        <w:spacing w:line="360" w:lineRule="auto"/>
        <w:ind w:firstLine="1440"/>
        <w:rPr>
          <w:sz w:val="26"/>
          <w:szCs w:val="26"/>
        </w:rPr>
      </w:pPr>
      <w:r>
        <w:rPr>
          <w:sz w:val="26"/>
          <w:szCs w:val="26"/>
        </w:rPr>
        <w:t>Concerning I&amp;E’s alternative proposal that $127 million of the purchase price be withheld for the purpose of financing the improvements to the G/T Systems</w:t>
      </w:r>
      <w:r w:rsidR="00222BBB">
        <w:rPr>
          <w:sz w:val="26"/>
          <w:szCs w:val="26"/>
        </w:rPr>
        <w:t xml:space="preserve">, </w:t>
      </w:r>
      <w:r w:rsidR="00C03CF9">
        <w:rPr>
          <w:sz w:val="26"/>
          <w:szCs w:val="26"/>
        </w:rPr>
        <w:t xml:space="preserve">the Joint Applicants asserted that </w:t>
      </w:r>
      <w:r w:rsidR="005A387C">
        <w:rPr>
          <w:sz w:val="26"/>
          <w:szCs w:val="26"/>
        </w:rPr>
        <w:t xml:space="preserve">because they </w:t>
      </w:r>
      <w:r w:rsidR="00C03CF9">
        <w:rPr>
          <w:sz w:val="26"/>
          <w:szCs w:val="26"/>
        </w:rPr>
        <w:t>ha</w:t>
      </w:r>
      <w:r w:rsidR="005A387C">
        <w:rPr>
          <w:sz w:val="26"/>
          <w:szCs w:val="26"/>
        </w:rPr>
        <w:t>ve</w:t>
      </w:r>
      <w:r w:rsidR="00C03CF9">
        <w:rPr>
          <w:sz w:val="26"/>
          <w:szCs w:val="26"/>
        </w:rPr>
        <w:t xml:space="preserve"> established that the Proposed Transaction, as conditioned by the Settlement, satisfies the </w:t>
      </w:r>
      <w:r w:rsidR="00C03CF9" w:rsidRPr="00C03CF9">
        <w:rPr>
          <w:i/>
          <w:iCs/>
          <w:sz w:val="26"/>
          <w:szCs w:val="26"/>
        </w:rPr>
        <w:t>City of York</w:t>
      </w:r>
      <w:r w:rsidR="00C03CF9">
        <w:rPr>
          <w:sz w:val="26"/>
          <w:szCs w:val="26"/>
        </w:rPr>
        <w:t xml:space="preserve"> standard</w:t>
      </w:r>
      <w:r w:rsidR="00615423">
        <w:rPr>
          <w:sz w:val="26"/>
          <w:szCs w:val="26"/>
        </w:rPr>
        <w:t xml:space="preserve">, </w:t>
      </w:r>
      <w:r w:rsidR="005A387C">
        <w:rPr>
          <w:sz w:val="26"/>
          <w:szCs w:val="26"/>
        </w:rPr>
        <w:t xml:space="preserve">there is no legal support for imposing a condition on the transaction.  </w:t>
      </w:r>
      <w:r w:rsidR="00615423">
        <w:rPr>
          <w:sz w:val="26"/>
          <w:szCs w:val="26"/>
        </w:rPr>
        <w:t xml:space="preserve">Joint Applicants R.B. at </w:t>
      </w:r>
      <w:r w:rsidR="005A387C">
        <w:rPr>
          <w:sz w:val="26"/>
          <w:szCs w:val="26"/>
        </w:rPr>
        <w:t xml:space="preserve">39, </w:t>
      </w:r>
      <w:r w:rsidR="00615423">
        <w:rPr>
          <w:sz w:val="26"/>
          <w:szCs w:val="26"/>
        </w:rPr>
        <w:t xml:space="preserve">42.  </w:t>
      </w:r>
      <w:r w:rsidR="00323FC4">
        <w:rPr>
          <w:sz w:val="26"/>
          <w:szCs w:val="26"/>
        </w:rPr>
        <w:t>Moreover, the Joint Applicants</w:t>
      </w:r>
      <w:r w:rsidR="005A387C">
        <w:rPr>
          <w:sz w:val="26"/>
          <w:szCs w:val="26"/>
        </w:rPr>
        <w:t xml:space="preserve"> contend</w:t>
      </w:r>
      <w:r w:rsidR="00323FC4">
        <w:rPr>
          <w:sz w:val="26"/>
          <w:szCs w:val="26"/>
        </w:rPr>
        <w:t xml:space="preserve"> that such an expropriation of private money in order to obtain a necessary government approval is </w:t>
      </w:r>
      <w:r w:rsidR="005A387C">
        <w:rPr>
          <w:sz w:val="26"/>
          <w:szCs w:val="26"/>
        </w:rPr>
        <w:t xml:space="preserve">an </w:t>
      </w:r>
      <w:r w:rsidR="00323FC4">
        <w:rPr>
          <w:sz w:val="26"/>
          <w:szCs w:val="26"/>
        </w:rPr>
        <w:t xml:space="preserve">unlawful </w:t>
      </w:r>
      <w:r w:rsidR="005A387C">
        <w:rPr>
          <w:sz w:val="26"/>
          <w:szCs w:val="26"/>
        </w:rPr>
        <w:t xml:space="preserve">taking </w:t>
      </w:r>
      <w:r w:rsidR="00D84D1F">
        <w:rPr>
          <w:sz w:val="26"/>
          <w:szCs w:val="26"/>
        </w:rPr>
        <w:t xml:space="preserve">and would send </w:t>
      </w:r>
      <w:r w:rsidR="00D84D1F">
        <w:rPr>
          <w:sz w:val="26"/>
          <w:szCs w:val="26"/>
        </w:rPr>
        <w:lastRenderedPageBreak/>
        <w:t xml:space="preserve">a negative message to the investment community regarding the risks of investing capital in Pennsylvania public utilities.  </w:t>
      </w:r>
      <w:r w:rsidR="00323FC4">
        <w:rPr>
          <w:sz w:val="26"/>
          <w:szCs w:val="26"/>
        </w:rPr>
        <w:t>Joint Applicants M.B. at 38-41.</w:t>
      </w:r>
    </w:p>
    <w:p w14:paraId="34B0FD19" w14:textId="77777777" w:rsidR="00990B30" w:rsidRPr="00615423" w:rsidRDefault="00990B30" w:rsidP="00C02C37">
      <w:pPr>
        <w:widowControl/>
        <w:spacing w:line="360" w:lineRule="auto"/>
        <w:rPr>
          <w:b/>
          <w:bCs/>
          <w:sz w:val="26"/>
          <w:szCs w:val="26"/>
        </w:rPr>
      </w:pPr>
    </w:p>
    <w:p w14:paraId="04EA750A" w14:textId="77777777" w:rsidR="00990B30" w:rsidRPr="007A065B" w:rsidRDefault="00272D83" w:rsidP="00C02C37">
      <w:pPr>
        <w:pStyle w:val="Heading4"/>
        <w:widowControl/>
        <w:ind w:left="2160" w:hanging="720"/>
      </w:pPr>
      <w:bookmarkStart w:id="63" w:name="_Toc29278198"/>
      <w:r w:rsidRPr="007A065B">
        <w:t>Recommended Decision</w:t>
      </w:r>
      <w:bookmarkEnd w:id="63"/>
    </w:p>
    <w:p w14:paraId="3198A2A7" w14:textId="77777777" w:rsidR="00831981" w:rsidRPr="006D2898" w:rsidRDefault="00831981" w:rsidP="00C02C37">
      <w:pPr>
        <w:pStyle w:val="ListParagraph"/>
        <w:keepNext/>
        <w:widowControl/>
        <w:spacing w:line="360" w:lineRule="auto"/>
        <w:ind w:left="2880"/>
        <w:rPr>
          <w:sz w:val="26"/>
          <w:szCs w:val="26"/>
        </w:rPr>
      </w:pPr>
    </w:p>
    <w:p w14:paraId="47A4A5FA" w14:textId="5E9F1314" w:rsidR="00773C15" w:rsidRPr="00773C15" w:rsidRDefault="00773C15" w:rsidP="00C02C37">
      <w:pPr>
        <w:keepNext/>
        <w:widowControl/>
        <w:spacing w:line="360" w:lineRule="auto"/>
        <w:ind w:right="-43" w:firstLine="1440"/>
        <w:textAlignment w:val="baseline"/>
        <w:rPr>
          <w:rFonts w:cstheme="minorBidi"/>
          <w:spacing w:val="4"/>
          <w:sz w:val="26"/>
          <w:szCs w:val="22"/>
        </w:rPr>
      </w:pPr>
      <w:r w:rsidRPr="00773C15">
        <w:rPr>
          <w:rFonts w:cstheme="minorBidi"/>
          <w:spacing w:val="4"/>
          <w:sz w:val="26"/>
          <w:szCs w:val="22"/>
        </w:rPr>
        <w:t xml:space="preserve">The ALJ determined that the Peoples Companies’ commitment under the Settlement to replace the bare steel pipe in the G/T Systems in the next seven years is a significant public benefit.  The ALJ reasoned that the burden on the customers who would otherwise be abandoned far outweighs the impact of socializing these costs to the other Peoples Companies’ ratepayers.  </w:t>
      </w:r>
      <w:bookmarkStart w:id="64" w:name="_Hlk26959304"/>
      <w:r w:rsidRPr="00773C15">
        <w:rPr>
          <w:rFonts w:cstheme="minorBidi"/>
          <w:spacing w:val="4"/>
          <w:sz w:val="26"/>
          <w:szCs w:val="22"/>
        </w:rPr>
        <w:t xml:space="preserve">The ALJ also reasoned that the serious safety and reliability issues on the systems will be resolved much more quickly </w:t>
      </w:r>
      <w:r w:rsidR="00D972CD">
        <w:rPr>
          <w:rFonts w:cstheme="minorBidi"/>
          <w:spacing w:val="4"/>
          <w:sz w:val="26"/>
          <w:szCs w:val="22"/>
        </w:rPr>
        <w:t xml:space="preserve">under the current Settlement provisions </w:t>
      </w:r>
      <w:r w:rsidRPr="00773C15">
        <w:rPr>
          <w:rFonts w:cstheme="minorBidi"/>
          <w:spacing w:val="4"/>
          <w:sz w:val="26"/>
          <w:szCs w:val="22"/>
        </w:rPr>
        <w:t>than they would be if the Peoples Companies use</w:t>
      </w:r>
      <w:r w:rsidR="00D972CD">
        <w:rPr>
          <w:rFonts w:cstheme="minorBidi"/>
          <w:spacing w:val="4"/>
          <w:sz w:val="26"/>
          <w:szCs w:val="22"/>
        </w:rPr>
        <w:t>d</w:t>
      </w:r>
      <w:r w:rsidRPr="00773C15">
        <w:rPr>
          <w:rFonts w:cstheme="minorBidi"/>
          <w:spacing w:val="4"/>
          <w:sz w:val="26"/>
          <w:szCs w:val="22"/>
        </w:rPr>
        <w:t xml:space="preserve"> the economic test described in the 2013 Equitable Settlement.</w:t>
      </w:r>
      <w:bookmarkEnd w:id="64"/>
      <w:r w:rsidRPr="00773C15">
        <w:rPr>
          <w:rFonts w:cstheme="minorBidi"/>
          <w:spacing w:val="4"/>
          <w:sz w:val="26"/>
          <w:szCs w:val="22"/>
        </w:rPr>
        <w:t xml:space="preserve">  R.D. at 55.</w:t>
      </w:r>
      <w:r w:rsidR="003A591D">
        <w:rPr>
          <w:rFonts w:cstheme="minorBidi"/>
          <w:spacing w:val="4"/>
          <w:sz w:val="26"/>
          <w:szCs w:val="22"/>
        </w:rPr>
        <w:t xml:space="preserve"> </w:t>
      </w:r>
      <w:r w:rsidRPr="00773C15">
        <w:rPr>
          <w:rFonts w:cstheme="minorBidi"/>
          <w:spacing w:val="4"/>
          <w:sz w:val="26"/>
          <w:szCs w:val="22"/>
        </w:rPr>
        <w:t xml:space="preserve"> </w:t>
      </w:r>
    </w:p>
    <w:p w14:paraId="12804256" w14:textId="77777777" w:rsidR="00773C15" w:rsidRPr="00773C15" w:rsidRDefault="00773C15" w:rsidP="00B24187">
      <w:pPr>
        <w:widowControl/>
        <w:spacing w:line="360" w:lineRule="auto"/>
        <w:ind w:right="-43" w:firstLine="1440"/>
        <w:textAlignment w:val="baseline"/>
        <w:rPr>
          <w:rFonts w:cstheme="minorBidi"/>
          <w:spacing w:val="4"/>
          <w:sz w:val="26"/>
          <w:szCs w:val="22"/>
        </w:rPr>
      </w:pPr>
    </w:p>
    <w:p w14:paraId="5D7DA0E7" w14:textId="0E443042" w:rsidR="00773C15" w:rsidRPr="00773C15" w:rsidRDefault="00773C15" w:rsidP="00B24187">
      <w:pPr>
        <w:widowControl/>
        <w:spacing w:line="360" w:lineRule="auto"/>
        <w:ind w:right="-43" w:firstLine="1440"/>
        <w:textAlignment w:val="baseline"/>
        <w:rPr>
          <w:rFonts w:cstheme="minorBidi"/>
          <w:spacing w:val="4"/>
          <w:sz w:val="26"/>
          <w:szCs w:val="22"/>
        </w:rPr>
      </w:pPr>
      <w:r w:rsidRPr="00773C15">
        <w:rPr>
          <w:rFonts w:cstheme="minorBidi"/>
          <w:spacing w:val="4"/>
          <w:sz w:val="26"/>
          <w:szCs w:val="22"/>
        </w:rPr>
        <w:t>In addressing the impact that replacing the G/T Systems’ pipe would have on ratepayers, the ALJ also considered the safety issues and economic issues relating to the pipeline as well as the social economic needs of the G/T Systems</w:t>
      </w:r>
      <w:r w:rsidR="00D972CD">
        <w:rPr>
          <w:rFonts w:cstheme="minorBidi"/>
          <w:spacing w:val="4"/>
          <w:sz w:val="26"/>
          <w:szCs w:val="22"/>
        </w:rPr>
        <w:t>’</w:t>
      </w:r>
      <w:r w:rsidRPr="00773C15">
        <w:rPr>
          <w:rFonts w:cstheme="minorBidi"/>
          <w:spacing w:val="4"/>
          <w:sz w:val="26"/>
          <w:szCs w:val="22"/>
        </w:rPr>
        <w:t xml:space="preserve"> customers, and found that the Settlement commitments are in the public interest.  </w:t>
      </w:r>
      <w:r w:rsidRPr="00773C15">
        <w:rPr>
          <w:rFonts w:cstheme="minorBidi"/>
          <w:i/>
          <w:iCs/>
          <w:spacing w:val="4"/>
          <w:sz w:val="26"/>
          <w:szCs w:val="22"/>
        </w:rPr>
        <w:t>Id</w:t>
      </w:r>
      <w:r w:rsidRPr="00773C15">
        <w:rPr>
          <w:rFonts w:cstheme="minorBidi"/>
          <w:spacing w:val="4"/>
          <w:sz w:val="26"/>
          <w:szCs w:val="22"/>
        </w:rPr>
        <w:t>. at</w:t>
      </w:r>
      <w:r w:rsidR="006D2898">
        <w:rPr>
          <w:rFonts w:cstheme="minorBidi"/>
          <w:spacing w:val="4"/>
          <w:sz w:val="26"/>
          <w:szCs w:val="22"/>
        </w:rPr>
        <w:t> </w:t>
      </w:r>
      <w:r w:rsidRPr="00773C15">
        <w:rPr>
          <w:rFonts w:cstheme="minorBidi"/>
          <w:spacing w:val="4"/>
          <w:sz w:val="26"/>
          <w:szCs w:val="22"/>
        </w:rPr>
        <w:t>53.  In response to I&amp;E and the OSBA’s concerns regarding the costs for which ratepayers will be responsible and their argument that the economic test in the 2013 Equitable Settlement has not been satisfied, the ALJ concluded that the Settlement proposal is the “best of imperfect solutions” to resolve the G/T Systems</w:t>
      </w:r>
      <w:r w:rsidR="00D972CD">
        <w:rPr>
          <w:rFonts w:cstheme="minorBidi"/>
          <w:spacing w:val="4"/>
          <w:sz w:val="26"/>
          <w:szCs w:val="22"/>
        </w:rPr>
        <w:t>’</w:t>
      </w:r>
      <w:r w:rsidRPr="00773C15">
        <w:rPr>
          <w:rFonts w:cstheme="minorBidi"/>
          <w:spacing w:val="4"/>
          <w:sz w:val="26"/>
          <w:szCs w:val="22"/>
        </w:rPr>
        <w:t xml:space="preserve"> problem.  </w:t>
      </w:r>
      <w:r w:rsidRPr="00773C15">
        <w:rPr>
          <w:rFonts w:cstheme="minorBidi"/>
          <w:i/>
          <w:iCs/>
          <w:spacing w:val="4"/>
          <w:sz w:val="26"/>
          <w:szCs w:val="22"/>
        </w:rPr>
        <w:t>Id</w:t>
      </w:r>
      <w:r w:rsidRPr="00773C15">
        <w:rPr>
          <w:rFonts w:cstheme="minorBidi"/>
          <w:spacing w:val="4"/>
          <w:sz w:val="26"/>
          <w:szCs w:val="22"/>
        </w:rPr>
        <w:t>.</w:t>
      </w:r>
      <w:r w:rsidR="006D2898">
        <w:rPr>
          <w:rFonts w:cstheme="minorBidi"/>
          <w:spacing w:val="4"/>
          <w:sz w:val="26"/>
          <w:szCs w:val="22"/>
        </w:rPr>
        <w:t> </w:t>
      </w:r>
      <w:r w:rsidRPr="00773C15">
        <w:rPr>
          <w:rFonts w:cstheme="minorBidi"/>
          <w:spacing w:val="4"/>
          <w:sz w:val="26"/>
          <w:szCs w:val="22"/>
        </w:rPr>
        <w:t xml:space="preserve">at 50.  </w:t>
      </w:r>
    </w:p>
    <w:p w14:paraId="37929895" w14:textId="77777777" w:rsidR="00773C15" w:rsidRPr="00773C15" w:rsidRDefault="00773C15" w:rsidP="00B24187">
      <w:pPr>
        <w:widowControl/>
        <w:spacing w:line="360" w:lineRule="auto"/>
        <w:ind w:right="-43" w:firstLine="1440"/>
        <w:textAlignment w:val="baseline"/>
        <w:rPr>
          <w:rFonts w:cstheme="minorBidi"/>
          <w:spacing w:val="4"/>
          <w:sz w:val="26"/>
          <w:szCs w:val="22"/>
        </w:rPr>
      </w:pPr>
    </w:p>
    <w:p w14:paraId="0DF45DBB" w14:textId="1D3B536F" w:rsidR="00773C15" w:rsidRDefault="00773C15" w:rsidP="00B24187">
      <w:pPr>
        <w:widowControl/>
        <w:spacing w:line="360" w:lineRule="auto"/>
        <w:ind w:right="-43" w:firstLine="1440"/>
        <w:textAlignment w:val="baseline"/>
        <w:rPr>
          <w:rFonts w:cstheme="minorBidi"/>
          <w:sz w:val="26"/>
          <w:szCs w:val="22"/>
        </w:rPr>
      </w:pPr>
      <w:r w:rsidRPr="00773C15">
        <w:rPr>
          <w:rFonts w:cstheme="minorBidi"/>
          <w:spacing w:val="4"/>
          <w:sz w:val="26"/>
          <w:szCs w:val="22"/>
        </w:rPr>
        <w:t>The ALJ stated that while I&amp;E</w:t>
      </w:r>
      <w:r w:rsidRPr="00773C15">
        <w:rPr>
          <w:rFonts w:cstheme="minorBidi"/>
          <w:sz w:val="26"/>
          <w:szCs w:val="22"/>
        </w:rPr>
        <w:t xml:space="preserve"> and the OSBA are concerned about the Peoples Companies’ ratepayers bearing the costs for replacement of the pipelines, their briefs are silent on the social and economic costs of abandoning natural gas service to over 900 customers.  </w:t>
      </w:r>
      <w:r w:rsidRPr="00773C15">
        <w:rPr>
          <w:rFonts w:cstheme="minorBidi"/>
          <w:i/>
          <w:iCs/>
          <w:sz w:val="26"/>
          <w:szCs w:val="22"/>
        </w:rPr>
        <w:t>Id</w:t>
      </w:r>
      <w:r w:rsidRPr="00773C15">
        <w:rPr>
          <w:rFonts w:cstheme="minorBidi"/>
          <w:sz w:val="26"/>
          <w:szCs w:val="22"/>
        </w:rPr>
        <w:t xml:space="preserve">. at 51.  </w:t>
      </w:r>
      <w:bookmarkStart w:id="65" w:name="_Hlk27324999"/>
      <w:r w:rsidRPr="00773C15">
        <w:rPr>
          <w:rFonts w:cstheme="minorBidi"/>
          <w:sz w:val="26"/>
          <w:szCs w:val="22"/>
        </w:rPr>
        <w:t xml:space="preserve">The ALJ noted that adhering to the economic test would result in the abandonment of these customers.  </w:t>
      </w:r>
      <w:r w:rsidRPr="00773C15">
        <w:rPr>
          <w:rFonts w:cstheme="minorBidi"/>
          <w:i/>
          <w:iCs/>
          <w:sz w:val="26"/>
          <w:szCs w:val="22"/>
        </w:rPr>
        <w:t>Id</w:t>
      </w:r>
      <w:r w:rsidRPr="00773C15">
        <w:rPr>
          <w:rFonts w:cstheme="minorBidi"/>
          <w:sz w:val="26"/>
          <w:szCs w:val="22"/>
        </w:rPr>
        <w:t>. (citing Joint Applicants St. 6-R at 12-</w:t>
      </w:r>
      <w:r w:rsidRPr="00773C15">
        <w:rPr>
          <w:rFonts w:cstheme="minorBidi"/>
          <w:sz w:val="26"/>
          <w:szCs w:val="22"/>
        </w:rPr>
        <w:lastRenderedPageBreak/>
        <w:t xml:space="preserve">13).  The ALJ also noted that the testimony in this proceeding describes many of these customers as low-income customers who rely on the customer assistance programs that are available to them as distribution customers of the Peoples Companies.  While acknowledging that these customers will likely receive conversion costs if they are abandoned, the ALJ observed that the cost of propane and electricity is higher than the cost of natural gas, and these customers’ energy bills will likely be higher in the future.  </w:t>
      </w:r>
      <w:bookmarkEnd w:id="65"/>
      <w:r w:rsidRPr="00773C15">
        <w:rPr>
          <w:rFonts w:cstheme="minorBidi"/>
          <w:sz w:val="26"/>
          <w:szCs w:val="22"/>
        </w:rPr>
        <w:t xml:space="preserve">The ALJ stated that the OSBA did not consider these factors as they relate to small business customers served by these systems.  Moreover, the ALJ stated that neither I&amp;E nor OSBA address the litigation costs that the Peoples Companies’ ratepayers would incur as a result of an application to abandon these customers or the time and agency resources that would be expended to review such an application.  R.D. at 51.  </w:t>
      </w:r>
    </w:p>
    <w:p w14:paraId="72BC7AFD" w14:textId="77777777" w:rsidR="00201CA0" w:rsidRPr="00773C15" w:rsidRDefault="00201CA0" w:rsidP="00B24187">
      <w:pPr>
        <w:widowControl/>
        <w:spacing w:line="360" w:lineRule="auto"/>
        <w:ind w:right="-43" w:firstLine="1440"/>
        <w:textAlignment w:val="baseline"/>
        <w:rPr>
          <w:rFonts w:cstheme="minorBidi"/>
          <w:sz w:val="26"/>
          <w:szCs w:val="22"/>
        </w:rPr>
      </w:pPr>
    </w:p>
    <w:p w14:paraId="43C7349F" w14:textId="77777777" w:rsidR="00773C15" w:rsidRPr="00773C15" w:rsidRDefault="00773C15" w:rsidP="00B24187">
      <w:pPr>
        <w:widowControl/>
        <w:spacing w:line="360" w:lineRule="auto"/>
        <w:ind w:right="-43" w:firstLine="1440"/>
        <w:textAlignment w:val="baseline"/>
        <w:rPr>
          <w:rFonts w:cstheme="minorBidi"/>
          <w:sz w:val="26"/>
          <w:szCs w:val="22"/>
        </w:rPr>
      </w:pPr>
      <w:r w:rsidRPr="00773C15">
        <w:rPr>
          <w:rFonts w:cstheme="minorBidi"/>
          <w:sz w:val="26"/>
          <w:szCs w:val="22"/>
        </w:rPr>
        <w:t xml:space="preserve">The ALJ found persuasive the testimony of the Joint Applicants’ witnesses, Mr. Franklin and Mr. O’Brien, who explained that the socialization of costs associated with infrastructure improvement is not an unusual concept and has been approved by the Commission in the past.  </w:t>
      </w:r>
      <w:r w:rsidRPr="00773C15">
        <w:rPr>
          <w:rFonts w:cstheme="minorBidi"/>
          <w:i/>
          <w:iCs/>
          <w:sz w:val="26"/>
          <w:szCs w:val="22"/>
        </w:rPr>
        <w:t>Id</w:t>
      </w:r>
      <w:r w:rsidRPr="00773C15">
        <w:rPr>
          <w:rFonts w:cstheme="minorBidi"/>
          <w:sz w:val="26"/>
          <w:szCs w:val="22"/>
        </w:rPr>
        <w:t xml:space="preserve">. (citing Tr. at 105-107).  The ALJ noted that Mr. Franklin and Mr. O’Brien explained the social, political, and safety issues that are implicated by the decision to replace the entire system.  R.D. at 52 (citing Tr. at 90-91).  </w:t>
      </w:r>
    </w:p>
    <w:p w14:paraId="4C3A8337" w14:textId="77777777" w:rsidR="00773C15" w:rsidRPr="00773C15" w:rsidRDefault="00773C15" w:rsidP="00B24187">
      <w:pPr>
        <w:widowControl/>
        <w:spacing w:line="360" w:lineRule="auto"/>
        <w:ind w:right="-43" w:firstLine="1440"/>
        <w:textAlignment w:val="baseline"/>
        <w:rPr>
          <w:rFonts w:cstheme="minorBidi"/>
          <w:sz w:val="26"/>
          <w:szCs w:val="22"/>
        </w:rPr>
      </w:pPr>
    </w:p>
    <w:p w14:paraId="7BC8AB72" w14:textId="77777777" w:rsidR="00773C15" w:rsidRDefault="00773C15" w:rsidP="00B24187">
      <w:pPr>
        <w:widowControl/>
        <w:spacing w:line="360" w:lineRule="auto"/>
        <w:ind w:right="-43" w:firstLine="1440"/>
        <w:textAlignment w:val="baseline"/>
        <w:rPr>
          <w:rFonts w:cstheme="minorBidi"/>
          <w:color w:val="000000"/>
          <w:spacing w:val="2"/>
          <w:sz w:val="26"/>
          <w:szCs w:val="26"/>
        </w:rPr>
      </w:pPr>
      <w:r w:rsidRPr="00773C15">
        <w:rPr>
          <w:rFonts w:cstheme="minorBidi"/>
          <w:sz w:val="26"/>
          <w:szCs w:val="26"/>
        </w:rPr>
        <w:t>The ALJ additionally addressed I&amp;E’s concerns that the G/T Systems project could cost more than the $120 million estimate and that the Settlement does not offer enough protection for ratepayers.  The ALJ explained that u</w:t>
      </w:r>
      <w:r w:rsidRPr="00773C15">
        <w:rPr>
          <w:rFonts w:cstheme="minorBidi"/>
          <w:color w:val="000000"/>
          <w:spacing w:val="2"/>
          <w:sz w:val="26"/>
          <w:szCs w:val="26"/>
        </w:rPr>
        <w:t xml:space="preserve">nlike in 2012 when Equitable first sought Commission approval to acquire these systems, the Parties now have more information about the location and configuration of the lines and the facilities that are connected to them.  R.D. at 53.  The ALJ noted that Mr. Gregorini rebutted I&amp;E’s testimony that replacement costs could be much higher than the estimated $120 million, as Mr. Gregorini stated that the cost figures I&amp;E used reflected the replacement costs for pipeline in urban areas of the Peoples Companies’ service territory.  In contrast, the G/T Systems are located in a rural area where per mile replacement costs </w:t>
      </w:r>
      <w:r w:rsidRPr="00773C15">
        <w:rPr>
          <w:rFonts w:cstheme="minorBidi"/>
          <w:color w:val="000000"/>
          <w:spacing w:val="2"/>
          <w:sz w:val="26"/>
          <w:szCs w:val="26"/>
        </w:rPr>
        <w:lastRenderedPageBreak/>
        <w:t xml:space="preserve">are lower, and the cost estimate in the Settlement reflects those costs.  </w:t>
      </w:r>
      <w:r w:rsidRPr="00773C15">
        <w:rPr>
          <w:rFonts w:cstheme="minorBidi"/>
          <w:i/>
          <w:iCs/>
          <w:color w:val="000000"/>
          <w:spacing w:val="2"/>
          <w:sz w:val="26"/>
          <w:szCs w:val="26"/>
        </w:rPr>
        <w:t>Id</w:t>
      </w:r>
      <w:r w:rsidRPr="00773C15">
        <w:rPr>
          <w:rFonts w:cstheme="minorBidi"/>
          <w:color w:val="000000"/>
          <w:spacing w:val="2"/>
          <w:sz w:val="26"/>
          <w:szCs w:val="26"/>
        </w:rPr>
        <w:t xml:space="preserve">. (citing Joint Applicants St. 5-R at 13).  </w:t>
      </w:r>
    </w:p>
    <w:p w14:paraId="5C6625C7" w14:textId="77777777" w:rsidR="00773C15" w:rsidRPr="00773C15" w:rsidRDefault="00773C15" w:rsidP="00B24187">
      <w:pPr>
        <w:widowControl/>
        <w:spacing w:line="360" w:lineRule="auto"/>
        <w:ind w:right="-43" w:firstLine="1440"/>
        <w:textAlignment w:val="baseline"/>
        <w:rPr>
          <w:rFonts w:cstheme="minorBidi"/>
          <w:color w:val="000000"/>
          <w:spacing w:val="2"/>
          <w:sz w:val="26"/>
          <w:szCs w:val="26"/>
        </w:rPr>
      </w:pPr>
    </w:p>
    <w:p w14:paraId="55C43CC0" w14:textId="648BF5AF" w:rsidR="00773C15" w:rsidRPr="00773C15" w:rsidRDefault="00773C15" w:rsidP="00B24187">
      <w:pPr>
        <w:widowControl/>
        <w:spacing w:line="360" w:lineRule="auto"/>
        <w:ind w:right="-43" w:firstLine="1440"/>
        <w:textAlignment w:val="baseline"/>
        <w:rPr>
          <w:rFonts w:asciiTheme="minorHAnsi" w:hAnsiTheme="minorHAnsi" w:cstheme="minorBidi"/>
          <w:color w:val="000000"/>
          <w:spacing w:val="3"/>
          <w:sz w:val="26"/>
          <w:szCs w:val="26"/>
        </w:rPr>
      </w:pPr>
      <w:r w:rsidRPr="00773C15">
        <w:rPr>
          <w:rFonts w:cstheme="minorBidi"/>
          <w:color w:val="000000"/>
          <w:spacing w:val="2"/>
          <w:sz w:val="26"/>
          <w:szCs w:val="26"/>
        </w:rPr>
        <w:t>The ALJ also noted the Settlement provisions that protect ratepayers.  For instance, the ALJ observed that t</w:t>
      </w:r>
      <w:r w:rsidRPr="00773C15">
        <w:rPr>
          <w:rFonts w:cstheme="minorBidi"/>
          <w:color w:val="000000"/>
          <w:sz w:val="26"/>
          <w:szCs w:val="26"/>
        </w:rPr>
        <w:t xml:space="preserve">he Settlement provides that cost recovery for the G/T Systems repairs cannot be included in the Peoples Companies’ DSIC mechanism, but rather can only be recovered through future base rate cases.  R.D. at 53. The ALJ stated that the Peoples Companies have recently concluded a base rate case.  </w:t>
      </w:r>
      <w:r w:rsidRPr="00773C15">
        <w:rPr>
          <w:rFonts w:cstheme="minorBidi"/>
          <w:i/>
          <w:iCs/>
          <w:color w:val="000000"/>
          <w:sz w:val="26"/>
          <w:szCs w:val="26"/>
        </w:rPr>
        <w:t>Id</w:t>
      </w:r>
      <w:r w:rsidRPr="00773C15">
        <w:rPr>
          <w:rFonts w:cstheme="minorBidi"/>
          <w:color w:val="000000"/>
          <w:sz w:val="26"/>
          <w:szCs w:val="26"/>
        </w:rPr>
        <w:t xml:space="preserve">. (citing </w:t>
      </w:r>
      <w:r w:rsidRPr="00773C15">
        <w:rPr>
          <w:rFonts w:cstheme="minorBidi"/>
          <w:i/>
          <w:iCs/>
          <w:color w:val="000000"/>
          <w:sz w:val="26"/>
          <w:szCs w:val="26"/>
        </w:rPr>
        <w:t>Pa. PUC v. Peoples Natural Gas, LLC</w:t>
      </w:r>
      <w:r w:rsidRPr="00773C15">
        <w:rPr>
          <w:rFonts w:cstheme="minorBidi"/>
          <w:color w:val="000000"/>
          <w:sz w:val="26"/>
          <w:szCs w:val="26"/>
        </w:rPr>
        <w:t>, Docket No. R-2018-3006818 (Order entered October 3, 2019)</w:t>
      </w:r>
      <w:r w:rsidR="008500A2">
        <w:rPr>
          <w:rFonts w:cstheme="minorBidi"/>
          <w:color w:val="000000"/>
          <w:sz w:val="26"/>
          <w:szCs w:val="26"/>
        </w:rPr>
        <w:t>)</w:t>
      </w:r>
      <w:r w:rsidRPr="00773C15">
        <w:rPr>
          <w:rFonts w:cstheme="minorBidi"/>
          <w:color w:val="000000"/>
          <w:sz w:val="26"/>
          <w:szCs w:val="26"/>
        </w:rPr>
        <w:t xml:space="preserve">.  The ALJ emphasized that cost recovery for G/T Systems repairs will only occur through future base rate cases where all such costs can be thoroughly reviewed by both the statutory advocates and the Commission.  R.D. at 53.  The ALJ continued that there are significant provisions that require the Joint Applicants to consult with the statutory advocates and the Commission on a regular basis during the project, and these Parties have an opportunity for input.  R.D. at 54.  The ALJ reasoned that in prior settlements, the Commission has found such provisions requiring consultation with stakeholders to be a public benefit and an important factor in protecting the public interest.  </w:t>
      </w:r>
      <w:r w:rsidRPr="00773C15">
        <w:rPr>
          <w:rFonts w:cstheme="minorBidi"/>
          <w:i/>
          <w:iCs/>
          <w:color w:val="000000"/>
          <w:sz w:val="26"/>
          <w:szCs w:val="26"/>
        </w:rPr>
        <w:t>Id</w:t>
      </w:r>
      <w:r w:rsidRPr="00773C15">
        <w:rPr>
          <w:rFonts w:cstheme="minorBidi"/>
          <w:color w:val="000000"/>
          <w:sz w:val="26"/>
          <w:szCs w:val="26"/>
        </w:rPr>
        <w:t xml:space="preserve">. (citing </w:t>
      </w:r>
      <w:r w:rsidRPr="00773C15">
        <w:rPr>
          <w:rFonts w:cstheme="minorBidi"/>
          <w:i/>
          <w:color w:val="000000"/>
          <w:sz w:val="26"/>
          <w:szCs w:val="26"/>
        </w:rPr>
        <w:t xml:space="preserve">Joint Application of West Penn Power Company, </w:t>
      </w:r>
      <w:r w:rsidRPr="00773C15">
        <w:rPr>
          <w:rFonts w:cstheme="minorBidi"/>
          <w:color w:val="000000"/>
          <w:sz w:val="26"/>
          <w:szCs w:val="26"/>
        </w:rPr>
        <w:t>Docket No. A-2010-2176520 (Order entered March 8, 2011</w:t>
      </w:r>
      <w:r w:rsidR="00463159">
        <w:rPr>
          <w:rFonts w:cstheme="minorBidi"/>
          <w:color w:val="000000"/>
          <w:sz w:val="26"/>
          <w:szCs w:val="26"/>
        </w:rPr>
        <w:t>)</w:t>
      </w:r>
      <w:r w:rsidRPr="00773C15">
        <w:rPr>
          <w:rFonts w:cstheme="minorBidi"/>
          <w:color w:val="000000"/>
          <w:sz w:val="26"/>
          <w:szCs w:val="26"/>
        </w:rPr>
        <w:t>).  Additionally, t</w:t>
      </w:r>
      <w:r w:rsidRPr="00773C15">
        <w:rPr>
          <w:rFonts w:cstheme="minorBidi"/>
          <w:color w:val="000000"/>
          <w:spacing w:val="3"/>
          <w:sz w:val="26"/>
          <w:szCs w:val="26"/>
        </w:rPr>
        <w:t xml:space="preserve">he Settlement provides that if the G/T Systems project costs more than the estimated $120 million, the Joint Applicants will negotiate with stakeholders to seek recovery of these costs, and if the Joint Applicants fail to secure an agreement, they will seek Commission approval for recovery of additional costs.  The ALJ found that the risk that the Joint Applicants will be unable to reach an agreement to recover additional costs or that the Commission will not approve recovery of these costs is an incentive to control these costs.  R.D. at 54.  </w:t>
      </w:r>
    </w:p>
    <w:p w14:paraId="645B7C72" w14:textId="38F0A2A6" w:rsidR="00773C15" w:rsidRPr="00773C15" w:rsidRDefault="00773C15" w:rsidP="003A591D">
      <w:pPr>
        <w:widowControl/>
        <w:spacing w:line="360" w:lineRule="auto"/>
        <w:ind w:right="72"/>
        <w:textAlignment w:val="baseline"/>
        <w:rPr>
          <w:rFonts w:asciiTheme="minorHAnsi" w:hAnsiTheme="minorHAnsi" w:cstheme="minorBidi"/>
          <w:spacing w:val="4"/>
          <w:sz w:val="26"/>
          <w:szCs w:val="22"/>
        </w:rPr>
      </w:pPr>
    </w:p>
    <w:p w14:paraId="24C2146E" w14:textId="0D0C93AF" w:rsidR="00773C15" w:rsidRDefault="00773C15" w:rsidP="008F6229">
      <w:pPr>
        <w:widowControl/>
        <w:spacing w:line="360" w:lineRule="auto"/>
        <w:ind w:firstLine="1440"/>
        <w:textAlignment w:val="baseline"/>
        <w:rPr>
          <w:rFonts w:cstheme="minorBidi"/>
          <w:color w:val="000000"/>
          <w:spacing w:val="4"/>
          <w:sz w:val="26"/>
          <w:szCs w:val="26"/>
        </w:rPr>
      </w:pPr>
      <w:r w:rsidRPr="00773C15">
        <w:rPr>
          <w:rFonts w:cstheme="minorBidi"/>
          <w:sz w:val="26"/>
          <w:szCs w:val="22"/>
        </w:rPr>
        <w:t>In finding that the</w:t>
      </w:r>
      <w:r w:rsidRPr="00773C15">
        <w:rPr>
          <w:rFonts w:cstheme="minorBidi"/>
          <w:spacing w:val="4"/>
          <w:sz w:val="26"/>
          <w:szCs w:val="22"/>
        </w:rPr>
        <w:t xml:space="preserve"> safety and reliability issues on the systems will be resolved much more quickly than they would be if the Peoples Companies use the economic test described in the 2013 Equitable Settlement, t</w:t>
      </w:r>
      <w:r w:rsidRPr="00773C15">
        <w:rPr>
          <w:rFonts w:cstheme="minorBidi"/>
          <w:color w:val="000000"/>
          <w:spacing w:val="4"/>
          <w:sz w:val="26"/>
          <w:szCs w:val="26"/>
        </w:rPr>
        <w:t xml:space="preserve">he ALJ found it significant </w:t>
      </w:r>
      <w:r w:rsidRPr="00773C15">
        <w:rPr>
          <w:rFonts w:cstheme="minorBidi"/>
          <w:color w:val="000000"/>
          <w:spacing w:val="4"/>
          <w:sz w:val="26"/>
          <w:szCs w:val="26"/>
        </w:rPr>
        <w:lastRenderedPageBreak/>
        <w:t xml:space="preserve">that the Settlement provides a specific seven-year timeline for the replacement of the G/T Systems pipeline and a commitment that work will begin within three months of the closing of the transaction.  The ALJ observed that the 2013 Equitable Settlement does not include any timeline for the remediation of the system.  The ALJ also observed that while the pipeline used in natural gas facilities is different than the pipeline used in water and wastewater facilities, no party disputed Aqua America’s expertise in the management of accelerated infrastructure replacement projects.  The ALJ concluded that a final resolution of these systems in a defined time period is a significant benefit.  R.D. at 54.  </w:t>
      </w:r>
    </w:p>
    <w:p w14:paraId="449692D5" w14:textId="77777777" w:rsidR="00CE628F" w:rsidRDefault="00CE628F" w:rsidP="00B24187">
      <w:pPr>
        <w:widowControl/>
        <w:spacing w:line="360" w:lineRule="auto"/>
        <w:ind w:firstLine="720"/>
        <w:textAlignment w:val="baseline"/>
        <w:rPr>
          <w:rFonts w:cstheme="minorBidi"/>
          <w:color w:val="000000"/>
          <w:spacing w:val="4"/>
          <w:sz w:val="26"/>
          <w:szCs w:val="26"/>
        </w:rPr>
      </w:pPr>
    </w:p>
    <w:p w14:paraId="5F8BCB2C" w14:textId="77777777" w:rsidR="00272D83" w:rsidRPr="00F44796" w:rsidRDefault="00F91647" w:rsidP="006D2898">
      <w:pPr>
        <w:pStyle w:val="Heading4"/>
        <w:widowControl/>
        <w:spacing w:line="240" w:lineRule="auto"/>
        <w:ind w:left="2160" w:hanging="720"/>
      </w:pPr>
      <w:bookmarkStart w:id="66" w:name="_Toc29278199"/>
      <w:bookmarkStart w:id="67" w:name="_Hlk26946632"/>
      <w:r w:rsidRPr="00F44796">
        <w:t>I&amp;E Exception No. 2</w:t>
      </w:r>
      <w:r w:rsidR="004A6671">
        <w:t>,</w:t>
      </w:r>
      <w:r w:rsidRPr="00F44796">
        <w:t xml:space="preserve"> OSBA Exception</w:t>
      </w:r>
      <w:r w:rsidR="00D31C5C">
        <w:t>s</w:t>
      </w:r>
      <w:r w:rsidRPr="00F44796">
        <w:t xml:space="preserve"> Nos. 5, 6, </w:t>
      </w:r>
      <w:r w:rsidR="004A6671">
        <w:t xml:space="preserve">and </w:t>
      </w:r>
      <w:r w:rsidRPr="00F44796">
        <w:t>8</w:t>
      </w:r>
      <w:r w:rsidR="009F7197">
        <w:t xml:space="preserve">, </w:t>
      </w:r>
      <w:r w:rsidR="00D31C5C">
        <w:t xml:space="preserve">the Joint Applicants’ and the OCA’s </w:t>
      </w:r>
      <w:r w:rsidR="009F7197">
        <w:t>Replies</w:t>
      </w:r>
      <w:r w:rsidR="00CF7633">
        <w:t>, and Disposition</w:t>
      </w:r>
      <w:bookmarkEnd w:id="66"/>
      <w:r w:rsidR="00CF7633">
        <w:t xml:space="preserve"> </w:t>
      </w:r>
    </w:p>
    <w:bookmarkEnd w:id="67"/>
    <w:p w14:paraId="10FE3001" w14:textId="77777777" w:rsidR="00F44796" w:rsidRDefault="00F44796" w:rsidP="006D2898">
      <w:pPr>
        <w:keepNext/>
        <w:widowControl/>
        <w:spacing w:line="360" w:lineRule="auto"/>
        <w:rPr>
          <w:b/>
          <w:bCs/>
          <w:sz w:val="26"/>
          <w:szCs w:val="26"/>
        </w:rPr>
      </w:pPr>
    </w:p>
    <w:p w14:paraId="028441C0" w14:textId="77777777" w:rsidR="00CF7633" w:rsidRDefault="00CF7633" w:rsidP="006D2898">
      <w:pPr>
        <w:keepNext/>
        <w:widowControl/>
        <w:ind w:left="2880" w:hanging="720"/>
        <w:rPr>
          <w:sz w:val="26"/>
          <w:szCs w:val="26"/>
        </w:rPr>
      </w:pPr>
      <w:r w:rsidRPr="00CF7633">
        <w:rPr>
          <w:b/>
          <w:bCs/>
          <w:sz w:val="26"/>
          <w:szCs w:val="26"/>
        </w:rPr>
        <w:t>(1)</w:t>
      </w:r>
      <w:r>
        <w:rPr>
          <w:sz w:val="26"/>
          <w:szCs w:val="26"/>
        </w:rPr>
        <w:tab/>
      </w:r>
      <w:r w:rsidRPr="00F44796">
        <w:rPr>
          <w:b/>
          <w:bCs/>
          <w:sz w:val="26"/>
          <w:szCs w:val="26"/>
        </w:rPr>
        <w:t>I&amp;E Exception No. 2</w:t>
      </w:r>
      <w:r>
        <w:rPr>
          <w:b/>
          <w:bCs/>
          <w:sz w:val="26"/>
          <w:szCs w:val="26"/>
        </w:rPr>
        <w:t>,</w:t>
      </w:r>
      <w:r w:rsidRPr="00F44796">
        <w:rPr>
          <w:b/>
          <w:bCs/>
          <w:sz w:val="26"/>
          <w:szCs w:val="26"/>
        </w:rPr>
        <w:t xml:space="preserve"> OSBA Exception</w:t>
      </w:r>
      <w:r>
        <w:rPr>
          <w:b/>
          <w:bCs/>
          <w:sz w:val="26"/>
          <w:szCs w:val="26"/>
        </w:rPr>
        <w:t>s</w:t>
      </w:r>
      <w:r w:rsidRPr="00F44796">
        <w:rPr>
          <w:b/>
          <w:bCs/>
          <w:sz w:val="26"/>
          <w:szCs w:val="26"/>
        </w:rPr>
        <w:t xml:space="preserve"> Nos. 5, 6, </w:t>
      </w:r>
      <w:r>
        <w:rPr>
          <w:b/>
          <w:bCs/>
          <w:sz w:val="26"/>
          <w:szCs w:val="26"/>
        </w:rPr>
        <w:t xml:space="preserve">and </w:t>
      </w:r>
      <w:r w:rsidRPr="00F44796">
        <w:rPr>
          <w:b/>
          <w:bCs/>
          <w:sz w:val="26"/>
          <w:szCs w:val="26"/>
        </w:rPr>
        <w:t>8</w:t>
      </w:r>
      <w:r>
        <w:rPr>
          <w:b/>
          <w:bCs/>
          <w:sz w:val="26"/>
          <w:szCs w:val="26"/>
        </w:rPr>
        <w:t xml:space="preserve">, </w:t>
      </w:r>
      <w:r w:rsidR="00C34035">
        <w:rPr>
          <w:b/>
          <w:bCs/>
          <w:sz w:val="26"/>
          <w:szCs w:val="26"/>
        </w:rPr>
        <w:t xml:space="preserve">and </w:t>
      </w:r>
      <w:r>
        <w:rPr>
          <w:b/>
          <w:bCs/>
          <w:sz w:val="26"/>
          <w:szCs w:val="26"/>
        </w:rPr>
        <w:t>the Joint Applicants’ and the OCA’s Replies</w:t>
      </w:r>
      <w:r>
        <w:rPr>
          <w:sz w:val="26"/>
          <w:szCs w:val="26"/>
        </w:rPr>
        <w:t xml:space="preserve"> </w:t>
      </w:r>
    </w:p>
    <w:p w14:paraId="26DB1CBF" w14:textId="77777777" w:rsidR="00CF7633" w:rsidRDefault="00CF7633" w:rsidP="006D2898">
      <w:pPr>
        <w:keepNext/>
        <w:widowControl/>
        <w:spacing w:line="360" w:lineRule="auto"/>
        <w:ind w:firstLine="1440"/>
        <w:rPr>
          <w:sz w:val="26"/>
          <w:szCs w:val="26"/>
        </w:rPr>
      </w:pPr>
    </w:p>
    <w:p w14:paraId="3EEA957E" w14:textId="56EF6076" w:rsidR="00020C3A" w:rsidRDefault="00862DB9" w:rsidP="006D2898">
      <w:pPr>
        <w:keepNext/>
        <w:widowControl/>
        <w:spacing w:line="360" w:lineRule="auto"/>
        <w:ind w:firstLine="1440"/>
        <w:rPr>
          <w:sz w:val="26"/>
          <w:szCs w:val="26"/>
        </w:rPr>
      </w:pPr>
      <w:r>
        <w:rPr>
          <w:sz w:val="26"/>
          <w:szCs w:val="26"/>
        </w:rPr>
        <w:t xml:space="preserve">In its Exception No. 2, </w:t>
      </w:r>
      <w:r w:rsidR="004C729E">
        <w:rPr>
          <w:sz w:val="26"/>
          <w:szCs w:val="26"/>
        </w:rPr>
        <w:t>I&amp;E disputes the ALJ’s conclusion that “the commitments of the Settlement [regarding the G/T Systems] are in the public interest,” and</w:t>
      </w:r>
      <w:r>
        <w:rPr>
          <w:sz w:val="26"/>
          <w:szCs w:val="26"/>
        </w:rPr>
        <w:t xml:space="preserve"> faults the ALJ for </w:t>
      </w:r>
      <w:r w:rsidR="008F0DAD">
        <w:rPr>
          <w:sz w:val="26"/>
          <w:szCs w:val="26"/>
        </w:rPr>
        <w:t>not</w:t>
      </w:r>
      <w:r w:rsidR="008715CA">
        <w:rPr>
          <w:sz w:val="26"/>
          <w:szCs w:val="26"/>
        </w:rPr>
        <w:t xml:space="preserve"> giving more consideration</w:t>
      </w:r>
      <w:r w:rsidR="001F2A13">
        <w:rPr>
          <w:sz w:val="26"/>
          <w:szCs w:val="26"/>
        </w:rPr>
        <w:t xml:space="preserve"> to its a</w:t>
      </w:r>
      <w:r w:rsidR="004C729E">
        <w:rPr>
          <w:sz w:val="26"/>
          <w:szCs w:val="26"/>
        </w:rPr>
        <w:t>rguments</w:t>
      </w:r>
      <w:r w:rsidR="001F2A13">
        <w:rPr>
          <w:sz w:val="26"/>
          <w:szCs w:val="26"/>
        </w:rPr>
        <w:t xml:space="preserve"> </w:t>
      </w:r>
      <w:r w:rsidR="004C729E">
        <w:rPr>
          <w:sz w:val="26"/>
          <w:szCs w:val="26"/>
        </w:rPr>
        <w:t>highlighting the</w:t>
      </w:r>
      <w:r w:rsidR="001F2A13">
        <w:rPr>
          <w:sz w:val="26"/>
          <w:szCs w:val="26"/>
        </w:rPr>
        <w:t xml:space="preserve"> uneconomic aspect of the G/T Systems project provided for in the Settlement, which I&amp;E maintains will be unreasonably funded almost entirely by ratepayers.  </w:t>
      </w:r>
      <w:r w:rsidR="00F209C4">
        <w:rPr>
          <w:sz w:val="26"/>
          <w:szCs w:val="26"/>
        </w:rPr>
        <w:t>I&amp;E Exc. at 7-11</w:t>
      </w:r>
      <w:r w:rsidR="007E6F07">
        <w:rPr>
          <w:sz w:val="26"/>
          <w:szCs w:val="26"/>
        </w:rPr>
        <w:t xml:space="preserve"> </w:t>
      </w:r>
      <w:r w:rsidR="00062518">
        <w:rPr>
          <w:sz w:val="26"/>
          <w:szCs w:val="26"/>
        </w:rPr>
        <w:t>(</w:t>
      </w:r>
      <w:r w:rsidR="007E6F07">
        <w:rPr>
          <w:sz w:val="26"/>
          <w:szCs w:val="26"/>
        </w:rPr>
        <w:t>citing R.D. at 53</w:t>
      </w:r>
      <w:r w:rsidR="00062518">
        <w:rPr>
          <w:sz w:val="26"/>
          <w:szCs w:val="26"/>
        </w:rPr>
        <w:t>)</w:t>
      </w:r>
      <w:r w:rsidR="00F209C4">
        <w:rPr>
          <w:sz w:val="26"/>
          <w:szCs w:val="26"/>
        </w:rPr>
        <w:t>.</w:t>
      </w:r>
      <w:r w:rsidR="004C729E">
        <w:rPr>
          <w:sz w:val="26"/>
          <w:szCs w:val="26"/>
        </w:rPr>
        <w:t xml:space="preserve">  </w:t>
      </w:r>
      <w:r w:rsidR="00F52A43">
        <w:rPr>
          <w:sz w:val="26"/>
          <w:szCs w:val="26"/>
        </w:rPr>
        <w:t>I&amp;E argues that as a result of</w:t>
      </w:r>
      <w:r w:rsidR="0048758D">
        <w:rPr>
          <w:sz w:val="26"/>
          <w:szCs w:val="26"/>
        </w:rPr>
        <w:t xml:space="preserve"> the ALJ’s misguided emphasis on the benefits of protecting low-income customers from the implications of abandonment, such as the loss of access to the Peoples Companies’ customer assistance programs, </w:t>
      </w:r>
      <w:r w:rsidR="00020C3A">
        <w:rPr>
          <w:sz w:val="26"/>
          <w:szCs w:val="26"/>
        </w:rPr>
        <w:t>the Recommended Decision fails to adhere to the fundamental ratemaking principle that a utility must provide its customers with safe and reliable service at just and reasonable rates.</w:t>
      </w:r>
      <w:r w:rsidR="00790E1F">
        <w:rPr>
          <w:sz w:val="26"/>
          <w:szCs w:val="26"/>
        </w:rPr>
        <w:t xml:space="preserve">  I&amp;E Exc. at 7-8, 10.  </w:t>
      </w:r>
      <w:r w:rsidR="00381260">
        <w:rPr>
          <w:sz w:val="26"/>
          <w:szCs w:val="26"/>
        </w:rPr>
        <w:t xml:space="preserve">I&amp;E </w:t>
      </w:r>
      <w:r w:rsidR="00B65659">
        <w:rPr>
          <w:sz w:val="26"/>
          <w:szCs w:val="26"/>
        </w:rPr>
        <w:t>notes</w:t>
      </w:r>
      <w:r w:rsidR="00381260">
        <w:rPr>
          <w:sz w:val="26"/>
          <w:szCs w:val="26"/>
        </w:rPr>
        <w:t xml:space="preserve"> that assuming $120 million is accurate for full replacement cost</w:t>
      </w:r>
      <w:r w:rsidR="00386CEA">
        <w:rPr>
          <w:sz w:val="26"/>
          <w:szCs w:val="26"/>
        </w:rPr>
        <w:t>s</w:t>
      </w:r>
      <w:r w:rsidR="00381260">
        <w:rPr>
          <w:sz w:val="26"/>
          <w:szCs w:val="26"/>
        </w:rPr>
        <w:t xml:space="preserve"> of the G/T Systems, </w:t>
      </w:r>
      <w:r w:rsidR="00B65659">
        <w:rPr>
          <w:sz w:val="26"/>
          <w:szCs w:val="26"/>
        </w:rPr>
        <w:t>the</w:t>
      </w:r>
      <w:r w:rsidR="001D7F35">
        <w:rPr>
          <w:sz w:val="26"/>
          <w:szCs w:val="26"/>
        </w:rPr>
        <w:t xml:space="preserve"> </w:t>
      </w:r>
      <w:r w:rsidR="00B65659">
        <w:rPr>
          <w:sz w:val="26"/>
          <w:szCs w:val="26"/>
        </w:rPr>
        <w:t xml:space="preserve">replacement of the entirety of the G/T Systems </w:t>
      </w:r>
      <w:r w:rsidR="001D7F35">
        <w:rPr>
          <w:sz w:val="26"/>
          <w:szCs w:val="26"/>
        </w:rPr>
        <w:t xml:space="preserve">will result in a net present value cost to ratepayers of </w:t>
      </w:r>
      <w:r w:rsidR="00B65659">
        <w:rPr>
          <w:sz w:val="26"/>
          <w:szCs w:val="26"/>
        </w:rPr>
        <w:t xml:space="preserve">$91.7 million </w:t>
      </w:r>
      <w:r w:rsidR="001D7F35">
        <w:rPr>
          <w:sz w:val="26"/>
          <w:szCs w:val="26"/>
        </w:rPr>
        <w:t xml:space="preserve">(before the $13 </w:t>
      </w:r>
      <w:r w:rsidR="001D7F35">
        <w:rPr>
          <w:sz w:val="26"/>
          <w:szCs w:val="26"/>
        </w:rPr>
        <w:lastRenderedPageBreak/>
        <w:t>million credit)</w:t>
      </w:r>
      <w:r w:rsidR="00B65659">
        <w:rPr>
          <w:sz w:val="26"/>
          <w:szCs w:val="26"/>
        </w:rPr>
        <w:t>.</w:t>
      </w:r>
      <w:r w:rsidR="00B27F4C">
        <w:rPr>
          <w:rStyle w:val="FootnoteReference"/>
          <w:sz w:val="26"/>
          <w:szCs w:val="26"/>
        </w:rPr>
        <w:footnoteReference w:id="23"/>
      </w:r>
      <w:r w:rsidR="00B27F4C">
        <w:rPr>
          <w:sz w:val="26"/>
          <w:szCs w:val="26"/>
        </w:rPr>
        <w:t xml:space="preserve"> </w:t>
      </w:r>
      <w:r w:rsidR="00177412">
        <w:rPr>
          <w:sz w:val="26"/>
          <w:szCs w:val="26"/>
        </w:rPr>
        <w:t xml:space="preserve"> </w:t>
      </w:r>
      <w:r w:rsidR="00394B8E">
        <w:rPr>
          <w:sz w:val="26"/>
          <w:szCs w:val="26"/>
        </w:rPr>
        <w:t xml:space="preserve">Therefore, </w:t>
      </w:r>
      <w:r w:rsidR="00020C3A">
        <w:rPr>
          <w:sz w:val="26"/>
          <w:szCs w:val="26"/>
        </w:rPr>
        <w:t>I&amp;E contends that this clear economic analysis shows that it is not in the public interest to replace all 368 miles of the G/T Systems.  I&amp;E Exc. at</w:t>
      </w:r>
      <w:r w:rsidR="006D2898">
        <w:rPr>
          <w:sz w:val="26"/>
          <w:szCs w:val="26"/>
        </w:rPr>
        <w:t> </w:t>
      </w:r>
      <w:r w:rsidR="00020C3A">
        <w:rPr>
          <w:sz w:val="26"/>
          <w:szCs w:val="26"/>
        </w:rPr>
        <w:t>10</w:t>
      </w:r>
      <w:r w:rsidR="006D2898">
        <w:rPr>
          <w:sz w:val="26"/>
          <w:szCs w:val="26"/>
        </w:rPr>
        <w:noBreakHyphen/>
      </w:r>
      <w:r w:rsidR="00020C3A">
        <w:rPr>
          <w:sz w:val="26"/>
          <w:szCs w:val="26"/>
        </w:rPr>
        <w:t>11.</w:t>
      </w:r>
    </w:p>
    <w:p w14:paraId="4875E5E7" w14:textId="77777777" w:rsidR="006F1A42" w:rsidRDefault="006F1A42" w:rsidP="00B24187">
      <w:pPr>
        <w:widowControl/>
        <w:spacing w:line="360" w:lineRule="auto"/>
        <w:rPr>
          <w:sz w:val="26"/>
          <w:szCs w:val="26"/>
        </w:rPr>
      </w:pPr>
    </w:p>
    <w:p w14:paraId="6E01B4AB" w14:textId="77777777" w:rsidR="00520786" w:rsidRDefault="003B0F4C" w:rsidP="00B24187">
      <w:pPr>
        <w:widowControl/>
        <w:spacing w:line="360" w:lineRule="auto"/>
        <w:ind w:firstLine="1440"/>
        <w:rPr>
          <w:sz w:val="26"/>
          <w:szCs w:val="26"/>
        </w:rPr>
      </w:pPr>
      <w:r>
        <w:rPr>
          <w:sz w:val="26"/>
          <w:szCs w:val="26"/>
        </w:rPr>
        <w:t>I&amp;E further compare</w:t>
      </w:r>
      <w:r w:rsidR="00A970D9">
        <w:rPr>
          <w:sz w:val="26"/>
          <w:szCs w:val="26"/>
        </w:rPr>
        <w:t>s</w:t>
      </w:r>
      <w:r>
        <w:rPr>
          <w:sz w:val="26"/>
          <w:szCs w:val="26"/>
        </w:rPr>
        <w:t xml:space="preserve"> the current matter with a recent </w:t>
      </w:r>
      <w:r w:rsidR="000A57E4">
        <w:rPr>
          <w:sz w:val="26"/>
          <w:szCs w:val="26"/>
        </w:rPr>
        <w:t xml:space="preserve">proceeding involving the abandonment of three customers located in the service territory </w:t>
      </w:r>
      <w:r w:rsidR="001841F8">
        <w:rPr>
          <w:sz w:val="26"/>
          <w:szCs w:val="26"/>
        </w:rPr>
        <w:t xml:space="preserve">of </w:t>
      </w:r>
      <w:r>
        <w:rPr>
          <w:sz w:val="26"/>
          <w:szCs w:val="26"/>
        </w:rPr>
        <w:t xml:space="preserve">Columbia Gas </w:t>
      </w:r>
      <w:r w:rsidR="000A57E4">
        <w:rPr>
          <w:sz w:val="26"/>
          <w:szCs w:val="26"/>
        </w:rPr>
        <w:t>of Pennsylvania</w:t>
      </w:r>
      <w:r w:rsidR="00FE7413">
        <w:rPr>
          <w:sz w:val="26"/>
          <w:szCs w:val="26"/>
        </w:rPr>
        <w:t>, Inc</w:t>
      </w:r>
      <w:r w:rsidR="000A57E4">
        <w:rPr>
          <w:sz w:val="26"/>
          <w:szCs w:val="26"/>
        </w:rPr>
        <w:t>.  I&amp;E Exc. at 9 (</w:t>
      </w:r>
      <w:r w:rsidR="000A57E4" w:rsidRPr="000A57E4">
        <w:rPr>
          <w:i/>
          <w:iCs/>
          <w:sz w:val="26"/>
          <w:szCs w:val="26"/>
        </w:rPr>
        <w:t>citing Application for Approval of Abandonment of Service by Columbia Gas of Pennsylvania, Inc.</w:t>
      </w:r>
      <w:r w:rsidR="000A57E4">
        <w:rPr>
          <w:sz w:val="26"/>
          <w:szCs w:val="26"/>
        </w:rPr>
        <w:t>, Docket No. A-2017-2604409 (Order entered July 13, 2017))</w:t>
      </w:r>
      <w:r w:rsidR="00C948D8">
        <w:rPr>
          <w:sz w:val="26"/>
          <w:szCs w:val="26"/>
        </w:rPr>
        <w:t xml:space="preserve"> </w:t>
      </w:r>
      <w:r w:rsidR="00C948D8" w:rsidRPr="00C226E2">
        <w:rPr>
          <w:i/>
          <w:iCs/>
          <w:sz w:val="26"/>
          <w:szCs w:val="26"/>
        </w:rPr>
        <w:t>(Columbia Gas)</w:t>
      </w:r>
      <w:r w:rsidR="000A57E4">
        <w:rPr>
          <w:sz w:val="26"/>
          <w:szCs w:val="26"/>
        </w:rPr>
        <w:t xml:space="preserve">.  </w:t>
      </w:r>
      <w:r w:rsidR="00A33B52">
        <w:rPr>
          <w:sz w:val="26"/>
          <w:szCs w:val="26"/>
        </w:rPr>
        <w:t xml:space="preserve">In the </w:t>
      </w:r>
      <w:r w:rsidR="00A33B52" w:rsidRPr="00A33B52">
        <w:rPr>
          <w:i/>
          <w:iCs/>
          <w:sz w:val="26"/>
          <w:szCs w:val="26"/>
        </w:rPr>
        <w:t>Columbia Gas</w:t>
      </w:r>
      <w:r w:rsidR="00A33B52">
        <w:rPr>
          <w:sz w:val="26"/>
          <w:szCs w:val="26"/>
        </w:rPr>
        <w:t xml:space="preserve"> proceeding, I&amp;E explains that the abandonment of three customers was approved</w:t>
      </w:r>
      <w:r w:rsidR="00D83EFF">
        <w:rPr>
          <w:sz w:val="26"/>
          <w:szCs w:val="26"/>
        </w:rPr>
        <w:t xml:space="preserve"> by the Commission</w:t>
      </w:r>
      <w:r w:rsidR="00A33B52">
        <w:rPr>
          <w:sz w:val="26"/>
          <w:szCs w:val="26"/>
        </w:rPr>
        <w:t xml:space="preserve"> because the</w:t>
      </w:r>
      <w:r w:rsidR="00D83EFF">
        <w:rPr>
          <w:sz w:val="26"/>
          <w:szCs w:val="26"/>
        </w:rPr>
        <w:t xml:space="preserve"> </w:t>
      </w:r>
      <w:r w:rsidR="00A33B52">
        <w:rPr>
          <w:sz w:val="26"/>
          <w:szCs w:val="26"/>
        </w:rPr>
        <w:t>maintenance</w:t>
      </w:r>
      <w:r w:rsidR="00D83EFF">
        <w:rPr>
          <w:sz w:val="26"/>
          <w:szCs w:val="26"/>
        </w:rPr>
        <w:t xml:space="preserve"> required in order to prevent the abandonment</w:t>
      </w:r>
      <w:r w:rsidR="00A33B52">
        <w:rPr>
          <w:sz w:val="26"/>
          <w:szCs w:val="26"/>
        </w:rPr>
        <w:t xml:space="preserve"> was not economically justified.  </w:t>
      </w:r>
      <w:r w:rsidR="00CD5B78">
        <w:rPr>
          <w:sz w:val="26"/>
          <w:szCs w:val="26"/>
        </w:rPr>
        <w:t xml:space="preserve">I&amp;E argues that </w:t>
      </w:r>
      <w:r w:rsidR="00A33B52">
        <w:rPr>
          <w:sz w:val="26"/>
          <w:szCs w:val="26"/>
        </w:rPr>
        <w:t xml:space="preserve">the same straight forward economic analysis should </w:t>
      </w:r>
      <w:r w:rsidR="003E32B9">
        <w:rPr>
          <w:sz w:val="26"/>
          <w:szCs w:val="26"/>
        </w:rPr>
        <w:t xml:space="preserve">be </w:t>
      </w:r>
      <w:r w:rsidR="00A33B52">
        <w:rPr>
          <w:sz w:val="26"/>
          <w:szCs w:val="26"/>
        </w:rPr>
        <w:t xml:space="preserve">applied in this proceeding.  </w:t>
      </w:r>
      <w:r w:rsidR="00A33B52" w:rsidRPr="00A33B52">
        <w:rPr>
          <w:i/>
          <w:iCs/>
          <w:sz w:val="26"/>
          <w:szCs w:val="26"/>
        </w:rPr>
        <w:t>Id.</w:t>
      </w:r>
    </w:p>
    <w:p w14:paraId="527CF796" w14:textId="77777777" w:rsidR="002928CD" w:rsidRDefault="002928CD" w:rsidP="00B24187">
      <w:pPr>
        <w:widowControl/>
        <w:spacing w:line="360" w:lineRule="auto"/>
        <w:ind w:firstLine="1440"/>
        <w:rPr>
          <w:sz w:val="26"/>
          <w:szCs w:val="26"/>
        </w:rPr>
      </w:pPr>
    </w:p>
    <w:p w14:paraId="1F330BE3" w14:textId="77777777" w:rsidR="00624B88" w:rsidRDefault="004F620B" w:rsidP="00B24187">
      <w:pPr>
        <w:widowControl/>
        <w:spacing w:line="360" w:lineRule="auto"/>
        <w:ind w:firstLine="1440"/>
        <w:rPr>
          <w:sz w:val="26"/>
          <w:szCs w:val="26"/>
        </w:rPr>
      </w:pPr>
      <w:r>
        <w:rPr>
          <w:sz w:val="26"/>
          <w:szCs w:val="26"/>
        </w:rPr>
        <w:lastRenderedPageBreak/>
        <w:t>In its Exception</w:t>
      </w:r>
      <w:r w:rsidR="00B25F8F">
        <w:rPr>
          <w:sz w:val="26"/>
          <w:szCs w:val="26"/>
        </w:rPr>
        <w:t>s</w:t>
      </w:r>
      <w:r>
        <w:rPr>
          <w:sz w:val="26"/>
          <w:szCs w:val="26"/>
        </w:rPr>
        <w:t xml:space="preserve"> No</w:t>
      </w:r>
      <w:r w:rsidR="00FC1306">
        <w:rPr>
          <w:sz w:val="26"/>
          <w:szCs w:val="26"/>
        </w:rPr>
        <w:t>s</w:t>
      </w:r>
      <w:r>
        <w:rPr>
          <w:sz w:val="26"/>
          <w:szCs w:val="26"/>
        </w:rPr>
        <w:t xml:space="preserve">. 5 and 6, the OSBA asserts </w:t>
      </w:r>
      <w:r w:rsidR="00944829">
        <w:rPr>
          <w:sz w:val="26"/>
          <w:szCs w:val="26"/>
        </w:rPr>
        <w:t xml:space="preserve">that the ALJ has misinterpreted the </w:t>
      </w:r>
      <w:r w:rsidR="00960465">
        <w:rPr>
          <w:sz w:val="26"/>
          <w:szCs w:val="26"/>
        </w:rPr>
        <w:t>reasons behind its</w:t>
      </w:r>
      <w:r w:rsidR="00944829">
        <w:rPr>
          <w:sz w:val="26"/>
          <w:szCs w:val="26"/>
        </w:rPr>
        <w:t xml:space="preserve"> opposition to the Settlement </w:t>
      </w:r>
      <w:r w:rsidR="00611FB4">
        <w:rPr>
          <w:sz w:val="26"/>
          <w:szCs w:val="26"/>
        </w:rPr>
        <w:t xml:space="preserve">provisions </w:t>
      </w:r>
      <w:r w:rsidR="005907F9">
        <w:rPr>
          <w:sz w:val="26"/>
          <w:szCs w:val="26"/>
        </w:rPr>
        <w:t>regarding the remediation of</w:t>
      </w:r>
      <w:r w:rsidR="00611FB4">
        <w:rPr>
          <w:sz w:val="26"/>
          <w:szCs w:val="26"/>
        </w:rPr>
        <w:t xml:space="preserve"> the G/T Systems.</w:t>
      </w:r>
      <w:r w:rsidR="00826E5B">
        <w:rPr>
          <w:sz w:val="26"/>
          <w:szCs w:val="26"/>
        </w:rPr>
        <w:t xml:space="preserve">  OSBA Exc. at 6-10.</w:t>
      </w:r>
      <w:r w:rsidR="00611FB4">
        <w:rPr>
          <w:sz w:val="26"/>
          <w:szCs w:val="26"/>
        </w:rPr>
        <w:t xml:space="preserve">  </w:t>
      </w:r>
      <w:r w:rsidR="00B5685A">
        <w:rPr>
          <w:sz w:val="26"/>
          <w:szCs w:val="26"/>
        </w:rPr>
        <w:t xml:space="preserve">Specifically, the OSBA’s fifth Exception states that “[t]he ALJ erred by concluding that the OSBA objects to the </w:t>
      </w:r>
      <w:r w:rsidR="00B5685A" w:rsidRPr="00B5685A">
        <w:rPr>
          <w:i/>
          <w:iCs/>
          <w:sz w:val="26"/>
          <w:szCs w:val="26"/>
        </w:rPr>
        <w:t xml:space="preserve">Non-Unanimous Settlement </w:t>
      </w:r>
      <w:r w:rsidR="00B5685A">
        <w:rPr>
          <w:sz w:val="26"/>
          <w:szCs w:val="26"/>
        </w:rPr>
        <w:t>‘because it fails to adhere to any of the commitments agreed upon in the 2013 Equitable Settlement.’”</w:t>
      </w:r>
      <w:r w:rsidR="00E65092">
        <w:rPr>
          <w:sz w:val="26"/>
          <w:szCs w:val="26"/>
        </w:rPr>
        <w:t xml:space="preserve">  OSBA Exc. at 6 (citing R.D. at 49).  </w:t>
      </w:r>
      <w:r w:rsidR="00624B88">
        <w:rPr>
          <w:sz w:val="26"/>
          <w:szCs w:val="26"/>
        </w:rPr>
        <w:t>Referencing its numerous objections to the Settlement, the OSBA submits that the ALJ is mistaken that the OSBA’s objection to the Settlement is solely based on the contention that it does not adhere to the 2013 Equitable Settlement.  OSBA Exc. at 6-8 (citing OSBA M.B. at 13-31; OSBA R.B. at 9-25).</w:t>
      </w:r>
    </w:p>
    <w:p w14:paraId="045BC781" w14:textId="77777777" w:rsidR="00624B88" w:rsidRDefault="00624B88" w:rsidP="00B24187">
      <w:pPr>
        <w:widowControl/>
        <w:spacing w:line="360" w:lineRule="auto"/>
        <w:rPr>
          <w:sz w:val="26"/>
          <w:szCs w:val="26"/>
        </w:rPr>
      </w:pPr>
    </w:p>
    <w:p w14:paraId="500150A4" w14:textId="77777777" w:rsidR="00624B88" w:rsidRDefault="0042785B" w:rsidP="00B24187">
      <w:pPr>
        <w:widowControl/>
        <w:spacing w:line="360" w:lineRule="auto"/>
        <w:ind w:firstLine="1440"/>
        <w:rPr>
          <w:sz w:val="26"/>
          <w:szCs w:val="26"/>
        </w:rPr>
      </w:pPr>
      <w:r>
        <w:rPr>
          <w:sz w:val="26"/>
          <w:szCs w:val="26"/>
        </w:rPr>
        <w:t>Similarly, t</w:t>
      </w:r>
      <w:r w:rsidR="00E65092">
        <w:rPr>
          <w:sz w:val="26"/>
          <w:szCs w:val="26"/>
        </w:rPr>
        <w:t xml:space="preserve">he OSBA’s sixth Exception states that “[t]he ALJ erred by concluding that the OSBA believes that the economic test in the 2013 Equitable Settlement should be used to resolve the problem of the G/T Systems.”  OSBA Exc. at 8 (citing R.D. at 50).  </w:t>
      </w:r>
      <w:r w:rsidR="00624B88">
        <w:rPr>
          <w:sz w:val="26"/>
          <w:szCs w:val="26"/>
        </w:rPr>
        <w:t>The OSBA argues that the ALJ’s conclusion that the OSBA insists that the only proper analysis of how to address the G/T Systems is through the imposition of the economic test specified in the 2013 Equitable Settlement is erroneous and not supported by the evidentiary record.  The OSBA restates its argument for clarification as follows: “To be clear, the OSBA’s argument is that it is unjust and unreasonable to ask ratepayers to make such an enormous contribution because it is uneconomic under any analysis to have ratepayers pa</w:t>
      </w:r>
      <w:r w:rsidR="00AB16D6">
        <w:rPr>
          <w:sz w:val="26"/>
          <w:szCs w:val="26"/>
        </w:rPr>
        <w:t>y</w:t>
      </w:r>
      <w:r w:rsidR="00624B88">
        <w:rPr>
          <w:sz w:val="26"/>
          <w:szCs w:val="26"/>
        </w:rPr>
        <w:t xml:space="preserve"> at least $120 million in cost for systems that will produce revenues which justify an investment of $17 million and avoid some $10 million in customer conversion costs, even with the $13 million rate incentive in the </w:t>
      </w:r>
      <w:r w:rsidR="00624B88" w:rsidRPr="004A3780">
        <w:rPr>
          <w:i/>
          <w:iCs/>
          <w:sz w:val="26"/>
          <w:szCs w:val="26"/>
        </w:rPr>
        <w:t>Non-Unanimous Settlement</w:t>
      </w:r>
      <w:r w:rsidR="00624B88">
        <w:rPr>
          <w:sz w:val="26"/>
          <w:szCs w:val="26"/>
        </w:rPr>
        <w:t>.”  OSBA Exc. at 9</w:t>
      </w:r>
      <w:r w:rsidR="0075293F">
        <w:rPr>
          <w:sz w:val="26"/>
          <w:szCs w:val="26"/>
        </w:rPr>
        <w:t>.</w:t>
      </w:r>
    </w:p>
    <w:p w14:paraId="5D7F86EE" w14:textId="77777777" w:rsidR="00654528" w:rsidRDefault="00654528" w:rsidP="00B24187">
      <w:pPr>
        <w:widowControl/>
        <w:spacing w:line="360" w:lineRule="auto"/>
        <w:ind w:firstLine="1440"/>
        <w:rPr>
          <w:sz w:val="26"/>
          <w:szCs w:val="26"/>
        </w:rPr>
      </w:pPr>
    </w:p>
    <w:p w14:paraId="0068531F" w14:textId="77777777" w:rsidR="00546CDB" w:rsidRDefault="00546CDB" w:rsidP="00B24187">
      <w:pPr>
        <w:widowControl/>
        <w:spacing w:line="360" w:lineRule="auto"/>
        <w:ind w:firstLine="1440"/>
        <w:rPr>
          <w:sz w:val="26"/>
          <w:szCs w:val="26"/>
        </w:rPr>
      </w:pPr>
      <w:r w:rsidRPr="00546CDB">
        <w:rPr>
          <w:sz w:val="26"/>
          <w:szCs w:val="26"/>
        </w:rPr>
        <w:t xml:space="preserve">In its Exception No. 8, the OSBA agrees with I&amp;E that the ALJ erred in determining that the commitments contained in the Settlement pertaining to the replacement of the pipeline in the G/T Systems within the next seven years are a significant public benefit and in the public interest.  OSBA Exc. at 13-15 (citing R.D. at </w:t>
      </w:r>
      <w:r w:rsidRPr="00546CDB">
        <w:rPr>
          <w:sz w:val="26"/>
          <w:szCs w:val="26"/>
        </w:rPr>
        <w:lastRenderedPageBreak/>
        <w:t>53, 55).</w:t>
      </w:r>
      <w:r>
        <w:rPr>
          <w:sz w:val="26"/>
          <w:szCs w:val="26"/>
        </w:rPr>
        <w:t xml:space="preserve">  The OSBA makes arguments here that are similar to the arguments it made in its fifth and sixth Exceptions, contending that the replacement of the G/T Systems is uneconomic.  Specifically, t</w:t>
      </w:r>
      <w:r w:rsidRPr="00546CDB">
        <w:rPr>
          <w:sz w:val="26"/>
          <w:szCs w:val="26"/>
        </w:rPr>
        <w:t>he OSBA argu</w:t>
      </w:r>
      <w:r>
        <w:rPr>
          <w:sz w:val="26"/>
          <w:szCs w:val="26"/>
        </w:rPr>
        <w:t>es</w:t>
      </w:r>
      <w:r w:rsidRPr="00546CDB">
        <w:rPr>
          <w:sz w:val="26"/>
          <w:szCs w:val="26"/>
        </w:rPr>
        <w:t xml:space="preserve"> that contrary to the ALJ’s determination and the Joint Applicants’ portrayal of this Settlement provision as having a </w:t>
      </w:r>
      <w:r w:rsidRPr="00546CDB">
        <w:rPr>
          <w:i/>
          <w:iCs/>
          <w:sz w:val="26"/>
          <w:szCs w:val="26"/>
        </w:rPr>
        <w:t>de minimis</w:t>
      </w:r>
      <w:r w:rsidRPr="00546CDB">
        <w:rPr>
          <w:sz w:val="26"/>
          <w:szCs w:val="26"/>
        </w:rPr>
        <w:t xml:space="preserve"> impact on ratepayers, customers will be negatively impacted by the G/T Systems project </w:t>
      </w:r>
      <w:r>
        <w:rPr>
          <w:sz w:val="26"/>
          <w:szCs w:val="26"/>
        </w:rPr>
        <w:t>for over sixty years.</w:t>
      </w:r>
      <w:r>
        <w:rPr>
          <w:rStyle w:val="FootnoteReference"/>
          <w:sz w:val="26"/>
          <w:szCs w:val="26"/>
        </w:rPr>
        <w:footnoteReference w:id="24"/>
      </w:r>
      <w:r>
        <w:rPr>
          <w:sz w:val="26"/>
          <w:szCs w:val="26"/>
        </w:rPr>
        <w:t xml:space="preserve">  OSBA Exc. at 13 (citing OSBA R.B. at 21).  According to the OSBA, approving the Proposed Transaction, as conditioned by the Settlement, would reward SteelRiver for failing to remedy the issues associated with the G/T Systems, and according </w:t>
      </w:r>
      <w:r w:rsidR="0009053B">
        <w:rPr>
          <w:sz w:val="26"/>
          <w:szCs w:val="26"/>
        </w:rPr>
        <w:t xml:space="preserve">to </w:t>
      </w:r>
      <w:r>
        <w:rPr>
          <w:sz w:val="26"/>
          <w:szCs w:val="26"/>
        </w:rPr>
        <w:t xml:space="preserve">the Joint Applicants’ calculations, result in a ratepayer impact of up to $10 million per year.  OSBA Exc. at 13-15.  </w:t>
      </w:r>
    </w:p>
    <w:p w14:paraId="3D498D00" w14:textId="5406DC7F" w:rsidR="00546CDB" w:rsidRDefault="00546CDB" w:rsidP="003A591D">
      <w:pPr>
        <w:widowControl/>
        <w:spacing w:line="360" w:lineRule="auto"/>
        <w:rPr>
          <w:sz w:val="26"/>
          <w:szCs w:val="26"/>
        </w:rPr>
      </w:pPr>
    </w:p>
    <w:p w14:paraId="49B31071" w14:textId="77777777" w:rsidR="00606C9B" w:rsidRDefault="009C7F71" w:rsidP="00B24187">
      <w:pPr>
        <w:widowControl/>
        <w:spacing w:line="360" w:lineRule="auto"/>
        <w:ind w:firstLine="1440"/>
        <w:rPr>
          <w:sz w:val="26"/>
          <w:szCs w:val="26"/>
        </w:rPr>
      </w:pPr>
      <w:r>
        <w:rPr>
          <w:sz w:val="26"/>
          <w:szCs w:val="26"/>
        </w:rPr>
        <w:t>In their Replies, the Joint Applicants</w:t>
      </w:r>
      <w:r w:rsidR="00606C9B">
        <w:rPr>
          <w:sz w:val="26"/>
          <w:szCs w:val="26"/>
        </w:rPr>
        <w:t xml:space="preserve"> assert that the ALJ properly concluded that the Settlement provisions concerning the G/T Systems are in the public interest and should be approved without modification.  Joint Applicants R. Exc. at 12-15.  According to the Joint Applicants, the ALJ found persuasive its arguments and correctly concluded that the Settlement’s proposed method of addressing the G/T Systems are preferable to I&amp;E and the OSBA’s proposal in light of: (1) the costs associated with potentially abandoning over 900 existing customers and subjecting them to higher energy costs; (2) the safety, economic, and regulatory policy issues surrounding the remediation; (3) provisions in the Settlement that protect ratepayers from unreasonable costs (</w:t>
      </w:r>
      <w:r w:rsidR="00606C9B" w:rsidRPr="006332AB">
        <w:rPr>
          <w:i/>
          <w:iCs/>
          <w:sz w:val="26"/>
          <w:szCs w:val="26"/>
        </w:rPr>
        <w:t>e.g</w:t>
      </w:r>
      <w:r w:rsidR="00606C9B">
        <w:rPr>
          <w:sz w:val="26"/>
          <w:szCs w:val="26"/>
        </w:rPr>
        <w:t xml:space="preserve">., costs can be recovered only in future base rate proceedings, and limitations upon recovery of costs in excess of $120 million; and (4) the fact that cost recovery for the G/T Systems’ repairs will only occur through future base rate cases where the actual costs can be thoroughly reviewed.  Joint Applicants R. Exc. at 13 (citing R.D. at 51-54).  </w:t>
      </w:r>
    </w:p>
    <w:p w14:paraId="758AA64D" w14:textId="77777777" w:rsidR="00606C9B" w:rsidRDefault="00606C9B" w:rsidP="00B24187">
      <w:pPr>
        <w:widowControl/>
        <w:spacing w:line="360" w:lineRule="auto"/>
        <w:ind w:firstLine="1440"/>
        <w:rPr>
          <w:sz w:val="26"/>
          <w:szCs w:val="26"/>
        </w:rPr>
      </w:pPr>
    </w:p>
    <w:p w14:paraId="631ABD59" w14:textId="77777777" w:rsidR="00606C9B" w:rsidRDefault="00606C9B" w:rsidP="00B24187">
      <w:pPr>
        <w:widowControl/>
        <w:spacing w:line="360" w:lineRule="auto"/>
        <w:ind w:firstLine="1440"/>
        <w:rPr>
          <w:sz w:val="26"/>
          <w:szCs w:val="26"/>
        </w:rPr>
      </w:pPr>
      <w:r>
        <w:rPr>
          <w:sz w:val="26"/>
          <w:szCs w:val="26"/>
        </w:rPr>
        <w:lastRenderedPageBreak/>
        <w:t>The Joint Applicants further argue that the Exceptions of I&amp;E and the OSBA ignore record evidence indicating that</w:t>
      </w:r>
      <w:r w:rsidR="00C948D8">
        <w:rPr>
          <w:sz w:val="26"/>
          <w:szCs w:val="26"/>
        </w:rPr>
        <w:t>:</w:t>
      </w:r>
      <w:r>
        <w:rPr>
          <w:sz w:val="26"/>
          <w:szCs w:val="26"/>
        </w:rPr>
        <w:t xml:space="preserve"> (1) the projected cost of the Settlement proposal to customers is modest (possibly increasing the monthly bill of the average residential customer by approximately 1%, or $1 per month); (2) the Settlement provides for a $13 million rate credit to existing Peoples Companies’ customers to partially offset certain costs associated with remediation of the G/T Systems; (3) the serious safety and reliability issues surrounding the G/T Systems will be resolved much more quickly than they would be if the Peoples Companies are forced to utilize the economic test set forth in the 2013 Equitable Settlement; and (4) since it is undisputed that the 2013 Equitable Settlement recognized th</w:t>
      </w:r>
      <w:r w:rsidR="00AD336E">
        <w:rPr>
          <w:sz w:val="26"/>
          <w:szCs w:val="26"/>
        </w:rPr>
        <w:t>at</w:t>
      </w:r>
      <w:r>
        <w:rPr>
          <w:sz w:val="26"/>
          <w:szCs w:val="26"/>
        </w:rPr>
        <w:t xml:space="preserve"> remediation costs would be paid by ratepayers, it is proper to allow the Peoples Companies to include a claim for any incurred costs for the remediation of the G/T Systems in a future rate base proceeding.  Joint Applicants R. Exc. at 12-14.</w:t>
      </w:r>
    </w:p>
    <w:p w14:paraId="13DEF665" w14:textId="77777777" w:rsidR="00606C9B" w:rsidRDefault="00606C9B" w:rsidP="00B24187">
      <w:pPr>
        <w:widowControl/>
        <w:rPr>
          <w:sz w:val="26"/>
          <w:szCs w:val="26"/>
        </w:rPr>
      </w:pPr>
    </w:p>
    <w:p w14:paraId="6B9F4C37" w14:textId="18338596" w:rsidR="00D735BC" w:rsidRDefault="00D735BC" w:rsidP="00B24187">
      <w:pPr>
        <w:widowControl/>
        <w:spacing w:line="360" w:lineRule="auto"/>
        <w:ind w:firstLine="1440"/>
        <w:rPr>
          <w:sz w:val="26"/>
          <w:szCs w:val="26"/>
        </w:rPr>
      </w:pPr>
      <w:r>
        <w:rPr>
          <w:sz w:val="26"/>
          <w:szCs w:val="26"/>
        </w:rPr>
        <w:t>In r</w:t>
      </w:r>
      <w:r w:rsidR="00FA0BD6">
        <w:rPr>
          <w:sz w:val="26"/>
          <w:szCs w:val="26"/>
        </w:rPr>
        <w:t>eply</w:t>
      </w:r>
      <w:r>
        <w:rPr>
          <w:sz w:val="26"/>
          <w:szCs w:val="26"/>
        </w:rPr>
        <w:t>,</w:t>
      </w:r>
      <w:r w:rsidR="00FF3422">
        <w:rPr>
          <w:sz w:val="26"/>
          <w:szCs w:val="26"/>
        </w:rPr>
        <w:t xml:space="preserve"> the OCA </w:t>
      </w:r>
      <w:r w:rsidR="001D63FC">
        <w:rPr>
          <w:sz w:val="26"/>
          <w:szCs w:val="26"/>
        </w:rPr>
        <w:t>avers that</w:t>
      </w:r>
      <w:r w:rsidR="008A18F3">
        <w:rPr>
          <w:sz w:val="26"/>
          <w:szCs w:val="26"/>
        </w:rPr>
        <w:t xml:space="preserve"> the Exceptions of</w:t>
      </w:r>
      <w:r w:rsidR="00FF3422">
        <w:rPr>
          <w:sz w:val="26"/>
          <w:szCs w:val="26"/>
        </w:rPr>
        <w:t xml:space="preserve"> I&amp;E and the OSBA</w:t>
      </w:r>
      <w:r w:rsidR="008A18F3">
        <w:rPr>
          <w:sz w:val="26"/>
          <w:szCs w:val="26"/>
        </w:rPr>
        <w:t xml:space="preserve"> </w:t>
      </w:r>
      <w:r w:rsidR="00FF3422">
        <w:rPr>
          <w:sz w:val="26"/>
          <w:szCs w:val="26"/>
        </w:rPr>
        <w:t>on this matter a</w:t>
      </w:r>
      <w:r w:rsidR="001D63FC">
        <w:rPr>
          <w:sz w:val="26"/>
          <w:szCs w:val="26"/>
        </w:rPr>
        <w:t>re</w:t>
      </w:r>
      <w:r w:rsidR="00FF3422">
        <w:rPr>
          <w:sz w:val="26"/>
          <w:szCs w:val="26"/>
        </w:rPr>
        <w:t xml:space="preserve"> misplaced and without merit.  T</w:t>
      </w:r>
      <w:r>
        <w:rPr>
          <w:sz w:val="26"/>
          <w:szCs w:val="26"/>
        </w:rPr>
        <w:t>he OCA</w:t>
      </w:r>
      <w:r w:rsidR="00FA0BD6">
        <w:rPr>
          <w:sz w:val="26"/>
          <w:szCs w:val="26"/>
        </w:rPr>
        <w:t xml:space="preserve"> avers that through a thorough, well-reasoned analysis considering the totality of both the economic and social impacts, as well as the impacts to all stakeholders, the ALJ properly found that the proposal to rehabilitate the G/T Systems </w:t>
      </w:r>
      <w:r w:rsidR="00BF38A9">
        <w:rPr>
          <w:sz w:val="26"/>
          <w:szCs w:val="26"/>
        </w:rPr>
        <w:t xml:space="preserve">as set out in the Settlement represents a substantial affirmative public benefit and is consistent with the public interest.  OCA R. Exc. at 1-4.  </w:t>
      </w:r>
      <w:r w:rsidR="00174147">
        <w:rPr>
          <w:sz w:val="26"/>
          <w:szCs w:val="26"/>
        </w:rPr>
        <w:t>The OCA contends that the ALJ’s analysis</w:t>
      </w:r>
      <w:r w:rsidR="004709AC">
        <w:rPr>
          <w:sz w:val="26"/>
          <w:szCs w:val="26"/>
        </w:rPr>
        <w:t xml:space="preserve"> correctly</w:t>
      </w:r>
      <w:r w:rsidR="00174147">
        <w:rPr>
          <w:sz w:val="26"/>
          <w:szCs w:val="26"/>
        </w:rPr>
        <w:t xml:space="preserve"> </w:t>
      </w:r>
      <w:r w:rsidR="004709AC">
        <w:rPr>
          <w:sz w:val="26"/>
          <w:szCs w:val="26"/>
        </w:rPr>
        <w:t>acknowledged</w:t>
      </w:r>
      <w:r w:rsidR="00174147">
        <w:rPr>
          <w:sz w:val="26"/>
          <w:szCs w:val="26"/>
        </w:rPr>
        <w:t xml:space="preserve"> the need to weigh both the potential benefits and harms of </w:t>
      </w:r>
      <w:r w:rsidR="00401D44">
        <w:rPr>
          <w:sz w:val="26"/>
          <w:szCs w:val="26"/>
        </w:rPr>
        <w:t xml:space="preserve">the </w:t>
      </w:r>
      <w:r w:rsidR="00174147">
        <w:rPr>
          <w:sz w:val="26"/>
          <w:szCs w:val="26"/>
        </w:rPr>
        <w:t xml:space="preserve">Settlement commitments regarding the G/T Systems, </w:t>
      </w:r>
      <w:r w:rsidR="00E87AD5">
        <w:rPr>
          <w:sz w:val="26"/>
          <w:szCs w:val="26"/>
        </w:rPr>
        <w:t>citing to the recommendation of ALJ Long</w:t>
      </w:r>
      <w:r w:rsidR="00174147">
        <w:rPr>
          <w:sz w:val="26"/>
          <w:szCs w:val="26"/>
        </w:rPr>
        <w:t xml:space="preserve">, “…I believe the proposal as set forth in the Settlement is the best of the imperfect solutions to resolve the Goodwin and Tombaugh problem and best serves the public interest.”  </w:t>
      </w:r>
      <w:r w:rsidR="00042338">
        <w:rPr>
          <w:sz w:val="26"/>
          <w:szCs w:val="26"/>
        </w:rPr>
        <w:t>OCA R. Exc. at 1 (citing R.D. at</w:t>
      </w:r>
      <w:r w:rsidR="006D2898">
        <w:rPr>
          <w:sz w:val="26"/>
          <w:szCs w:val="26"/>
        </w:rPr>
        <w:t> </w:t>
      </w:r>
      <w:r w:rsidR="00042338">
        <w:rPr>
          <w:sz w:val="26"/>
          <w:szCs w:val="26"/>
        </w:rPr>
        <w:t xml:space="preserve">50).  </w:t>
      </w:r>
    </w:p>
    <w:p w14:paraId="593BDDC7" w14:textId="77777777" w:rsidR="00654528" w:rsidRDefault="00654528" w:rsidP="00B24187">
      <w:pPr>
        <w:widowControl/>
        <w:spacing w:line="360" w:lineRule="auto"/>
        <w:ind w:firstLine="1440"/>
        <w:rPr>
          <w:sz w:val="26"/>
          <w:szCs w:val="26"/>
        </w:rPr>
      </w:pPr>
    </w:p>
    <w:p w14:paraId="68B8089C" w14:textId="77777777" w:rsidR="0082369D" w:rsidRDefault="00C1391F" w:rsidP="00B24187">
      <w:pPr>
        <w:widowControl/>
        <w:spacing w:line="360" w:lineRule="auto"/>
        <w:ind w:firstLine="1440"/>
        <w:rPr>
          <w:sz w:val="26"/>
          <w:szCs w:val="26"/>
        </w:rPr>
      </w:pPr>
      <w:r>
        <w:rPr>
          <w:sz w:val="26"/>
          <w:szCs w:val="26"/>
        </w:rPr>
        <w:t xml:space="preserve">The OCA reiterates its arguments </w:t>
      </w:r>
      <w:r w:rsidR="009D397C">
        <w:rPr>
          <w:sz w:val="26"/>
          <w:szCs w:val="26"/>
        </w:rPr>
        <w:t xml:space="preserve">against the abandonment of customers simply because the usage profiles of customers do not justify the required additional </w:t>
      </w:r>
      <w:r w:rsidR="009D397C">
        <w:rPr>
          <w:sz w:val="26"/>
          <w:szCs w:val="26"/>
        </w:rPr>
        <w:lastRenderedPageBreak/>
        <w:t xml:space="preserve">capital investment, </w:t>
      </w:r>
      <w:r w:rsidR="008806E8">
        <w:rPr>
          <w:sz w:val="26"/>
          <w:szCs w:val="26"/>
        </w:rPr>
        <w:t>asserting</w:t>
      </w:r>
      <w:r w:rsidR="009D397C">
        <w:rPr>
          <w:sz w:val="26"/>
          <w:szCs w:val="26"/>
        </w:rPr>
        <w:t xml:space="preserve"> that</w:t>
      </w:r>
      <w:r w:rsidR="00FB5F96">
        <w:rPr>
          <w:sz w:val="26"/>
          <w:szCs w:val="26"/>
        </w:rPr>
        <w:t xml:space="preserve"> the singular focus of</w:t>
      </w:r>
      <w:r w:rsidR="009D397C">
        <w:rPr>
          <w:sz w:val="26"/>
          <w:szCs w:val="26"/>
        </w:rPr>
        <w:t xml:space="preserve"> I&amp;E and the OSBA </w:t>
      </w:r>
      <w:r w:rsidR="00FB5F96">
        <w:rPr>
          <w:sz w:val="26"/>
          <w:szCs w:val="26"/>
        </w:rPr>
        <w:t>disregards</w:t>
      </w:r>
      <w:r w:rsidR="008806E8">
        <w:rPr>
          <w:sz w:val="26"/>
          <w:szCs w:val="26"/>
        </w:rPr>
        <w:t xml:space="preserve"> the social and economic costs of potentially abandoning over 900 public utility customers.  OCA R. Exc. at 2-3.  </w:t>
      </w:r>
      <w:r w:rsidR="0013015E">
        <w:rPr>
          <w:sz w:val="26"/>
          <w:szCs w:val="26"/>
        </w:rPr>
        <w:t>The OCA acknowledge</w:t>
      </w:r>
      <w:r w:rsidR="004B048A">
        <w:rPr>
          <w:sz w:val="26"/>
          <w:szCs w:val="26"/>
        </w:rPr>
        <w:t>s</w:t>
      </w:r>
      <w:r w:rsidR="0082369D">
        <w:rPr>
          <w:sz w:val="26"/>
          <w:szCs w:val="26"/>
        </w:rPr>
        <w:t xml:space="preserve"> </w:t>
      </w:r>
      <w:r w:rsidR="0013015E">
        <w:rPr>
          <w:sz w:val="26"/>
          <w:szCs w:val="26"/>
        </w:rPr>
        <w:t xml:space="preserve">and supports </w:t>
      </w:r>
      <w:r w:rsidR="0082369D">
        <w:rPr>
          <w:sz w:val="26"/>
          <w:szCs w:val="26"/>
        </w:rPr>
        <w:t>the ALJ’s much broader evaluation</w:t>
      </w:r>
      <w:r w:rsidR="0013015E">
        <w:rPr>
          <w:sz w:val="26"/>
          <w:szCs w:val="26"/>
        </w:rPr>
        <w:t>.</w:t>
      </w:r>
      <w:r w:rsidR="00986318">
        <w:rPr>
          <w:sz w:val="26"/>
          <w:szCs w:val="26"/>
        </w:rPr>
        <w:t xml:space="preserve">  </w:t>
      </w:r>
      <w:bookmarkStart w:id="68" w:name="_Hlk27128305"/>
      <w:r w:rsidR="00986318">
        <w:rPr>
          <w:sz w:val="26"/>
          <w:szCs w:val="26"/>
        </w:rPr>
        <w:t>According to the OCA, the ALJ found persuasive its arguments regar</w:t>
      </w:r>
      <w:bookmarkEnd w:id="68"/>
      <w:r w:rsidR="00986318">
        <w:rPr>
          <w:sz w:val="26"/>
          <w:szCs w:val="26"/>
        </w:rPr>
        <w:t xml:space="preserve">ding the total impact of </w:t>
      </w:r>
      <w:r w:rsidR="005A47B5">
        <w:rPr>
          <w:sz w:val="26"/>
          <w:szCs w:val="26"/>
        </w:rPr>
        <w:t>potential abandonments</w:t>
      </w:r>
      <w:r w:rsidR="00986318">
        <w:rPr>
          <w:sz w:val="26"/>
          <w:szCs w:val="26"/>
        </w:rPr>
        <w:t xml:space="preserve">, including the loss of public utility consumer protections, the loss of low-income customer assistance programs, </w:t>
      </w:r>
      <w:r w:rsidR="005A47B5">
        <w:rPr>
          <w:sz w:val="26"/>
          <w:szCs w:val="26"/>
        </w:rPr>
        <w:t xml:space="preserve">higher energy costs, and likely considerable litigation costs.  </w:t>
      </w:r>
      <w:r w:rsidR="008A73C7">
        <w:rPr>
          <w:sz w:val="26"/>
          <w:szCs w:val="26"/>
        </w:rPr>
        <w:t xml:space="preserve">OCA R. Exc. at 2 (citing R.D. at 51).  </w:t>
      </w:r>
    </w:p>
    <w:p w14:paraId="772F4965" w14:textId="77777777" w:rsidR="008A73C7" w:rsidRDefault="008A73C7" w:rsidP="00B24187">
      <w:pPr>
        <w:widowControl/>
        <w:spacing w:line="360" w:lineRule="auto"/>
        <w:ind w:firstLine="1440"/>
        <w:rPr>
          <w:sz w:val="26"/>
          <w:szCs w:val="26"/>
        </w:rPr>
      </w:pPr>
    </w:p>
    <w:p w14:paraId="6C1FAA24" w14:textId="77777777" w:rsidR="008A73C7" w:rsidRDefault="008A73C7" w:rsidP="00B24187">
      <w:pPr>
        <w:widowControl/>
        <w:spacing w:line="360" w:lineRule="auto"/>
        <w:ind w:firstLine="1440"/>
        <w:rPr>
          <w:sz w:val="26"/>
          <w:szCs w:val="26"/>
        </w:rPr>
      </w:pPr>
      <w:r>
        <w:rPr>
          <w:sz w:val="26"/>
          <w:szCs w:val="26"/>
        </w:rPr>
        <w:t xml:space="preserve">The OCA further argues </w:t>
      </w:r>
      <w:r w:rsidR="00DA794D">
        <w:rPr>
          <w:sz w:val="26"/>
          <w:szCs w:val="26"/>
        </w:rPr>
        <w:t>that such a</w:t>
      </w:r>
      <w:r>
        <w:rPr>
          <w:sz w:val="26"/>
          <w:szCs w:val="26"/>
        </w:rPr>
        <w:t xml:space="preserve"> pure economic analysis to determine whether large groups of current public utility customers should be abandoned</w:t>
      </w:r>
      <w:r w:rsidR="003D0193">
        <w:rPr>
          <w:sz w:val="26"/>
          <w:szCs w:val="26"/>
        </w:rPr>
        <w:t xml:space="preserve">, as suggested by I&amp;E and the OSBA, </w:t>
      </w:r>
      <w:r>
        <w:rPr>
          <w:sz w:val="26"/>
          <w:szCs w:val="26"/>
        </w:rPr>
        <w:t xml:space="preserve">has previously been </w:t>
      </w:r>
      <w:r w:rsidR="00520F11">
        <w:rPr>
          <w:sz w:val="26"/>
          <w:szCs w:val="26"/>
        </w:rPr>
        <w:t>rejected</w:t>
      </w:r>
      <w:r>
        <w:rPr>
          <w:sz w:val="26"/>
          <w:szCs w:val="26"/>
        </w:rPr>
        <w:t xml:space="preserve"> by the Commission.  OCA R. Exc. at 3 (citing </w:t>
      </w:r>
      <w:r w:rsidR="0076131D">
        <w:rPr>
          <w:sz w:val="26"/>
          <w:szCs w:val="26"/>
        </w:rPr>
        <w:t xml:space="preserve">OCA R.B. at 20-21; </w:t>
      </w:r>
      <w:r w:rsidRPr="00D44D6E">
        <w:rPr>
          <w:i/>
          <w:iCs/>
          <w:sz w:val="26"/>
          <w:szCs w:val="26"/>
        </w:rPr>
        <w:t>Deborah L. Harris, et al. v. UGI Utilities, Inc.</w:t>
      </w:r>
      <w:r w:rsidR="00D44D6E" w:rsidRPr="00D44D6E">
        <w:rPr>
          <w:i/>
          <w:iCs/>
          <w:sz w:val="26"/>
          <w:szCs w:val="26"/>
        </w:rPr>
        <w:t xml:space="preserve"> – Gas Division</w:t>
      </w:r>
      <w:r w:rsidR="00D44D6E">
        <w:rPr>
          <w:sz w:val="26"/>
          <w:szCs w:val="26"/>
        </w:rPr>
        <w:t>, Docket Nos. C-20022233</w:t>
      </w:r>
      <w:r w:rsidR="00520F11">
        <w:rPr>
          <w:sz w:val="26"/>
          <w:szCs w:val="26"/>
        </w:rPr>
        <w:t xml:space="preserve"> and</w:t>
      </w:r>
      <w:r w:rsidR="00D44D6E">
        <w:rPr>
          <w:sz w:val="26"/>
          <w:szCs w:val="26"/>
        </w:rPr>
        <w:t xml:space="preserve"> C-20042659 (Final Order entered September 23, 2004)</w:t>
      </w:r>
      <w:r w:rsidR="00D767F3">
        <w:rPr>
          <w:sz w:val="26"/>
          <w:szCs w:val="26"/>
        </w:rPr>
        <w:t xml:space="preserve"> (</w:t>
      </w:r>
      <w:r w:rsidR="00D767F3" w:rsidRPr="00D767F3">
        <w:rPr>
          <w:i/>
          <w:iCs/>
          <w:sz w:val="26"/>
          <w:szCs w:val="26"/>
        </w:rPr>
        <w:t>Harris</w:t>
      </w:r>
      <w:r w:rsidR="00D767F3">
        <w:rPr>
          <w:sz w:val="26"/>
          <w:szCs w:val="26"/>
        </w:rPr>
        <w:t>)</w:t>
      </w:r>
      <w:r w:rsidR="006C4258">
        <w:rPr>
          <w:sz w:val="26"/>
          <w:szCs w:val="26"/>
        </w:rPr>
        <w:t>)</w:t>
      </w:r>
      <w:r w:rsidR="00D44D6E">
        <w:rPr>
          <w:sz w:val="26"/>
          <w:szCs w:val="26"/>
        </w:rPr>
        <w:t>.</w:t>
      </w:r>
    </w:p>
    <w:p w14:paraId="15CF0A10" w14:textId="77777777" w:rsidR="0082369D" w:rsidRDefault="0082369D" w:rsidP="00B24187">
      <w:pPr>
        <w:widowControl/>
        <w:spacing w:line="360" w:lineRule="auto"/>
        <w:ind w:firstLine="1440"/>
        <w:rPr>
          <w:sz w:val="26"/>
          <w:szCs w:val="26"/>
        </w:rPr>
      </w:pPr>
    </w:p>
    <w:p w14:paraId="42C1B957" w14:textId="7A57FD67" w:rsidR="002928CD" w:rsidRDefault="003D0193" w:rsidP="00B24187">
      <w:pPr>
        <w:widowControl/>
        <w:spacing w:line="360" w:lineRule="auto"/>
        <w:ind w:firstLine="1440"/>
        <w:rPr>
          <w:sz w:val="26"/>
          <w:szCs w:val="26"/>
        </w:rPr>
      </w:pPr>
      <w:r>
        <w:rPr>
          <w:sz w:val="26"/>
          <w:szCs w:val="26"/>
        </w:rPr>
        <w:t>Lastly</w:t>
      </w:r>
      <w:r w:rsidR="009E292F">
        <w:rPr>
          <w:sz w:val="26"/>
          <w:szCs w:val="26"/>
        </w:rPr>
        <w:t>,</w:t>
      </w:r>
      <w:r>
        <w:rPr>
          <w:sz w:val="26"/>
          <w:szCs w:val="26"/>
        </w:rPr>
        <w:t xml:space="preserve"> the OCA highlight</w:t>
      </w:r>
      <w:r w:rsidR="00267CA4">
        <w:rPr>
          <w:sz w:val="26"/>
          <w:szCs w:val="26"/>
        </w:rPr>
        <w:t>s</w:t>
      </w:r>
      <w:r>
        <w:rPr>
          <w:sz w:val="26"/>
          <w:szCs w:val="26"/>
        </w:rPr>
        <w:t xml:space="preserve"> the ALJ’s recognition </w:t>
      </w:r>
      <w:r w:rsidR="00F12F85">
        <w:rPr>
          <w:sz w:val="26"/>
          <w:szCs w:val="26"/>
        </w:rPr>
        <w:t>of the basic business model that allows public utility systems to exist; the socialization of costs across the entire customer base for repairs to one discreet area of the system.  ALJ Long stated in her Recommended Decision that “[t]he socialization of costs associated with infrastructure improvement is not an unusual concept and has been approved by the Commission in the past.”  OCA R. Exc. at 3 (citing R.D. at 51)</w:t>
      </w:r>
      <w:r w:rsidR="00797C89">
        <w:rPr>
          <w:sz w:val="26"/>
          <w:szCs w:val="26"/>
        </w:rPr>
        <w:t xml:space="preserve">.  </w:t>
      </w:r>
    </w:p>
    <w:p w14:paraId="1CF01AEB" w14:textId="77777777" w:rsidR="002928CD" w:rsidRDefault="002928CD" w:rsidP="00B24187">
      <w:pPr>
        <w:widowControl/>
        <w:spacing w:line="360" w:lineRule="auto"/>
        <w:ind w:firstLine="1440"/>
        <w:rPr>
          <w:sz w:val="26"/>
          <w:szCs w:val="26"/>
        </w:rPr>
      </w:pPr>
    </w:p>
    <w:p w14:paraId="42457AD1" w14:textId="77777777" w:rsidR="00207F42" w:rsidRDefault="00260B4D" w:rsidP="006D2898">
      <w:pPr>
        <w:keepNext/>
        <w:widowControl/>
        <w:spacing w:line="360" w:lineRule="auto"/>
        <w:ind w:left="2880" w:hanging="720"/>
        <w:rPr>
          <w:b/>
          <w:bCs/>
          <w:sz w:val="26"/>
          <w:szCs w:val="26"/>
        </w:rPr>
      </w:pPr>
      <w:bookmarkStart w:id="69" w:name="_Hlk26946659"/>
      <w:r>
        <w:rPr>
          <w:b/>
          <w:bCs/>
          <w:sz w:val="26"/>
          <w:szCs w:val="26"/>
        </w:rPr>
        <w:t>(2)</w:t>
      </w:r>
      <w:r>
        <w:rPr>
          <w:b/>
          <w:bCs/>
          <w:sz w:val="26"/>
          <w:szCs w:val="26"/>
        </w:rPr>
        <w:tab/>
      </w:r>
      <w:r w:rsidR="00207F42" w:rsidRPr="00260B4D">
        <w:rPr>
          <w:b/>
          <w:bCs/>
          <w:sz w:val="26"/>
          <w:szCs w:val="26"/>
        </w:rPr>
        <w:t>Disposition</w:t>
      </w:r>
    </w:p>
    <w:p w14:paraId="7E858EC5" w14:textId="77777777" w:rsidR="007B74A5" w:rsidRPr="00260B4D" w:rsidRDefault="007B74A5" w:rsidP="006D2898">
      <w:pPr>
        <w:keepNext/>
        <w:widowControl/>
        <w:spacing w:line="360" w:lineRule="auto"/>
        <w:ind w:left="2160"/>
        <w:rPr>
          <w:b/>
          <w:bCs/>
          <w:sz w:val="26"/>
          <w:szCs w:val="26"/>
        </w:rPr>
      </w:pPr>
    </w:p>
    <w:bookmarkEnd w:id="69"/>
    <w:p w14:paraId="64C31C84" w14:textId="77777777" w:rsidR="00565AA7" w:rsidRPr="008F4996" w:rsidRDefault="0087756A" w:rsidP="006D2898">
      <w:pPr>
        <w:keepNext/>
        <w:widowControl/>
        <w:spacing w:line="360" w:lineRule="auto"/>
        <w:ind w:firstLine="1440"/>
        <w:rPr>
          <w:sz w:val="26"/>
          <w:szCs w:val="26"/>
        </w:rPr>
      </w:pPr>
      <w:r>
        <w:rPr>
          <w:sz w:val="26"/>
          <w:szCs w:val="26"/>
        </w:rPr>
        <w:t xml:space="preserve">Based on our review of the </w:t>
      </w:r>
      <w:r w:rsidR="006C787A">
        <w:rPr>
          <w:sz w:val="26"/>
          <w:szCs w:val="26"/>
        </w:rPr>
        <w:t xml:space="preserve">record, the </w:t>
      </w:r>
      <w:r>
        <w:rPr>
          <w:sz w:val="26"/>
          <w:szCs w:val="26"/>
        </w:rPr>
        <w:t xml:space="preserve">applicable law, </w:t>
      </w:r>
      <w:r w:rsidR="006C787A">
        <w:rPr>
          <w:sz w:val="26"/>
          <w:szCs w:val="26"/>
        </w:rPr>
        <w:t xml:space="preserve">and </w:t>
      </w:r>
      <w:r>
        <w:rPr>
          <w:sz w:val="26"/>
          <w:szCs w:val="26"/>
        </w:rPr>
        <w:t xml:space="preserve">the Parties’ positions, </w:t>
      </w:r>
      <w:r w:rsidR="0025173B">
        <w:rPr>
          <w:sz w:val="26"/>
          <w:szCs w:val="26"/>
        </w:rPr>
        <w:t>we shall deny I&amp;E’s Exception No. 2 and the OSBA’s Exception</w:t>
      </w:r>
      <w:r w:rsidR="006C787A">
        <w:rPr>
          <w:sz w:val="26"/>
          <w:szCs w:val="26"/>
        </w:rPr>
        <w:t>s</w:t>
      </w:r>
      <w:r w:rsidR="0025173B">
        <w:rPr>
          <w:sz w:val="26"/>
          <w:szCs w:val="26"/>
        </w:rPr>
        <w:t xml:space="preserve"> Nos. 5, 6, and 8.  </w:t>
      </w:r>
      <w:r w:rsidR="00366111">
        <w:rPr>
          <w:sz w:val="26"/>
          <w:szCs w:val="26"/>
        </w:rPr>
        <w:t>Initially, we find that the OSBA’s argu</w:t>
      </w:r>
      <w:r w:rsidR="00D11CB0">
        <w:rPr>
          <w:sz w:val="26"/>
          <w:szCs w:val="26"/>
        </w:rPr>
        <w:t>ment that</w:t>
      </w:r>
      <w:r w:rsidR="00366111">
        <w:rPr>
          <w:sz w:val="26"/>
          <w:szCs w:val="26"/>
        </w:rPr>
        <w:t xml:space="preserve"> ALJ Long misrepresent</w:t>
      </w:r>
      <w:r w:rsidR="00D11CB0">
        <w:rPr>
          <w:sz w:val="26"/>
          <w:szCs w:val="26"/>
        </w:rPr>
        <w:t xml:space="preserve">ed </w:t>
      </w:r>
      <w:r w:rsidR="00366111">
        <w:rPr>
          <w:sz w:val="26"/>
          <w:szCs w:val="26"/>
        </w:rPr>
        <w:t>its rationale for opposing the commitments in the Settlement to re</w:t>
      </w:r>
      <w:r w:rsidR="00D11CB0">
        <w:rPr>
          <w:sz w:val="26"/>
          <w:szCs w:val="26"/>
        </w:rPr>
        <w:t>mediate</w:t>
      </w:r>
      <w:r w:rsidR="00366111">
        <w:rPr>
          <w:sz w:val="26"/>
          <w:szCs w:val="26"/>
        </w:rPr>
        <w:t xml:space="preserve"> the G/T Systems is meritless.  As discussed in detail above, the ALJ considered the arguments of I&amp;E and </w:t>
      </w:r>
      <w:r w:rsidR="00366111">
        <w:rPr>
          <w:sz w:val="26"/>
          <w:szCs w:val="26"/>
        </w:rPr>
        <w:lastRenderedPageBreak/>
        <w:t xml:space="preserve">the OSBA, as well as the social and economic costs of potentially abandoning over 900 public utility customers, ultimately finding that the best course of action for all of the Peoples Companies’ customers was the rehabilitation of the G/T Systems as set out in the Settlement.  </w:t>
      </w:r>
      <w:r w:rsidR="00642BDB">
        <w:rPr>
          <w:sz w:val="26"/>
          <w:szCs w:val="26"/>
        </w:rPr>
        <w:t xml:space="preserve">Moreover, we find that the Settlement provides affirmative public benefits, as described below. </w:t>
      </w:r>
      <w:r w:rsidR="000B1FFD">
        <w:rPr>
          <w:sz w:val="26"/>
          <w:szCs w:val="26"/>
        </w:rPr>
        <w:t xml:space="preserve"> </w:t>
      </w:r>
      <w:r w:rsidR="004B312E">
        <w:rPr>
          <w:sz w:val="26"/>
          <w:szCs w:val="26"/>
        </w:rPr>
        <w:t xml:space="preserve">The ALJ disposes of the issues surrounding the G/T Systems in a well-reasoned manner, and her decision is supported by substantial credible evidence.  </w:t>
      </w:r>
    </w:p>
    <w:p w14:paraId="2C29E505" w14:textId="77777777" w:rsidR="00565AA7" w:rsidRDefault="00565AA7" w:rsidP="00B24187">
      <w:pPr>
        <w:widowControl/>
        <w:spacing w:line="360" w:lineRule="auto"/>
        <w:ind w:firstLine="1440"/>
        <w:rPr>
          <w:sz w:val="26"/>
          <w:szCs w:val="26"/>
        </w:rPr>
      </w:pPr>
    </w:p>
    <w:p w14:paraId="5E43CE53" w14:textId="77777777" w:rsidR="00565AA7" w:rsidRPr="00565AA7" w:rsidRDefault="00EE1C79" w:rsidP="00B24187">
      <w:pPr>
        <w:widowControl/>
        <w:spacing w:line="360" w:lineRule="auto"/>
        <w:ind w:firstLine="1440"/>
        <w:rPr>
          <w:sz w:val="26"/>
          <w:szCs w:val="26"/>
        </w:rPr>
      </w:pPr>
      <w:r>
        <w:rPr>
          <w:sz w:val="26"/>
          <w:szCs w:val="26"/>
        </w:rPr>
        <w:t>T</w:t>
      </w:r>
      <w:r w:rsidR="00565AA7" w:rsidRPr="00565AA7">
        <w:rPr>
          <w:sz w:val="26"/>
          <w:szCs w:val="26"/>
        </w:rPr>
        <w:t>he UFG levels on the G/T Systems have been a longstanding problem and must be mitigated as expeditiously as possible.  We believe the Proposed Transaction, as conditioned by the Settlement, provides a defined path toward a solution that maintains service to existing public utility customers, improves the overall safety of these systems, and balances the economic interests of the Joint Applicants and existing customers.</w:t>
      </w:r>
    </w:p>
    <w:p w14:paraId="6A4F3A5D" w14:textId="77777777" w:rsidR="00565AA7" w:rsidRDefault="00565AA7" w:rsidP="00B24187">
      <w:pPr>
        <w:widowControl/>
        <w:spacing w:line="360" w:lineRule="auto"/>
        <w:rPr>
          <w:sz w:val="26"/>
          <w:szCs w:val="26"/>
        </w:rPr>
      </w:pPr>
    </w:p>
    <w:p w14:paraId="7C7EF76B" w14:textId="77777777" w:rsidR="0069080A" w:rsidRDefault="007F41B8" w:rsidP="00B24187">
      <w:pPr>
        <w:pStyle w:val="ListParagraph"/>
        <w:widowControl/>
        <w:spacing w:line="360" w:lineRule="auto"/>
        <w:ind w:left="0" w:firstLine="1440"/>
        <w:rPr>
          <w:sz w:val="26"/>
          <w:szCs w:val="26"/>
        </w:rPr>
      </w:pPr>
      <w:r>
        <w:rPr>
          <w:sz w:val="26"/>
          <w:szCs w:val="26"/>
        </w:rPr>
        <w:t>Additionally</w:t>
      </w:r>
      <w:r w:rsidR="00565AA7">
        <w:rPr>
          <w:sz w:val="26"/>
          <w:szCs w:val="26"/>
        </w:rPr>
        <w:t>, w</w:t>
      </w:r>
      <w:r w:rsidR="00655954">
        <w:rPr>
          <w:sz w:val="26"/>
          <w:szCs w:val="26"/>
        </w:rPr>
        <w:t>e acknowledge the substantial and laudable steps the Peoples Companies have taken since the acquisition of Equitable in 2013</w:t>
      </w:r>
      <w:r w:rsidR="0069080A">
        <w:rPr>
          <w:sz w:val="26"/>
          <w:szCs w:val="26"/>
        </w:rPr>
        <w:t xml:space="preserve"> to gain a stronger understanding of the overall G/T Systems’ operations, while maintaining and managing the G/T Systems and customer and supply issues</w:t>
      </w:r>
      <w:r w:rsidR="00655954">
        <w:rPr>
          <w:sz w:val="26"/>
          <w:szCs w:val="26"/>
        </w:rPr>
        <w:t>.  For instance, the Joint Applicants have indicated that pursuant to the 2013 Equitable Settlement, they have, among other things,</w:t>
      </w:r>
      <w:r w:rsidR="0069080A">
        <w:rPr>
          <w:sz w:val="26"/>
          <w:szCs w:val="26"/>
        </w:rPr>
        <w:t xml:space="preserve"> “</w:t>
      </w:r>
      <w:r w:rsidR="0069080A" w:rsidRPr="0069080A">
        <w:rPr>
          <w:sz w:val="26"/>
          <w:szCs w:val="26"/>
        </w:rPr>
        <w:t>mowed rights-of-way, leak surveyed the lines throughout the systems, walked all 368 miles of the systems to GPS-locate facilities and meters, placed all the facilities into their mapping system, replaced and/or installed line markers, placed all facilities into the PA One</w:t>
      </w:r>
      <w:r w:rsidR="006B6563">
        <w:rPr>
          <w:sz w:val="26"/>
          <w:szCs w:val="26"/>
        </w:rPr>
        <w:t xml:space="preserve"> </w:t>
      </w:r>
      <w:r w:rsidR="0069080A" w:rsidRPr="0069080A">
        <w:rPr>
          <w:sz w:val="26"/>
          <w:szCs w:val="26"/>
        </w:rPr>
        <w:t>Call System and incorporated the facilities into the Peoples Companies’ damage prevention program</w:t>
      </w:r>
      <w:r w:rsidR="0069080A">
        <w:rPr>
          <w:sz w:val="26"/>
          <w:szCs w:val="26"/>
        </w:rPr>
        <w:t>.”</w:t>
      </w:r>
      <w:r w:rsidR="0021436A">
        <w:rPr>
          <w:sz w:val="26"/>
          <w:szCs w:val="26"/>
        </w:rPr>
        <w:t xml:space="preserve"> </w:t>
      </w:r>
      <w:r w:rsidR="007E6F07">
        <w:rPr>
          <w:sz w:val="26"/>
          <w:szCs w:val="26"/>
        </w:rPr>
        <w:t xml:space="preserve"> Joint Applicants R. Exc. at 10.  These actions</w:t>
      </w:r>
      <w:r w:rsidR="0021436A">
        <w:rPr>
          <w:sz w:val="26"/>
          <w:szCs w:val="26"/>
        </w:rPr>
        <w:t xml:space="preserve"> facilitated the development of the three scenarios</w:t>
      </w:r>
      <w:r w:rsidR="0087387B">
        <w:rPr>
          <w:sz w:val="26"/>
          <w:szCs w:val="26"/>
        </w:rPr>
        <w:t xml:space="preserve"> previously discussed</w:t>
      </w:r>
      <w:r w:rsidR="004E0A5B">
        <w:rPr>
          <w:sz w:val="26"/>
          <w:szCs w:val="26"/>
        </w:rPr>
        <w:t>,</w:t>
      </w:r>
      <w:r w:rsidR="0021436A">
        <w:rPr>
          <w:sz w:val="26"/>
          <w:szCs w:val="26"/>
        </w:rPr>
        <w:t xml:space="preserve"> which were deemed </w:t>
      </w:r>
      <w:r>
        <w:rPr>
          <w:sz w:val="26"/>
          <w:szCs w:val="26"/>
        </w:rPr>
        <w:t>worthy remediation measures</w:t>
      </w:r>
      <w:r w:rsidR="0021436A">
        <w:rPr>
          <w:sz w:val="26"/>
          <w:szCs w:val="26"/>
        </w:rPr>
        <w:t xml:space="preserve"> and submitted by Mr. Gregorini</w:t>
      </w:r>
      <w:r w:rsidR="0087387B">
        <w:rPr>
          <w:sz w:val="26"/>
          <w:szCs w:val="26"/>
        </w:rPr>
        <w:t xml:space="preserve"> on behalf of the Peoples Companies as possible </w:t>
      </w:r>
      <w:r w:rsidR="00017E03">
        <w:rPr>
          <w:sz w:val="26"/>
          <w:szCs w:val="26"/>
        </w:rPr>
        <w:t xml:space="preserve">options </w:t>
      </w:r>
      <w:r>
        <w:rPr>
          <w:sz w:val="26"/>
          <w:szCs w:val="26"/>
        </w:rPr>
        <w:t>to address the issues on</w:t>
      </w:r>
      <w:r w:rsidR="00017E03">
        <w:rPr>
          <w:sz w:val="26"/>
          <w:szCs w:val="26"/>
        </w:rPr>
        <w:t xml:space="preserve"> </w:t>
      </w:r>
      <w:r w:rsidR="0087387B">
        <w:rPr>
          <w:sz w:val="26"/>
          <w:szCs w:val="26"/>
        </w:rPr>
        <w:t xml:space="preserve">the G/T </w:t>
      </w:r>
      <w:r>
        <w:rPr>
          <w:sz w:val="26"/>
          <w:szCs w:val="26"/>
        </w:rPr>
        <w:t>S</w:t>
      </w:r>
      <w:r w:rsidR="0087387B">
        <w:rPr>
          <w:sz w:val="26"/>
          <w:szCs w:val="26"/>
        </w:rPr>
        <w:t>ystems.</w:t>
      </w:r>
      <w:r w:rsidR="00E00C62" w:rsidRPr="00E00C62">
        <w:rPr>
          <w:sz w:val="26"/>
          <w:szCs w:val="26"/>
        </w:rPr>
        <w:t xml:space="preserve"> </w:t>
      </w:r>
      <w:r w:rsidR="00E00C62">
        <w:rPr>
          <w:sz w:val="26"/>
          <w:szCs w:val="26"/>
        </w:rPr>
        <w:t xml:space="preserve"> </w:t>
      </w:r>
      <w:r w:rsidR="00E00C62" w:rsidRPr="00AD392C">
        <w:rPr>
          <w:sz w:val="26"/>
          <w:szCs w:val="26"/>
        </w:rPr>
        <w:t>Joint Applicants St. 6-R at 8-11</w:t>
      </w:r>
      <w:r w:rsidR="00E00C62">
        <w:rPr>
          <w:sz w:val="26"/>
          <w:szCs w:val="26"/>
        </w:rPr>
        <w:t xml:space="preserve">.  </w:t>
      </w:r>
      <w:r>
        <w:rPr>
          <w:sz w:val="26"/>
          <w:szCs w:val="26"/>
        </w:rPr>
        <w:t>T</w:t>
      </w:r>
      <w:r w:rsidR="0087387B">
        <w:rPr>
          <w:sz w:val="26"/>
          <w:szCs w:val="26"/>
        </w:rPr>
        <w:t xml:space="preserve">he </w:t>
      </w:r>
      <w:r w:rsidR="00E702B9">
        <w:rPr>
          <w:sz w:val="26"/>
          <w:szCs w:val="26"/>
        </w:rPr>
        <w:t xml:space="preserve">results of the </w:t>
      </w:r>
      <w:r w:rsidR="0087387B">
        <w:rPr>
          <w:sz w:val="26"/>
          <w:szCs w:val="26"/>
        </w:rPr>
        <w:t>assessments</w:t>
      </w:r>
      <w:r w:rsidR="008A6B3F">
        <w:rPr>
          <w:sz w:val="26"/>
          <w:szCs w:val="26"/>
        </w:rPr>
        <w:t>,</w:t>
      </w:r>
      <w:r w:rsidR="0087387B">
        <w:rPr>
          <w:sz w:val="26"/>
          <w:szCs w:val="26"/>
        </w:rPr>
        <w:t xml:space="preserve"> upon which</w:t>
      </w:r>
      <w:r w:rsidR="00E702B9">
        <w:rPr>
          <w:sz w:val="26"/>
          <w:szCs w:val="26"/>
        </w:rPr>
        <w:t xml:space="preserve"> the Peoples Companies based</w:t>
      </w:r>
      <w:r w:rsidR="0087387B">
        <w:rPr>
          <w:sz w:val="26"/>
          <w:szCs w:val="26"/>
        </w:rPr>
        <w:t xml:space="preserve"> the scenarios</w:t>
      </w:r>
      <w:r w:rsidR="008A6B3F">
        <w:rPr>
          <w:sz w:val="26"/>
          <w:szCs w:val="26"/>
        </w:rPr>
        <w:t xml:space="preserve">, </w:t>
      </w:r>
      <w:r w:rsidR="00E702B9">
        <w:rPr>
          <w:sz w:val="26"/>
          <w:szCs w:val="26"/>
        </w:rPr>
        <w:t xml:space="preserve">were gathered through “a combination of system planning models, to analyze pipe segments that flowed the most volume of gas, along </w:t>
      </w:r>
      <w:r w:rsidR="00E702B9">
        <w:rPr>
          <w:sz w:val="26"/>
          <w:szCs w:val="26"/>
        </w:rPr>
        <w:lastRenderedPageBreak/>
        <w:t>with the GIS asset data for pipe characteristics (pipeline size, operating pressures, material, condition, etc.) and operating history.</w:t>
      </w:r>
      <w:r w:rsidR="008A6B3F">
        <w:rPr>
          <w:sz w:val="26"/>
          <w:szCs w:val="26"/>
        </w:rPr>
        <w:t>”  Customer concentrations throughout the G/T Systems and the location of existing key supply sources (interstate, intra-company, and producer meters)</w:t>
      </w:r>
      <w:r>
        <w:rPr>
          <w:sz w:val="26"/>
          <w:szCs w:val="26"/>
        </w:rPr>
        <w:t>,</w:t>
      </w:r>
      <w:r w:rsidR="008A6B3F">
        <w:rPr>
          <w:sz w:val="26"/>
          <w:szCs w:val="26"/>
        </w:rPr>
        <w:t xml:space="preserve"> as well as nearby Peoples Companies’ pipelines</w:t>
      </w:r>
      <w:r>
        <w:rPr>
          <w:sz w:val="26"/>
          <w:szCs w:val="26"/>
        </w:rPr>
        <w:t>,</w:t>
      </w:r>
      <w:r w:rsidR="008A6B3F">
        <w:rPr>
          <w:sz w:val="26"/>
          <w:szCs w:val="26"/>
        </w:rPr>
        <w:t xml:space="preserve"> were analyzed to evaluate the potential to connect </w:t>
      </w:r>
      <w:r>
        <w:rPr>
          <w:sz w:val="26"/>
          <w:szCs w:val="26"/>
        </w:rPr>
        <w:t xml:space="preserve">the </w:t>
      </w:r>
      <w:r w:rsidR="008A6B3F">
        <w:rPr>
          <w:sz w:val="26"/>
          <w:szCs w:val="26"/>
        </w:rPr>
        <w:t xml:space="preserve">Goodwin and Tombaugh segments to the existing utility systems.  Joint Applicants St. 6-R at 8.  </w:t>
      </w:r>
    </w:p>
    <w:p w14:paraId="2DE6CAD2" w14:textId="77777777" w:rsidR="005C370D" w:rsidRPr="007A4410" w:rsidRDefault="005C370D" w:rsidP="00B24187">
      <w:pPr>
        <w:widowControl/>
        <w:spacing w:line="360" w:lineRule="auto"/>
        <w:rPr>
          <w:sz w:val="26"/>
          <w:szCs w:val="26"/>
        </w:rPr>
      </w:pPr>
    </w:p>
    <w:p w14:paraId="09FF9303" w14:textId="77777777" w:rsidR="00903120" w:rsidRDefault="00903120" w:rsidP="00B24187">
      <w:pPr>
        <w:pStyle w:val="ListParagraph"/>
        <w:widowControl/>
        <w:spacing w:line="360" w:lineRule="auto"/>
        <w:ind w:left="0" w:firstLine="1440"/>
        <w:rPr>
          <w:sz w:val="26"/>
          <w:szCs w:val="26"/>
        </w:rPr>
      </w:pPr>
      <w:r>
        <w:rPr>
          <w:sz w:val="26"/>
          <w:szCs w:val="26"/>
        </w:rPr>
        <w:t xml:space="preserve">The Peoples Companies have an obligation to weigh the cost of replacing gathering pipelines against the benefits to customers.  If the overriding goal simply becomes the reduction of the G/T Systems’ UFG level, the quickest alternative to reduce UFG, such as immediately taking steps to abandon gathering pipelines, may mistakenly be undertaken, rather than examining and selecting the approach that is the best long-term solution.  The Peoples Companies have a duty to act in a cost-effective manner, </w:t>
      </w:r>
      <w:r w:rsidR="00F938FD">
        <w:rPr>
          <w:sz w:val="26"/>
          <w:szCs w:val="26"/>
        </w:rPr>
        <w:t>along</w:t>
      </w:r>
      <w:r>
        <w:rPr>
          <w:sz w:val="26"/>
          <w:szCs w:val="26"/>
        </w:rPr>
        <w:t xml:space="preserve"> with </w:t>
      </w:r>
      <w:r w:rsidR="006B6563">
        <w:rPr>
          <w:sz w:val="26"/>
          <w:szCs w:val="26"/>
        </w:rPr>
        <w:t>a</w:t>
      </w:r>
      <w:r>
        <w:rPr>
          <w:sz w:val="26"/>
          <w:szCs w:val="26"/>
        </w:rPr>
        <w:t xml:space="preserve"> duty to </w:t>
      </w:r>
      <w:r w:rsidR="00F938FD">
        <w:rPr>
          <w:sz w:val="26"/>
          <w:szCs w:val="26"/>
        </w:rPr>
        <w:t>provide safe and reliable service</w:t>
      </w:r>
      <w:r>
        <w:rPr>
          <w:sz w:val="26"/>
          <w:szCs w:val="26"/>
        </w:rPr>
        <w:t>; however, the decision-making process for how to best resolve the G/T Systems matter should not be impeded by a disallowance of the recovery of costs incurred to do so,</w:t>
      </w:r>
      <w:r w:rsidR="005C2CF3">
        <w:rPr>
          <w:sz w:val="26"/>
          <w:szCs w:val="26"/>
        </w:rPr>
        <w:t xml:space="preserve"> projected </w:t>
      </w:r>
      <w:r>
        <w:rPr>
          <w:sz w:val="26"/>
          <w:szCs w:val="26"/>
        </w:rPr>
        <w:t xml:space="preserve">in this case </w:t>
      </w:r>
      <w:r w:rsidR="005C2CF3">
        <w:rPr>
          <w:sz w:val="26"/>
          <w:szCs w:val="26"/>
        </w:rPr>
        <w:t xml:space="preserve">to be </w:t>
      </w:r>
      <w:r>
        <w:rPr>
          <w:sz w:val="26"/>
          <w:szCs w:val="26"/>
        </w:rPr>
        <w:t>approximately $120 million.</w:t>
      </w:r>
      <w:r w:rsidR="00626D66">
        <w:rPr>
          <w:sz w:val="26"/>
          <w:szCs w:val="26"/>
        </w:rPr>
        <w:t xml:space="preserve">  Moreover, we </w:t>
      </w:r>
      <w:r w:rsidR="002E2E08">
        <w:rPr>
          <w:sz w:val="26"/>
          <w:szCs w:val="26"/>
        </w:rPr>
        <w:t>emphasize</w:t>
      </w:r>
      <w:r w:rsidR="00626D66">
        <w:rPr>
          <w:sz w:val="26"/>
          <w:szCs w:val="26"/>
        </w:rPr>
        <w:t xml:space="preserve"> the </w:t>
      </w:r>
      <w:r w:rsidR="002E2E08">
        <w:rPr>
          <w:sz w:val="26"/>
          <w:szCs w:val="26"/>
        </w:rPr>
        <w:t xml:space="preserve">OCA’s </w:t>
      </w:r>
      <w:r w:rsidR="00626D66">
        <w:rPr>
          <w:sz w:val="26"/>
          <w:szCs w:val="26"/>
        </w:rPr>
        <w:t>arguments that th</w:t>
      </w:r>
      <w:r w:rsidR="002E2E08">
        <w:rPr>
          <w:sz w:val="26"/>
          <w:szCs w:val="26"/>
        </w:rPr>
        <w:t>is</w:t>
      </w:r>
      <w:r w:rsidR="00626D66">
        <w:rPr>
          <w:sz w:val="26"/>
          <w:szCs w:val="26"/>
        </w:rPr>
        <w:t xml:space="preserve"> Commission has not </w:t>
      </w:r>
      <w:r w:rsidR="006B6563">
        <w:rPr>
          <w:sz w:val="26"/>
          <w:szCs w:val="26"/>
        </w:rPr>
        <w:t>supported</w:t>
      </w:r>
      <w:r w:rsidR="00626D66">
        <w:rPr>
          <w:sz w:val="26"/>
          <w:szCs w:val="26"/>
        </w:rPr>
        <w:t xml:space="preserve"> the abandonment of customers </w:t>
      </w:r>
      <w:r w:rsidR="009C1419">
        <w:rPr>
          <w:sz w:val="26"/>
          <w:szCs w:val="26"/>
        </w:rPr>
        <w:t>solely on the basis of an economic analysis and</w:t>
      </w:r>
      <w:r w:rsidR="002E2E08">
        <w:rPr>
          <w:sz w:val="26"/>
          <w:szCs w:val="26"/>
        </w:rPr>
        <w:t>,</w:t>
      </w:r>
      <w:r w:rsidR="009C1419">
        <w:rPr>
          <w:sz w:val="26"/>
          <w:szCs w:val="26"/>
        </w:rPr>
        <w:t xml:space="preserve"> in certain instances</w:t>
      </w:r>
      <w:r w:rsidR="002E2E08">
        <w:rPr>
          <w:sz w:val="26"/>
          <w:szCs w:val="26"/>
        </w:rPr>
        <w:t>,</w:t>
      </w:r>
      <w:r w:rsidR="009C1419">
        <w:rPr>
          <w:sz w:val="26"/>
          <w:szCs w:val="26"/>
        </w:rPr>
        <w:t xml:space="preserve"> </w:t>
      </w:r>
      <w:r w:rsidR="002E2E08">
        <w:rPr>
          <w:sz w:val="26"/>
          <w:szCs w:val="26"/>
        </w:rPr>
        <w:t xml:space="preserve">has </w:t>
      </w:r>
      <w:r w:rsidR="009C1419">
        <w:rPr>
          <w:sz w:val="26"/>
          <w:szCs w:val="26"/>
        </w:rPr>
        <w:t>denied public utilities’ requests to abandon service where customers needed the service and would be harmed by the lack of service unless an adequate service alternative was located.  OCA R.B. at 20-21</w:t>
      </w:r>
      <w:r w:rsidR="00062518">
        <w:rPr>
          <w:sz w:val="26"/>
          <w:szCs w:val="26"/>
        </w:rPr>
        <w:t xml:space="preserve"> (</w:t>
      </w:r>
      <w:r w:rsidR="00D767F3">
        <w:rPr>
          <w:sz w:val="26"/>
          <w:szCs w:val="26"/>
        </w:rPr>
        <w:t xml:space="preserve">citing </w:t>
      </w:r>
      <w:r w:rsidR="00D767F3" w:rsidRPr="00D767F3">
        <w:rPr>
          <w:i/>
          <w:iCs/>
          <w:sz w:val="26"/>
          <w:szCs w:val="26"/>
        </w:rPr>
        <w:t>Harris</w:t>
      </w:r>
      <w:r w:rsidR="009C1419" w:rsidRPr="00062518">
        <w:rPr>
          <w:sz w:val="26"/>
          <w:szCs w:val="26"/>
        </w:rPr>
        <w:t>;</w:t>
      </w:r>
      <w:r w:rsidR="00D767F3">
        <w:rPr>
          <w:sz w:val="26"/>
          <w:szCs w:val="26"/>
        </w:rPr>
        <w:t xml:space="preserve"> </w:t>
      </w:r>
      <w:r w:rsidR="00D767F3" w:rsidRPr="00D767F3">
        <w:rPr>
          <w:i/>
          <w:sz w:val="26"/>
          <w:szCs w:val="26"/>
        </w:rPr>
        <w:t>Application of Fink Gas Company</w:t>
      </w:r>
      <w:r w:rsidR="00D045D7">
        <w:rPr>
          <w:iCs/>
          <w:sz w:val="26"/>
          <w:szCs w:val="26"/>
        </w:rPr>
        <w:t xml:space="preserve"> (</w:t>
      </w:r>
      <w:r w:rsidR="00D045D7" w:rsidRPr="00D045D7">
        <w:rPr>
          <w:i/>
          <w:sz w:val="26"/>
          <w:szCs w:val="26"/>
        </w:rPr>
        <w:t>Fink Gas Company</w:t>
      </w:r>
      <w:r w:rsidR="00D045D7">
        <w:rPr>
          <w:iCs/>
          <w:sz w:val="26"/>
          <w:szCs w:val="26"/>
        </w:rPr>
        <w:t>)</w:t>
      </w:r>
      <w:r w:rsidR="00D767F3" w:rsidRPr="00D767F3">
        <w:rPr>
          <w:sz w:val="26"/>
          <w:szCs w:val="26"/>
        </w:rPr>
        <w:t>, Docket No. A-2015-2466653 (Final Order entered January 15, 2016</w:t>
      </w:r>
      <w:r w:rsidR="00062518">
        <w:rPr>
          <w:sz w:val="26"/>
          <w:szCs w:val="26"/>
        </w:rPr>
        <w:t>)</w:t>
      </w:r>
      <w:r w:rsidR="00D767F3">
        <w:rPr>
          <w:sz w:val="26"/>
          <w:szCs w:val="26"/>
        </w:rPr>
        <w:t>).</w:t>
      </w:r>
      <w:r w:rsidR="003418BF">
        <w:rPr>
          <w:sz w:val="26"/>
          <w:szCs w:val="26"/>
        </w:rPr>
        <w:t xml:space="preserve"> </w:t>
      </w:r>
    </w:p>
    <w:p w14:paraId="2CB7A0D3" w14:textId="77777777" w:rsidR="005D47EF" w:rsidRPr="006D20E9" w:rsidRDefault="005D47EF" w:rsidP="00B24187">
      <w:pPr>
        <w:widowControl/>
        <w:spacing w:line="360" w:lineRule="auto"/>
        <w:rPr>
          <w:sz w:val="26"/>
          <w:szCs w:val="26"/>
        </w:rPr>
      </w:pPr>
    </w:p>
    <w:p w14:paraId="1BA1841D" w14:textId="77777777" w:rsidR="0069080A" w:rsidRDefault="007D185D" w:rsidP="00B24187">
      <w:pPr>
        <w:pStyle w:val="ListParagraph"/>
        <w:widowControl/>
        <w:spacing w:line="360" w:lineRule="auto"/>
        <w:ind w:left="0" w:firstLine="1440"/>
        <w:rPr>
          <w:sz w:val="26"/>
          <w:szCs w:val="26"/>
        </w:rPr>
      </w:pPr>
      <w:r>
        <w:rPr>
          <w:sz w:val="26"/>
          <w:szCs w:val="26"/>
        </w:rPr>
        <w:t>Here, we find that the</w:t>
      </w:r>
      <w:r w:rsidR="003418BF" w:rsidRPr="003418BF">
        <w:rPr>
          <w:sz w:val="26"/>
          <w:szCs w:val="26"/>
        </w:rPr>
        <w:t xml:space="preserve"> Settlement provides substantial affirmative public benefits by affirming Aqua America</w:t>
      </w:r>
      <w:r w:rsidR="00272EEC">
        <w:rPr>
          <w:sz w:val="26"/>
          <w:szCs w:val="26"/>
        </w:rPr>
        <w:t>’</w:t>
      </w:r>
      <w:r w:rsidR="003418BF" w:rsidRPr="003418BF">
        <w:rPr>
          <w:sz w:val="26"/>
          <w:szCs w:val="26"/>
        </w:rPr>
        <w:t>s commitment to the prompt replacement and remediation of the</w:t>
      </w:r>
      <w:r w:rsidR="003418BF">
        <w:rPr>
          <w:sz w:val="26"/>
          <w:szCs w:val="26"/>
        </w:rPr>
        <w:t xml:space="preserve"> troubled</w:t>
      </w:r>
      <w:r w:rsidR="003418BF" w:rsidRPr="003418BF">
        <w:rPr>
          <w:sz w:val="26"/>
          <w:szCs w:val="26"/>
        </w:rPr>
        <w:t xml:space="preserve"> G/T Systems</w:t>
      </w:r>
      <w:r w:rsidR="003418BF">
        <w:rPr>
          <w:sz w:val="26"/>
          <w:szCs w:val="26"/>
        </w:rPr>
        <w:t xml:space="preserve"> within seven years</w:t>
      </w:r>
      <w:r w:rsidR="008E6ACA">
        <w:rPr>
          <w:sz w:val="26"/>
          <w:szCs w:val="26"/>
        </w:rPr>
        <w:t>, beginning three months after closing</w:t>
      </w:r>
      <w:r w:rsidR="003418BF">
        <w:rPr>
          <w:sz w:val="26"/>
          <w:szCs w:val="26"/>
        </w:rPr>
        <w:t>.</w:t>
      </w:r>
      <w:r w:rsidR="008E6ACA">
        <w:rPr>
          <w:sz w:val="26"/>
          <w:szCs w:val="26"/>
        </w:rPr>
        <w:t xml:space="preserve">  Settlement at ¶ 29.</w:t>
      </w:r>
      <w:r w:rsidR="003418BF">
        <w:rPr>
          <w:sz w:val="26"/>
          <w:szCs w:val="26"/>
        </w:rPr>
        <w:t xml:space="preserve">  As ALJ Long pointed out</w:t>
      </w:r>
      <w:r w:rsidR="007C028E">
        <w:rPr>
          <w:sz w:val="26"/>
          <w:szCs w:val="26"/>
        </w:rPr>
        <w:t>,</w:t>
      </w:r>
      <w:r w:rsidR="003418BF">
        <w:rPr>
          <w:sz w:val="26"/>
          <w:szCs w:val="26"/>
        </w:rPr>
        <w:t xml:space="preserve"> this </w:t>
      </w:r>
      <w:r w:rsidR="00183C90">
        <w:rPr>
          <w:sz w:val="26"/>
          <w:szCs w:val="26"/>
        </w:rPr>
        <w:t>establishes a</w:t>
      </w:r>
      <w:r w:rsidR="003418BF">
        <w:rPr>
          <w:sz w:val="26"/>
          <w:szCs w:val="26"/>
        </w:rPr>
        <w:t xml:space="preserve"> timeline that would otherwise not exist without the proposed Settlement.</w:t>
      </w:r>
      <w:r w:rsidR="008D2DDA">
        <w:rPr>
          <w:sz w:val="26"/>
          <w:szCs w:val="26"/>
        </w:rPr>
        <w:t xml:space="preserve">  R.D. at 46.</w:t>
      </w:r>
      <w:r w:rsidR="003418BF">
        <w:rPr>
          <w:sz w:val="26"/>
          <w:szCs w:val="26"/>
        </w:rPr>
        <w:t xml:space="preserve">  </w:t>
      </w:r>
      <w:r w:rsidR="00303C86">
        <w:rPr>
          <w:sz w:val="26"/>
          <w:szCs w:val="26"/>
        </w:rPr>
        <w:t xml:space="preserve">We are </w:t>
      </w:r>
      <w:r w:rsidR="00303C86">
        <w:rPr>
          <w:sz w:val="26"/>
          <w:szCs w:val="26"/>
        </w:rPr>
        <w:lastRenderedPageBreak/>
        <w:t xml:space="preserve">persuaded by </w:t>
      </w:r>
      <w:r w:rsidR="001705A4">
        <w:rPr>
          <w:sz w:val="26"/>
          <w:szCs w:val="26"/>
        </w:rPr>
        <w:t>the clear benefits of the Settlement</w:t>
      </w:r>
      <w:r w:rsidR="00A35E7C">
        <w:rPr>
          <w:sz w:val="26"/>
          <w:szCs w:val="26"/>
        </w:rPr>
        <w:t>,</w:t>
      </w:r>
      <w:r w:rsidR="00A35E7C" w:rsidRPr="00A35E7C">
        <w:rPr>
          <w:sz w:val="26"/>
          <w:szCs w:val="26"/>
        </w:rPr>
        <w:t xml:space="preserve"> </w:t>
      </w:r>
      <w:r w:rsidR="00A35E7C">
        <w:rPr>
          <w:sz w:val="26"/>
          <w:szCs w:val="26"/>
        </w:rPr>
        <w:t>as outlined in the Joint Applicants’ Statement in Support,</w:t>
      </w:r>
      <w:r w:rsidR="001705A4">
        <w:rPr>
          <w:sz w:val="26"/>
          <w:szCs w:val="26"/>
        </w:rPr>
        <w:t xml:space="preserve"> </w:t>
      </w:r>
      <w:r w:rsidR="006B6563">
        <w:rPr>
          <w:sz w:val="26"/>
          <w:szCs w:val="26"/>
        </w:rPr>
        <w:t>concerning</w:t>
      </w:r>
      <w:r w:rsidR="001705A4">
        <w:rPr>
          <w:sz w:val="26"/>
          <w:szCs w:val="26"/>
        </w:rPr>
        <w:t xml:space="preserve"> the nearly 1,700 </w:t>
      </w:r>
      <w:r w:rsidR="002B75C7">
        <w:rPr>
          <w:sz w:val="26"/>
          <w:szCs w:val="26"/>
        </w:rPr>
        <w:t xml:space="preserve">Peoples Natural Gas </w:t>
      </w:r>
      <w:r w:rsidR="001705A4">
        <w:rPr>
          <w:sz w:val="26"/>
          <w:szCs w:val="26"/>
        </w:rPr>
        <w:t>customers</w:t>
      </w:r>
      <w:r w:rsidR="002B75C7">
        <w:rPr>
          <w:sz w:val="26"/>
          <w:szCs w:val="26"/>
        </w:rPr>
        <w:t xml:space="preserve"> </w:t>
      </w:r>
      <w:r w:rsidR="006B6563">
        <w:rPr>
          <w:sz w:val="26"/>
          <w:szCs w:val="26"/>
        </w:rPr>
        <w:t>currently</w:t>
      </w:r>
      <w:r w:rsidR="001705A4">
        <w:rPr>
          <w:sz w:val="26"/>
          <w:szCs w:val="26"/>
        </w:rPr>
        <w:t xml:space="preserve"> served </w:t>
      </w:r>
      <w:r w:rsidR="002B75C7">
        <w:rPr>
          <w:sz w:val="26"/>
          <w:szCs w:val="26"/>
        </w:rPr>
        <w:t>off of</w:t>
      </w:r>
      <w:r w:rsidR="001705A4">
        <w:rPr>
          <w:sz w:val="26"/>
          <w:szCs w:val="26"/>
        </w:rPr>
        <w:t xml:space="preserve"> the G/T Systems who will keep low-cost natural gas service and access to low-income customer </w:t>
      </w:r>
      <w:r w:rsidR="006B6563">
        <w:rPr>
          <w:sz w:val="26"/>
          <w:szCs w:val="26"/>
        </w:rPr>
        <w:t xml:space="preserve">programs </w:t>
      </w:r>
      <w:r w:rsidR="001705A4">
        <w:rPr>
          <w:sz w:val="26"/>
          <w:szCs w:val="26"/>
        </w:rPr>
        <w:t>and service termination protections</w:t>
      </w:r>
      <w:r w:rsidR="00324F0A">
        <w:rPr>
          <w:sz w:val="26"/>
          <w:szCs w:val="26"/>
        </w:rPr>
        <w:t xml:space="preserve">: </w:t>
      </w:r>
    </w:p>
    <w:p w14:paraId="1E560EA0" w14:textId="77777777" w:rsidR="00324F0A" w:rsidRDefault="00324F0A" w:rsidP="00B24187">
      <w:pPr>
        <w:pStyle w:val="ListParagraph"/>
        <w:widowControl/>
        <w:spacing w:line="360" w:lineRule="auto"/>
        <w:ind w:left="0" w:firstLine="1440"/>
        <w:rPr>
          <w:sz w:val="26"/>
          <w:szCs w:val="26"/>
        </w:rPr>
      </w:pPr>
    </w:p>
    <w:p w14:paraId="667BCB8B" w14:textId="77777777" w:rsidR="00334051" w:rsidRDefault="00324F0A" w:rsidP="00B24187">
      <w:pPr>
        <w:widowControl/>
        <w:ind w:left="1440" w:right="1440"/>
        <w:rPr>
          <w:sz w:val="26"/>
          <w:szCs w:val="26"/>
        </w:rPr>
      </w:pPr>
      <w:r>
        <w:rPr>
          <w:sz w:val="26"/>
          <w:szCs w:val="26"/>
        </w:rPr>
        <w:t>[T]</w:t>
      </w:r>
      <w:r w:rsidRPr="00324F0A">
        <w:rPr>
          <w:sz w:val="26"/>
          <w:szCs w:val="26"/>
        </w:rPr>
        <w:t>he impact of abandonment would likely: require abandonment of nearly 1,000 families and businesses, increase the energy burden of the abandoned customers by as much as 300%-400%, and deprive low-income or payment-troubled customers of the benefits of the Peoples Companies</w:t>
      </w:r>
      <w:r w:rsidR="00272EEC">
        <w:rPr>
          <w:sz w:val="26"/>
          <w:szCs w:val="26"/>
        </w:rPr>
        <w:t>’</w:t>
      </w:r>
      <w:r w:rsidRPr="00324F0A">
        <w:rPr>
          <w:sz w:val="26"/>
          <w:szCs w:val="26"/>
        </w:rPr>
        <w:t xml:space="preserve"> low-income programs and the Commission</w:t>
      </w:r>
      <w:r w:rsidR="00272EEC">
        <w:rPr>
          <w:sz w:val="26"/>
          <w:szCs w:val="26"/>
        </w:rPr>
        <w:t>’</w:t>
      </w:r>
      <w:r w:rsidRPr="00324F0A">
        <w:rPr>
          <w:sz w:val="26"/>
          <w:szCs w:val="26"/>
        </w:rPr>
        <w:t xml:space="preserve">s service termination protections. </w:t>
      </w:r>
      <w:r w:rsidR="00FA4CE4">
        <w:rPr>
          <w:iCs/>
          <w:sz w:val="26"/>
          <w:szCs w:val="26"/>
        </w:rPr>
        <w:t>(</w:t>
      </w:r>
      <w:r w:rsidRPr="00324F0A">
        <w:rPr>
          <w:i/>
          <w:sz w:val="26"/>
          <w:szCs w:val="26"/>
        </w:rPr>
        <w:t xml:space="preserve">See </w:t>
      </w:r>
      <w:r w:rsidRPr="00324F0A">
        <w:rPr>
          <w:sz w:val="26"/>
          <w:szCs w:val="26"/>
        </w:rPr>
        <w:t>Joint App</w:t>
      </w:r>
      <w:r w:rsidR="00272EEC">
        <w:rPr>
          <w:sz w:val="26"/>
          <w:szCs w:val="26"/>
        </w:rPr>
        <w:t>licants</w:t>
      </w:r>
      <w:r w:rsidRPr="00324F0A">
        <w:rPr>
          <w:sz w:val="26"/>
          <w:szCs w:val="26"/>
        </w:rPr>
        <w:t xml:space="preserve"> St. 5-RJ</w:t>
      </w:r>
      <w:r w:rsidR="00272EEC">
        <w:rPr>
          <w:sz w:val="26"/>
          <w:szCs w:val="26"/>
        </w:rPr>
        <w:t xml:space="preserve"> at</w:t>
      </w:r>
      <w:r w:rsidRPr="00324F0A">
        <w:rPr>
          <w:sz w:val="26"/>
          <w:szCs w:val="26"/>
        </w:rPr>
        <w:t xml:space="preserve"> 2-4; Tr. </w:t>
      </w:r>
      <w:r w:rsidR="00272EEC">
        <w:rPr>
          <w:sz w:val="26"/>
          <w:szCs w:val="26"/>
        </w:rPr>
        <w:t xml:space="preserve">at </w:t>
      </w:r>
      <w:r w:rsidRPr="00324F0A">
        <w:rPr>
          <w:sz w:val="26"/>
          <w:szCs w:val="26"/>
        </w:rPr>
        <w:t>170-172, 173-174.)</w:t>
      </w:r>
    </w:p>
    <w:p w14:paraId="363C6EE9" w14:textId="77777777" w:rsidR="00366111" w:rsidRDefault="00366111" w:rsidP="00B24187">
      <w:pPr>
        <w:widowControl/>
        <w:spacing w:line="360" w:lineRule="auto"/>
        <w:rPr>
          <w:sz w:val="26"/>
          <w:szCs w:val="26"/>
        </w:rPr>
      </w:pPr>
    </w:p>
    <w:p w14:paraId="4777AB33" w14:textId="77777777" w:rsidR="008148F1" w:rsidRDefault="008148F1" w:rsidP="00B24187">
      <w:pPr>
        <w:widowControl/>
        <w:spacing w:line="360" w:lineRule="auto"/>
        <w:rPr>
          <w:sz w:val="26"/>
          <w:szCs w:val="26"/>
        </w:rPr>
      </w:pPr>
      <w:r>
        <w:rPr>
          <w:sz w:val="26"/>
          <w:szCs w:val="26"/>
        </w:rPr>
        <w:t>Joint Applicants’ Statement in Support at 14.</w:t>
      </w:r>
    </w:p>
    <w:p w14:paraId="54EF931A" w14:textId="77777777" w:rsidR="000207D4" w:rsidRDefault="000207D4" w:rsidP="00B24187">
      <w:pPr>
        <w:widowControl/>
        <w:spacing w:line="360" w:lineRule="auto"/>
        <w:rPr>
          <w:sz w:val="26"/>
          <w:szCs w:val="26"/>
        </w:rPr>
      </w:pPr>
    </w:p>
    <w:p w14:paraId="05EB228B" w14:textId="77777777" w:rsidR="000207D4" w:rsidRDefault="006112BA" w:rsidP="00B24187">
      <w:pPr>
        <w:widowControl/>
        <w:spacing w:line="360" w:lineRule="auto"/>
        <w:ind w:firstLine="1440"/>
        <w:rPr>
          <w:sz w:val="26"/>
          <w:szCs w:val="26"/>
        </w:rPr>
      </w:pPr>
      <w:r>
        <w:rPr>
          <w:sz w:val="26"/>
          <w:szCs w:val="26"/>
        </w:rPr>
        <w:t xml:space="preserve">Furthermore, the Settlement provides </w:t>
      </w:r>
      <w:r w:rsidR="00D40E08">
        <w:rPr>
          <w:sz w:val="26"/>
          <w:szCs w:val="26"/>
        </w:rPr>
        <w:t xml:space="preserve">that the </w:t>
      </w:r>
      <w:r w:rsidR="00315E9B">
        <w:rPr>
          <w:sz w:val="26"/>
          <w:szCs w:val="26"/>
        </w:rPr>
        <w:t xml:space="preserve">improvements of the G/T Systems </w:t>
      </w:r>
      <w:r w:rsidR="00D40E08">
        <w:rPr>
          <w:sz w:val="26"/>
          <w:szCs w:val="26"/>
        </w:rPr>
        <w:t>will</w:t>
      </w:r>
      <w:r w:rsidR="00315E9B">
        <w:rPr>
          <w:sz w:val="26"/>
          <w:szCs w:val="26"/>
        </w:rPr>
        <w:t xml:space="preserve"> be subject to the oversight of the Commission’s Gas Safety Division by providing the Gas Safety Division </w:t>
      </w:r>
      <w:r w:rsidR="0098201F">
        <w:rPr>
          <w:sz w:val="26"/>
          <w:szCs w:val="26"/>
        </w:rPr>
        <w:t>with</w:t>
      </w:r>
      <w:r w:rsidR="00315E9B">
        <w:rPr>
          <w:sz w:val="26"/>
          <w:szCs w:val="26"/>
        </w:rPr>
        <w:t xml:space="preserve"> access to the G/T Systems to inspect and monitor their remediation.  This oversight</w:t>
      </w:r>
      <w:r w:rsidR="00327830">
        <w:rPr>
          <w:sz w:val="26"/>
          <w:szCs w:val="26"/>
        </w:rPr>
        <w:t xml:space="preserve"> of the accelerated remediation</w:t>
      </w:r>
      <w:r w:rsidR="00315E9B">
        <w:rPr>
          <w:sz w:val="26"/>
          <w:szCs w:val="26"/>
        </w:rPr>
        <w:t xml:space="preserve"> along</w:t>
      </w:r>
      <w:r w:rsidR="00327830">
        <w:rPr>
          <w:sz w:val="26"/>
          <w:szCs w:val="26"/>
        </w:rPr>
        <w:t xml:space="preserve"> </w:t>
      </w:r>
      <w:r w:rsidR="00D40E08">
        <w:rPr>
          <w:sz w:val="26"/>
          <w:szCs w:val="26"/>
        </w:rPr>
        <w:t xml:space="preserve">with </w:t>
      </w:r>
      <w:r w:rsidR="00327830">
        <w:rPr>
          <w:sz w:val="26"/>
          <w:szCs w:val="26"/>
        </w:rPr>
        <w:t xml:space="preserve">a clear plan for monitoring and reducing UFG levels on the G/T Systems, as provided for in </w:t>
      </w:r>
      <w:r w:rsidR="0098201F">
        <w:rPr>
          <w:sz w:val="26"/>
          <w:szCs w:val="26"/>
        </w:rPr>
        <w:t>P</w:t>
      </w:r>
      <w:r w:rsidR="00327830">
        <w:rPr>
          <w:sz w:val="26"/>
          <w:szCs w:val="26"/>
        </w:rPr>
        <w:t xml:space="preserve">aragraphs 37 through 40 of the Settlement, </w:t>
      </w:r>
      <w:r w:rsidR="00FE361E">
        <w:rPr>
          <w:sz w:val="26"/>
          <w:szCs w:val="26"/>
        </w:rPr>
        <w:t>pro</w:t>
      </w:r>
      <w:r w:rsidR="00D80E0F">
        <w:rPr>
          <w:sz w:val="26"/>
          <w:szCs w:val="26"/>
        </w:rPr>
        <w:t>motes</w:t>
      </w:r>
      <w:r w:rsidR="00FE361E">
        <w:rPr>
          <w:sz w:val="26"/>
          <w:szCs w:val="26"/>
        </w:rPr>
        <w:t xml:space="preserve"> important safety </w:t>
      </w:r>
      <w:r w:rsidR="00D40E08">
        <w:rPr>
          <w:sz w:val="26"/>
          <w:szCs w:val="26"/>
        </w:rPr>
        <w:t>i</w:t>
      </w:r>
      <w:r w:rsidR="00FE361E">
        <w:rPr>
          <w:sz w:val="26"/>
          <w:szCs w:val="26"/>
        </w:rPr>
        <w:t>mprov</w:t>
      </w:r>
      <w:r w:rsidR="00D40E08">
        <w:rPr>
          <w:sz w:val="26"/>
          <w:szCs w:val="26"/>
        </w:rPr>
        <w:t>ements</w:t>
      </w:r>
      <w:r w:rsidR="00FE361E">
        <w:rPr>
          <w:sz w:val="26"/>
          <w:szCs w:val="26"/>
        </w:rPr>
        <w:t xml:space="preserve"> </w:t>
      </w:r>
      <w:r w:rsidR="00D40E08">
        <w:rPr>
          <w:sz w:val="26"/>
          <w:szCs w:val="26"/>
        </w:rPr>
        <w:t>for</w:t>
      </w:r>
      <w:r w:rsidR="00FE361E">
        <w:rPr>
          <w:sz w:val="26"/>
          <w:szCs w:val="26"/>
        </w:rPr>
        <w:t xml:space="preserve"> the Peoples Companies</w:t>
      </w:r>
      <w:r w:rsidR="00F22A54">
        <w:rPr>
          <w:sz w:val="26"/>
          <w:szCs w:val="26"/>
        </w:rPr>
        <w:t>’</w:t>
      </w:r>
      <w:r w:rsidR="00FE361E">
        <w:rPr>
          <w:sz w:val="26"/>
          <w:szCs w:val="26"/>
        </w:rPr>
        <w:t xml:space="preserve"> customers, employees</w:t>
      </w:r>
      <w:r w:rsidR="00F22A54">
        <w:rPr>
          <w:sz w:val="26"/>
          <w:szCs w:val="26"/>
        </w:rPr>
        <w:t>,</w:t>
      </w:r>
      <w:r w:rsidR="00FE361E">
        <w:rPr>
          <w:sz w:val="26"/>
          <w:szCs w:val="26"/>
        </w:rPr>
        <w:t xml:space="preserve"> and the public who interface with the G/T Systems.</w:t>
      </w:r>
    </w:p>
    <w:p w14:paraId="2898D6A9" w14:textId="77777777" w:rsidR="003B2E37" w:rsidRPr="003B2E37" w:rsidRDefault="003B2E37" w:rsidP="00B24187">
      <w:pPr>
        <w:widowControl/>
        <w:spacing w:line="360" w:lineRule="auto"/>
        <w:rPr>
          <w:sz w:val="26"/>
          <w:szCs w:val="26"/>
        </w:rPr>
      </w:pPr>
    </w:p>
    <w:p w14:paraId="0A6FD2A9" w14:textId="77777777" w:rsidR="003A383D" w:rsidRDefault="00C52470" w:rsidP="00B24187">
      <w:pPr>
        <w:widowControl/>
        <w:spacing w:line="360" w:lineRule="auto"/>
        <w:ind w:firstLine="1440"/>
        <w:rPr>
          <w:sz w:val="26"/>
          <w:szCs w:val="26"/>
        </w:rPr>
      </w:pPr>
      <w:r>
        <w:rPr>
          <w:sz w:val="26"/>
          <w:szCs w:val="26"/>
        </w:rPr>
        <w:t xml:space="preserve">We additionally note PIOGA’s shared concern with the Joint Applicants and the OCA that customers served by the G/T Systems </w:t>
      </w:r>
      <w:r w:rsidR="00533B4F">
        <w:rPr>
          <w:sz w:val="26"/>
          <w:szCs w:val="26"/>
        </w:rPr>
        <w:t>are not</w:t>
      </w:r>
      <w:r>
        <w:rPr>
          <w:sz w:val="26"/>
          <w:szCs w:val="26"/>
        </w:rPr>
        <w:t xml:space="preserve"> abandoned.  As stated in PIOGA St</w:t>
      </w:r>
      <w:r w:rsidR="00D75C93">
        <w:rPr>
          <w:sz w:val="26"/>
          <w:szCs w:val="26"/>
        </w:rPr>
        <w:t>atement</w:t>
      </w:r>
      <w:r>
        <w:rPr>
          <w:sz w:val="26"/>
          <w:szCs w:val="26"/>
        </w:rPr>
        <w:t xml:space="preserve"> </w:t>
      </w:r>
      <w:r w:rsidR="004522C1">
        <w:rPr>
          <w:sz w:val="26"/>
          <w:szCs w:val="26"/>
        </w:rPr>
        <w:t>1R:</w:t>
      </w:r>
    </w:p>
    <w:p w14:paraId="7EF158E2" w14:textId="77777777" w:rsidR="004522C1" w:rsidRDefault="004522C1" w:rsidP="00B24187">
      <w:pPr>
        <w:widowControl/>
        <w:spacing w:line="360" w:lineRule="auto"/>
        <w:ind w:firstLine="1440"/>
        <w:rPr>
          <w:sz w:val="26"/>
          <w:szCs w:val="26"/>
        </w:rPr>
      </w:pPr>
    </w:p>
    <w:p w14:paraId="0BEBDED9" w14:textId="77777777" w:rsidR="004522C1" w:rsidRDefault="004522C1" w:rsidP="00B24187">
      <w:pPr>
        <w:widowControl/>
        <w:ind w:left="1440" w:right="1440"/>
        <w:rPr>
          <w:sz w:val="26"/>
          <w:szCs w:val="26"/>
        </w:rPr>
      </w:pPr>
      <w:r>
        <w:rPr>
          <w:sz w:val="26"/>
          <w:szCs w:val="26"/>
        </w:rPr>
        <w:t xml:space="preserve">Even though Peoples has in the past covered the costs of conversion of customers to propane service, the customers are still left with a much higher cost and dangerous energy </w:t>
      </w:r>
      <w:r>
        <w:rPr>
          <w:sz w:val="26"/>
          <w:szCs w:val="26"/>
        </w:rPr>
        <w:lastRenderedPageBreak/>
        <w:t>source, and no PUC protection.  We believe that converting natural gas utility customers sitting on one of the largest sources of gas in the country an</w:t>
      </w:r>
      <w:r w:rsidR="002E43D8">
        <w:rPr>
          <w:sz w:val="26"/>
          <w:szCs w:val="26"/>
        </w:rPr>
        <w:t>d</w:t>
      </w:r>
      <w:r>
        <w:rPr>
          <w:sz w:val="26"/>
          <w:szCs w:val="26"/>
        </w:rPr>
        <w:t xml:space="preserve"> at a time when the horizontal drilling technology has just begun on conventional reservoirs is a bad policy choice that sends a terrible message to the public.</w:t>
      </w:r>
    </w:p>
    <w:p w14:paraId="72D0F156" w14:textId="77777777" w:rsidR="004522C1" w:rsidRDefault="004522C1" w:rsidP="00B24187">
      <w:pPr>
        <w:widowControl/>
        <w:ind w:right="1440"/>
        <w:rPr>
          <w:sz w:val="26"/>
          <w:szCs w:val="26"/>
        </w:rPr>
      </w:pPr>
    </w:p>
    <w:p w14:paraId="54C76D85" w14:textId="77777777" w:rsidR="004522C1" w:rsidRDefault="004522C1" w:rsidP="00B24187">
      <w:pPr>
        <w:widowControl/>
        <w:spacing w:line="360" w:lineRule="auto"/>
        <w:rPr>
          <w:sz w:val="26"/>
          <w:szCs w:val="26"/>
        </w:rPr>
      </w:pPr>
      <w:r>
        <w:rPr>
          <w:sz w:val="26"/>
          <w:szCs w:val="26"/>
        </w:rPr>
        <w:t>PIOGA St. 1R at 5.</w:t>
      </w:r>
      <w:r w:rsidR="00CB48A9">
        <w:rPr>
          <w:sz w:val="26"/>
          <w:szCs w:val="26"/>
        </w:rPr>
        <w:t xml:space="preserve">  Not only does the Settlement address </w:t>
      </w:r>
      <w:r w:rsidR="00457581">
        <w:rPr>
          <w:sz w:val="26"/>
          <w:szCs w:val="26"/>
        </w:rPr>
        <w:t xml:space="preserve">PIOGA’s </w:t>
      </w:r>
      <w:r w:rsidR="00CB48A9">
        <w:rPr>
          <w:sz w:val="26"/>
          <w:szCs w:val="26"/>
        </w:rPr>
        <w:t xml:space="preserve">customer abandonment concerns, but </w:t>
      </w:r>
      <w:r w:rsidR="004E0B43">
        <w:rPr>
          <w:sz w:val="26"/>
          <w:szCs w:val="26"/>
        </w:rPr>
        <w:t>it also addresses PIOGA’s</w:t>
      </w:r>
      <w:r w:rsidR="00CB48A9">
        <w:rPr>
          <w:sz w:val="26"/>
          <w:szCs w:val="26"/>
        </w:rPr>
        <w:t xml:space="preserve"> concern </w:t>
      </w:r>
      <w:r w:rsidR="004E0B43">
        <w:rPr>
          <w:sz w:val="26"/>
          <w:szCs w:val="26"/>
        </w:rPr>
        <w:t>about</w:t>
      </w:r>
      <w:r w:rsidR="00CB48A9">
        <w:rPr>
          <w:sz w:val="26"/>
          <w:szCs w:val="26"/>
        </w:rPr>
        <w:t xml:space="preserve"> the retainage rate on the G/T Systems, resulting from the historically high levels of UFG</w:t>
      </w:r>
      <w:r w:rsidR="0048715F">
        <w:rPr>
          <w:sz w:val="26"/>
          <w:szCs w:val="26"/>
        </w:rPr>
        <w:t>.  PIOGA expresses its support f</w:t>
      </w:r>
      <w:r w:rsidR="00D80E0F">
        <w:rPr>
          <w:sz w:val="26"/>
          <w:szCs w:val="26"/>
        </w:rPr>
        <w:t>or</w:t>
      </w:r>
      <w:r w:rsidR="0048715F">
        <w:rPr>
          <w:sz w:val="26"/>
          <w:szCs w:val="26"/>
        </w:rPr>
        <w:t xml:space="preserve"> Paragraph 36 of the Settlement, which addresses this concern by effectuating a consistently decreasing retainage rate</w:t>
      </w:r>
      <w:r w:rsidR="00444034">
        <w:rPr>
          <w:sz w:val="26"/>
          <w:szCs w:val="26"/>
        </w:rPr>
        <w:t>:</w:t>
      </w:r>
    </w:p>
    <w:p w14:paraId="01C17C22" w14:textId="77777777" w:rsidR="00444034" w:rsidRDefault="00444034" w:rsidP="00B24187">
      <w:pPr>
        <w:widowControl/>
        <w:spacing w:line="360" w:lineRule="auto"/>
        <w:rPr>
          <w:sz w:val="26"/>
          <w:szCs w:val="26"/>
        </w:rPr>
      </w:pPr>
    </w:p>
    <w:p w14:paraId="76C3DEA5" w14:textId="77777777" w:rsidR="00444034" w:rsidRPr="00444034" w:rsidRDefault="00444034" w:rsidP="00B24187">
      <w:pPr>
        <w:widowControl/>
        <w:ind w:left="1440" w:right="1440" w:firstLine="720"/>
        <w:rPr>
          <w:sz w:val="26"/>
          <w:szCs w:val="26"/>
        </w:rPr>
      </w:pPr>
      <w:r w:rsidRPr="00444034">
        <w:rPr>
          <w:sz w:val="26"/>
          <w:szCs w:val="26"/>
        </w:rPr>
        <w:t>Enabling Goodwin producers to receive payment for more of their natural gas by paying lower retainage will put more money into the producers</w:t>
      </w:r>
      <w:r w:rsidR="0098432B">
        <w:rPr>
          <w:sz w:val="26"/>
          <w:szCs w:val="26"/>
        </w:rPr>
        <w:t>’</w:t>
      </w:r>
      <w:r w:rsidRPr="00444034">
        <w:rPr>
          <w:sz w:val="26"/>
          <w:szCs w:val="26"/>
        </w:rPr>
        <w:t xml:space="preserve"> pockets and thereby help to ensure that they can continue to produce gas, maintain a level of employment for well tenders, generate income and tax revenues for the Commonwealth, and provide money for additional investment.</w:t>
      </w:r>
      <w:r w:rsidRPr="00444034">
        <w:rPr>
          <w:sz w:val="26"/>
          <w:szCs w:val="26"/>
          <w:vertAlign w:val="superscript"/>
        </w:rPr>
        <w:t>7</w:t>
      </w:r>
      <w:r w:rsidRPr="00444034">
        <w:rPr>
          <w:sz w:val="26"/>
          <w:szCs w:val="26"/>
        </w:rPr>
        <w:t xml:space="preserve"> </w:t>
      </w:r>
      <w:r w:rsidR="0098432B">
        <w:rPr>
          <w:sz w:val="26"/>
          <w:szCs w:val="26"/>
        </w:rPr>
        <w:t xml:space="preserve"> </w:t>
      </w:r>
      <w:r w:rsidRPr="00444034">
        <w:rPr>
          <w:sz w:val="26"/>
          <w:szCs w:val="26"/>
        </w:rPr>
        <w:t>While the current remediation plan doesn</w:t>
      </w:r>
      <w:r w:rsidR="0098432B">
        <w:rPr>
          <w:sz w:val="26"/>
          <w:szCs w:val="26"/>
        </w:rPr>
        <w:t>’</w:t>
      </w:r>
      <w:r w:rsidRPr="00444034">
        <w:rPr>
          <w:sz w:val="26"/>
          <w:szCs w:val="26"/>
        </w:rPr>
        <w:t xml:space="preserve">t provide for new pipeline capable of transporting natural gas produced from unconventional formations </w:t>
      </w:r>
      <w:r w:rsidRPr="00444034">
        <w:rPr>
          <w:i/>
          <w:sz w:val="26"/>
          <w:szCs w:val="26"/>
        </w:rPr>
        <w:t xml:space="preserve">(e.g., </w:t>
      </w:r>
      <w:r w:rsidRPr="00444034">
        <w:rPr>
          <w:sz w:val="26"/>
          <w:szCs w:val="26"/>
        </w:rPr>
        <w:t>Marcellus and Utica shale) underlying the Goodwin system area, there are opportunities for additional supply from</w:t>
      </w:r>
      <w:r>
        <w:rPr>
          <w:sz w:val="26"/>
          <w:szCs w:val="26"/>
        </w:rPr>
        <w:t xml:space="preserve"> </w:t>
      </w:r>
      <w:r w:rsidRPr="00444034">
        <w:rPr>
          <w:sz w:val="26"/>
          <w:szCs w:val="26"/>
        </w:rPr>
        <w:t>conventional production directly into Goodwin that would be enabled (due to improved economics) by remediation of Goodwin and reducing the producer retainage rate.</w:t>
      </w:r>
      <w:r w:rsidRPr="00444034">
        <w:rPr>
          <w:sz w:val="26"/>
          <w:szCs w:val="26"/>
          <w:vertAlign w:val="superscript"/>
        </w:rPr>
        <w:t>9</w:t>
      </w:r>
      <w:r w:rsidRPr="00444034">
        <w:rPr>
          <w:sz w:val="26"/>
          <w:szCs w:val="26"/>
        </w:rPr>
        <w:t xml:space="preserve"> </w:t>
      </w:r>
    </w:p>
    <w:p w14:paraId="534145EC" w14:textId="77777777" w:rsidR="00444034" w:rsidRDefault="00444034" w:rsidP="00B24187">
      <w:pPr>
        <w:widowControl/>
        <w:ind w:left="1440" w:right="1440"/>
        <w:rPr>
          <w:sz w:val="26"/>
          <w:szCs w:val="26"/>
        </w:rPr>
      </w:pPr>
    </w:p>
    <w:p w14:paraId="0A244162" w14:textId="77777777" w:rsidR="00444034" w:rsidRPr="00444034" w:rsidRDefault="00444034" w:rsidP="00B24187">
      <w:pPr>
        <w:widowControl/>
        <w:ind w:left="1440" w:right="1440" w:firstLine="720"/>
        <w:rPr>
          <w:sz w:val="26"/>
          <w:szCs w:val="26"/>
        </w:rPr>
      </w:pPr>
      <w:r w:rsidRPr="00444034">
        <w:rPr>
          <w:sz w:val="26"/>
          <w:szCs w:val="26"/>
        </w:rPr>
        <w:t>Accordingly, in PIOGA</w:t>
      </w:r>
      <w:r w:rsidR="00CB68A5">
        <w:rPr>
          <w:sz w:val="26"/>
          <w:szCs w:val="26"/>
        </w:rPr>
        <w:t>’</w:t>
      </w:r>
      <w:r w:rsidRPr="00444034">
        <w:rPr>
          <w:sz w:val="26"/>
          <w:szCs w:val="26"/>
        </w:rPr>
        <w:t xml:space="preserve"> s view the Settlement provisions described above concerning the Goodwin and Tombaugh systems provide substantial affirmative public benefits — in addition to the public benefits provided by other Settlement provisions — through maintaining, and providing for increased, production of conventional Pennsylvania natural gas and the resulting multiple beneficial effects flowing both within and beyond the industry.</w:t>
      </w:r>
    </w:p>
    <w:p w14:paraId="2BED0D7E" w14:textId="77777777" w:rsidR="00444034" w:rsidRDefault="00444034" w:rsidP="00B24187">
      <w:pPr>
        <w:widowControl/>
        <w:spacing w:line="360" w:lineRule="auto"/>
        <w:rPr>
          <w:sz w:val="26"/>
          <w:szCs w:val="26"/>
        </w:rPr>
      </w:pPr>
    </w:p>
    <w:p w14:paraId="402B59CA" w14:textId="77777777" w:rsidR="00CB48A9" w:rsidRDefault="00444034" w:rsidP="00B24187">
      <w:pPr>
        <w:widowControl/>
        <w:spacing w:line="360" w:lineRule="auto"/>
        <w:rPr>
          <w:sz w:val="26"/>
          <w:szCs w:val="26"/>
        </w:rPr>
      </w:pPr>
      <w:r>
        <w:rPr>
          <w:sz w:val="26"/>
          <w:szCs w:val="26"/>
        </w:rPr>
        <w:t>PIOGA’s Statement in Support at 4-5.</w:t>
      </w:r>
      <w:r w:rsidR="00E007D4">
        <w:rPr>
          <w:sz w:val="26"/>
          <w:szCs w:val="26"/>
        </w:rPr>
        <w:t xml:space="preserve">  </w:t>
      </w:r>
    </w:p>
    <w:p w14:paraId="5A206B01" w14:textId="77777777" w:rsidR="00CB48A9" w:rsidRDefault="00CB48A9" w:rsidP="00B24187">
      <w:pPr>
        <w:widowControl/>
        <w:spacing w:line="360" w:lineRule="auto"/>
        <w:rPr>
          <w:sz w:val="26"/>
          <w:szCs w:val="26"/>
        </w:rPr>
      </w:pPr>
    </w:p>
    <w:p w14:paraId="28B5F04A" w14:textId="77777777" w:rsidR="000B2F37" w:rsidRDefault="007B2BAC" w:rsidP="00B24187">
      <w:pPr>
        <w:widowControl/>
        <w:spacing w:line="360" w:lineRule="auto"/>
        <w:ind w:firstLine="1440"/>
        <w:rPr>
          <w:sz w:val="26"/>
          <w:szCs w:val="26"/>
        </w:rPr>
      </w:pPr>
      <w:r>
        <w:rPr>
          <w:sz w:val="26"/>
          <w:szCs w:val="26"/>
        </w:rPr>
        <w:lastRenderedPageBreak/>
        <w:t>Moreover, we find</w:t>
      </w:r>
      <w:r w:rsidR="00D80E0F">
        <w:rPr>
          <w:sz w:val="26"/>
          <w:szCs w:val="26"/>
        </w:rPr>
        <w:t xml:space="preserve"> that</w:t>
      </w:r>
      <w:r>
        <w:rPr>
          <w:sz w:val="26"/>
          <w:szCs w:val="26"/>
        </w:rPr>
        <w:t xml:space="preserve"> the cost to customers </w:t>
      </w:r>
      <w:r w:rsidR="00CC7AFA">
        <w:rPr>
          <w:sz w:val="26"/>
          <w:szCs w:val="26"/>
        </w:rPr>
        <w:t>due to</w:t>
      </w:r>
      <w:r>
        <w:rPr>
          <w:sz w:val="26"/>
          <w:szCs w:val="26"/>
        </w:rPr>
        <w:t xml:space="preserve"> the G/T Systems’ remediation as provided for in the Settlement, </w:t>
      </w:r>
      <w:r w:rsidRPr="007B2BAC">
        <w:rPr>
          <w:sz w:val="26"/>
          <w:szCs w:val="26"/>
        </w:rPr>
        <w:t>ultimately</w:t>
      </w:r>
      <w:r>
        <w:rPr>
          <w:sz w:val="26"/>
          <w:szCs w:val="26"/>
        </w:rPr>
        <w:t xml:space="preserve"> projected to</w:t>
      </w:r>
      <w:r w:rsidRPr="007B2BAC">
        <w:rPr>
          <w:sz w:val="26"/>
          <w:szCs w:val="26"/>
        </w:rPr>
        <w:t xml:space="preserve"> </w:t>
      </w:r>
      <w:r w:rsidR="00FF3E78">
        <w:rPr>
          <w:sz w:val="26"/>
          <w:szCs w:val="26"/>
        </w:rPr>
        <w:t xml:space="preserve">possibly </w:t>
      </w:r>
      <w:r w:rsidRPr="007B2BAC">
        <w:rPr>
          <w:sz w:val="26"/>
          <w:szCs w:val="26"/>
        </w:rPr>
        <w:t>increas</w:t>
      </w:r>
      <w:r>
        <w:rPr>
          <w:sz w:val="26"/>
          <w:szCs w:val="26"/>
        </w:rPr>
        <w:t>e</w:t>
      </w:r>
      <w:r w:rsidRPr="007B2BAC">
        <w:rPr>
          <w:sz w:val="26"/>
          <w:szCs w:val="26"/>
        </w:rPr>
        <w:t xml:space="preserve"> the monthly bill of the average Peoples</w:t>
      </w:r>
      <w:r>
        <w:rPr>
          <w:sz w:val="26"/>
          <w:szCs w:val="26"/>
        </w:rPr>
        <w:t xml:space="preserve"> Natural Gas</w:t>
      </w:r>
      <w:r w:rsidRPr="007B2BAC">
        <w:rPr>
          <w:sz w:val="26"/>
          <w:szCs w:val="26"/>
        </w:rPr>
        <w:t xml:space="preserve"> residential customer by approximately 1%, or $1 per month</w:t>
      </w:r>
      <w:r w:rsidR="005625AC">
        <w:rPr>
          <w:sz w:val="26"/>
          <w:szCs w:val="26"/>
        </w:rPr>
        <w:t xml:space="preserve">, </w:t>
      </w:r>
      <w:r w:rsidR="00FF3E78">
        <w:rPr>
          <w:sz w:val="26"/>
          <w:szCs w:val="26"/>
        </w:rPr>
        <w:t xml:space="preserve">along with the $13 million rate credit to existing customers to partially offset costs associated with remediation, </w:t>
      </w:r>
      <w:r w:rsidR="00211BE8">
        <w:rPr>
          <w:sz w:val="26"/>
          <w:szCs w:val="26"/>
        </w:rPr>
        <w:t xml:space="preserve">justifies ensuring that these residential customers and local businesses on the G/T Systems continue to receive low cost gas service, reducing the high </w:t>
      </w:r>
      <w:r w:rsidR="00630D10">
        <w:rPr>
          <w:sz w:val="26"/>
          <w:szCs w:val="26"/>
        </w:rPr>
        <w:t xml:space="preserve">UFG levels, and improving the system from a gas safety perspective by replacing all the bare steel lines on an accelerated basis.  </w:t>
      </w:r>
    </w:p>
    <w:p w14:paraId="66D00213" w14:textId="77777777" w:rsidR="00887E45" w:rsidRDefault="00887E45" w:rsidP="00B24187">
      <w:pPr>
        <w:widowControl/>
        <w:spacing w:line="360" w:lineRule="auto"/>
        <w:ind w:firstLine="1440"/>
        <w:rPr>
          <w:sz w:val="26"/>
          <w:szCs w:val="26"/>
        </w:rPr>
      </w:pPr>
    </w:p>
    <w:p w14:paraId="54EC7FC6" w14:textId="12C44BA4" w:rsidR="00887E45" w:rsidRDefault="00887E45" w:rsidP="00B24187">
      <w:pPr>
        <w:widowControl/>
        <w:spacing w:line="360" w:lineRule="auto"/>
        <w:ind w:firstLine="1440"/>
        <w:rPr>
          <w:rFonts w:eastAsia="SimSun"/>
          <w:sz w:val="26"/>
          <w:szCs w:val="26"/>
        </w:rPr>
      </w:pPr>
      <w:r>
        <w:rPr>
          <w:rFonts w:eastAsia="SimSun"/>
          <w:sz w:val="26"/>
          <w:szCs w:val="26"/>
        </w:rPr>
        <w:t xml:space="preserve">However, an issue remains related to the timing of the implementation of the $13 million rate credit.  The Settlement states that the rate credit will appear on customer bills before the end of 2019.  However, the Proposed Transaction did not receive the Commission’s approval in 2019.  No Party addressed this implementation timing issue.  Given our finding above that the $13 million rate credit constitutes an affirmative public benefit, we direct that it appear on customer bills within a prompt and reasonable time period following the closing date of the Proposed Transaction, but in no event later than the end of the year in which the Proposed Transaction is closed.  </w:t>
      </w:r>
      <w:r w:rsidR="00855C00">
        <w:rPr>
          <w:rFonts w:eastAsia="SimSun"/>
          <w:sz w:val="26"/>
          <w:szCs w:val="26"/>
        </w:rPr>
        <w:t xml:space="preserve">We also direct that the Joint Applicants notify </w:t>
      </w:r>
      <w:bookmarkStart w:id="70" w:name="_Hlk28610918"/>
      <w:r w:rsidR="00855C00">
        <w:rPr>
          <w:rFonts w:eastAsia="SimSun"/>
          <w:sz w:val="26"/>
          <w:szCs w:val="26"/>
        </w:rPr>
        <w:t>the Commission’s Secretary when the rate credit begins appearing on customers’ bills</w:t>
      </w:r>
      <w:bookmarkEnd w:id="70"/>
      <w:r w:rsidR="00855C00">
        <w:rPr>
          <w:rFonts w:eastAsia="SimSun"/>
          <w:sz w:val="26"/>
          <w:szCs w:val="26"/>
        </w:rPr>
        <w:t xml:space="preserve">.  </w:t>
      </w:r>
      <w:r>
        <w:rPr>
          <w:rFonts w:eastAsia="SimSun"/>
          <w:sz w:val="26"/>
          <w:szCs w:val="26"/>
        </w:rPr>
        <w:t xml:space="preserve">Thus, we will condition our approval of this Settlement provision accordingly, consistent with the following modification to </w:t>
      </w:r>
      <w:r w:rsidR="00D36E6F">
        <w:rPr>
          <w:rFonts w:eastAsia="SimSun"/>
          <w:sz w:val="26"/>
          <w:szCs w:val="26"/>
        </w:rPr>
        <w:t xml:space="preserve">the end of </w:t>
      </w:r>
      <w:r w:rsidR="00370AA2">
        <w:rPr>
          <w:rFonts w:eastAsia="SimSun"/>
          <w:sz w:val="26"/>
          <w:szCs w:val="26"/>
        </w:rPr>
        <w:t>Paragraph</w:t>
      </w:r>
      <w:r>
        <w:rPr>
          <w:rFonts w:eastAsia="SimSun"/>
          <w:sz w:val="26"/>
          <w:szCs w:val="26"/>
        </w:rPr>
        <w:t xml:space="preserve"> 33, as shown below: </w:t>
      </w:r>
    </w:p>
    <w:p w14:paraId="0FEEA5DA" w14:textId="77777777" w:rsidR="00887E45" w:rsidRDefault="00887E45" w:rsidP="00B24187">
      <w:pPr>
        <w:widowControl/>
        <w:ind w:left="1440" w:right="1440"/>
        <w:rPr>
          <w:sz w:val="26"/>
          <w:szCs w:val="26"/>
        </w:rPr>
      </w:pPr>
    </w:p>
    <w:p w14:paraId="515D4448" w14:textId="63BDF4A4" w:rsidR="001855DA" w:rsidRDefault="001855DA" w:rsidP="00B24187">
      <w:pPr>
        <w:widowControl/>
        <w:ind w:left="1440" w:right="1440"/>
        <w:rPr>
          <w:sz w:val="26"/>
          <w:szCs w:val="26"/>
        </w:rPr>
      </w:pPr>
      <w:r>
        <w:rPr>
          <w:sz w:val="26"/>
          <w:szCs w:val="26"/>
        </w:rPr>
        <w:t>33.</w:t>
      </w:r>
      <w:r>
        <w:rPr>
          <w:sz w:val="26"/>
          <w:szCs w:val="26"/>
        </w:rPr>
        <w:tab/>
      </w:r>
      <w:r w:rsidR="005E2F6A">
        <w:rPr>
          <w:sz w:val="26"/>
          <w:szCs w:val="26"/>
        </w:rPr>
        <w:t>….</w:t>
      </w:r>
      <w:r w:rsidR="00710C02">
        <w:rPr>
          <w:sz w:val="26"/>
          <w:szCs w:val="26"/>
        </w:rPr>
        <w:t xml:space="preserve"> </w:t>
      </w:r>
      <w:r w:rsidRPr="001A3239">
        <w:rPr>
          <w:sz w:val="26"/>
          <w:szCs w:val="26"/>
        </w:rPr>
        <w:t xml:space="preserve">Regardless of the actual capital spent to rehabilitate the systems, Aqua America agrees to provide all Peoples Companies’ customers a rate credit of $13 million. </w:t>
      </w:r>
      <w:r>
        <w:rPr>
          <w:sz w:val="26"/>
          <w:szCs w:val="26"/>
        </w:rPr>
        <w:t xml:space="preserve"> </w:t>
      </w:r>
      <w:r w:rsidRPr="001A3239">
        <w:rPr>
          <w:sz w:val="26"/>
          <w:szCs w:val="26"/>
        </w:rPr>
        <w:t xml:space="preserve">The rate credit will appear on the Peoples Companies’ customers’ bills </w:t>
      </w:r>
      <w:r w:rsidR="007C35A6" w:rsidRPr="007C35A6">
        <w:rPr>
          <w:strike/>
          <w:sz w:val="26"/>
          <w:szCs w:val="26"/>
        </w:rPr>
        <w:t>before the end of 2019</w:t>
      </w:r>
      <w:r w:rsidR="007C35A6">
        <w:rPr>
          <w:sz w:val="26"/>
          <w:szCs w:val="26"/>
        </w:rPr>
        <w:t xml:space="preserve"> </w:t>
      </w:r>
      <w:r w:rsidRPr="001855DA">
        <w:rPr>
          <w:sz w:val="26"/>
          <w:szCs w:val="26"/>
          <w:u w:val="single"/>
        </w:rPr>
        <w:t>within a prompt and reasonable time period following the closing date of the Proposed Transaction, but in n</w:t>
      </w:r>
      <w:r w:rsidR="00105F04">
        <w:rPr>
          <w:sz w:val="26"/>
          <w:szCs w:val="26"/>
          <w:u w:val="single"/>
        </w:rPr>
        <w:t>o</w:t>
      </w:r>
      <w:r w:rsidRPr="001855DA">
        <w:rPr>
          <w:sz w:val="26"/>
          <w:szCs w:val="26"/>
          <w:u w:val="single"/>
        </w:rPr>
        <w:t xml:space="preserve"> event later than the end of the year in which the Proposed Transaction is closed</w:t>
      </w:r>
      <w:r w:rsidRPr="00BF6618">
        <w:rPr>
          <w:sz w:val="26"/>
          <w:szCs w:val="26"/>
          <w:u w:val="single"/>
        </w:rPr>
        <w:t>.</w:t>
      </w:r>
      <w:r w:rsidR="00BF6618" w:rsidRPr="00BF6618">
        <w:rPr>
          <w:sz w:val="26"/>
          <w:szCs w:val="26"/>
          <w:u w:val="single"/>
        </w:rPr>
        <w:t xml:space="preserve">  </w:t>
      </w:r>
      <w:bookmarkStart w:id="71" w:name="_Hlk28619032"/>
      <w:r w:rsidR="00BF6618" w:rsidRPr="00BF6618">
        <w:rPr>
          <w:sz w:val="26"/>
          <w:szCs w:val="26"/>
          <w:u w:val="single"/>
        </w:rPr>
        <w:t xml:space="preserve">The Joint Applicants will </w:t>
      </w:r>
      <w:r w:rsidR="004A0D80">
        <w:rPr>
          <w:sz w:val="26"/>
          <w:szCs w:val="26"/>
          <w:u w:val="single"/>
        </w:rPr>
        <w:t xml:space="preserve">file a written </w:t>
      </w:r>
      <w:r w:rsidR="00BF6618" w:rsidRPr="00BF6618">
        <w:rPr>
          <w:sz w:val="26"/>
          <w:szCs w:val="26"/>
          <w:u w:val="single"/>
        </w:rPr>
        <w:t>notif</w:t>
      </w:r>
      <w:r w:rsidR="004A0D80">
        <w:rPr>
          <w:sz w:val="26"/>
          <w:szCs w:val="26"/>
          <w:u w:val="single"/>
        </w:rPr>
        <w:t>ication with</w:t>
      </w:r>
      <w:r w:rsidR="00BF6618" w:rsidRPr="00BF6618">
        <w:rPr>
          <w:sz w:val="26"/>
          <w:szCs w:val="26"/>
          <w:u w:val="single"/>
        </w:rPr>
        <w:t xml:space="preserve"> the </w:t>
      </w:r>
      <w:r w:rsidR="00BF6618" w:rsidRPr="00BF6618">
        <w:rPr>
          <w:rFonts w:eastAsia="SimSun"/>
          <w:sz w:val="26"/>
          <w:szCs w:val="26"/>
          <w:u w:val="single"/>
        </w:rPr>
        <w:lastRenderedPageBreak/>
        <w:t xml:space="preserve">Commission’s Secretary </w:t>
      </w:r>
      <w:r w:rsidR="004A0D80">
        <w:rPr>
          <w:rFonts w:eastAsia="SimSun"/>
          <w:sz w:val="26"/>
          <w:szCs w:val="26"/>
          <w:u w:val="single"/>
        </w:rPr>
        <w:t xml:space="preserve">to inform the Commission </w:t>
      </w:r>
      <w:r w:rsidR="00BF6618" w:rsidRPr="00BF6618">
        <w:rPr>
          <w:rFonts w:eastAsia="SimSun"/>
          <w:sz w:val="26"/>
          <w:szCs w:val="26"/>
          <w:u w:val="single"/>
        </w:rPr>
        <w:t>when the rate credit begins appearing on customers’ bills.</w:t>
      </w:r>
    </w:p>
    <w:bookmarkEnd w:id="71"/>
    <w:p w14:paraId="02115ED1" w14:textId="77777777" w:rsidR="00887E45" w:rsidRDefault="00887E45" w:rsidP="00B24187">
      <w:pPr>
        <w:widowControl/>
        <w:spacing w:line="360" w:lineRule="auto"/>
        <w:rPr>
          <w:sz w:val="26"/>
          <w:szCs w:val="26"/>
        </w:rPr>
      </w:pPr>
    </w:p>
    <w:p w14:paraId="6F6F378A" w14:textId="77777777" w:rsidR="00936653" w:rsidRDefault="00693727" w:rsidP="00B24187">
      <w:pPr>
        <w:widowControl/>
        <w:spacing w:line="360" w:lineRule="auto"/>
        <w:ind w:firstLine="1440"/>
        <w:rPr>
          <w:sz w:val="26"/>
          <w:szCs w:val="26"/>
        </w:rPr>
      </w:pPr>
      <w:r w:rsidRPr="0078170E">
        <w:rPr>
          <w:sz w:val="26"/>
          <w:szCs w:val="26"/>
        </w:rPr>
        <w:t xml:space="preserve">We conclude that </w:t>
      </w:r>
      <w:r>
        <w:rPr>
          <w:sz w:val="26"/>
          <w:szCs w:val="26"/>
        </w:rPr>
        <w:t xml:space="preserve">the ALJ properly </w:t>
      </w:r>
      <w:r w:rsidR="006D4775">
        <w:rPr>
          <w:sz w:val="26"/>
          <w:szCs w:val="26"/>
        </w:rPr>
        <w:t>examined</w:t>
      </w:r>
      <w:r>
        <w:rPr>
          <w:sz w:val="26"/>
          <w:szCs w:val="26"/>
        </w:rPr>
        <w:t xml:space="preserve"> the totality of benefits and possible negative effects as they may impact all affected parties.</w:t>
      </w:r>
      <w:r w:rsidR="00374407">
        <w:rPr>
          <w:sz w:val="26"/>
          <w:szCs w:val="26"/>
        </w:rPr>
        <w:t xml:space="preserve">  As such, we are in agreement with the ALJ’s analysis that the burden on the customers who would otherwise be abandoned far outweighs the impact of socializing these costs among the Peoples Companies ratepayers.  Therefore, we find that the Settlement terms which call for the replacement of the G/T Systems in the next seven years are a significant public benefit, contribut</w:t>
      </w:r>
      <w:r w:rsidR="00E260DF">
        <w:rPr>
          <w:sz w:val="26"/>
          <w:szCs w:val="26"/>
        </w:rPr>
        <w:t>ing</w:t>
      </w:r>
      <w:r w:rsidR="00374407">
        <w:rPr>
          <w:sz w:val="26"/>
          <w:szCs w:val="26"/>
        </w:rPr>
        <w:t xml:space="preserve"> to the </w:t>
      </w:r>
      <w:r w:rsidR="00E260DF">
        <w:rPr>
          <w:sz w:val="26"/>
          <w:szCs w:val="26"/>
        </w:rPr>
        <w:t xml:space="preserve">overall </w:t>
      </w:r>
      <w:r w:rsidR="00374407">
        <w:rPr>
          <w:sz w:val="26"/>
          <w:szCs w:val="26"/>
        </w:rPr>
        <w:t>goal of the Proposed Transaction, as modified by the Settlement,</w:t>
      </w:r>
      <w:r w:rsidR="00AF3C97">
        <w:rPr>
          <w:sz w:val="26"/>
          <w:szCs w:val="26"/>
        </w:rPr>
        <w:t xml:space="preserve"> to affirmatively promote the service accommodation, convenience or safety of the public in a substantial manner, as required by </w:t>
      </w:r>
      <w:r w:rsidR="00AF3C97" w:rsidRPr="00AF3C97">
        <w:rPr>
          <w:i/>
          <w:iCs/>
          <w:sz w:val="26"/>
          <w:szCs w:val="26"/>
        </w:rPr>
        <w:t>City of York.</w:t>
      </w:r>
      <w:r w:rsidR="00AB789B">
        <w:rPr>
          <w:i/>
          <w:iCs/>
          <w:sz w:val="26"/>
          <w:szCs w:val="26"/>
        </w:rPr>
        <w:t xml:space="preserve">  </w:t>
      </w:r>
      <w:r w:rsidR="00936653">
        <w:rPr>
          <w:sz w:val="26"/>
          <w:szCs w:val="26"/>
        </w:rPr>
        <w:t>For the above reasons, I&amp;E Exception No. 2 and the OSBA’s Exception</w:t>
      </w:r>
      <w:r w:rsidR="0078060E">
        <w:rPr>
          <w:sz w:val="26"/>
          <w:szCs w:val="26"/>
        </w:rPr>
        <w:t>s</w:t>
      </w:r>
      <w:r w:rsidR="00936653">
        <w:rPr>
          <w:sz w:val="26"/>
          <w:szCs w:val="26"/>
        </w:rPr>
        <w:t xml:space="preserve"> Nos. 5, 6, and 8 are denied.</w:t>
      </w:r>
    </w:p>
    <w:p w14:paraId="18B28B25" w14:textId="77777777" w:rsidR="00DD7777" w:rsidRPr="00201E09" w:rsidRDefault="00DD7777" w:rsidP="00B24187">
      <w:pPr>
        <w:widowControl/>
        <w:spacing w:line="360" w:lineRule="auto"/>
        <w:rPr>
          <w:sz w:val="26"/>
          <w:szCs w:val="26"/>
        </w:rPr>
      </w:pPr>
    </w:p>
    <w:p w14:paraId="1490C51D" w14:textId="77777777" w:rsidR="00F44796" w:rsidRPr="009163C5" w:rsidRDefault="00F44796" w:rsidP="006D2898">
      <w:pPr>
        <w:pStyle w:val="Heading4"/>
        <w:widowControl/>
        <w:spacing w:line="240" w:lineRule="auto"/>
        <w:ind w:left="2160" w:hanging="720"/>
      </w:pPr>
      <w:bookmarkStart w:id="72" w:name="_Toc29278200"/>
      <w:r w:rsidRPr="009163C5">
        <w:t>OSBA Exception No. 9</w:t>
      </w:r>
      <w:r w:rsidR="00420952" w:rsidRPr="009163C5">
        <w:t>, Replies</w:t>
      </w:r>
      <w:r w:rsidR="009163C5">
        <w:t xml:space="preserve"> of the Joint Applicants and the OCA</w:t>
      </w:r>
      <w:r w:rsidR="00420952" w:rsidRPr="009163C5">
        <w:t>, and Disposition</w:t>
      </w:r>
      <w:bookmarkEnd w:id="72"/>
    </w:p>
    <w:p w14:paraId="10E6A5A1" w14:textId="77777777" w:rsidR="00F91647" w:rsidRDefault="00F91647" w:rsidP="006D2898">
      <w:pPr>
        <w:pStyle w:val="ListParagraph"/>
        <w:keepNext/>
        <w:widowControl/>
        <w:spacing w:line="360" w:lineRule="auto"/>
        <w:ind w:left="0" w:firstLine="1440"/>
        <w:rPr>
          <w:b/>
          <w:bCs/>
          <w:sz w:val="26"/>
          <w:szCs w:val="26"/>
        </w:rPr>
      </w:pPr>
    </w:p>
    <w:p w14:paraId="7B6CDEE3" w14:textId="77777777" w:rsidR="00DA7794" w:rsidRDefault="00DA7794" w:rsidP="006D2898">
      <w:pPr>
        <w:pStyle w:val="ListParagraph"/>
        <w:keepNext/>
        <w:widowControl/>
        <w:ind w:left="2880" w:hanging="720"/>
        <w:rPr>
          <w:b/>
          <w:bCs/>
          <w:sz w:val="26"/>
          <w:szCs w:val="26"/>
        </w:rPr>
      </w:pPr>
      <w:r>
        <w:rPr>
          <w:b/>
          <w:bCs/>
          <w:sz w:val="26"/>
          <w:szCs w:val="26"/>
        </w:rPr>
        <w:t>(1)</w:t>
      </w:r>
      <w:r>
        <w:rPr>
          <w:b/>
          <w:bCs/>
          <w:sz w:val="26"/>
          <w:szCs w:val="26"/>
        </w:rPr>
        <w:tab/>
      </w:r>
      <w:r w:rsidRPr="009163C5">
        <w:rPr>
          <w:b/>
          <w:bCs/>
          <w:sz w:val="26"/>
          <w:szCs w:val="26"/>
        </w:rPr>
        <w:t>OSBA Exception No. 9</w:t>
      </w:r>
      <w:r w:rsidR="003D3ACE">
        <w:rPr>
          <w:b/>
          <w:bCs/>
          <w:sz w:val="26"/>
          <w:szCs w:val="26"/>
        </w:rPr>
        <w:t>,</w:t>
      </w:r>
      <w:r w:rsidR="00C34035">
        <w:rPr>
          <w:b/>
          <w:bCs/>
          <w:sz w:val="26"/>
          <w:szCs w:val="26"/>
        </w:rPr>
        <w:t xml:space="preserve"> and</w:t>
      </w:r>
      <w:r w:rsidRPr="009163C5">
        <w:rPr>
          <w:b/>
          <w:bCs/>
          <w:sz w:val="26"/>
          <w:szCs w:val="26"/>
        </w:rPr>
        <w:t xml:space="preserve"> Replies</w:t>
      </w:r>
      <w:r>
        <w:rPr>
          <w:b/>
          <w:bCs/>
          <w:sz w:val="26"/>
          <w:szCs w:val="26"/>
        </w:rPr>
        <w:t xml:space="preserve"> of the Joint Applicants and the OCA</w:t>
      </w:r>
    </w:p>
    <w:p w14:paraId="1AAF9CA8" w14:textId="77777777" w:rsidR="00DA7794" w:rsidRDefault="00DA7794" w:rsidP="006D2898">
      <w:pPr>
        <w:pStyle w:val="ListParagraph"/>
        <w:keepNext/>
        <w:widowControl/>
        <w:spacing w:line="360" w:lineRule="auto"/>
        <w:ind w:left="0" w:firstLine="1440"/>
        <w:rPr>
          <w:b/>
          <w:bCs/>
          <w:sz w:val="26"/>
          <w:szCs w:val="26"/>
        </w:rPr>
      </w:pPr>
    </w:p>
    <w:p w14:paraId="5E19ABFA" w14:textId="77777777" w:rsidR="00F44796" w:rsidRPr="0008233B" w:rsidRDefault="0008233B" w:rsidP="006D2898">
      <w:pPr>
        <w:pStyle w:val="ListParagraph"/>
        <w:keepNext/>
        <w:widowControl/>
        <w:spacing w:line="360" w:lineRule="auto"/>
        <w:ind w:left="0" w:firstLine="1440"/>
        <w:rPr>
          <w:sz w:val="26"/>
          <w:szCs w:val="26"/>
        </w:rPr>
      </w:pPr>
      <w:r>
        <w:rPr>
          <w:sz w:val="26"/>
          <w:szCs w:val="26"/>
        </w:rPr>
        <w:t xml:space="preserve">In its Exception No. 9, </w:t>
      </w:r>
      <w:r w:rsidR="00C31604">
        <w:rPr>
          <w:sz w:val="26"/>
          <w:szCs w:val="26"/>
        </w:rPr>
        <w:t xml:space="preserve">the OSBA disagrees with the ALJ’s dismissal of I&amp;E’s concern that replacement of the G/T Systems could cost significantly more than the </w:t>
      </w:r>
      <w:r w:rsidR="00D2679C">
        <w:rPr>
          <w:sz w:val="26"/>
          <w:szCs w:val="26"/>
        </w:rPr>
        <w:t xml:space="preserve">Joint Applicants’ </w:t>
      </w:r>
      <w:r w:rsidR="00493B40">
        <w:rPr>
          <w:sz w:val="26"/>
          <w:szCs w:val="26"/>
        </w:rPr>
        <w:t>$120 million estimate, which</w:t>
      </w:r>
      <w:r w:rsidR="00D2679C">
        <w:rPr>
          <w:sz w:val="26"/>
          <w:szCs w:val="26"/>
        </w:rPr>
        <w:t>, the OSBA contends,</w:t>
      </w:r>
      <w:r w:rsidR="00493B40">
        <w:rPr>
          <w:sz w:val="26"/>
          <w:szCs w:val="26"/>
        </w:rPr>
        <w:t xml:space="preserve"> would negatively impact ratepayers.  OSBA Exc. at 15</w:t>
      </w:r>
      <w:r w:rsidR="00310004">
        <w:rPr>
          <w:sz w:val="26"/>
          <w:szCs w:val="26"/>
        </w:rPr>
        <w:t xml:space="preserve"> (citing R.D. at 53)</w:t>
      </w:r>
      <w:r w:rsidR="00493B40">
        <w:rPr>
          <w:sz w:val="26"/>
          <w:szCs w:val="26"/>
        </w:rPr>
        <w:t>.</w:t>
      </w:r>
      <w:r w:rsidR="006750DA">
        <w:rPr>
          <w:sz w:val="26"/>
          <w:szCs w:val="26"/>
        </w:rPr>
        <w:t xml:space="preserve">  T</w:t>
      </w:r>
      <w:r>
        <w:rPr>
          <w:sz w:val="26"/>
          <w:szCs w:val="26"/>
        </w:rPr>
        <w:t>he OSBA challenges the accuracy of the $120 million estimate</w:t>
      </w:r>
      <w:r w:rsidR="00A97013">
        <w:rPr>
          <w:sz w:val="26"/>
          <w:szCs w:val="26"/>
        </w:rPr>
        <w:t>, based on I&amp;E’s projected replacement costs, ranging from $184 million to $368 million</w:t>
      </w:r>
      <w:r>
        <w:rPr>
          <w:sz w:val="26"/>
          <w:szCs w:val="26"/>
        </w:rPr>
        <w:t>.  OSBA Exc. at 15</w:t>
      </w:r>
      <w:r w:rsidR="00A97013">
        <w:rPr>
          <w:sz w:val="26"/>
          <w:szCs w:val="26"/>
        </w:rPr>
        <w:t xml:space="preserve"> (citing</w:t>
      </w:r>
      <w:r w:rsidR="001205A2">
        <w:rPr>
          <w:sz w:val="26"/>
          <w:szCs w:val="26"/>
        </w:rPr>
        <w:t xml:space="preserve"> </w:t>
      </w:r>
      <w:r w:rsidR="00A97013">
        <w:rPr>
          <w:sz w:val="26"/>
          <w:szCs w:val="26"/>
        </w:rPr>
        <w:lastRenderedPageBreak/>
        <w:t>I&amp;E M.B. at 27)</w:t>
      </w:r>
      <w:r>
        <w:rPr>
          <w:sz w:val="26"/>
          <w:szCs w:val="26"/>
        </w:rPr>
        <w:t>.</w:t>
      </w:r>
      <w:r w:rsidR="006C7F58">
        <w:rPr>
          <w:rStyle w:val="FootnoteReference"/>
          <w:sz w:val="26"/>
          <w:szCs w:val="26"/>
        </w:rPr>
        <w:footnoteReference w:id="25"/>
      </w:r>
      <w:r>
        <w:rPr>
          <w:sz w:val="26"/>
          <w:szCs w:val="26"/>
        </w:rPr>
        <w:t xml:space="preserve">  The OSBA also </w:t>
      </w:r>
      <w:r w:rsidR="00D2679C">
        <w:rPr>
          <w:sz w:val="26"/>
          <w:szCs w:val="26"/>
        </w:rPr>
        <w:t>contends</w:t>
      </w:r>
      <w:r>
        <w:rPr>
          <w:sz w:val="26"/>
          <w:szCs w:val="26"/>
        </w:rPr>
        <w:t xml:space="preserve"> that due to Aqua America’s inexperience in remediating natural gas systems, the actual repair costs could be much higher.  OSBA Exc. at 16</w:t>
      </w:r>
      <w:r w:rsidR="00A97013">
        <w:rPr>
          <w:sz w:val="26"/>
          <w:szCs w:val="26"/>
        </w:rPr>
        <w:t xml:space="preserve"> (citing OSBA M.B. at 25)</w:t>
      </w:r>
      <w:r>
        <w:rPr>
          <w:sz w:val="26"/>
          <w:szCs w:val="26"/>
        </w:rPr>
        <w:t xml:space="preserve">.  </w:t>
      </w:r>
      <w:r w:rsidR="00EB3BF0">
        <w:rPr>
          <w:sz w:val="26"/>
          <w:szCs w:val="26"/>
        </w:rPr>
        <w:t>Further, the OSBA argues that</w:t>
      </w:r>
      <w:r w:rsidR="00C31604">
        <w:rPr>
          <w:sz w:val="26"/>
          <w:szCs w:val="26"/>
        </w:rPr>
        <w:t xml:space="preserve"> the ALJ’s dismissal </w:t>
      </w:r>
      <w:r w:rsidR="006750DA">
        <w:rPr>
          <w:sz w:val="26"/>
          <w:szCs w:val="26"/>
        </w:rPr>
        <w:t xml:space="preserve">of I&amp;E’s concern that the $120 million estimate is artificially low </w:t>
      </w:r>
      <w:r w:rsidR="0058710F">
        <w:rPr>
          <w:sz w:val="26"/>
          <w:szCs w:val="26"/>
        </w:rPr>
        <w:t>puts ratepayers at risk for much more than what is agreed upon,</w:t>
      </w:r>
      <w:r w:rsidR="00EB3BF0">
        <w:rPr>
          <w:sz w:val="26"/>
          <w:szCs w:val="26"/>
        </w:rPr>
        <w:t xml:space="preserve"> since </w:t>
      </w:r>
      <w:r w:rsidR="0058710F">
        <w:rPr>
          <w:sz w:val="26"/>
          <w:szCs w:val="26"/>
        </w:rPr>
        <w:t xml:space="preserve">the Settlement establishes </w:t>
      </w:r>
      <w:r w:rsidR="00EB3BF0">
        <w:rPr>
          <w:sz w:val="26"/>
          <w:szCs w:val="26"/>
        </w:rPr>
        <w:t xml:space="preserve">no cap on </w:t>
      </w:r>
      <w:r w:rsidR="00C31604">
        <w:rPr>
          <w:sz w:val="26"/>
          <w:szCs w:val="26"/>
        </w:rPr>
        <w:t xml:space="preserve">the G/T Systems’ </w:t>
      </w:r>
      <w:r w:rsidR="00EB3BF0">
        <w:rPr>
          <w:sz w:val="26"/>
          <w:szCs w:val="26"/>
        </w:rPr>
        <w:t>remediation costs</w:t>
      </w:r>
      <w:r w:rsidR="0058710F">
        <w:rPr>
          <w:sz w:val="26"/>
          <w:szCs w:val="26"/>
        </w:rPr>
        <w:t>.  OSBA Exc. at 16 (citing I&amp;E M.B. at 27</w:t>
      </w:r>
      <w:r w:rsidR="00C53FE9">
        <w:rPr>
          <w:sz w:val="26"/>
          <w:szCs w:val="26"/>
        </w:rPr>
        <w:t xml:space="preserve">; </w:t>
      </w:r>
      <w:r w:rsidR="0058710F">
        <w:rPr>
          <w:sz w:val="26"/>
          <w:szCs w:val="26"/>
        </w:rPr>
        <w:t>I&amp;E R.B. at 17</w:t>
      </w:r>
      <w:r w:rsidR="00C53FE9">
        <w:rPr>
          <w:sz w:val="26"/>
          <w:szCs w:val="26"/>
        </w:rPr>
        <w:t xml:space="preserve">; OSBA M.B. at 25; OSBA R.B. at 21).  </w:t>
      </w:r>
    </w:p>
    <w:p w14:paraId="19E77296" w14:textId="77777777" w:rsidR="00311E19" w:rsidRDefault="00311E19" w:rsidP="00B24187">
      <w:pPr>
        <w:pStyle w:val="ListParagraph"/>
        <w:widowControl/>
        <w:spacing w:line="360" w:lineRule="auto"/>
        <w:ind w:left="0" w:firstLine="1440"/>
        <w:rPr>
          <w:b/>
          <w:bCs/>
          <w:sz w:val="26"/>
          <w:szCs w:val="26"/>
        </w:rPr>
      </w:pPr>
    </w:p>
    <w:p w14:paraId="5F239305" w14:textId="25F1E66A" w:rsidR="00AF76F5" w:rsidRPr="00FE4DEE" w:rsidRDefault="00AF76F5" w:rsidP="00B24187">
      <w:pPr>
        <w:pStyle w:val="ListParagraph"/>
        <w:widowControl/>
        <w:spacing w:line="360" w:lineRule="auto"/>
        <w:ind w:left="0" w:firstLine="1440"/>
        <w:rPr>
          <w:sz w:val="26"/>
          <w:szCs w:val="26"/>
        </w:rPr>
      </w:pPr>
      <w:r>
        <w:rPr>
          <w:sz w:val="26"/>
          <w:szCs w:val="26"/>
        </w:rPr>
        <w:t xml:space="preserve">In their Replies to Exceptions, the Joint Applicants aver that I&amp;E and the OSBA’s arguments concerning rate recovery of the costs to remediate the G/T Systems lack basis in law or fact.  The Joint Applicants recount several of the substantial ratepayer protections </w:t>
      </w:r>
      <w:r w:rsidR="003A591D">
        <w:rPr>
          <w:sz w:val="26"/>
          <w:szCs w:val="26"/>
        </w:rPr>
        <w:t>found in</w:t>
      </w:r>
      <w:r>
        <w:rPr>
          <w:sz w:val="26"/>
          <w:szCs w:val="26"/>
        </w:rPr>
        <w:t xml:space="preserve"> the Settlement regarding any potential negative impacts to customers due to a projected cost for replacement of the G/T Systems that is artificially low.  Joint Applicants R. Exc. at 13-14.</w:t>
      </w:r>
    </w:p>
    <w:p w14:paraId="72CC1F4C" w14:textId="77777777" w:rsidR="00AF76F5" w:rsidRDefault="00AF76F5" w:rsidP="00B24187">
      <w:pPr>
        <w:pStyle w:val="ListParagraph"/>
        <w:widowControl/>
        <w:spacing w:line="360" w:lineRule="auto"/>
        <w:ind w:left="0" w:firstLine="1440"/>
        <w:rPr>
          <w:sz w:val="26"/>
          <w:szCs w:val="26"/>
        </w:rPr>
      </w:pPr>
    </w:p>
    <w:p w14:paraId="1BD9A9D0" w14:textId="77777777" w:rsidR="00432248" w:rsidRDefault="00FE4DEE" w:rsidP="00B24187">
      <w:pPr>
        <w:pStyle w:val="ListParagraph"/>
        <w:widowControl/>
        <w:spacing w:line="360" w:lineRule="auto"/>
        <w:ind w:left="0" w:firstLine="1440"/>
        <w:rPr>
          <w:sz w:val="26"/>
          <w:szCs w:val="26"/>
        </w:rPr>
      </w:pPr>
      <w:r>
        <w:rPr>
          <w:sz w:val="26"/>
          <w:szCs w:val="26"/>
        </w:rPr>
        <w:lastRenderedPageBreak/>
        <w:t xml:space="preserve">In its Replies to Exceptions, the OCA </w:t>
      </w:r>
      <w:r w:rsidR="006F1A24">
        <w:rPr>
          <w:sz w:val="26"/>
          <w:szCs w:val="26"/>
        </w:rPr>
        <w:t>s</w:t>
      </w:r>
      <w:r w:rsidR="00436D8E">
        <w:rPr>
          <w:sz w:val="26"/>
          <w:szCs w:val="26"/>
        </w:rPr>
        <w:t>imilarly avers</w:t>
      </w:r>
      <w:r w:rsidR="006F1A24">
        <w:rPr>
          <w:sz w:val="26"/>
          <w:szCs w:val="26"/>
        </w:rPr>
        <w:t xml:space="preserve"> that the ALJ correctly found that the estimated cost of $120 million to rehabilitate the entire</w:t>
      </w:r>
      <w:r w:rsidR="00F726F8">
        <w:rPr>
          <w:sz w:val="26"/>
          <w:szCs w:val="26"/>
        </w:rPr>
        <w:t>ty of the</w:t>
      </w:r>
      <w:r w:rsidR="006F1A24">
        <w:rPr>
          <w:sz w:val="26"/>
          <w:szCs w:val="26"/>
        </w:rPr>
        <w:t xml:space="preserve"> G/T System</w:t>
      </w:r>
      <w:r w:rsidR="00F726F8">
        <w:rPr>
          <w:sz w:val="26"/>
          <w:szCs w:val="26"/>
        </w:rPr>
        <w:t>s</w:t>
      </w:r>
      <w:r w:rsidR="006F1A24">
        <w:rPr>
          <w:sz w:val="26"/>
          <w:szCs w:val="26"/>
        </w:rPr>
        <w:t xml:space="preserve"> was reasonable.  OCA R. Exc. at 7.  The OCA states that the ALJ’s finding is based on a recounting of several</w:t>
      </w:r>
      <w:r w:rsidR="003B1282">
        <w:rPr>
          <w:sz w:val="26"/>
          <w:szCs w:val="26"/>
        </w:rPr>
        <w:t xml:space="preserve"> of the substantial</w:t>
      </w:r>
      <w:r w:rsidR="00686B1E">
        <w:rPr>
          <w:sz w:val="26"/>
          <w:szCs w:val="26"/>
        </w:rPr>
        <w:t xml:space="preserve"> ratepayer protections found in </w:t>
      </w:r>
      <w:r w:rsidR="00CC599D">
        <w:rPr>
          <w:sz w:val="26"/>
          <w:szCs w:val="26"/>
        </w:rPr>
        <w:t xml:space="preserve">the </w:t>
      </w:r>
      <w:r w:rsidR="00686B1E">
        <w:rPr>
          <w:sz w:val="26"/>
          <w:szCs w:val="26"/>
        </w:rPr>
        <w:t>Settlement</w:t>
      </w:r>
      <w:r w:rsidR="003B1282">
        <w:rPr>
          <w:sz w:val="26"/>
          <w:szCs w:val="26"/>
        </w:rPr>
        <w:t xml:space="preserve"> </w:t>
      </w:r>
      <w:r w:rsidR="00CC599D">
        <w:rPr>
          <w:sz w:val="26"/>
          <w:szCs w:val="26"/>
        </w:rPr>
        <w:t>that will mitigate</w:t>
      </w:r>
      <w:r w:rsidR="003B1282">
        <w:rPr>
          <w:sz w:val="26"/>
          <w:szCs w:val="26"/>
        </w:rPr>
        <w:t xml:space="preserve"> potential cost issues.  S</w:t>
      </w:r>
      <w:r w:rsidR="00686B1E">
        <w:rPr>
          <w:sz w:val="26"/>
          <w:szCs w:val="26"/>
        </w:rPr>
        <w:t xml:space="preserve">uch </w:t>
      </w:r>
      <w:r w:rsidR="003B1282">
        <w:rPr>
          <w:sz w:val="26"/>
          <w:szCs w:val="26"/>
        </w:rPr>
        <w:t>protections include</w:t>
      </w:r>
      <w:r w:rsidR="00686B1E">
        <w:rPr>
          <w:sz w:val="26"/>
          <w:szCs w:val="26"/>
        </w:rPr>
        <w:t xml:space="preserve"> requiring continued reporting and consultation with the statutory advocates during the repairs, the ineligibility of any of the repair costs to be included in the Peoples Companies’ DSIC</w:t>
      </w:r>
      <w:r w:rsidR="00871B79">
        <w:rPr>
          <w:sz w:val="26"/>
          <w:szCs w:val="26"/>
        </w:rPr>
        <w:t>,</w:t>
      </w:r>
      <w:r w:rsidR="00686B1E">
        <w:rPr>
          <w:sz w:val="26"/>
          <w:szCs w:val="26"/>
        </w:rPr>
        <w:t xml:space="preserve"> but rather </w:t>
      </w:r>
      <w:r w:rsidR="00871B79">
        <w:rPr>
          <w:sz w:val="26"/>
          <w:szCs w:val="26"/>
        </w:rPr>
        <w:t>to</w:t>
      </w:r>
      <w:r w:rsidR="00686B1E">
        <w:rPr>
          <w:sz w:val="26"/>
          <w:szCs w:val="26"/>
        </w:rPr>
        <w:t xml:space="preserve"> be claimed in future base rate proceedings, and</w:t>
      </w:r>
      <w:r w:rsidR="003B1282">
        <w:rPr>
          <w:sz w:val="26"/>
          <w:szCs w:val="26"/>
        </w:rPr>
        <w:t xml:space="preserve"> a</w:t>
      </w:r>
      <w:r w:rsidR="00686B1E">
        <w:rPr>
          <w:sz w:val="26"/>
          <w:szCs w:val="26"/>
        </w:rPr>
        <w:t xml:space="preserve"> requirement that any potential costs above the $120 million be subject to negotiation </w:t>
      </w:r>
      <w:r w:rsidR="0020493F">
        <w:rPr>
          <w:sz w:val="26"/>
          <w:szCs w:val="26"/>
        </w:rPr>
        <w:t>regarding</w:t>
      </w:r>
      <w:r w:rsidR="00686B1E">
        <w:rPr>
          <w:sz w:val="26"/>
          <w:szCs w:val="26"/>
        </w:rPr>
        <w:t xml:space="preserve"> possible recovery.</w:t>
      </w:r>
      <w:r w:rsidR="003B1282">
        <w:rPr>
          <w:sz w:val="26"/>
          <w:szCs w:val="26"/>
        </w:rPr>
        <w:t xml:space="preserve">  OCA R. Exc. at 7 (citing R.D. at 53-54).</w:t>
      </w:r>
      <w:r w:rsidR="00C027EA">
        <w:rPr>
          <w:sz w:val="26"/>
          <w:szCs w:val="26"/>
        </w:rPr>
        <w:t xml:space="preserve">  The OCA contends that the Peoples Companies’ cost estimates are based on detailed scenarios for potential repairs, which were prepared </w:t>
      </w:r>
      <w:r w:rsidR="006C0F72">
        <w:rPr>
          <w:sz w:val="26"/>
          <w:szCs w:val="26"/>
        </w:rPr>
        <w:t>based on</w:t>
      </w:r>
      <w:r w:rsidR="00C027EA">
        <w:rPr>
          <w:sz w:val="26"/>
          <w:szCs w:val="26"/>
        </w:rPr>
        <w:t xml:space="preserve"> a </w:t>
      </w:r>
      <w:r w:rsidR="00562757">
        <w:rPr>
          <w:sz w:val="26"/>
          <w:szCs w:val="26"/>
        </w:rPr>
        <w:t>six-year</w:t>
      </w:r>
      <w:r w:rsidR="00C027EA">
        <w:rPr>
          <w:sz w:val="26"/>
          <w:szCs w:val="26"/>
        </w:rPr>
        <w:t xml:space="preserve"> investigation and analysis of the G/T Systems.  Additionally, the OCA refutes the bare assertions </w:t>
      </w:r>
      <w:r w:rsidR="00562757">
        <w:rPr>
          <w:sz w:val="26"/>
          <w:szCs w:val="26"/>
        </w:rPr>
        <w:t>concerning Aqua America’s inexperience with remediating natural gas systems, as there is no evidence to indicate that the Peoples Companies would not be able to execute the G/T Systems</w:t>
      </w:r>
      <w:r w:rsidR="006C0F72">
        <w:rPr>
          <w:sz w:val="26"/>
          <w:szCs w:val="26"/>
        </w:rPr>
        <w:t>’</w:t>
      </w:r>
      <w:r w:rsidR="00562757">
        <w:rPr>
          <w:sz w:val="26"/>
          <w:szCs w:val="26"/>
        </w:rPr>
        <w:t xml:space="preserve"> remediation.  OCA R. Exc. at 8.  </w:t>
      </w:r>
      <w:r w:rsidR="00C027EA">
        <w:rPr>
          <w:sz w:val="26"/>
          <w:szCs w:val="26"/>
        </w:rPr>
        <w:t xml:space="preserve"> </w:t>
      </w:r>
    </w:p>
    <w:p w14:paraId="08544624" w14:textId="77777777" w:rsidR="00A412A7" w:rsidRDefault="00A412A7" w:rsidP="00B24187">
      <w:pPr>
        <w:pStyle w:val="ListParagraph"/>
        <w:widowControl/>
        <w:spacing w:line="360" w:lineRule="auto"/>
        <w:ind w:left="0" w:firstLine="1440"/>
        <w:rPr>
          <w:sz w:val="26"/>
          <w:szCs w:val="26"/>
        </w:rPr>
      </w:pPr>
    </w:p>
    <w:p w14:paraId="241381B0" w14:textId="0ADF3F72" w:rsidR="00F44796" w:rsidRPr="00F06856" w:rsidRDefault="00F06856" w:rsidP="006D2898">
      <w:pPr>
        <w:keepNext/>
        <w:widowControl/>
        <w:ind w:left="2880" w:hanging="720"/>
        <w:rPr>
          <w:b/>
          <w:bCs/>
          <w:sz w:val="26"/>
          <w:szCs w:val="26"/>
        </w:rPr>
      </w:pPr>
      <w:r>
        <w:rPr>
          <w:b/>
          <w:bCs/>
          <w:sz w:val="26"/>
          <w:szCs w:val="26"/>
        </w:rPr>
        <w:t>(2)</w:t>
      </w:r>
      <w:r>
        <w:rPr>
          <w:b/>
          <w:bCs/>
          <w:sz w:val="26"/>
          <w:szCs w:val="26"/>
        </w:rPr>
        <w:tab/>
      </w:r>
      <w:r w:rsidR="00F44796" w:rsidRPr="00F06856">
        <w:rPr>
          <w:b/>
          <w:bCs/>
          <w:sz w:val="26"/>
          <w:szCs w:val="26"/>
        </w:rPr>
        <w:t>Disposition</w:t>
      </w:r>
    </w:p>
    <w:p w14:paraId="1B62EFAB" w14:textId="77777777" w:rsidR="00990B30" w:rsidRDefault="00990B30" w:rsidP="006D2898">
      <w:pPr>
        <w:pStyle w:val="ListParagraph"/>
        <w:keepNext/>
        <w:widowControl/>
        <w:spacing w:line="360" w:lineRule="auto"/>
        <w:rPr>
          <w:b/>
          <w:bCs/>
          <w:sz w:val="26"/>
          <w:szCs w:val="26"/>
        </w:rPr>
      </w:pPr>
    </w:p>
    <w:p w14:paraId="3D912579" w14:textId="535B2BC2" w:rsidR="00FB07FA" w:rsidRDefault="008C2B2A" w:rsidP="006D2898">
      <w:pPr>
        <w:pStyle w:val="ListParagraph"/>
        <w:keepNext/>
        <w:widowControl/>
        <w:spacing w:line="360" w:lineRule="auto"/>
        <w:ind w:left="0" w:firstLine="1440"/>
        <w:rPr>
          <w:sz w:val="26"/>
          <w:szCs w:val="26"/>
        </w:rPr>
      </w:pPr>
      <w:r>
        <w:rPr>
          <w:sz w:val="26"/>
          <w:szCs w:val="26"/>
        </w:rPr>
        <w:t>Upon review</w:t>
      </w:r>
      <w:r w:rsidR="00F7788A">
        <w:rPr>
          <w:sz w:val="26"/>
          <w:szCs w:val="26"/>
        </w:rPr>
        <w:t xml:space="preserve"> of the record and the Parties’ positions,</w:t>
      </w:r>
      <w:r>
        <w:rPr>
          <w:sz w:val="26"/>
          <w:szCs w:val="26"/>
        </w:rPr>
        <w:t xml:space="preserve"> </w:t>
      </w:r>
      <w:r w:rsidR="008365C2">
        <w:rPr>
          <w:sz w:val="26"/>
          <w:szCs w:val="26"/>
        </w:rPr>
        <w:t xml:space="preserve">we agree with the rationale and the recommendation of the ALJ </w:t>
      </w:r>
      <w:r w:rsidR="00F7788A">
        <w:rPr>
          <w:sz w:val="26"/>
          <w:szCs w:val="26"/>
        </w:rPr>
        <w:t>on this issue and, a</w:t>
      </w:r>
      <w:r w:rsidR="009459DA">
        <w:rPr>
          <w:sz w:val="26"/>
          <w:szCs w:val="26"/>
        </w:rPr>
        <w:t>ccordingly, we shall deny the Exceptions of the OSBA and I&amp;E.</w:t>
      </w:r>
      <w:r w:rsidR="00CD63B7">
        <w:rPr>
          <w:sz w:val="26"/>
          <w:szCs w:val="26"/>
        </w:rPr>
        <w:t xml:space="preserve">  </w:t>
      </w:r>
      <w:r w:rsidR="008C6FE4">
        <w:rPr>
          <w:sz w:val="26"/>
          <w:szCs w:val="26"/>
        </w:rPr>
        <w:t xml:space="preserve"> </w:t>
      </w:r>
      <w:r w:rsidR="009E5A88">
        <w:rPr>
          <w:sz w:val="26"/>
          <w:szCs w:val="26"/>
        </w:rPr>
        <w:t xml:space="preserve">As the </w:t>
      </w:r>
      <w:r w:rsidR="009E5A88" w:rsidRPr="00773C15">
        <w:rPr>
          <w:rFonts w:cstheme="minorBidi"/>
          <w:color w:val="000000"/>
          <w:sz w:val="26"/>
          <w:szCs w:val="26"/>
        </w:rPr>
        <w:t>ALJ</w:t>
      </w:r>
      <w:r w:rsidR="009E5A88">
        <w:rPr>
          <w:rFonts w:cstheme="minorBidi"/>
          <w:color w:val="000000"/>
          <w:sz w:val="26"/>
          <w:szCs w:val="26"/>
        </w:rPr>
        <w:t xml:space="preserve"> aptly stated</w:t>
      </w:r>
      <w:r w:rsidR="00B74641">
        <w:rPr>
          <w:rFonts w:cstheme="minorBidi"/>
          <w:color w:val="000000"/>
          <w:sz w:val="26"/>
          <w:szCs w:val="26"/>
        </w:rPr>
        <w:t>,</w:t>
      </w:r>
      <w:r w:rsidR="009E5A88">
        <w:rPr>
          <w:rFonts w:cstheme="minorBidi"/>
          <w:color w:val="000000"/>
          <w:sz w:val="26"/>
          <w:szCs w:val="26"/>
        </w:rPr>
        <w:t xml:space="preserve"> </w:t>
      </w:r>
      <w:r w:rsidR="009E5A88" w:rsidRPr="00773C15">
        <w:rPr>
          <w:rFonts w:cstheme="minorBidi"/>
          <w:color w:val="000000"/>
          <w:sz w:val="26"/>
          <w:szCs w:val="26"/>
        </w:rPr>
        <w:t xml:space="preserve">cost recovery for </w:t>
      </w:r>
      <w:r w:rsidR="009E5A88">
        <w:rPr>
          <w:rFonts w:cstheme="minorBidi"/>
          <w:color w:val="000000"/>
          <w:sz w:val="26"/>
          <w:szCs w:val="26"/>
        </w:rPr>
        <w:t xml:space="preserve">the </w:t>
      </w:r>
      <w:r w:rsidR="009E5A88" w:rsidRPr="00773C15">
        <w:rPr>
          <w:rFonts w:cstheme="minorBidi"/>
          <w:color w:val="000000"/>
          <w:sz w:val="26"/>
          <w:szCs w:val="26"/>
        </w:rPr>
        <w:t xml:space="preserve">G/T Systems repairs will </w:t>
      </w:r>
      <w:r w:rsidR="009E3916">
        <w:rPr>
          <w:rFonts w:cstheme="minorBidi"/>
          <w:color w:val="000000"/>
          <w:sz w:val="26"/>
          <w:szCs w:val="26"/>
        </w:rPr>
        <w:t>be addressed</w:t>
      </w:r>
      <w:r w:rsidR="009E5A88" w:rsidRPr="00773C15">
        <w:rPr>
          <w:rFonts w:cstheme="minorBidi"/>
          <w:color w:val="000000"/>
          <w:sz w:val="26"/>
          <w:szCs w:val="26"/>
        </w:rPr>
        <w:t xml:space="preserve"> through future base rate cases where such costs can be thoroughly reviewed by the statutory advocates</w:t>
      </w:r>
      <w:r w:rsidR="009E5A88">
        <w:rPr>
          <w:rFonts w:cstheme="minorBidi"/>
          <w:color w:val="000000"/>
          <w:sz w:val="26"/>
          <w:szCs w:val="26"/>
        </w:rPr>
        <w:t>, interested parties,</w:t>
      </w:r>
      <w:r w:rsidR="009E5A88" w:rsidRPr="00773C15">
        <w:rPr>
          <w:rFonts w:cstheme="minorBidi"/>
          <w:color w:val="000000"/>
          <w:sz w:val="26"/>
          <w:szCs w:val="26"/>
        </w:rPr>
        <w:t xml:space="preserve"> and the Commission</w:t>
      </w:r>
      <w:r w:rsidR="009E5A88">
        <w:rPr>
          <w:rFonts w:cstheme="minorBidi"/>
          <w:color w:val="000000"/>
          <w:sz w:val="26"/>
          <w:szCs w:val="26"/>
        </w:rPr>
        <w:t>.</w:t>
      </w:r>
    </w:p>
    <w:p w14:paraId="04576F33" w14:textId="77777777" w:rsidR="006A4700" w:rsidRDefault="006A4700" w:rsidP="00B24187">
      <w:pPr>
        <w:widowControl/>
        <w:spacing w:line="360" w:lineRule="auto"/>
        <w:ind w:firstLine="1440"/>
        <w:rPr>
          <w:sz w:val="26"/>
          <w:szCs w:val="26"/>
        </w:rPr>
      </w:pPr>
    </w:p>
    <w:p w14:paraId="29519BA5" w14:textId="77777777" w:rsidR="00E91F70" w:rsidRDefault="006A4700" w:rsidP="00B24187">
      <w:pPr>
        <w:widowControl/>
        <w:spacing w:line="360" w:lineRule="auto"/>
        <w:ind w:firstLine="1440"/>
        <w:rPr>
          <w:sz w:val="26"/>
          <w:szCs w:val="26"/>
        </w:rPr>
      </w:pPr>
      <w:r>
        <w:rPr>
          <w:sz w:val="26"/>
          <w:szCs w:val="26"/>
        </w:rPr>
        <w:t xml:space="preserve">First, </w:t>
      </w:r>
      <w:r w:rsidR="000718ED">
        <w:rPr>
          <w:sz w:val="26"/>
          <w:szCs w:val="26"/>
        </w:rPr>
        <w:t>P</w:t>
      </w:r>
      <w:r w:rsidR="009D0203">
        <w:rPr>
          <w:sz w:val="26"/>
          <w:szCs w:val="26"/>
        </w:rPr>
        <w:t xml:space="preserve">aragraphs 30 and 31 of the Settlement provide that cost recovery for </w:t>
      </w:r>
      <w:r w:rsidR="005A6C4D">
        <w:rPr>
          <w:sz w:val="26"/>
          <w:szCs w:val="26"/>
        </w:rPr>
        <w:t xml:space="preserve">remediation of the </w:t>
      </w:r>
      <w:r w:rsidR="009D0203">
        <w:rPr>
          <w:sz w:val="26"/>
          <w:szCs w:val="26"/>
        </w:rPr>
        <w:t>G/T System</w:t>
      </w:r>
      <w:r w:rsidR="005A6C4D">
        <w:rPr>
          <w:sz w:val="26"/>
          <w:szCs w:val="26"/>
        </w:rPr>
        <w:t>s</w:t>
      </w:r>
      <w:r w:rsidR="009D0203">
        <w:rPr>
          <w:sz w:val="26"/>
          <w:szCs w:val="26"/>
        </w:rPr>
        <w:t xml:space="preserve"> cannot be included in the Peoples Companies</w:t>
      </w:r>
      <w:r w:rsidR="000718ED">
        <w:rPr>
          <w:sz w:val="26"/>
          <w:szCs w:val="26"/>
        </w:rPr>
        <w:t>’</w:t>
      </w:r>
      <w:r w:rsidR="009D0203">
        <w:rPr>
          <w:sz w:val="26"/>
          <w:szCs w:val="26"/>
        </w:rPr>
        <w:t xml:space="preserve"> DSIC mechanism but</w:t>
      </w:r>
      <w:r w:rsidR="000718ED">
        <w:rPr>
          <w:sz w:val="26"/>
          <w:szCs w:val="26"/>
        </w:rPr>
        <w:t>,</w:t>
      </w:r>
      <w:r w:rsidR="009D0203">
        <w:rPr>
          <w:sz w:val="26"/>
          <w:szCs w:val="26"/>
        </w:rPr>
        <w:t xml:space="preserve"> rather</w:t>
      </w:r>
      <w:r w:rsidR="000718ED">
        <w:rPr>
          <w:sz w:val="26"/>
          <w:szCs w:val="26"/>
        </w:rPr>
        <w:t>,</w:t>
      </w:r>
      <w:r w:rsidR="009D0203">
        <w:rPr>
          <w:sz w:val="26"/>
          <w:szCs w:val="26"/>
        </w:rPr>
        <w:t xml:space="preserve"> can be recovered only through future base rate proceedings as the pipelines are repaired and transferred to Peoples Natural Gas.</w:t>
      </w:r>
      <w:r w:rsidR="00BA2053">
        <w:rPr>
          <w:sz w:val="26"/>
          <w:szCs w:val="26"/>
        </w:rPr>
        <w:t xml:space="preserve">  It is important</w:t>
      </w:r>
      <w:r w:rsidR="002C40F1">
        <w:rPr>
          <w:sz w:val="26"/>
          <w:szCs w:val="26"/>
        </w:rPr>
        <w:t xml:space="preserve"> to</w:t>
      </w:r>
      <w:r w:rsidR="00BA2053">
        <w:rPr>
          <w:sz w:val="26"/>
          <w:szCs w:val="26"/>
        </w:rPr>
        <w:t xml:space="preserve"> </w:t>
      </w:r>
      <w:r w:rsidR="00D26F00">
        <w:rPr>
          <w:sz w:val="26"/>
          <w:szCs w:val="26"/>
        </w:rPr>
        <w:t xml:space="preserve">clarify </w:t>
      </w:r>
      <w:r w:rsidR="00D26F00">
        <w:rPr>
          <w:sz w:val="26"/>
          <w:szCs w:val="26"/>
        </w:rPr>
        <w:lastRenderedPageBreak/>
        <w:t>the distinction between the cost recovery for the G/T Systems</w:t>
      </w:r>
      <w:r w:rsidR="000718ED">
        <w:rPr>
          <w:sz w:val="26"/>
          <w:szCs w:val="26"/>
        </w:rPr>
        <w:t>’</w:t>
      </w:r>
      <w:r w:rsidR="00D26F00">
        <w:rPr>
          <w:sz w:val="26"/>
          <w:szCs w:val="26"/>
        </w:rPr>
        <w:t xml:space="preserve"> repair and cost recovery of </w:t>
      </w:r>
      <w:r w:rsidR="002C40F1">
        <w:rPr>
          <w:sz w:val="26"/>
          <w:szCs w:val="26"/>
        </w:rPr>
        <w:t>the Peoples Companies’</w:t>
      </w:r>
      <w:r w:rsidR="00D26F00">
        <w:rPr>
          <w:sz w:val="26"/>
          <w:szCs w:val="26"/>
        </w:rPr>
        <w:t xml:space="preserve"> typical distribution system pipeline remediations.  </w:t>
      </w:r>
      <w:r w:rsidR="006A4102" w:rsidRPr="003C1C48">
        <w:rPr>
          <w:sz w:val="26"/>
          <w:szCs w:val="26"/>
        </w:rPr>
        <w:t>Consideration of projected capital</w:t>
      </w:r>
      <w:r w:rsidR="00D26F00" w:rsidRPr="003C1C48">
        <w:rPr>
          <w:sz w:val="26"/>
          <w:szCs w:val="26"/>
        </w:rPr>
        <w:t xml:space="preserve"> </w:t>
      </w:r>
      <w:r w:rsidR="00C57D9E" w:rsidRPr="003C1C48">
        <w:rPr>
          <w:sz w:val="26"/>
          <w:szCs w:val="26"/>
        </w:rPr>
        <w:t>expenditures</w:t>
      </w:r>
      <w:r w:rsidR="00D26F00" w:rsidRPr="003C1C48">
        <w:rPr>
          <w:sz w:val="26"/>
          <w:szCs w:val="26"/>
        </w:rPr>
        <w:t xml:space="preserve"> in distribution system</w:t>
      </w:r>
      <w:r w:rsidR="006A4102" w:rsidRPr="003C1C48">
        <w:rPr>
          <w:sz w:val="26"/>
          <w:szCs w:val="26"/>
        </w:rPr>
        <w:t xml:space="preserve"> pipeline</w:t>
      </w:r>
      <w:r w:rsidR="00D26F00" w:rsidRPr="003C1C48">
        <w:rPr>
          <w:sz w:val="26"/>
          <w:szCs w:val="26"/>
        </w:rPr>
        <w:t xml:space="preserve"> upgrades are generally </w:t>
      </w:r>
      <w:r w:rsidR="006A4102" w:rsidRPr="003C1C48">
        <w:rPr>
          <w:sz w:val="26"/>
          <w:szCs w:val="26"/>
        </w:rPr>
        <w:t>allowed in base rate proceedings whe</w:t>
      </w:r>
      <w:r w:rsidR="00C57D9E" w:rsidRPr="003C1C48">
        <w:rPr>
          <w:sz w:val="26"/>
          <w:szCs w:val="26"/>
        </w:rPr>
        <w:t>re</w:t>
      </w:r>
      <w:r w:rsidR="006A4102" w:rsidRPr="003C1C48">
        <w:rPr>
          <w:sz w:val="26"/>
          <w:szCs w:val="26"/>
        </w:rPr>
        <w:t xml:space="preserve"> a company</w:t>
      </w:r>
      <w:r w:rsidR="00C57D9E" w:rsidRPr="003C1C48">
        <w:rPr>
          <w:sz w:val="26"/>
          <w:szCs w:val="26"/>
        </w:rPr>
        <w:t xml:space="preserve"> is</w:t>
      </w:r>
      <w:r w:rsidR="006A4102" w:rsidRPr="003C1C48">
        <w:rPr>
          <w:sz w:val="26"/>
          <w:szCs w:val="26"/>
        </w:rPr>
        <w:t xml:space="preserve"> attempt</w:t>
      </w:r>
      <w:r w:rsidR="00C57D9E" w:rsidRPr="003C1C48">
        <w:rPr>
          <w:sz w:val="26"/>
          <w:szCs w:val="26"/>
        </w:rPr>
        <w:t>ing</w:t>
      </w:r>
      <w:r w:rsidR="006A4102" w:rsidRPr="003C1C48">
        <w:rPr>
          <w:sz w:val="26"/>
          <w:szCs w:val="26"/>
        </w:rPr>
        <w:t xml:space="preserve"> to support a requested revenue requirement through the use of either a future test year or a fully projected future test year.</w:t>
      </w:r>
      <w:r w:rsidR="008D3287" w:rsidRPr="003C1C48">
        <w:rPr>
          <w:sz w:val="26"/>
          <w:szCs w:val="26"/>
        </w:rPr>
        <w:t xml:space="preserve">  However, recovery </w:t>
      </w:r>
      <w:r w:rsidR="00F0229C" w:rsidRPr="003C1C48">
        <w:rPr>
          <w:sz w:val="26"/>
          <w:szCs w:val="26"/>
        </w:rPr>
        <w:t xml:space="preserve">of </w:t>
      </w:r>
      <w:r w:rsidR="008D3287" w:rsidRPr="003C1C48">
        <w:rPr>
          <w:sz w:val="26"/>
          <w:szCs w:val="26"/>
        </w:rPr>
        <w:t xml:space="preserve">remediation costs </w:t>
      </w:r>
      <w:r w:rsidR="002C40F1" w:rsidRPr="003C1C48">
        <w:rPr>
          <w:sz w:val="26"/>
          <w:szCs w:val="26"/>
        </w:rPr>
        <w:t>pertaining to</w:t>
      </w:r>
      <w:r w:rsidR="008D3287" w:rsidRPr="003C1C48">
        <w:rPr>
          <w:sz w:val="26"/>
          <w:szCs w:val="26"/>
        </w:rPr>
        <w:t xml:space="preserve"> the G/T Systems </w:t>
      </w:r>
      <w:r w:rsidR="002C40F1" w:rsidRPr="003C1C48">
        <w:rPr>
          <w:sz w:val="26"/>
          <w:szCs w:val="26"/>
        </w:rPr>
        <w:t>may only be considered for inclusion in rate base</w:t>
      </w:r>
      <w:r w:rsidR="006B323E" w:rsidRPr="003C1C48">
        <w:rPr>
          <w:sz w:val="26"/>
          <w:szCs w:val="26"/>
        </w:rPr>
        <w:t xml:space="preserve"> in a future rate case proceeding</w:t>
      </w:r>
      <w:r w:rsidR="002C40F1" w:rsidRPr="003C1C48">
        <w:rPr>
          <w:sz w:val="26"/>
          <w:szCs w:val="26"/>
        </w:rPr>
        <w:t xml:space="preserve"> once the </w:t>
      </w:r>
      <w:r w:rsidR="00F0229C" w:rsidRPr="003C1C48">
        <w:rPr>
          <w:sz w:val="26"/>
          <w:szCs w:val="26"/>
        </w:rPr>
        <w:t xml:space="preserve">“capital is completed and placed in service,” limiting any claims to </w:t>
      </w:r>
      <w:r w:rsidR="00F0229C" w:rsidRPr="003C1C48">
        <w:rPr>
          <w:i/>
          <w:iCs/>
          <w:sz w:val="26"/>
          <w:szCs w:val="26"/>
        </w:rPr>
        <w:t>actual</w:t>
      </w:r>
      <w:r w:rsidR="00F0229C" w:rsidRPr="003C1C48">
        <w:rPr>
          <w:sz w:val="26"/>
          <w:szCs w:val="26"/>
        </w:rPr>
        <w:t xml:space="preserve"> capital expenditures.</w:t>
      </w:r>
      <w:r w:rsidR="00796C59">
        <w:rPr>
          <w:sz w:val="26"/>
          <w:szCs w:val="26"/>
        </w:rPr>
        <w:t xml:space="preserve">  </w:t>
      </w:r>
    </w:p>
    <w:p w14:paraId="3ACCD18C" w14:textId="77777777" w:rsidR="00C47E6F" w:rsidRPr="00C47E6F" w:rsidRDefault="00C47E6F" w:rsidP="00B24187">
      <w:pPr>
        <w:widowControl/>
        <w:spacing w:line="360" w:lineRule="auto"/>
        <w:ind w:firstLine="1440"/>
        <w:rPr>
          <w:sz w:val="26"/>
          <w:szCs w:val="26"/>
        </w:rPr>
      </w:pPr>
    </w:p>
    <w:p w14:paraId="5E8FC212" w14:textId="2C28FA31" w:rsidR="00E141DC" w:rsidRDefault="00517C18" w:rsidP="00B24187">
      <w:pPr>
        <w:pStyle w:val="ListParagraph"/>
        <w:widowControl/>
        <w:spacing w:line="360" w:lineRule="auto"/>
        <w:ind w:left="0" w:firstLine="1440"/>
        <w:rPr>
          <w:sz w:val="26"/>
          <w:szCs w:val="26"/>
        </w:rPr>
      </w:pPr>
      <w:r>
        <w:rPr>
          <w:sz w:val="26"/>
          <w:szCs w:val="26"/>
        </w:rPr>
        <w:t>Once capital is completed and placed in service as Peoples Natural Gas distribution pipeline, our review of the capital investment in the G/T Systems will focus on whether those costs were prudently incurred, and, if so, providing Peoples Natural Gas an opportunity to earn a reasonable return</w:t>
      </w:r>
      <w:r w:rsidR="00770762">
        <w:rPr>
          <w:sz w:val="26"/>
          <w:szCs w:val="26"/>
        </w:rPr>
        <w:t>,</w:t>
      </w:r>
      <w:r>
        <w:rPr>
          <w:sz w:val="26"/>
          <w:szCs w:val="26"/>
        </w:rPr>
        <w:t xml:space="preserve"> on and </w:t>
      </w:r>
      <w:r w:rsidR="003A591D">
        <w:rPr>
          <w:sz w:val="26"/>
          <w:szCs w:val="26"/>
        </w:rPr>
        <w:t>off</w:t>
      </w:r>
      <w:r w:rsidR="00770762">
        <w:rPr>
          <w:sz w:val="26"/>
          <w:szCs w:val="26"/>
        </w:rPr>
        <w:t>,</w:t>
      </w:r>
      <w:r>
        <w:rPr>
          <w:sz w:val="26"/>
          <w:szCs w:val="26"/>
        </w:rPr>
        <w:t xml:space="preserve"> the value of those assets used and useful in serving the public, resulting in rates that are just and reasonable.  However, as there are limits to the amount of capital that can be raised at any one time,</w:t>
      </w:r>
      <w:r>
        <w:rPr>
          <w:rStyle w:val="FootnoteReference"/>
          <w:sz w:val="26"/>
          <w:szCs w:val="26"/>
        </w:rPr>
        <w:footnoteReference w:id="26"/>
      </w:r>
      <w:r>
        <w:rPr>
          <w:sz w:val="26"/>
          <w:szCs w:val="26"/>
        </w:rPr>
        <w:t xml:space="preserve"> there are also necessary considerations of rate shock, of rate recovery, and the physical capability to undertake additional projects in any single year.</w:t>
      </w:r>
      <w:r w:rsidR="00E141DC">
        <w:rPr>
          <w:sz w:val="26"/>
          <w:szCs w:val="26"/>
        </w:rPr>
        <w:t xml:space="preserve">  Both the Commission and </w:t>
      </w:r>
      <w:r w:rsidR="00D6453C">
        <w:rPr>
          <w:sz w:val="26"/>
          <w:szCs w:val="26"/>
        </w:rPr>
        <w:t xml:space="preserve">the </w:t>
      </w:r>
      <w:r w:rsidR="00E141DC">
        <w:rPr>
          <w:sz w:val="26"/>
          <w:szCs w:val="26"/>
        </w:rPr>
        <w:t xml:space="preserve">statutory advocates are provided </w:t>
      </w:r>
      <w:r w:rsidR="00D6453C">
        <w:rPr>
          <w:sz w:val="26"/>
          <w:szCs w:val="26"/>
        </w:rPr>
        <w:t xml:space="preserve">with </w:t>
      </w:r>
      <w:r w:rsidR="00E141DC">
        <w:rPr>
          <w:sz w:val="26"/>
          <w:szCs w:val="26"/>
        </w:rPr>
        <w:t>the opportunity to address such considerations, as well as the opportunity to thoroughly review the claimed actual capital investments in the G/T Systems.</w:t>
      </w:r>
    </w:p>
    <w:p w14:paraId="4C15210D" w14:textId="77777777" w:rsidR="00272D83" w:rsidRPr="00517C18" w:rsidRDefault="00272D83" w:rsidP="00B24187">
      <w:pPr>
        <w:widowControl/>
        <w:spacing w:line="360" w:lineRule="auto"/>
        <w:rPr>
          <w:b/>
          <w:bCs/>
          <w:sz w:val="26"/>
          <w:szCs w:val="26"/>
        </w:rPr>
      </w:pPr>
    </w:p>
    <w:p w14:paraId="61A1DADE" w14:textId="77777777" w:rsidR="00311E19" w:rsidRDefault="00CC1901" w:rsidP="00FD550C">
      <w:pPr>
        <w:pStyle w:val="ListParagraph"/>
        <w:keepNext/>
        <w:widowControl/>
        <w:spacing w:line="360" w:lineRule="auto"/>
        <w:ind w:left="0" w:firstLine="1440"/>
        <w:rPr>
          <w:sz w:val="26"/>
          <w:szCs w:val="26"/>
        </w:rPr>
      </w:pPr>
      <w:r>
        <w:rPr>
          <w:sz w:val="26"/>
          <w:szCs w:val="26"/>
        </w:rPr>
        <w:lastRenderedPageBreak/>
        <w:t>The Settlement also provides that:</w:t>
      </w:r>
    </w:p>
    <w:p w14:paraId="19566D1D" w14:textId="77777777" w:rsidR="00887E45" w:rsidRDefault="00887E45" w:rsidP="00FD550C">
      <w:pPr>
        <w:pStyle w:val="ListParagraph"/>
        <w:keepNext/>
        <w:widowControl/>
        <w:ind w:left="1440" w:right="1440"/>
        <w:rPr>
          <w:sz w:val="26"/>
          <w:szCs w:val="26"/>
        </w:rPr>
      </w:pPr>
    </w:p>
    <w:p w14:paraId="23A4ABAE" w14:textId="3D7B0919" w:rsidR="00311E19" w:rsidRPr="00CC1901" w:rsidRDefault="00CC1901" w:rsidP="00FD550C">
      <w:pPr>
        <w:pStyle w:val="ListParagraph"/>
        <w:keepNext/>
        <w:widowControl/>
        <w:ind w:left="1440" w:right="1440"/>
        <w:rPr>
          <w:sz w:val="26"/>
          <w:szCs w:val="26"/>
        </w:rPr>
      </w:pPr>
      <w:r w:rsidRPr="00CC1901">
        <w:rPr>
          <w:sz w:val="26"/>
          <w:szCs w:val="26"/>
        </w:rPr>
        <w:t>The work to begin repair and replacement of the system would begin three months after closing (such work includes engineering and planning) and the Peoples Companies and interested parties would meet to discuss and provide updates on the status of the project every six months</w:t>
      </w:r>
      <w:r>
        <w:rPr>
          <w:sz w:val="26"/>
          <w:szCs w:val="26"/>
        </w:rPr>
        <w:t>.</w:t>
      </w:r>
    </w:p>
    <w:p w14:paraId="7F5B0A40" w14:textId="77777777" w:rsidR="000A1761" w:rsidRDefault="000A1761" w:rsidP="00B24187">
      <w:pPr>
        <w:widowControl/>
        <w:spacing w:line="360" w:lineRule="auto"/>
        <w:rPr>
          <w:sz w:val="26"/>
          <w:szCs w:val="26"/>
        </w:rPr>
      </w:pPr>
    </w:p>
    <w:p w14:paraId="62A5237F" w14:textId="77777777" w:rsidR="00CC1901" w:rsidRDefault="00CC1901" w:rsidP="00B24187">
      <w:pPr>
        <w:widowControl/>
        <w:spacing w:line="360" w:lineRule="auto"/>
        <w:rPr>
          <w:sz w:val="26"/>
          <w:szCs w:val="26"/>
        </w:rPr>
      </w:pPr>
      <w:r>
        <w:rPr>
          <w:sz w:val="26"/>
          <w:szCs w:val="26"/>
        </w:rPr>
        <w:t xml:space="preserve">Settlement at ¶ 29.  </w:t>
      </w:r>
      <w:r w:rsidR="006B6CE8">
        <w:rPr>
          <w:sz w:val="26"/>
          <w:szCs w:val="26"/>
        </w:rPr>
        <w:t xml:space="preserve">This provision provides the interested parties with an opportunity to be heard </w:t>
      </w:r>
      <w:r w:rsidR="00652A6A">
        <w:rPr>
          <w:sz w:val="26"/>
          <w:szCs w:val="26"/>
        </w:rPr>
        <w:t>concerning</w:t>
      </w:r>
      <w:r w:rsidR="006B6CE8">
        <w:rPr>
          <w:sz w:val="26"/>
          <w:szCs w:val="26"/>
        </w:rPr>
        <w:t xml:space="preserve"> capital costs incurred through remediation of the G/T Systems.  As </w:t>
      </w:r>
      <w:r w:rsidR="00FA0275">
        <w:rPr>
          <w:sz w:val="26"/>
          <w:szCs w:val="26"/>
        </w:rPr>
        <w:t xml:space="preserve">the ALJ </w:t>
      </w:r>
      <w:r w:rsidR="006B6CE8">
        <w:rPr>
          <w:sz w:val="26"/>
          <w:szCs w:val="26"/>
        </w:rPr>
        <w:t xml:space="preserve">noted, in past settlements, the Commission has found such provisions requiring consultation with stakeholders </w:t>
      </w:r>
      <w:r w:rsidR="00652A6A">
        <w:rPr>
          <w:sz w:val="26"/>
          <w:szCs w:val="26"/>
        </w:rPr>
        <w:t xml:space="preserve">to be </w:t>
      </w:r>
      <w:r w:rsidR="006B6CE8">
        <w:rPr>
          <w:sz w:val="26"/>
          <w:szCs w:val="26"/>
        </w:rPr>
        <w:t xml:space="preserve">a public benefit and an important factor in protecting the public interest.  </w:t>
      </w:r>
      <w:r w:rsidR="00AE3106">
        <w:rPr>
          <w:sz w:val="26"/>
          <w:szCs w:val="26"/>
        </w:rPr>
        <w:t>R.D. at 54 (</w:t>
      </w:r>
      <w:r w:rsidR="00AE3106" w:rsidRPr="00652A6A">
        <w:rPr>
          <w:sz w:val="26"/>
          <w:szCs w:val="26"/>
        </w:rPr>
        <w:t>citing</w:t>
      </w:r>
      <w:r w:rsidR="00AE3106" w:rsidRPr="00AE3106">
        <w:rPr>
          <w:i/>
          <w:iCs/>
          <w:sz w:val="26"/>
          <w:szCs w:val="26"/>
        </w:rPr>
        <w:t xml:space="preserve"> </w:t>
      </w:r>
      <w:r w:rsidR="006B6CE8" w:rsidRPr="00AE3106">
        <w:rPr>
          <w:i/>
          <w:iCs/>
          <w:sz w:val="26"/>
          <w:szCs w:val="26"/>
        </w:rPr>
        <w:t>Joint</w:t>
      </w:r>
      <w:r w:rsidR="006B6CE8" w:rsidRPr="006B6CE8">
        <w:rPr>
          <w:i/>
          <w:iCs/>
          <w:sz w:val="26"/>
          <w:szCs w:val="26"/>
        </w:rPr>
        <w:t xml:space="preserve"> Application of West Penn Power Company d/b/a Allegheny Power, </w:t>
      </w:r>
      <w:r w:rsidR="006B6CE8" w:rsidRPr="006B6CE8">
        <w:rPr>
          <w:sz w:val="26"/>
          <w:szCs w:val="26"/>
        </w:rPr>
        <w:t>Docket No. A-2010-2176520 (Order entered March 8, 2011)</w:t>
      </w:r>
      <w:r w:rsidR="00AE3106">
        <w:rPr>
          <w:sz w:val="26"/>
          <w:szCs w:val="26"/>
        </w:rPr>
        <w:t>)</w:t>
      </w:r>
      <w:r w:rsidR="006B6CE8" w:rsidRPr="006B6CE8">
        <w:rPr>
          <w:sz w:val="26"/>
          <w:szCs w:val="26"/>
        </w:rPr>
        <w:t>.</w:t>
      </w:r>
      <w:r w:rsidR="00272A33">
        <w:rPr>
          <w:sz w:val="26"/>
          <w:szCs w:val="26"/>
        </w:rPr>
        <w:t xml:space="preserve">  The Settlement also </w:t>
      </w:r>
      <w:r w:rsidR="00FA0275">
        <w:rPr>
          <w:sz w:val="26"/>
          <w:szCs w:val="26"/>
        </w:rPr>
        <w:t>provides</w:t>
      </w:r>
      <w:r w:rsidR="00272A33">
        <w:rPr>
          <w:sz w:val="26"/>
          <w:szCs w:val="26"/>
        </w:rPr>
        <w:t xml:space="preserve"> that </w:t>
      </w:r>
      <w:r w:rsidR="00FA0275">
        <w:rPr>
          <w:sz w:val="26"/>
          <w:szCs w:val="26"/>
        </w:rPr>
        <w:t>in</w:t>
      </w:r>
      <w:r w:rsidR="00272A33">
        <w:rPr>
          <w:sz w:val="26"/>
          <w:szCs w:val="26"/>
        </w:rPr>
        <w:t xml:space="preserve"> circumstances requiring further evaluation, interested parties and the Peoples Companies will meet to discuss any discrete situations that may arise at or before the six-month check in meetings.  Settlement at ¶ 32.  </w:t>
      </w:r>
    </w:p>
    <w:p w14:paraId="744FAEDA" w14:textId="77777777" w:rsidR="00F96106" w:rsidRDefault="00F96106" w:rsidP="00B24187">
      <w:pPr>
        <w:widowControl/>
        <w:spacing w:line="360" w:lineRule="auto"/>
        <w:rPr>
          <w:sz w:val="26"/>
          <w:szCs w:val="26"/>
        </w:rPr>
      </w:pPr>
    </w:p>
    <w:p w14:paraId="12725C0B" w14:textId="08D4D26C" w:rsidR="00C32095" w:rsidRDefault="001337E4" w:rsidP="00B24187">
      <w:pPr>
        <w:pStyle w:val="ListParagraph"/>
        <w:widowControl/>
        <w:spacing w:line="360" w:lineRule="auto"/>
        <w:ind w:left="0" w:firstLine="1440"/>
        <w:rPr>
          <w:sz w:val="26"/>
          <w:szCs w:val="26"/>
        </w:rPr>
      </w:pPr>
      <w:r>
        <w:rPr>
          <w:sz w:val="26"/>
          <w:szCs w:val="26"/>
        </w:rPr>
        <w:t xml:space="preserve">We agree with the ALJ that </w:t>
      </w:r>
      <w:r w:rsidR="00CF6879">
        <w:rPr>
          <w:sz w:val="26"/>
          <w:szCs w:val="26"/>
        </w:rPr>
        <w:t>P</w:t>
      </w:r>
      <w:r>
        <w:rPr>
          <w:sz w:val="26"/>
          <w:szCs w:val="26"/>
        </w:rPr>
        <w:t>aragraph 33 of the Settlement provides an incentive to control the remediation costs associated with the G/T Systems</w:t>
      </w:r>
      <w:r w:rsidR="008963D4">
        <w:rPr>
          <w:sz w:val="26"/>
          <w:szCs w:val="26"/>
        </w:rPr>
        <w:t xml:space="preserve"> by providing a limitation on the amount of capital expenditures that may be claimed in future base rate proceedings.  </w:t>
      </w:r>
      <w:r w:rsidR="00B64A07">
        <w:rPr>
          <w:sz w:val="26"/>
          <w:szCs w:val="26"/>
        </w:rPr>
        <w:t xml:space="preserve">This condition creates a protection against saddling ratepayers with the risk of imprudently incurred cost overruns.  </w:t>
      </w:r>
      <w:r w:rsidR="00A51E1A">
        <w:rPr>
          <w:sz w:val="26"/>
          <w:szCs w:val="26"/>
        </w:rPr>
        <w:t xml:space="preserve">Nevertheless, in order to provide more protection to </w:t>
      </w:r>
      <w:r w:rsidR="00BD31CE">
        <w:rPr>
          <w:sz w:val="26"/>
          <w:szCs w:val="26"/>
        </w:rPr>
        <w:t xml:space="preserve">ratepayers, we </w:t>
      </w:r>
      <w:r w:rsidR="000C7289">
        <w:rPr>
          <w:sz w:val="26"/>
          <w:szCs w:val="26"/>
        </w:rPr>
        <w:t xml:space="preserve">interpret </w:t>
      </w:r>
      <w:r w:rsidR="009D280A">
        <w:rPr>
          <w:sz w:val="26"/>
          <w:szCs w:val="26"/>
        </w:rPr>
        <w:t>Paragraph 33 to mean that</w:t>
      </w:r>
      <w:r w:rsidR="00426F60">
        <w:rPr>
          <w:sz w:val="26"/>
          <w:szCs w:val="26"/>
        </w:rPr>
        <w:t xml:space="preserve"> the</w:t>
      </w:r>
      <w:r w:rsidR="009D280A">
        <w:rPr>
          <w:sz w:val="26"/>
          <w:szCs w:val="26"/>
        </w:rPr>
        <w:t xml:space="preserve"> </w:t>
      </w:r>
      <w:r w:rsidR="00E7653E">
        <w:rPr>
          <w:sz w:val="26"/>
          <w:szCs w:val="26"/>
        </w:rPr>
        <w:t xml:space="preserve">$120 million for rehabilitation of </w:t>
      </w:r>
      <w:r w:rsidR="007A1385">
        <w:rPr>
          <w:sz w:val="26"/>
          <w:szCs w:val="26"/>
        </w:rPr>
        <w:t xml:space="preserve">the bare steel in the G/T Systems </w:t>
      </w:r>
      <w:r w:rsidR="007305EC">
        <w:rPr>
          <w:sz w:val="26"/>
          <w:szCs w:val="26"/>
        </w:rPr>
        <w:t xml:space="preserve">is </w:t>
      </w:r>
      <w:r w:rsidR="007305EC" w:rsidRPr="00CE549B">
        <w:rPr>
          <w:i/>
          <w:iCs/>
          <w:sz w:val="26"/>
          <w:szCs w:val="26"/>
        </w:rPr>
        <w:t>eligible</w:t>
      </w:r>
      <w:r w:rsidR="007305EC">
        <w:rPr>
          <w:sz w:val="26"/>
          <w:szCs w:val="26"/>
        </w:rPr>
        <w:t xml:space="preserve"> for</w:t>
      </w:r>
      <w:r w:rsidR="00A86810">
        <w:rPr>
          <w:sz w:val="26"/>
          <w:szCs w:val="26"/>
        </w:rPr>
        <w:t xml:space="preserve"> </w:t>
      </w:r>
      <w:r w:rsidR="004E0DCD">
        <w:rPr>
          <w:sz w:val="26"/>
          <w:szCs w:val="26"/>
        </w:rPr>
        <w:t xml:space="preserve">full recovery subject to </w:t>
      </w:r>
      <w:r w:rsidR="00746119">
        <w:rPr>
          <w:sz w:val="26"/>
          <w:szCs w:val="26"/>
        </w:rPr>
        <w:t xml:space="preserve">Commission scrutiny </w:t>
      </w:r>
      <w:r w:rsidR="00C02A79">
        <w:rPr>
          <w:sz w:val="26"/>
          <w:szCs w:val="26"/>
        </w:rPr>
        <w:t xml:space="preserve">and approval in a subsequent </w:t>
      </w:r>
      <w:r w:rsidR="00A10BA9">
        <w:rPr>
          <w:sz w:val="26"/>
          <w:szCs w:val="26"/>
        </w:rPr>
        <w:t xml:space="preserve">base rate proceeding and is not </w:t>
      </w:r>
      <w:r w:rsidR="00E836DD">
        <w:rPr>
          <w:sz w:val="26"/>
          <w:szCs w:val="26"/>
        </w:rPr>
        <w:t>guaranteed capital</w:t>
      </w:r>
      <w:r w:rsidR="00C42B65">
        <w:rPr>
          <w:sz w:val="26"/>
          <w:szCs w:val="26"/>
        </w:rPr>
        <w:t xml:space="preserve"> recovery. Accordingly, we shall modify </w:t>
      </w:r>
      <w:r w:rsidR="00F93392">
        <w:rPr>
          <w:sz w:val="26"/>
          <w:szCs w:val="26"/>
        </w:rPr>
        <w:t>Paragraph 33 of the Settlement</w:t>
      </w:r>
      <w:r w:rsidR="00FE7892">
        <w:rPr>
          <w:sz w:val="26"/>
          <w:szCs w:val="26"/>
        </w:rPr>
        <w:t>, in pertinent part</w:t>
      </w:r>
      <w:r w:rsidR="00F93392">
        <w:rPr>
          <w:sz w:val="26"/>
          <w:szCs w:val="26"/>
        </w:rPr>
        <w:t xml:space="preserve"> to read as follows:</w:t>
      </w:r>
    </w:p>
    <w:p w14:paraId="095C31A4" w14:textId="1FB0221D" w:rsidR="00C32095" w:rsidRPr="00FD550C" w:rsidRDefault="00C32095" w:rsidP="00FD550C">
      <w:pPr>
        <w:widowControl/>
        <w:spacing w:line="360" w:lineRule="auto"/>
        <w:rPr>
          <w:sz w:val="26"/>
          <w:szCs w:val="26"/>
        </w:rPr>
      </w:pPr>
    </w:p>
    <w:p w14:paraId="72C7BDCE" w14:textId="32FF903C" w:rsidR="00C32095" w:rsidRDefault="00C32095" w:rsidP="00C32095">
      <w:pPr>
        <w:widowControl/>
        <w:ind w:left="1440" w:right="1440"/>
        <w:rPr>
          <w:sz w:val="26"/>
          <w:szCs w:val="26"/>
        </w:rPr>
      </w:pPr>
      <w:r>
        <w:rPr>
          <w:sz w:val="26"/>
          <w:szCs w:val="26"/>
        </w:rPr>
        <w:t>33.</w:t>
      </w:r>
      <w:r>
        <w:rPr>
          <w:sz w:val="26"/>
          <w:szCs w:val="26"/>
        </w:rPr>
        <w:tab/>
      </w:r>
      <w:r w:rsidRPr="001A3239">
        <w:rPr>
          <w:sz w:val="26"/>
          <w:szCs w:val="26"/>
        </w:rPr>
        <w:t>Complete rehabilitation of the bare steel in the system is estimated to cost $120 million in present dollars.</w:t>
      </w:r>
      <w:r>
        <w:rPr>
          <w:sz w:val="26"/>
          <w:szCs w:val="26"/>
        </w:rPr>
        <w:t xml:space="preserve">  </w:t>
      </w:r>
      <w:r w:rsidR="006D7508" w:rsidRPr="00CE549B">
        <w:rPr>
          <w:strike/>
          <w:sz w:val="26"/>
          <w:szCs w:val="26"/>
        </w:rPr>
        <w:t xml:space="preserve">The </w:t>
      </w:r>
      <w:r w:rsidR="006D7508" w:rsidRPr="00CE549B">
        <w:rPr>
          <w:strike/>
          <w:sz w:val="26"/>
          <w:szCs w:val="26"/>
        </w:rPr>
        <w:lastRenderedPageBreak/>
        <w:t>Peoples Companies will receive full recovery for the actual capital spent for the complete rehabilitation of the bare steel in the system up to $120 million.</w:t>
      </w:r>
      <w:r w:rsidR="006D7508" w:rsidRPr="001A3239">
        <w:rPr>
          <w:sz w:val="26"/>
          <w:szCs w:val="26"/>
        </w:rPr>
        <w:t xml:space="preserve"> </w:t>
      </w:r>
      <w:r w:rsidR="006D7508">
        <w:rPr>
          <w:sz w:val="26"/>
          <w:szCs w:val="26"/>
        </w:rPr>
        <w:t xml:space="preserve"> </w:t>
      </w:r>
      <w:r w:rsidR="00DE5AC9" w:rsidRPr="00CE549B">
        <w:rPr>
          <w:sz w:val="26"/>
          <w:szCs w:val="26"/>
          <w:u w:val="single"/>
        </w:rPr>
        <w:t xml:space="preserve">Up to $120 million </w:t>
      </w:r>
      <w:r w:rsidRPr="00CE549B">
        <w:rPr>
          <w:sz w:val="26"/>
          <w:szCs w:val="26"/>
          <w:u w:val="single"/>
        </w:rPr>
        <w:t xml:space="preserve">for the rehabilitation of the bare steel in the system </w:t>
      </w:r>
      <w:r w:rsidR="00035777" w:rsidRPr="00CE549B">
        <w:rPr>
          <w:sz w:val="26"/>
          <w:szCs w:val="26"/>
          <w:u w:val="single"/>
        </w:rPr>
        <w:t xml:space="preserve">is eligible for </w:t>
      </w:r>
      <w:r w:rsidR="007D3AA0" w:rsidRPr="00CE549B">
        <w:rPr>
          <w:sz w:val="26"/>
          <w:szCs w:val="26"/>
          <w:u w:val="single"/>
        </w:rPr>
        <w:t xml:space="preserve">full recovery </w:t>
      </w:r>
      <w:r w:rsidR="00BD06BC" w:rsidRPr="00CE549B">
        <w:rPr>
          <w:sz w:val="26"/>
          <w:szCs w:val="26"/>
          <w:u w:val="single"/>
        </w:rPr>
        <w:t xml:space="preserve">subject to </w:t>
      </w:r>
      <w:r w:rsidR="00BC09E5" w:rsidRPr="00CE549B">
        <w:rPr>
          <w:sz w:val="26"/>
          <w:szCs w:val="26"/>
          <w:u w:val="single"/>
        </w:rPr>
        <w:t>Commission</w:t>
      </w:r>
      <w:r w:rsidR="00BD06BC" w:rsidRPr="00CE549B">
        <w:rPr>
          <w:sz w:val="26"/>
          <w:szCs w:val="26"/>
          <w:u w:val="single"/>
        </w:rPr>
        <w:t xml:space="preserve"> scrutiny and </w:t>
      </w:r>
      <w:r w:rsidR="00BC09E5" w:rsidRPr="00CE549B">
        <w:rPr>
          <w:sz w:val="26"/>
          <w:szCs w:val="26"/>
          <w:u w:val="single"/>
        </w:rPr>
        <w:t xml:space="preserve">approval </w:t>
      </w:r>
      <w:r w:rsidR="00C842F7" w:rsidRPr="00CE549B">
        <w:rPr>
          <w:sz w:val="26"/>
          <w:szCs w:val="26"/>
          <w:u w:val="single"/>
        </w:rPr>
        <w:t>in a base rate proceeding</w:t>
      </w:r>
      <w:r w:rsidRPr="00CE549B">
        <w:rPr>
          <w:sz w:val="26"/>
          <w:szCs w:val="26"/>
          <w:u w:val="single"/>
        </w:rPr>
        <w:t>.</w:t>
      </w:r>
      <w:r w:rsidRPr="001A3239">
        <w:rPr>
          <w:sz w:val="26"/>
          <w:szCs w:val="26"/>
        </w:rPr>
        <w:t xml:space="preserve"> </w:t>
      </w:r>
      <w:r>
        <w:rPr>
          <w:sz w:val="26"/>
          <w:szCs w:val="26"/>
        </w:rPr>
        <w:t xml:space="preserve"> </w:t>
      </w:r>
      <w:r w:rsidRPr="001A3239">
        <w:rPr>
          <w:sz w:val="26"/>
          <w:szCs w:val="26"/>
        </w:rPr>
        <w:t>During the repair and replacement of the system, if it becomes apparent that this estimate is no longer sufficient, based on the actual extent of the rehabilitation effort, the Peoples Companies and the statutory advocates will meet to discuss.</w:t>
      </w:r>
      <w:r>
        <w:rPr>
          <w:sz w:val="26"/>
          <w:szCs w:val="26"/>
        </w:rPr>
        <w:t xml:space="preserve"> </w:t>
      </w:r>
      <w:r w:rsidRPr="001A3239">
        <w:rPr>
          <w:sz w:val="26"/>
          <w:szCs w:val="26"/>
        </w:rPr>
        <w:t xml:space="preserve"> If an agreement cannot be reached, the Peoples Companies will submit a filing to the Commission for decision for those amounts over the $120 million.</w:t>
      </w:r>
      <w:r>
        <w:rPr>
          <w:sz w:val="26"/>
          <w:szCs w:val="26"/>
        </w:rPr>
        <w:t xml:space="preserve"> </w:t>
      </w:r>
      <w:r w:rsidRPr="001A3239">
        <w:rPr>
          <w:sz w:val="26"/>
          <w:szCs w:val="26"/>
        </w:rPr>
        <w:t xml:space="preserve"> All parties will retain their rights to either challenge or support such a filing. </w:t>
      </w:r>
      <w:r>
        <w:rPr>
          <w:sz w:val="26"/>
          <w:szCs w:val="26"/>
        </w:rPr>
        <w:t xml:space="preserve"> </w:t>
      </w:r>
    </w:p>
    <w:p w14:paraId="78994FEB" w14:textId="77777777" w:rsidR="00C32095" w:rsidRDefault="00C32095" w:rsidP="00B24187">
      <w:pPr>
        <w:pStyle w:val="ListParagraph"/>
        <w:widowControl/>
        <w:spacing w:line="360" w:lineRule="auto"/>
        <w:ind w:left="0" w:firstLine="1440"/>
        <w:rPr>
          <w:sz w:val="26"/>
          <w:szCs w:val="26"/>
        </w:rPr>
      </w:pPr>
    </w:p>
    <w:p w14:paraId="0E8D1D8A" w14:textId="39B2F0A6" w:rsidR="004D5DBC" w:rsidRDefault="00160039" w:rsidP="00B24187">
      <w:pPr>
        <w:pStyle w:val="ListParagraph"/>
        <w:widowControl/>
        <w:spacing w:line="360" w:lineRule="auto"/>
        <w:ind w:left="0" w:firstLine="1440"/>
        <w:rPr>
          <w:sz w:val="26"/>
          <w:szCs w:val="26"/>
        </w:rPr>
      </w:pPr>
      <w:r>
        <w:rPr>
          <w:sz w:val="26"/>
          <w:szCs w:val="26"/>
        </w:rPr>
        <w:t>Moreover, w</w:t>
      </w:r>
      <w:r w:rsidR="00E2585D">
        <w:rPr>
          <w:sz w:val="26"/>
          <w:szCs w:val="26"/>
        </w:rPr>
        <w:t xml:space="preserve">e are not convinced by I&amp;E’s argument that replacement costs could be much higher than the estimated $120 million.  We agree with the ALJ and find that there has not been sufficient evidence presented in this proceeding to diminish the analysis and the subsequently constructed detailed scenarios for potential repairs of the G/T Systems </w:t>
      </w:r>
      <w:r w:rsidR="004D5DBC">
        <w:rPr>
          <w:sz w:val="26"/>
          <w:szCs w:val="26"/>
        </w:rPr>
        <w:t>submitted</w:t>
      </w:r>
      <w:r w:rsidR="00E2585D">
        <w:rPr>
          <w:sz w:val="26"/>
          <w:szCs w:val="26"/>
        </w:rPr>
        <w:t xml:space="preserve"> by the Peoples Companies.  </w:t>
      </w:r>
      <w:r w:rsidR="00D755B0">
        <w:rPr>
          <w:sz w:val="26"/>
          <w:szCs w:val="26"/>
        </w:rPr>
        <w:t>Furthermore,</w:t>
      </w:r>
      <w:r w:rsidR="000F0D6C">
        <w:rPr>
          <w:sz w:val="26"/>
          <w:szCs w:val="26"/>
        </w:rPr>
        <w:t xml:space="preserve"> as indicated above,</w:t>
      </w:r>
      <w:r w:rsidR="00D755B0">
        <w:rPr>
          <w:sz w:val="26"/>
          <w:szCs w:val="26"/>
        </w:rPr>
        <w:t xml:space="preserve"> by taking </w:t>
      </w:r>
      <w:r w:rsidR="000F0D6C">
        <w:rPr>
          <w:sz w:val="26"/>
          <w:szCs w:val="26"/>
        </w:rPr>
        <w:t xml:space="preserve">advantage of economies of scale, the impact to an average residential Peoples Natural Gas customer bill is projected to be a modest </w:t>
      </w:r>
      <w:r w:rsidR="00D755B0">
        <w:rPr>
          <w:sz w:val="26"/>
          <w:szCs w:val="26"/>
        </w:rPr>
        <w:t>increase of approximately one percent</w:t>
      </w:r>
      <w:r w:rsidR="000F0D6C">
        <w:rPr>
          <w:sz w:val="26"/>
          <w:szCs w:val="26"/>
        </w:rPr>
        <w:t>.</w:t>
      </w:r>
      <w:r w:rsidR="009A37F0">
        <w:rPr>
          <w:sz w:val="26"/>
          <w:szCs w:val="26"/>
        </w:rPr>
        <w:t xml:space="preserve">  </w:t>
      </w:r>
      <w:r w:rsidR="004D5DBC">
        <w:rPr>
          <w:sz w:val="26"/>
          <w:szCs w:val="26"/>
        </w:rPr>
        <w:t xml:space="preserve">Based on all of the above, we shall deny </w:t>
      </w:r>
      <w:r w:rsidR="00E415C5">
        <w:rPr>
          <w:sz w:val="26"/>
          <w:szCs w:val="26"/>
        </w:rPr>
        <w:t>the OSBA and I&amp;E’s Exceptions regarding this matter.</w:t>
      </w:r>
      <w:r w:rsidR="005B2D2D">
        <w:rPr>
          <w:sz w:val="26"/>
          <w:szCs w:val="26"/>
        </w:rPr>
        <w:t xml:space="preserve">  </w:t>
      </w:r>
    </w:p>
    <w:p w14:paraId="12867DB7" w14:textId="77777777" w:rsidR="005B2D2D" w:rsidRDefault="005B2D2D" w:rsidP="00B24187">
      <w:pPr>
        <w:pStyle w:val="ListParagraph"/>
        <w:widowControl/>
        <w:spacing w:line="360" w:lineRule="auto"/>
        <w:ind w:left="0" w:firstLine="1440"/>
        <w:rPr>
          <w:sz w:val="26"/>
          <w:szCs w:val="26"/>
        </w:rPr>
      </w:pPr>
    </w:p>
    <w:p w14:paraId="2A5AA346" w14:textId="77777777" w:rsidR="00530729" w:rsidRDefault="00530729" w:rsidP="006D2898">
      <w:pPr>
        <w:pStyle w:val="Heading4"/>
        <w:widowControl/>
        <w:spacing w:line="240" w:lineRule="auto"/>
        <w:ind w:left="2160" w:hanging="720"/>
      </w:pPr>
      <w:bookmarkStart w:id="73" w:name="_Toc29278201"/>
      <w:r w:rsidRPr="00530729">
        <w:t>I&amp;E Exc</w:t>
      </w:r>
      <w:r w:rsidR="009D6E39">
        <w:t>eption</w:t>
      </w:r>
      <w:r w:rsidRPr="00530729">
        <w:t xml:space="preserve"> No. 3, OSBA Exc</w:t>
      </w:r>
      <w:r w:rsidR="009D6E39">
        <w:t>eptions</w:t>
      </w:r>
      <w:r w:rsidRPr="00530729">
        <w:t xml:space="preserve"> Nos. 10 and 11, the Joint Applicants and the OCA’s Replies</w:t>
      </w:r>
      <w:r w:rsidR="009D6E39">
        <w:t>, and Disposition</w:t>
      </w:r>
      <w:bookmarkEnd w:id="73"/>
    </w:p>
    <w:p w14:paraId="723686EC" w14:textId="77777777" w:rsidR="00A412A7" w:rsidRPr="00530729" w:rsidRDefault="00A412A7" w:rsidP="006D2898">
      <w:pPr>
        <w:keepNext/>
        <w:widowControl/>
        <w:spacing w:line="360" w:lineRule="auto"/>
        <w:ind w:firstLine="720"/>
        <w:textAlignment w:val="baseline"/>
        <w:rPr>
          <w:rFonts w:cstheme="minorBidi"/>
          <w:b/>
          <w:bCs/>
          <w:sz w:val="26"/>
          <w:szCs w:val="22"/>
        </w:rPr>
      </w:pPr>
    </w:p>
    <w:p w14:paraId="30E30B6A" w14:textId="77777777" w:rsidR="00530729" w:rsidRDefault="00375BAB" w:rsidP="006D2898">
      <w:pPr>
        <w:keepNext/>
        <w:widowControl/>
        <w:ind w:left="2880" w:hanging="720"/>
        <w:textAlignment w:val="baseline"/>
        <w:rPr>
          <w:rFonts w:cstheme="minorBidi"/>
          <w:b/>
          <w:bCs/>
          <w:sz w:val="26"/>
          <w:szCs w:val="22"/>
        </w:rPr>
      </w:pPr>
      <w:r w:rsidRPr="003D3ACE">
        <w:rPr>
          <w:rFonts w:cstheme="minorBidi"/>
          <w:b/>
          <w:bCs/>
          <w:sz w:val="26"/>
          <w:szCs w:val="22"/>
        </w:rPr>
        <w:t>(1)</w:t>
      </w:r>
      <w:r>
        <w:rPr>
          <w:rFonts w:cstheme="minorBidi"/>
          <w:sz w:val="26"/>
          <w:szCs w:val="22"/>
        </w:rPr>
        <w:tab/>
      </w:r>
      <w:r w:rsidRPr="00530729">
        <w:rPr>
          <w:rFonts w:cstheme="minorBidi"/>
          <w:b/>
          <w:bCs/>
          <w:sz w:val="26"/>
          <w:szCs w:val="22"/>
        </w:rPr>
        <w:t>I&amp;E Exc</w:t>
      </w:r>
      <w:r>
        <w:rPr>
          <w:rFonts w:cstheme="minorBidi"/>
          <w:b/>
          <w:bCs/>
          <w:sz w:val="26"/>
          <w:szCs w:val="22"/>
        </w:rPr>
        <w:t>eption</w:t>
      </w:r>
      <w:r w:rsidRPr="00530729">
        <w:rPr>
          <w:rFonts w:cstheme="minorBidi"/>
          <w:b/>
          <w:bCs/>
          <w:sz w:val="26"/>
          <w:szCs w:val="22"/>
        </w:rPr>
        <w:t xml:space="preserve"> No. 3</w:t>
      </w:r>
      <w:r>
        <w:rPr>
          <w:rFonts w:cstheme="minorBidi"/>
          <w:b/>
          <w:bCs/>
          <w:sz w:val="26"/>
          <w:szCs w:val="22"/>
        </w:rPr>
        <w:t xml:space="preserve"> and</w:t>
      </w:r>
      <w:r w:rsidRPr="00530729">
        <w:rPr>
          <w:rFonts w:cstheme="minorBidi"/>
          <w:b/>
          <w:bCs/>
          <w:sz w:val="26"/>
          <w:szCs w:val="22"/>
        </w:rPr>
        <w:t xml:space="preserve"> OSBA Exc</w:t>
      </w:r>
      <w:r>
        <w:rPr>
          <w:rFonts w:cstheme="minorBidi"/>
          <w:b/>
          <w:bCs/>
          <w:sz w:val="26"/>
          <w:szCs w:val="22"/>
        </w:rPr>
        <w:t>eptions</w:t>
      </w:r>
      <w:r w:rsidRPr="00530729">
        <w:rPr>
          <w:rFonts w:cstheme="minorBidi"/>
          <w:b/>
          <w:bCs/>
          <w:sz w:val="26"/>
          <w:szCs w:val="22"/>
        </w:rPr>
        <w:t xml:space="preserve"> Nos. 10 and 11</w:t>
      </w:r>
      <w:r w:rsidR="003D3ACE">
        <w:rPr>
          <w:rFonts w:cstheme="minorBidi"/>
          <w:b/>
          <w:bCs/>
          <w:sz w:val="26"/>
          <w:szCs w:val="22"/>
        </w:rPr>
        <w:t>,</w:t>
      </w:r>
      <w:r>
        <w:rPr>
          <w:rFonts w:cstheme="minorBidi"/>
          <w:b/>
          <w:bCs/>
          <w:sz w:val="26"/>
          <w:szCs w:val="22"/>
        </w:rPr>
        <w:t xml:space="preserve"> and</w:t>
      </w:r>
      <w:r w:rsidRPr="00530729">
        <w:rPr>
          <w:rFonts w:cstheme="minorBidi"/>
          <w:b/>
          <w:bCs/>
          <w:sz w:val="26"/>
          <w:szCs w:val="22"/>
        </w:rPr>
        <w:t xml:space="preserve"> the Joint Applicants and the OCA’s Replies</w:t>
      </w:r>
    </w:p>
    <w:p w14:paraId="1139A8C5" w14:textId="77777777" w:rsidR="00375BAB" w:rsidRPr="00530729" w:rsidRDefault="00375BAB" w:rsidP="006D2898">
      <w:pPr>
        <w:keepNext/>
        <w:widowControl/>
        <w:spacing w:line="360" w:lineRule="auto"/>
        <w:ind w:firstLine="720"/>
        <w:textAlignment w:val="baseline"/>
        <w:rPr>
          <w:rFonts w:cstheme="minorBidi"/>
          <w:sz w:val="26"/>
          <w:szCs w:val="22"/>
        </w:rPr>
      </w:pPr>
    </w:p>
    <w:p w14:paraId="6C0C3713" w14:textId="79876333" w:rsidR="00530729" w:rsidRPr="00530729" w:rsidRDefault="00530729" w:rsidP="004E7F2B">
      <w:pPr>
        <w:keepNext/>
        <w:widowControl/>
        <w:spacing w:line="360" w:lineRule="auto"/>
        <w:ind w:firstLine="1440"/>
        <w:textAlignment w:val="baseline"/>
        <w:rPr>
          <w:rFonts w:cstheme="minorBidi"/>
          <w:spacing w:val="6"/>
          <w:sz w:val="26"/>
          <w:szCs w:val="22"/>
        </w:rPr>
      </w:pPr>
      <w:r w:rsidRPr="00530729">
        <w:rPr>
          <w:rFonts w:cstheme="minorBidi"/>
          <w:sz w:val="26"/>
          <w:szCs w:val="22"/>
        </w:rPr>
        <w:t xml:space="preserve">In its Exception No. 3, I&amp;E states that the ALJ erred in not addressing I&amp;E’s proposal that $127 million of the purchase price be set aside in a restricted account to pay for what I&amp;E deems to be the uneconomic portion of the replacement of the G/T Systems.  </w:t>
      </w:r>
      <w:r w:rsidRPr="00530729">
        <w:rPr>
          <w:rFonts w:cstheme="minorBidi"/>
          <w:spacing w:val="6"/>
          <w:sz w:val="26"/>
          <w:szCs w:val="22"/>
        </w:rPr>
        <w:t xml:space="preserve">I&amp;E Exc. at 11.  I&amp;E avers that in this case, the Commission should </w:t>
      </w:r>
      <w:r w:rsidRPr="00530729">
        <w:rPr>
          <w:rFonts w:cstheme="minorBidi"/>
          <w:spacing w:val="6"/>
          <w:sz w:val="26"/>
          <w:szCs w:val="22"/>
        </w:rPr>
        <w:lastRenderedPageBreak/>
        <w:t xml:space="preserve">exercise its authority to reject, in whole or in part, the Settlement because the conditions in the Settlement are contrary to the public interest for ratepayers.  I&amp;E argues that asking ratepayers to fund replacement of the entire G/T Systems is neither just, nor reasonable.  I&amp;E remarks that this Commission has already determined that the resolution contained in the 2013 Equitable Settlement, which contained an economic test for replacement and did not require ratepayers to be responsible for funding the entire replacement, is reasonable and in the public interest.  </w:t>
      </w:r>
      <w:r w:rsidRPr="00530729">
        <w:rPr>
          <w:rFonts w:cstheme="minorBidi"/>
          <w:i/>
          <w:iCs/>
          <w:spacing w:val="6"/>
          <w:sz w:val="26"/>
          <w:szCs w:val="22"/>
        </w:rPr>
        <w:t>Id</w:t>
      </w:r>
      <w:r w:rsidRPr="00530729">
        <w:rPr>
          <w:rFonts w:cstheme="minorBidi"/>
          <w:spacing w:val="6"/>
          <w:sz w:val="26"/>
          <w:szCs w:val="22"/>
        </w:rPr>
        <w:t>. at 12.</w:t>
      </w:r>
      <w:r w:rsidR="003A591D">
        <w:rPr>
          <w:rFonts w:cstheme="minorBidi"/>
          <w:spacing w:val="6"/>
          <w:sz w:val="26"/>
          <w:szCs w:val="22"/>
        </w:rPr>
        <w:t xml:space="preserve"> </w:t>
      </w:r>
      <w:r w:rsidRPr="00530729">
        <w:rPr>
          <w:rFonts w:cstheme="minorBidi"/>
          <w:spacing w:val="6"/>
          <w:sz w:val="26"/>
          <w:szCs w:val="22"/>
        </w:rPr>
        <w:t xml:space="preserve"> </w:t>
      </w:r>
    </w:p>
    <w:p w14:paraId="2BA9C5DF" w14:textId="77777777" w:rsidR="00530729" w:rsidRPr="00530729" w:rsidRDefault="00530729" w:rsidP="00B24187">
      <w:pPr>
        <w:widowControl/>
        <w:spacing w:line="360" w:lineRule="auto"/>
        <w:ind w:firstLine="720"/>
        <w:textAlignment w:val="baseline"/>
        <w:rPr>
          <w:rFonts w:cstheme="minorBidi"/>
          <w:spacing w:val="6"/>
          <w:sz w:val="26"/>
          <w:szCs w:val="22"/>
        </w:rPr>
      </w:pPr>
    </w:p>
    <w:p w14:paraId="2B18BA21" w14:textId="0D1601A9" w:rsidR="00530729" w:rsidRPr="00530729" w:rsidRDefault="00530729" w:rsidP="004E7F2B">
      <w:pPr>
        <w:widowControl/>
        <w:spacing w:line="360" w:lineRule="auto"/>
        <w:ind w:firstLine="1440"/>
        <w:textAlignment w:val="baseline"/>
        <w:rPr>
          <w:rFonts w:cstheme="minorBidi"/>
          <w:spacing w:val="9"/>
          <w:sz w:val="26"/>
          <w:szCs w:val="22"/>
        </w:rPr>
      </w:pPr>
      <w:r w:rsidRPr="00530729">
        <w:rPr>
          <w:rFonts w:cstheme="minorBidi"/>
          <w:spacing w:val="6"/>
          <w:sz w:val="26"/>
          <w:szCs w:val="22"/>
        </w:rPr>
        <w:t xml:space="preserve">However, I&amp;E continues that if the Commission determines that the G/T Systems must be replaced as part of this proceeding, I&amp;E has demonstrated that its proposal to require SteelRiver to contribute $127 million to this effort is permissible, in the public interest, and within the Commission’s authority.  </w:t>
      </w:r>
      <w:r w:rsidRPr="00530729">
        <w:rPr>
          <w:rFonts w:cstheme="minorBidi"/>
          <w:i/>
          <w:iCs/>
          <w:spacing w:val="6"/>
          <w:sz w:val="26"/>
          <w:szCs w:val="22"/>
        </w:rPr>
        <w:t>Id</w:t>
      </w:r>
      <w:r w:rsidRPr="00530729">
        <w:rPr>
          <w:rFonts w:cstheme="minorBidi"/>
          <w:spacing w:val="6"/>
          <w:sz w:val="26"/>
          <w:szCs w:val="22"/>
        </w:rPr>
        <w:t>.  I&amp;E asserts that its r</w:t>
      </w:r>
      <w:r w:rsidRPr="00530729">
        <w:rPr>
          <w:rFonts w:cstheme="minorBidi"/>
          <w:sz w:val="26"/>
          <w:szCs w:val="22"/>
        </w:rPr>
        <w:t xml:space="preserve">ecommendation is supported by the longstanding safety and ratemaking </w:t>
      </w:r>
      <w:r w:rsidRPr="00530729">
        <w:rPr>
          <w:rFonts w:cstheme="minorBidi"/>
          <w:spacing w:val="9"/>
          <w:sz w:val="26"/>
          <w:szCs w:val="22"/>
        </w:rPr>
        <w:t xml:space="preserve">concerns raised about the G/T Systems and by the ratemaking principle that rates must be just and reasonable.  </w:t>
      </w:r>
      <w:r w:rsidRPr="00530729">
        <w:rPr>
          <w:rFonts w:cstheme="minorBidi"/>
          <w:i/>
          <w:iCs/>
          <w:spacing w:val="9"/>
          <w:sz w:val="26"/>
          <w:szCs w:val="22"/>
        </w:rPr>
        <w:t>Id</w:t>
      </w:r>
      <w:r w:rsidRPr="00530729">
        <w:rPr>
          <w:rFonts w:cstheme="minorBidi"/>
          <w:spacing w:val="9"/>
          <w:sz w:val="26"/>
          <w:szCs w:val="22"/>
        </w:rPr>
        <w:t xml:space="preserve">. at 12-13.  I&amp;E states that SteelRiver was aware of these issues when it purchased the system in 2013, it failed to remedy these issues in the six years since it acquired the Peoples Companies, and it is now seeking to sell the lines to Aqua America, which plans to recover the majority of the costs from ratepayers.  I&amp;E points to the </w:t>
      </w:r>
      <w:r w:rsidRPr="00530729">
        <w:rPr>
          <w:rFonts w:cstheme="minorBidi"/>
          <w:spacing w:val="6"/>
          <w:sz w:val="26"/>
          <w:szCs w:val="22"/>
        </w:rPr>
        <w:t>2013 Equitable Settlement</w:t>
      </w:r>
      <w:r w:rsidRPr="00530729">
        <w:rPr>
          <w:rFonts w:cstheme="minorBidi"/>
          <w:spacing w:val="9"/>
          <w:sz w:val="26"/>
          <w:szCs w:val="22"/>
        </w:rPr>
        <w:t xml:space="preserve">, which required EQT to contribute $5 million to SteelRiver because the parties in that proceeding indicated that the Peoples Companies needed time to fix the problems.  I&amp;E posits that the only difference between the </w:t>
      </w:r>
      <w:r w:rsidRPr="00530729">
        <w:rPr>
          <w:rFonts w:cstheme="minorBidi"/>
          <w:spacing w:val="6"/>
          <w:sz w:val="26"/>
          <w:szCs w:val="22"/>
        </w:rPr>
        <w:t>2013 Equitable Settlement</w:t>
      </w:r>
      <w:r w:rsidRPr="00530729">
        <w:rPr>
          <w:rFonts w:cstheme="minorBidi"/>
          <w:spacing w:val="9"/>
          <w:sz w:val="26"/>
          <w:szCs w:val="22"/>
        </w:rPr>
        <w:t xml:space="preserve"> proceeding and this proceeding is that the Parties now have a better estimate of the cost to fully replace the gathering lines and now know that quick, inexpensive fixes will not remedy the UFG on these lines.  I&amp;E avers that the principle that the seller bears responsibility for the uneconomic portion of the replacement remains sound, and it is not unreasonable to require that SteelRiver similarly contribute to fix the G/T Systems now that it is seeking to sell to Aqua America.  </w:t>
      </w:r>
      <w:r w:rsidRPr="00530729">
        <w:rPr>
          <w:rFonts w:cstheme="minorBidi"/>
          <w:i/>
          <w:iCs/>
          <w:spacing w:val="9"/>
          <w:sz w:val="26"/>
          <w:szCs w:val="22"/>
        </w:rPr>
        <w:t>Id</w:t>
      </w:r>
      <w:r w:rsidRPr="00530729">
        <w:rPr>
          <w:rFonts w:cstheme="minorBidi"/>
          <w:spacing w:val="9"/>
          <w:sz w:val="26"/>
          <w:szCs w:val="22"/>
        </w:rPr>
        <w:t>. at 13.</w:t>
      </w:r>
    </w:p>
    <w:p w14:paraId="6EA94DB7" w14:textId="77777777" w:rsidR="00530729" w:rsidRPr="00530729" w:rsidRDefault="00530729" w:rsidP="00B24187">
      <w:pPr>
        <w:widowControl/>
        <w:spacing w:line="360" w:lineRule="auto"/>
        <w:ind w:firstLine="720"/>
        <w:textAlignment w:val="baseline"/>
        <w:rPr>
          <w:rFonts w:cstheme="minorBidi"/>
          <w:spacing w:val="9"/>
          <w:sz w:val="26"/>
          <w:szCs w:val="22"/>
        </w:rPr>
      </w:pPr>
    </w:p>
    <w:p w14:paraId="70175B7D" w14:textId="77777777" w:rsidR="00530729" w:rsidRPr="00530729" w:rsidRDefault="00530729" w:rsidP="00B24187">
      <w:pPr>
        <w:widowControl/>
        <w:spacing w:line="360" w:lineRule="auto"/>
        <w:ind w:firstLine="720"/>
        <w:textAlignment w:val="baseline"/>
        <w:rPr>
          <w:rFonts w:cstheme="minorBidi"/>
          <w:spacing w:val="6"/>
          <w:sz w:val="26"/>
          <w:szCs w:val="22"/>
        </w:rPr>
      </w:pPr>
      <w:r w:rsidRPr="00530729">
        <w:rPr>
          <w:rFonts w:cstheme="minorBidi"/>
          <w:spacing w:val="7"/>
          <w:sz w:val="26"/>
          <w:szCs w:val="22"/>
        </w:rPr>
        <w:tab/>
        <w:t>Additionally, I&amp;E agrees with the ALJ that the socialization of costs associated with infrastructure improvement is not an unusual concept, but I&amp;E has serious concerns about the scale on which it is being done and the manner in which it is being done in this case</w:t>
      </w:r>
      <w:r w:rsidRPr="00530729">
        <w:rPr>
          <w:rFonts w:cstheme="minorBidi"/>
          <w:spacing w:val="6"/>
          <w:sz w:val="26"/>
          <w:szCs w:val="22"/>
        </w:rPr>
        <w:t xml:space="preserve">.  </w:t>
      </w:r>
      <w:r w:rsidRPr="00530729">
        <w:rPr>
          <w:rFonts w:cstheme="minorBidi"/>
          <w:i/>
          <w:iCs/>
          <w:spacing w:val="6"/>
          <w:sz w:val="26"/>
          <w:szCs w:val="22"/>
        </w:rPr>
        <w:t>Id</w:t>
      </w:r>
      <w:r w:rsidRPr="00530729">
        <w:rPr>
          <w:rFonts w:cstheme="minorBidi"/>
          <w:spacing w:val="6"/>
          <w:sz w:val="26"/>
          <w:szCs w:val="22"/>
        </w:rPr>
        <w:t xml:space="preserve">. at 13-14.  I&amp;E reiterates that full replacement of the G/T Systems will cost approximately $92 million more than Aqua America will get back in revenue, and the ratepayers are being viewed as a never-ending funding source.  I&amp;E believes that if the Commission adopts its proposed condition that SteelRiver be required to contribute to the replacement efforts, it will eliminate the ALJ’s concerns about the political and social aspects of having to abandon some customers and I&amp;E’s concerns about requiring ratepayers to pay for uneconomic replacements.  </w:t>
      </w:r>
      <w:r w:rsidRPr="00530729">
        <w:rPr>
          <w:rFonts w:cstheme="minorBidi"/>
          <w:i/>
          <w:iCs/>
          <w:spacing w:val="6"/>
          <w:sz w:val="26"/>
          <w:szCs w:val="22"/>
        </w:rPr>
        <w:t>Id</w:t>
      </w:r>
      <w:r w:rsidRPr="00530729">
        <w:rPr>
          <w:rFonts w:cstheme="minorBidi"/>
          <w:spacing w:val="6"/>
          <w:sz w:val="26"/>
          <w:szCs w:val="22"/>
        </w:rPr>
        <w:t xml:space="preserve">. at 14.  </w:t>
      </w:r>
    </w:p>
    <w:p w14:paraId="4B1DCDE9" w14:textId="77777777" w:rsidR="00530729" w:rsidRPr="00530729" w:rsidRDefault="00530729" w:rsidP="00B24187">
      <w:pPr>
        <w:widowControl/>
        <w:spacing w:line="360" w:lineRule="auto"/>
        <w:ind w:firstLine="720"/>
        <w:textAlignment w:val="baseline"/>
        <w:rPr>
          <w:rFonts w:cstheme="minorBidi"/>
          <w:spacing w:val="6"/>
          <w:sz w:val="26"/>
          <w:szCs w:val="22"/>
        </w:rPr>
      </w:pPr>
    </w:p>
    <w:p w14:paraId="51713517" w14:textId="3C9A2473" w:rsidR="00530729" w:rsidRPr="00530729" w:rsidRDefault="00530729" w:rsidP="006D2898">
      <w:pPr>
        <w:widowControl/>
        <w:spacing w:line="360" w:lineRule="auto"/>
        <w:ind w:right="-29" w:firstLine="1440"/>
        <w:textAlignment w:val="baseline"/>
        <w:rPr>
          <w:rFonts w:cstheme="minorBidi"/>
          <w:color w:val="000000"/>
          <w:sz w:val="26"/>
          <w:szCs w:val="22"/>
        </w:rPr>
      </w:pPr>
      <w:r w:rsidRPr="00530729">
        <w:rPr>
          <w:rFonts w:cstheme="minorBidi"/>
          <w:spacing w:val="6"/>
          <w:sz w:val="26"/>
          <w:szCs w:val="22"/>
        </w:rPr>
        <w:t xml:space="preserve">In its Exception No. 10, the OSBA avers that the ALJ erred in concluding that the OSBA did not address Mr. Gregorini’s testimony regarding all of the actions the Peoples Companies have taken concerning the G/T Systems in its argument that approving the Settlement would reward SteelRiver for doing nothing with the systems it knew had serious problems.  </w:t>
      </w:r>
      <w:r w:rsidRPr="00530729">
        <w:rPr>
          <w:rFonts w:cstheme="minorBidi"/>
          <w:color w:val="000000"/>
          <w:spacing w:val="-2"/>
          <w:sz w:val="26"/>
          <w:szCs w:val="22"/>
        </w:rPr>
        <w:t xml:space="preserve">The OSBA asserts that it addressed Mr. Gregorini’s testimony when it observed that SteelRiver did nothing to repair the G/T Systems which, throughout its ownership, have leaked natural gas at unacceptably high levels.  OSBA Exc. at 17.  The OSBA believes that it reached the obvious conclusion that the actions of the Peoples Companies Mr. Gregorini </w:t>
      </w:r>
      <w:r w:rsidR="008E7FAB">
        <w:rPr>
          <w:rFonts w:cstheme="minorBidi"/>
          <w:color w:val="000000"/>
          <w:spacing w:val="-2"/>
          <w:sz w:val="26"/>
          <w:szCs w:val="22"/>
        </w:rPr>
        <w:t>listed</w:t>
      </w:r>
      <w:r w:rsidRPr="00530729">
        <w:rPr>
          <w:rFonts w:cstheme="minorBidi"/>
          <w:color w:val="000000"/>
          <w:spacing w:val="-2"/>
          <w:sz w:val="26"/>
          <w:szCs w:val="22"/>
        </w:rPr>
        <w:t xml:space="preserve">, and </w:t>
      </w:r>
      <w:r w:rsidR="002036CE">
        <w:rPr>
          <w:rFonts w:cstheme="minorBidi"/>
          <w:color w:val="000000"/>
          <w:spacing w:val="-2"/>
          <w:sz w:val="26"/>
          <w:szCs w:val="22"/>
        </w:rPr>
        <w:t>those the</w:t>
      </w:r>
      <w:r w:rsidRPr="00530729">
        <w:rPr>
          <w:rFonts w:cstheme="minorBidi"/>
          <w:color w:val="000000"/>
          <w:spacing w:val="-2"/>
          <w:sz w:val="26"/>
          <w:szCs w:val="22"/>
        </w:rPr>
        <w:t xml:space="preserve"> ALJ discussed on pages 44-45 of the Recommended Decision, were ineffective in addressing the Gathering Systems’ known problems.  </w:t>
      </w:r>
      <w:r w:rsidRPr="00530729">
        <w:rPr>
          <w:rFonts w:cstheme="minorBidi"/>
          <w:i/>
          <w:iCs/>
          <w:color w:val="000000"/>
          <w:spacing w:val="-2"/>
          <w:sz w:val="26"/>
          <w:szCs w:val="22"/>
        </w:rPr>
        <w:t>Id</w:t>
      </w:r>
      <w:r w:rsidRPr="00530729">
        <w:rPr>
          <w:rFonts w:cstheme="minorBidi"/>
          <w:color w:val="000000"/>
          <w:spacing w:val="-2"/>
          <w:sz w:val="26"/>
          <w:szCs w:val="22"/>
        </w:rPr>
        <w:t>. at 17-18.  T</w:t>
      </w:r>
      <w:r w:rsidRPr="00530729">
        <w:rPr>
          <w:rFonts w:cstheme="minorBidi"/>
          <w:color w:val="000000"/>
          <w:sz w:val="26"/>
          <w:szCs w:val="22"/>
        </w:rPr>
        <w:t>he OSBA contends that the Peoples Companies’ modest actions would not represent a serious effort at addressing the problems with the G/T Systems if they had been done over a one-year period, much less over a six-year period.  The OSBA states that the G/T Systems were leaking at an alarming and unsafe rate in 2012, and they continue to do so today.  Accordingly, Mr. Gregorini’s testimony is insufficient to change the OSBA’s opinion that</w:t>
      </w:r>
      <w:r w:rsidR="0010506F">
        <w:rPr>
          <w:rFonts w:cstheme="minorBidi"/>
          <w:color w:val="000000"/>
          <w:sz w:val="26"/>
          <w:szCs w:val="22"/>
        </w:rPr>
        <w:t xml:space="preserve"> </w:t>
      </w:r>
      <w:r w:rsidRPr="00530729">
        <w:rPr>
          <w:rFonts w:cstheme="minorBidi"/>
          <w:color w:val="000000"/>
          <w:sz w:val="26"/>
          <w:szCs w:val="22"/>
        </w:rPr>
        <w:t xml:space="preserve">after six years of </w:t>
      </w:r>
      <w:r w:rsidRPr="00530729">
        <w:rPr>
          <w:rFonts w:cstheme="minorBidi"/>
          <w:color w:val="000000"/>
          <w:sz w:val="26"/>
          <w:szCs w:val="22"/>
        </w:rPr>
        <w:lastRenderedPageBreak/>
        <w:t>ownership, SteelRiver/the Peoples Companies did nothing</w:t>
      </w:r>
      <w:r w:rsidRPr="00530729">
        <w:rPr>
          <w:rFonts w:cstheme="minorBidi"/>
          <w:i/>
          <w:color w:val="000000"/>
          <w:sz w:val="26"/>
          <w:szCs w:val="22"/>
        </w:rPr>
        <w:t xml:space="preserve"> </w:t>
      </w:r>
      <w:r w:rsidRPr="00530729">
        <w:rPr>
          <w:rFonts w:cstheme="minorBidi"/>
          <w:color w:val="000000"/>
          <w:sz w:val="26"/>
          <w:szCs w:val="22"/>
        </w:rPr>
        <w:t xml:space="preserve">to address the G/T Systems that leak unacceptably high levels of gas (82% and 44%, respectively), and must be addressed.  </w:t>
      </w:r>
      <w:r w:rsidRPr="00530729">
        <w:rPr>
          <w:rFonts w:cstheme="minorBidi"/>
          <w:i/>
          <w:iCs/>
          <w:color w:val="000000"/>
          <w:sz w:val="26"/>
          <w:szCs w:val="22"/>
        </w:rPr>
        <w:t>Id</w:t>
      </w:r>
      <w:r w:rsidRPr="00530729">
        <w:rPr>
          <w:rFonts w:cstheme="minorBidi"/>
          <w:color w:val="000000"/>
          <w:sz w:val="26"/>
          <w:szCs w:val="22"/>
        </w:rPr>
        <w:t>. at 18.</w:t>
      </w:r>
    </w:p>
    <w:p w14:paraId="7F0E9E33" w14:textId="77777777" w:rsidR="00530729" w:rsidRPr="00530729" w:rsidRDefault="00530729" w:rsidP="00B24187">
      <w:pPr>
        <w:widowControl/>
        <w:spacing w:line="360" w:lineRule="auto"/>
        <w:ind w:right="-29" w:firstLine="648"/>
        <w:textAlignment w:val="baseline"/>
        <w:rPr>
          <w:rFonts w:cstheme="minorBidi"/>
          <w:color w:val="000000"/>
          <w:sz w:val="26"/>
          <w:szCs w:val="22"/>
        </w:rPr>
      </w:pPr>
    </w:p>
    <w:p w14:paraId="6ED80B7A" w14:textId="6465B1D2" w:rsidR="00530729" w:rsidRPr="00530729" w:rsidRDefault="00530729" w:rsidP="004E7F2B">
      <w:pPr>
        <w:widowControl/>
        <w:spacing w:line="360" w:lineRule="auto"/>
        <w:ind w:right="72" w:firstLine="1440"/>
        <w:textAlignment w:val="baseline"/>
        <w:rPr>
          <w:rFonts w:cstheme="minorBidi"/>
          <w:sz w:val="26"/>
          <w:szCs w:val="22"/>
        </w:rPr>
      </w:pPr>
      <w:r w:rsidRPr="00530729">
        <w:rPr>
          <w:rFonts w:cstheme="minorBidi"/>
          <w:sz w:val="26"/>
          <w:szCs w:val="22"/>
        </w:rPr>
        <w:t xml:space="preserve">In its Exception No. 11, the OSBA argues that the ALJ erred in finding that the Settlement terms addressing the G/T Systems are an affirmative public benefit.  The OSBA states that the proposed solution for the G/T Systems, a seven-year repair plan paid for by the Peoples Companies’ ratepayers, does not include any affirmative public benefits, but instead inflicts significant public harm.  In support of its position, the OSBA points to the following:  (1) the Peoples Companies are currently bound by the terms of the 2013 Equitable Settlement to address the G/T Systems, (Tr. at 103-104); (2) the </w:t>
      </w:r>
      <w:r w:rsidRPr="00530729">
        <w:rPr>
          <w:rFonts w:cstheme="minorBidi"/>
          <w:iCs/>
          <w:sz w:val="26"/>
          <w:szCs w:val="22"/>
        </w:rPr>
        <w:t>Settlement</w:t>
      </w:r>
      <w:r w:rsidRPr="00530729">
        <w:rPr>
          <w:rFonts w:cstheme="minorBidi"/>
          <w:i/>
          <w:sz w:val="26"/>
          <w:szCs w:val="22"/>
        </w:rPr>
        <w:t xml:space="preserve"> </w:t>
      </w:r>
      <w:r w:rsidRPr="00530729">
        <w:rPr>
          <w:rFonts w:cstheme="minorBidi"/>
          <w:iCs/>
          <w:sz w:val="26"/>
          <w:szCs w:val="22"/>
        </w:rPr>
        <w:t>in</w:t>
      </w:r>
      <w:r w:rsidRPr="00530729">
        <w:rPr>
          <w:rFonts w:cstheme="minorBidi"/>
          <w:i/>
          <w:sz w:val="26"/>
          <w:szCs w:val="22"/>
        </w:rPr>
        <w:t xml:space="preserve"> </w:t>
      </w:r>
      <w:r w:rsidRPr="00530729">
        <w:rPr>
          <w:rFonts w:cstheme="minorBidi"/>
          <w:iCs/>
          <w:sz w:val="26"/>
          <w:szCs w:val="22"/>
        </w:rPr>
        <w:t>this proceeding</w:t>
      </w:r>
      <w:r w:rsidRPr="00530729">
        <w:rPr>
          <w:rFonts w:cstheme="minorBidi"/>
          <w:i/>
          <w:sz w:val="26"/>
          <w:szCs w:val="22"/>
        </w:rPr>
        <w:t xml:space="preserve"> </w:t>
      </w:r>
      <w:r w:rsidRPr="00530729">
        <w:rPr>
          <w:rFonts w:cstheme="minorBidi"/>
          <w:sz w:val="26"/>
          <w:szCs w:val="22"/>
        </w:rPr>
        <w:t>proposes to remediate the entirety of the G/T Systems and will produce “marginal revenues” (OCA R.B. at 19); (3) the Peoples Companies concede remediation of the entire G/T Systems is uneconomic</w:t>
      </w:r>
      <w:r w:rsidR="00557927">
        <w:rPr>
          <w:rFonts w:cstheme="minorBidi"/>
          <w:sz w:val="26"/>
          <w:szCs w:val="22"/>
        </w:rPr>
        <w:t>al</w:t>
      </w:r>
      <w:r w:rsidRPr="00530729">
        <w:rPr>
          <w:rFonts w:cstheme="minorBidi"/>
          <w:sz w:val="26"/>
          <w:szCs w:val="22"/>
        </w:rPr>
        <w:t xml:space="preserve"> (Joint Applicants St. 3-R at 8); and (4) the Settlement in this proceeding</w:t>
      </w:r>
      <w:r w:rsidRPr="00530729">
        <w:rPr>
          <w:rFonts w:cstheme="minorBidi"/>
          <w:i/>
          <w:sz w:val="26"/>
          <w:szCs w:val="22"/>
        </w:rPr>
        <w:t xml:space="preserve"> </w:t>
      </w:r>
      <w:r w:rsidRPr="00530729">
        <w:rPr>
          <w:rFonts w:cstheme="minorBidi"/>
          <w:sz w:val="26"/>
          <w:szCs w:val="22"/>
        </w:rPr>
        <w:t xml:space="preserve">proposes to fully remediate the G/T Systems at the expense of ratepayers by imposing at least $79 million in net cost (OSBA </w:t>
      </w:r>
      <w:r w:rsidRPr="00530729">
        <w:rPr>
          <w:rFonts w:cstheme="minorBidi"/>
          <w:bCs/>
          <w:sz w:val="26"/>
          <w:szCs w:val="22"/>
        </w:rPr>
        <w:t>R.B.</w:t>
      </w:r>
      <w:r w:rsidRPr="00530729">
        <w:rPr>
          <w:rFonts w:cstheme="minorBidi"/>
          <w:b/>
          <w:sz w:val="26"/>
          <w:szCs w:val="22"/>
        </w:rPr>
        <w:t xml:space="preserve"> </w:t>
      </w:r>
      <w:r w:rsidRPr="00530729">
        <w:rPr>
          <w:rFonts w:cstheme="minorBidi"/>
          <w:sz w:val="26"/>
          <w:szCs w:val="22"/>
        </w:rPr>
        <w:t>at 19-20; Settlement at 6-7).  OSBA Exc. at 19.  A</w:t>
      </w:r>
      <w:r w:rsidRPr="00530729">
        <w:rPr>
          <w:rFonts w:cstheme="minorBidi"/>
          <w:spacing w:val="-1"/>
          <w:sz w:val="26"/>
          <w:szCs w:val="22"/>
        </w:rPr>
        <w:t>dditionally, the OSBA contends that if the Proposed Transaction, as conditioned by the Settlement</w:t>
      </w:r>
      <w:r w:rsidRPr="00530729">
        <w:rPr>
          <w:rFonts w:cstheme="minorBidi"/>
          <w:i/>
          <w:spacing w:val="-1"/>
          <w:sz w:val="26"/>
          <w:szCs w:val="22"/>
        </w:rPr>
        <w:t xml:space="preserve">, </w:t>
      </w:r>
      <w:r w:rsidRPr="00530729">
        <w:rPr>
          <w:rFonts w:cstheme="minorBidi"/>
          <w:spacing w:val="-1"/>
          <w:sz w:val="26"/>
          <w:szCs w:val="22"/>
        </w:rPr>
        <w:t xml:space="preserve">is approved without modification, SteelRiver will be rewarded with a premium of $2 billion on its book asset value while having avoided addressing the G/T Systems </w:t>
      </w:r>
      <w:r w:rsidRPr="00530729">
        <w:rPr>
          <w:rFonts w:cstheme="minorBidi"/>
          <w:sz w:val="26"/>
          <w:szCs w:val="22"/>
        </w:rPr>
        <w:t xml:space="preserve">as it committed to in the 2013 Equitable Settlement.  </w:t>
      </w:r>
      <w:r w:rsidRPr="00530729">
        <w:rPr>
          <w:rFonts w:cstheme="minorBidi"/>
          <w:i/>
          <w:iCs/>
          <w:sz w:val="26"/>
          <w:szCs w:val="22"/>
        </w:rPr>
        <w:t>Id</w:t>
      </w:r>
      <w:r w:rsidRPr="00530729">
        <w:rPr>
          <w:rFonts w:cstheme="minorBidi"/>
          <w:sz w:val="26"/>
          <w:szCs w:val="22"/>
        </w:rPr>
        <w:t>. at 19-20.</w:t>
      </w:r>
      <w:r w:rsidR="003A591D">
        <w:rPr>
          <w:rFonts w:cstheme="minorBidi"/>
          <w:sz w:val="26"/>
          <w:szCs w:val="22"/>
        </w:rPr>
        <w:t xml:space="preserve"> </w:t>
      </w:r>
      <w:r w:rsidRPr="00530729">
        <w:rPr>
          <w:rFonts w:cstheme="minorBidi"/>
          <w:sz w:val="26"/>
          <w:szCs w:val="22"/>
        </w:rPr>
        <w:t xml:space="preserve"> </w:t>
      </w:r>
    </w:p>
    <w:p w14:paraId="713D3862" w14:textId="77777777" w:rsidR="0010506F" w:rsidRDefault="0010506F" w:rsidP="006D2898">
      <w:pPr>
        <w:widowControl/>
        <w:spacing w:line="360" w:lineRule="auto"/>
        <w:ind w:firstLine="720"/>
        <w:rPr>
          <w:rFonts w:cstheme="minorBidi"/>
          <w:sz w:val="26"/>
          <w:szCs w:val="22"/>
        </w:rPr>
      </w:pPr>
    </w:p>
    <w:p w14:paraId="54A90B8D" w14:textId="11A0B03A" w:rsidR="00530729" w:rsidRPr="00530729" w:rsidRDefault="00530729" w:rsidP="004E7F2B">
      <w:pPr>
        <w:widowControl/>
        <w:spacing w:line="360" w:lineRule="auto"/>
        <w:ind w:firstLine="1440"/>
        <w:rPr>
          <w:rFonts w:eastAsiaTheme="minorHAnsi" w:cstheme="minorBidi"/>
          <w:sz w:val="26"/>
          <w:szCs w:val="22"/>
        </w:rPr>
      </w:pPr>
      <w:r w:rsidRPr="00530729">
        <w:rPr>
          <w:rFonts w:eastAsiaTheme="minorHAnsi"/>
          <w:sz w:val="26"/>
          <w:szCs w:val="24"/>
        </w:rPr>
        <w:t xml:space="preserve">In reply, the Joint Applicants aver that I&amp;E and the OSBA’s proposal to withhold a part of the purchase price of the Proposed Transaction to remediate and repair the G/T Systems is not supported by law or fact.  Joint Applicants R. Exc. at 11.  The Joint Applicants state that </w:t>
      </w:r>
      <w:r w:rsidRPr="00530729">
        <w:rPr>
          <w:rFonts w:eastAsiaTheme="minorHAnsi" w:cstheme="minorBidi"/>
          <w:sz w:val="26"/>
          <w:szCs w:val="22"/>
        </w:rPr>
        <w:t xml:space="preserve">I&amp;E and the OSBA have not cited to any cases in which the Commission has imposed an “exit fee” on a seller who did not voluntarily agree to such payment.  </w:t>
      </w:r>
      <w:r w:rsidRPr="00530729">
        <w:rPr>
          <w:rFonts w:eastAsiaTheme="minorHAnsi" w:cstheme="minorBidi"/>
          <w:i/>
          <w:iCs/>
          <w:sz w:val="26"/>
          <w:szCs w:val="22"/>
        </w:rPr>
        <w:t>Id</w:t>
      </w:r>
      <w:r w:rsidRPr="00530729">
        <w:rPr>
          <w:rFonts w:eastAsiaTheme="minorHAnsi" w:cstheme="minorBidi"/>
          <w:sz w:val="26"/>
          <w:szCs w:val="22"/>
        </w:rPr>
        <w:t xml:space="preserve">. (citing Joint Applicants R.B. at 42-43).  The Joint Applicants also state that the ALJ expressly addressed this “exit fee” proposal and rejected it as part of her </w:t>
      </w:r>
      <w:r w:rsidRPr="00530729">
        <w:rPr>
          <w:rFonts w:eastAsiaTheme="minorHAnsi" w:cstheme="minorBidi"/>
          <w:sz w:val="26"/>
          <w:szCs w:val="22"/>
        </w:rPr>
        <w:lastRenderedPageBreak/>
        <w:t xml:space="preserve">recommendation to adopt the Settlement without modification.  Joint Applicants R. Exc. at 11 (citing R.D. at 55).  </w:t>
      </w:r>
    </w:p>
    <w:p w14:paraId="742CF51D" w14:textId="77777777" w:rsidR="00530729" w:rsidRPr="00530729" w:rsidRDefault="00530729" w:rsidP="00B24187">
      <w:pPr>
        <w:widowControl/>
        <w:spacing w:line="360" w:lineRule="auto"/>
        <w:ind w:firstLine="720"/>
        <w:rPr>
          <w:rFonts w:eastAsiaTheme="minorHAnsi" w:cstheme="minorBidi"/>
          <w:sz w:val="26"/>
          <w:szCs w:val="22"/>
        </w:rPr>
      </w:pPr>
    </w:p>
    <w:p w14:paraId="7BC45204" w14:textId="550A3831" w:rsidR="00530729" w:rsidRPr="00530729" w:rsidRDefault="00530729" w:rsidP="004E7F2B">
      <w:pPr>
        <w:widowControl/>
        <w:spacing w:line="360" w:lineRule="auto"/>
        <w:ind w:firstLine="1440"/>
        <w:rPr>
          <w:rFonts w:eastAsiaTheme="minorHAnsi" w:cstheme="minorBidi"/>
          <w:sz w:val="26"/>
          <w:szCs w:val="22"/>
        </w:rPr>
      </w:pPr>
      <w:r w:rsidRPr="00530729">
        <w:rPr>
          <w:rFonts w:eastAsiaTheme="minorHAnsi" w:cstheme="minorBidi"/>
          <w:sz w:val="26"/>
          <w:szCs w:val="22"/>
        </w:rPr>
        <w:t xml:space="preserve">The Joint Applicants argue that the ALJ had various solid reasons for rejecting I&amp;E’s proposed “exit fee.”  The Joint Applicants cite to portions of their Briefs in which they included various reasons for rejection of the proposed “exit fee,” as follows: </w:t>
      </w:r>
    </w:p>
    <w:p w14:paraId="358B66A7" w14:textId="77777777" w:rsidR="00530729" w:rsidRPr="00530729" w:rsidRDefault="00530729" w:rsidP="004E7F2B">
      <w:pPr>
        <w:widowControl/>
        <w:spacing w:line="360" w:lineRule="auto"/>
        <w:rPr>
          <w:rFonts w:eastAsiaTheme="minorHAnsi" w:cstheme="minorBidi"/>
          <w:sz w:val="26"/>
          <w:szCs w:val="22"/>
        </w:rPr>
      </w:pPr>
    </w:p>
    <w:p w14:paraId="3FEDF09B" w14:textId="77777777" w:rsidR="00530729" w:rsidRPr="00530729" w:rsidRDefault="00530729" w:rsidP="004E7F2B">
      <w:pPr>
        <w:widowControl/>
        <w:numPr>
          <w:ilvl w:val="0"/>
          <w:numId w:val="12"/>
        </w:numPr>
        <w:ind w:right="1440" w:hanging="720"/>
        <w:contextualSpacing/>
        <w:rPr>
          <w:rFonts w:eastAsiaTheme="minorHAnsi" w:cstheme="minorBidi"/>
          <w:sz w:val="26"/>
          <w:szCs w:val="22"/>
        </w:rPr>
      </w:pPr>
      <w:r w:rsidRPr="00530729">
        <w:rPr>
          <w:rFonts w:eastAsiaTheme="minorHAnsi" w:cstheme="minorBidi"/>
          <w:sz w:val="26"/>
          <w:szCs w:val="22"/>
        </w:rPr>
        <w:t>The Transaction, as modified by the Settlement, satisfies the applicable legal standard without the requested condition;</w:t>
      </w:r>
    </w:p>
    <w:p w14:paraId="26343F47" w14:textId="77777777" w:rsidR="00530729" w:rsidRPr="00530729" w:rsidRDefault="00530729" w:rsidP="004E7F2B">
      <w:pPr>
        <w:widowControl/>
        <w:ind w:right="1498"/>
        <w:rPr>
          <w:rFonts w:eastAsiaTheme="minorHAnsi" w:cstheme="minorBidi"/>
          <w:sz w:val="26"/>
          <w:szCs w:val="22"/>
        </w:rPr>
      </w:pPr>
    </w:p>
    <w:p w14:paraId="3D6C5FE2" w14:textId="77777777" w:rsidR="00530729" w:rsidRPr="00CB7BD5" w:rsidRDefault="00530729" w:rsidP="004E7F2B">
      <w:pPr>
        <w:pStyle w:val="ListParagraph"/>
        <w:widowControl/>
        <w:numPr>
          <w:ilvl w:val="0"/>
          <w:numId w:val="12"/>
        </w:numPr>
        <w:tabs>
          <w:tab w:val="num" w:pos="1440"/>
        </w:tabs>
        <w:ind w:right="1440" w:hanging="720"/>
        <w:rPr>
          <w:rFonts w:eastAsiaTheme="minorHAnsi" w:cstheme="minorBidi"/>
          <w:sz w:val="26"/>
          <w:szCs w:val="24"/>
        </w:rPr>
      </w:pPr>
      <w:r w:rsidRPr="00CB7BD5">
        <w:rPr>
          <w:rFonts w:eastAsiaTheme="minorHAnsi" w:cstheme="minorBidi"/>
          <w:sz w:val="26"/>
          <w:szCs w:val="24"/>
        </w:rPr>
        <w:t xml:space="preserve">The Transaction was negotiated at arms-length between two sophisticated parties who had the opportunity to conduct customary due diligence; </w:t>
      </w:r>
    </w:p>
    <w:p w14:paraId="01A739D2" w14:textId="77777777" w:rsidR="00530729" w:rsidRPr="00530729" w:rsidRDefault="00530729" w:rsidP="004E7F2B">
      <w:pPr>
        <w:widowControl/>
        <w:ind w:left="720" w:right="1498" w:hanging="720"/>
        <w:contextualSpacing/>
        <w:rPr>
          <w:rFonts w:eastAsiaTheme="minorHAnsi" w:cstheme="minorBidi"/>
          <w:sz w:val="26"/>
          <w:szCs w:val="24"/>
        </w:rPr>
      </w:pPr>
    </w:p>
    <w:p w14:paraId="0761E32B" w14:textId="77777777" w:rsidR="00530729" w:rsidRPr="00530729" w:rsidRDefault="00530729" w:rsidP="004E7F2B">
      <w:pPr>
        <w:widowControl/>
        <w:numPr>
          <w:ilvl w:val="0"/>
          <w:numId w:val="13"/>
        </w:numPr>
        <w:ind w:right="1440" w:hanging="720"/>
        <w:contextualSpacing/>
        <w:rPr>
          <w:rFonts w:eastAsiaTheme="minorHAnsi" w:cstheme="minorBidi"/>
          <w:sz w:val="26"/>
          <w:szCs w:val="24"/>
        </w:rPr>
      </w:pPr>
      <w:r w:rsidRPr="00530729">
        <w:rPr>
          <w:rFonts w:eastAsiaTheme="minorHAnsi" w:cstheme="minorBidi"/>
          <w:sz w:val="26"/>
          <w:szCs w:val="24"/>
        </w:rPr>
        <w:t>There is no statutory authority or case law for the Commission to condition its approval of an acquisition on the expropriation of a portion of a payment between private parties to use for infrastructure improvements or other worthwhile projects;</w:t>
      </w:r>
    </w:p>
    <w:p w14:paraId="51548CBD" w14:textId="77777777" w:rsidR="00530729" w:rsidRPr="00530729" w:rsidRDefault="00530729" w:rsidP="004E7F2B">
      <w:pPr>
        <w:widowControl/>
        <w:ind w:right="1498"/>
        <w:contextualSpacing/>
        <w:rPr>
          <w:rFonts w:eastAsiaTheme="minorHAnsi" w:cstheme="minorBidi"/>
          <w:sz w:val="26"/>
          <w:szCs w:val="24"/>
        </w:rPr>
      </w:pPr>
    </w:p>
    <w:p w14:paraId="33A802C5" w14:textId="77777777" w:rsidR="00530729" w:rsidRPr="00530729" w:rsidRDefault="00530729" w:rsidP="004E7F2B">
      <w:pPr>
        <w:widowControl/>
        <w:numPr>
          <w:ilvl w:val="0"/>
          <w:numId w:val="13"/>
        </w:numPr>
        <w:ind w:right="1440" w:hanging="720"/>
        <w:contextualSpacing/>
        <w:rPr>
          <w:rFonts w:eastAsiaTheme="minorHAnsi" w:cstheme="minorBidi"/>
          <w:sz w:val="26"/>
          <w:szCs w:val="24"/>
        </w:rPr>
      </w:pPr>
      <w:r w:rsidRPr="00530729">
        <w:rPr>
          <w:rFonts w:eastAsiaTheme="minorHAnsi" w:cstheme="minorBidi"/>
          <w:sz w:val="26"/>
          <w:szCs w:val="24"/>
        </w:rPr>
        <w:t>The “exit fee” would be an unconstitutional regulatory taking;</w:t>
      </w:r>
    </w:p>
    <w:p w14:paraId="4F7F021A" w14:textId="77777777" w:rsidR="00530729" w:rsidRPr="00530729" w:rsidRDefault="00530729" w:rsidP="004E7F2B">
      <w:pPr>
        <w:widowControl/>
        <w:ind w:right="1500"/>
        <w:contextualSpacing/>
        <w:rPr>
          <w:rFonts w:eastAsiaTheme="minorHAnsi" w:cstheme="minorBidi"/>
          <w:sz w:val="26"/>
          <w:szCs w:val="24"/>
        </w:rPr>
      </w:pPr>
    </w:p>
    <w:p w14:paraId="568084AC" w14:textId="77777777" w:rsidR="00530729" w:rsidRDefault="00530729" w:rsidP="004E7F2B">
      <w:pPr>
        <w:widowControl/>
        <w:numPr>
          <w:ilvl w:val="0"/>
          <w:numId w:val="13"/>
        </w:numPr>
        <w:ind w:right="1440" w:hanging="720"/>
        <w:contextualSpacing/>
        <w:rPr>
          <w:rFonts w:eastAsiaTheme="minorHAnsi" w:cstheme="minorBidi"/>
          <w:sz w:val="26"/>
          <w:szCs w:val="24"/>
        </w:rPr>
      </w:pPr>
      <w:r w:rsidRPr="00530729">
        <w:rPr>
          <w:rFonts w:eastAsiaTheme="minorHAnsi" w:cstheme="minorBidi"/>
          <w:sz w:val="26"/>
          <w:szCs w:val="24"/>
        </w:rPr>
        <w:t>The “exit fee” would be improper as a sanction against SteelRiver, because the Commission has not found that the Peoples Companies violated the Code, a Commission Regulation or Order; and</w:t>
      </w:r>
    </w:p>
    <w:p w14:paraId="1B6EA389" w14:textId="77777777" w:rsidR="005E5357" w:rsidRDefault="005E5357" w:rsidP="004E7F2B">
      <w:pPr>
        <w:pStyle w:val="ListParagraph"/>
        <w:widowControl/>
        <w:ind w:hanging="720"/>
        <w:rPr>
          <w:rFonts w:eastAsiaTheme="minorHAnsi" w:cstheme="minorBidi"/>
          <w:sz w:val="26"/>
          <w:szCs w:val="24"/>
        </w:rPr>
      </w:pPr>
    </w:p>
    <w:p w14:paraId="7E848B91" w14:textId="77777777" w:rsidR="00530729" w:rsidRPr="00530729" w:rsidRDefault="00530729" w:rsidP="004E7F2B">
      <w:pPr>
        <w:widowControl/>
        <w:numPr>
          <w:ilvl w:val="0"/>
          <w:numId w:val="13"/>
        </w:numPr>
        <w:ind w:right="1440" w:hanging="720"/>
        <w:contextualSpacing/>
        <w:rPr>
          <w:rFonts w:eastAsiaTheme="minorHAnsi" w:cstheme="minorBidi"/>
          <w:sz w:val="26"/>
          <w:szCs w:val="24"/>
        </w:rPr>
      </w:pPr>
      <w:r w:rsidRPr="00530729">
        <w:rPr>
          <w:rFonts w:eastAsiaTheme="minorHAnsi" w:cstheme="minorBidi"/>
          <w:sz w:val="26"/>
          <w:szCs w:val="24"/>
        </w:rPr>
        <w:t>The “exit fee” would violate the E</w:t>
      </w:r>
      <w:bookmarkStart w:id="74" w:name="_BA_Cite_DBF3A5_000098"/>
      <w:bookmarkEnd w:id="74"/>
      <w:r w:rsidRPr="00530729">
        <w:rPr>
          <w:rFonts w:eastAsiaTheme="minorHAnsi" w:cstheme="minorBidi"/>
          <w:sz w:val="26"/>
          <w:szCs w:val="24"/>
        </w:rPr>
        <w:t>xcessive Fines clause of the Pennsylvania and United States Constitutions.</w:t>
      </w:r>
    </w:p>
    <w:p w14:paraId="3DEB40D9" w14:textId="77777777" w:rsidR="00CB7BD5" w:rsidRDefault="00CB7BD5" w:rsidP="00B24187">
      <w:pPr>
        <w:widowControl/>
        <w:spacing w:line="360" w:lineRule="auto"/>
        <w:rPr>
          <w:rFonts w:eastAsiaTheme="minorHAnsi" w:cstheme="minorBidi"/>
          <w:sz w:val="26"/>
          <w:szCs w:val="24"/>
        </w:rPr>
      </w:pPr>
    </w:p>
    <w:p w14:paraId="05239263" w14:textId="77777777" w:rsidR="00530729" w:rsidRPr="00530729" w:rsidRDefault="00530729" w:rsidP="00B24187">
      <w:pPr>
        <w:widowControl/>
        <w:spacing w:line="360" w:lineRule="auto"/>
        <w:rPr>
          <w:rFonts w:eastAsiaTheme="minorHAnsi" w:cstheme="minorBidi"/>
          <w:sz w:val="26"/>
          <w:szCs w:val="24"/>
        </w:rPr>
      </w:pPr>
      <w:r w:rsidRPr="00530729">
        <w:rPr>
          <w:rFonts w:eastAsiaTheme="minorHAnsi" w:cstheme="minorBidi"/>
          <w:sz w:val="26"/>
          <w:szCs w:val="24"/>
        </w:rPr>
        <w:t>Joint Applicants R. Exc. at 11-12 (citing Joint Applicants M.B. at 38-41; Joint Applicants R.B. at 41-47).</w:t>
      </w:r>
      <w:r w:rsidRPr="00530729">
        <w:rPr>
          <w:rFonts w:eastAsiaTheme="minorHAnsi" w:cstheme="minorBidi"/>
          <w:sz w:val="26"/>
          <w:szCs w:val="24"/>
          <w:vertAlign w:val="superscript"/>
        </w:rPr>
        <w:footnoteReference w:id="27"/>
      </w:r>
    </w:p>
    <w:p w14:paraId="40B3935E" w14:textId="5F8FDD78" w:rsidR="00530729" w:rsidRPr="00530729" w:rsidRDefault="00530729" w:rsidP="00B24187">
      <w:pPr>
        <w:widowControl/>
        <w:spacing w:line="360" w:lineRule="auto"/>
        <w:rPr>
          <w:rFonts w:eastAsiaTheme="minorHAnsi" w:cstheme="minorBidi"/>
          <w:sz w:val="26"/>
          <w:szCs w:val="24"/>
        </w:rPr>
      </w:pPr>
    </w:p>
    <w:p w14:paraId="442947DA" w14:textId="25625FE7" w:rsidR="00530729" w:rsidRPr="00530729" w:rsidRDefault="00530729" w:rsidP="004E7F2B">
      <w:pPr>
        <w:widowControl/>
        <w:spacing w:line="360" w:lineRule="auto"/>
        <w:ind w:firstLine="1440"/>
        <w:rPr>
          <w:rFonts w:eastAsiaTheme="minorHAnsi" w:cstheme="minorBidi"/>
          <w:sz w:val="26"/>
          <w:szCs w:val="24"/>
        </w:rPr>
      </w:pPr>
      <w:r w:rsidRPr="00530729">
        <w:rPr>
          <w:rFonts w:eastAsiaTheme="minorHAnsi" w:cstheme="minorBidi"/>
          <w:sz w:val="26"/>
          <w:szCs w:val="24"/>
        </w:rPr>
        <w:t xml:space="preserve">Furthermore, the Joint Applicants argue that the Commission should reject any claim that a withholding of the purchase price is appropriate because of the amount of the purchase price or is reasonable when compared to the purchase price.  The Joint Applicants posit that the buyer and seller negotiating at arm’s length based on, among other things, customary due diligence, arrived at a purchase price that was acceptable to both parties, and the record demonstrates that the purchase price was based on the parties’ evaluation of the market value of the Peoples Companies.  The Joint Applicants aver </w:t>
      </w:r>
      <w:r w:rsidR="0097198F" w:rsidRPr="00530729">
        <w:rPr>
          <w:rFonts w:eastAsiaTheme="minorHAnsi" w:cstheme="minorBidi"/>
          <w:sz w:val="26"/>
          <w:szCs w:val="24"/>
        </w:rPr>
        <w:t>that under</w:t>
      </w:r>
      <w:r w:rsidRPr="00530729">
        <w:rPr>
          <w:rFonts w:eastAsiaTheme="minorHAnsi" w:cstheme="minorBidi"/>
          <w:sz w:val="26"/>
          <w:szCs w:val="24"/>
        </w:rPr>
        <w:t xml:space="preserve"> the circumstances, there is no basis to punish SteelRiver by imposing a punitive “exit fee.”  Joint Applicants R. Exc. at 12.  The Joint Applicants also observe that the Commission will have continuing jurisdiction to address the G/T Systems under Aqua America ownership in future proceedings.  </w:t>
      </w:r>
      <w:r w:rsidRPr="00530729">
        <w:rPr>
          <w:rFonts w:eastAsiaTheme="minorHAnsi" w:cstheme="minorBidi"/>
          <w:i/>
          <w:iCs/>
          <w:sz w:val="26"/>
          <w:szCs w:val="24"/>
        </w:rPr>
        <w:t>Id</w:t>
      </w:r>
      <w:r w:rsidRPr="00530729">
        <w:rPr>
          <w:rFonts w:eastAsiaTheme="minorHAnsi" w:cstheme="minorBidi"/>
          <w:sz w:val="26"/>
          <w:szCs w:val="24"/>
        </w:rPr>
        <w:t>. (citing</w:t>
      </w:r>
      <w:r w:rsidRPr="00530729">
        <w:rPr>
          <w:rFonts w:eastAsiaTheme="minorHAnsi" w:cstheme="minorBidi"/>
          <w:i/>
          <w:sz w:val="26"/>
          <w:szCs w:val="24"/>
        </w:rPr>
        <w:t xml:space="preserve"> </w:t>
      </w:r>
      <w:r w:rsidRPr="00530729">
        <w:rPr>
          <w:rFonts w:eastAsiaTheme="minorHAnsi" w:cstheme="minorBidi"/>
          <w:sz w:val="26"/>
          <w:szCs w:val="24"/>
        </w:rPr>
        <w:t>Joint Applicants M.B. at 40; Joint Applicants R.B. at 45-46).</w:t>
      </w:r>
    </w:p>
    <w:p w14:paraId="7EB653B4" w14:textId="2D301C56" w:rsidR="00530729" w:rsidRPr="00530729" w:rsidRDefault="00530729" w:rsidP="00B24187">
      <w:pPr>
        <w:widowControl/>
        <w:spacing w:line="360" w:lineRule="auto"/>
        <w:rPr>
          <w:rFonts w:cstheme="minorBidi"/>
          <w:sz w:val="26"/>
          <w:szCs w:val="22"/>
        </w:rPr>
      </w:pPr>
    </w:p>
    <w:p w14:paraId="33B6149B" w14:textId="046B3223" w:rsidR="00530729" w:rsidRPr="00530729" w:rsidRDefault="00530729" w:rsidP="00B24187">
      <w:pPr>
        <w:widowControl/>
        <w:spacing w:line="360" w:lineRule="auto"/>
        <w:rPr>
          <w:rFonts w:eastAsiaTheme="minorHAnsi"/>
          <w:sz w:val="26"/>
          <w:szCs w:val="24"/>
        </w:rPr>
      </w:pPr>
      <w:r w:rsidRPr="00530729">
        <w:rPr>
          <w:rFonts w:cstheme="minorBidi"/>
          <w:sz w:val="26"/>
          <w:szCs w:val="22"/>
        </w:rPr>
        <w:tab/>
      </w:r>
      <w:r w:rsidRPr="00530729">
        <w:rPr>
          <w:rFonts w:cstheme="minorBidi"/>
          <w:sz w:val="26"/>
          <w:szCs w:val="22"/>
        </w:rPr>
        <w:tab/>
        <w:t xml:space="preserve">In its Replies to Exceptions, the OCA states that the ALJ properly found, based on the record evidence, that SteelRiver and the Peoples Companies have complied with the 2013 Equitable Settlement.  The OCA avers that the ALJ correctly </w:t>
      </w:r>
      <w:r w:rsidRPr="00530729">
        <w:rPr>
          <w:rFonts w:eastAsiaTheme="minorHAnsi"/>
          <w:sz w:val="26"/>
          <w:szCs w:val="24"/>
        </w:rPr>
        <w:t>noted that the 2013 Equitable Settlement</w:t>
      </w:r>
      <w:r w:rsidRPr="00530729">
        <w:rPr>
          <w:rFonts w:eastAsiaTheme="minorHAnsi"/>
          <w:i/>
          <w:iCs/>
          <w:sz w:val="26"/>
          <w:szCs w:val="24"/>
        </w:rPr>
        <w:t xml:space="preserve"> </w:t>
      </w:r>
      <w:r w:rsidRPr="00530729">
        <w:rPr>
          <w:rFonts w:eastAsiaTheme="minorHAnsi"/>
          <w:sz w:val="26"/>
          <w:szCs w:val="24"/>
        </w:rPr>
        <w:t xml:space="preserve">did not establish a timeframe in which the analysis and final assessment regarding the G/T Systems had to be completed, and accurately described the steps the Peoples Companies have taken to complete the assessment of the G/T Systems.  OCA R. Exc. at 4 (citing R.D. at 44-45).  Additionally, the OCA does not find it appropriate to impose a condition in this proceeding requiring SteelRiver to pay $127 million toward the repair of the G/T Systems, given the Peoples Companies’ substantial compliance with the 2013 Equitable Settlement, as shown by the ALJ’s description of the Peoples Companies’ actions on pages 44-45 of the Recommended Decision.  </w:t>
      </w:r>
      <w:r w:rsidRPr="00530729">
        <w:rPr>
          <w:rFonts w:eastAsiaTheme="minorHAnsi"/>
          <w:i/>
          <w:iCs/>
          <w:sz w:val="26"/>
          <w:szCs w:val="24"/>
        </w:rPr>
        <w:t>Id</w:t>
      </w:r>
      <w:r w:rsidRPr="00530729">
        <w:rPr>
          <w:rFonts w:eastAsiaTheme="minorHAnsi"/>
          <w:sz w:val="26"/>
          <w:szCs w:val="24"/>
        </w:rPr>
        <w:t xml:space="preserve">. at 5.  </w:t>
      </w:r>
    </w:p>
    <w:p w14:paraId="6B414DA8" w14:textId="77777777" w:rsidR="00530729" w:rsidRPr="00530729" w:rsidRDefault="00530729" w:rsidP="00B24187">
      <w:pPr>
        <w:widowControl/>
        <w:spacing w:line="360" w:lineRule="auto"/>
        <w:rPr>
          <w:rFonts w:eastAsiaTheme="minorHAnsi"/>
          <w:sz w:val="26"/>
          <w:szCs w:val="24"/>
        </w:rPr>
      </w:pPr>
    </w:p>
    <w:p w14:paraId="434D0D95" w14:textId="77777777" w:rsidR="00530729" w:rsidRPr="00530729" w:rsidRDefault="00FE36D8" w:rsidP="006D2898">
      <w:pPr>
        <w:keepNext/>
        <w:widowControl/>
        <w:spacing w:line="360" w:lineRule="auto"/>
        <w:ind w:left="2880" w:hanging="720"/>
        <w:rPr>
          <w:rFonts w:eastAsiaTheme="minorHAnsi"/>
          <w:b/>
          <w:bCs/>
          <w:sz w:val="26"/>
          <w:szCs w:val="24"/>
        </w:rPr>
      </w:pPr>
      <w:r w:rsidRPr="00FE36D8">
        <w:rPr>
          <w:rFonts w:eastAsiaTheme="minorHAnsi"/>
          <w:b/>
          <w:bCs/>
          <w:sz w:val="26"/>
          <w:szCs w:val="24"/>
        </w:rPr>
        <w:lastRenderedPageBreak/>
        <w:t>(2)</w:t>
      </w:r>
      <w:r>
        <w:rPr>
          <w:rFonts w:eastAsiaTheme="minorHAnsi"/>
          <w:sz w:val="26"/>
          <w:szCs w:val="24"/>
        </w:rPr>
        <w:tab/>
      </w:r>
      <w:r w:rsidR="00530729" w:rsidRPr="00530729">
        <w:rPr>
          <w:rFonts w:eastAsiaTheme="minorHAnsi"/>
          <w:b/>
          <w:bCs/>
          <w:sz w:val="26"/>
          <w:szCs w:val="24"/>
        </w:rPr>
        <w:t xml:space="preserve">Disposition </w:t>
      </w:r>
    </w:p>
    <w:p w14:paraId="7E0EE82A" w14:textId="77777777" w:rsidR="00530729" w:rsidRPr="00530729" w:rsidRDefault="00530729" w:rsidP="006D2898">
      <w:pPr>
        <w:keepNext/>
        <w:widowControl/>
        <w:spacing w:line="360" w:lineRule="auto"/>
        <w:rPr>
          <w:rFonts w:eastAsiaTheme="minorHAnsi"/>
          <w:sz w:val="26"/>
          <w:szCs w:val="24"/>
        </w:rPr>
      </w:pPr>
    </w:p>
    <w:p w14:paraId="1CED87B3" w14:textId="5B75D7DD" w:rsidR="00530729" w:rsidRPr="00530729" w:rsidRDefault="00530729" w:rsidP="006D2898">
      <w:pPr>
        <w:keepNext/>
        <w:widowControl/>
        <w:spacing w:line="360" w:lineRule="auto"/>
        <w:rPr>
          <w:rFonts w:eastAsiaTheme="minorHAnsi"/>
          <w:sz w:val="26"/>
          <w:szCs w:val="24"/>
        </w:rPr>
      </w:pPr>
      <w:r w:rsidRPr="00530729">
        <w:rPr>
          <w:rFonts w:eastAsiaTheme="minorHAnsi"/>
          <w:sz w:val="26"/>
          <w:szCs w:val="24"/>
        </w:rPr>
        <w:tab/>
      </w:r>
      <w:r w:rsidRPr="00530729">
        <w:rPr>
          <w:rFonts w:eastAsiaTheme="minorHAnsi"/>
          <w:sz w:val="26"/>
          <w:szCs w:val="24"/>
        </w:rPr>
        <w:tab/>
        <w:t xml:space="preserve">The ALJ fully addressed I&amp;E’s proposed condition to set aside $127 million of the purchase price and hold it in a restricted account to pay for what I&amp;E deems to be the uneconomic cost of replacing the G/T Systems.  The ALJ stated that I&amp;E’s recommendation was offered as a way to protect ratepayers from sharing the replacement costs until the Commission approved a plan to replace the pipeline and/or abandon customers, with any amount remaining in the restricted fund to be returned to SteelRiver once the pipeline was replaced or abandoned consistent with Commission approval.  R.D. at 49.  In reviewing I&amp;E’s proposal in the context of the record </w:t>
      </w:r>
      <w:r w:rsidR="00A66F7A">
        <w:rPr>
          <w:rFonts w:eastAsiaTheme="minorHAnsi"/>
          <w:sz w:val="26"/>
          <w:szCs w:val="24"/>
        </w:rPr>
        <w:t>in</w:t>
      </w:r>
      <w:r w:rsidRPr="00530729">
        <w:rPr>
          <w:rFonts w:eastAsiaTheme="minorHAnsi"/>
          <w:sz w:val="26"/>
          <w:szCs w:val="24"/>
        </w:rPr>
        <w:t xml:space="preserve"> this proceeding, the ALJ properly determined that the commitments in the Settlement were the most appropriate resolution of the G/T Systems issues and best served the public interest.  </w:t>
      </w:r>
      <w:r w:rsidRPr="00530729">
        <w:rPr>
          <w:rFonts w:eastAsiaTheme="minorHAnsi"/>
          <w:i/>
          <w:iCs/>
          <w:sz w:val="26"/>
          <w:szCs w:val="24"/>
        </w:rPr>
        <w:t>Id</w:t>
      </w:r>
      <w:r w:rsidRPr="00530729">
        <w:rPr>
          <w:rFonts w:eastAsiaTheme="minorHAnsi"/>
          <w:sz w:val="26"/>
          <w:szCs w:val="24"/>
        </w:rPr>
        <w:t xml:space="preserve">. at 50.  In finding that the Settlement provisions were affirmative public benefits, the ALJ addressed I&amp;E and the OSBA’s concerns about the impact on ratepayers, while also considering the safety and economic issues relating to the pipeline as well as the social economic needs of the G/T Systems customers.  R.D. at 53.  </w:t>
      </w:r>
    </w:p>
    <w:p w14:paraId="5F7B9BFE" w14:textId="77777777" w:rsidR="00530729" w:rsidRPr="00530729" w:rsidRDefault="00530729" w:rsidP="00B24187">
      <w:pPr>
        <w:widowControl/>
        <w:spacing w:line="360" w:lineRule="auto"/>
        <w:rPr>
          <w:rFonts w:eastAsiaTheme="minorHAnsi"/>
          <w:sz w:val="26"/>
          <w:szCs w:val="24"/>
        </w:rPr>
      </w:pPr>
    </w:p>
    <w:p w14:paraId="241C416E" w14:textId="77777777" w:rsidR="00530729" w:rsidRPr="00530729" w:rsidRDefault="00530729" w:rsidP="00B24187">
      <w:pPr>
        <w:widowControl/>
        <w:spacing w:line="360" w:lineRule="auto"/>
        <w:rPr>
          <w:rFonts w:cstheme="minorBidi"/>
          <w:sz w:val="26"/>
          <w:szCs w:val="22"/>
        </w:rPr>
      </w:pPr>
      <w:r w:rsidRPr="00530729">
        <w:rPr>
          <w:rFonts w:eastAsiaTheme="minorHAnsi"/>
          <w:sz w:val="26"/>
          <w:szCs w:val="24"/>
        </w:rPr>
        <w:tab/>
      </w:r>
      <w:r w:rsidRPr="00530729">
        <w:rPr>
          <w:rFonts w:eastAsiaTheme="minorHAnsi"/>
          <w:sz w:val="26"/>
          <w:szCs w:val="24"/>
        </w:rPr>
        <w:tab/>
        <w:t xml:space="preserve">Based on our review of the record, the Parties’ respective positions, and the applicable law, we agree that it is not appropriate to adopt I&amp;E’s proposal to condition the approval of the Proposed Transaction on a requirement that </w:t>
      </w:r>
      <w:r w:rsidRPr="00530729">
        <w:rPr>
          <w:rFonts w:cstheme="minorBidi"/>
          <w:sz w:val="26"/>
          <w:szCs w:val="22"/>
        </w:rPr>
        <w:t xml:space="preserve">$127 million of the purchase price be set aside in a restricted account.  I&amp;E’s proposal amounts to an alteration of the purchase price that will be realized by SteelRiver.  When, as in this case, the buyer and seller have negotiated at arm’s length based on due diligence and arrived at an acceptable purchase price, we do not typically adjust that purchase price.  </w:t>
      </w:r>
      <w:r w:rsidRPr="00530729">
        <w:rPr>
          <w:rFonts w:cstheme="minorBidi"/>
          <w:i/>
          <w:iCs/>
          <w:sz w:val="26"/>
          <w:szCs w:val="22"/>
        </w:rPr>
        <w:t>See</w:t>
      </w:r>
      <w:r w:rsidRPr="00530729">
        <w:rPr>
          <w:rFonts w:cstheme="minorBidi"/>
          <w:sz w:val="26"/>
          <w:szCs w:val="22"/>
        </w:rPr>
        <w:t xml:space="preserve">, </w:t>
      </w:r>
      <w:r w:rsidRPr="00530729">
        <w:rPr>
          <w:rFonts w:cstheme="minorBidi"/>
          <w:i/>
          <w:iCs/>
          <w:sz w:val="26"/>
          <w:szCs w:val="22"/>
        </w:rPr>
        <w:t>e.g</w:t>
      </w:r>
      <w:r w:rsidRPr="00530729">
        <w:rPr>
          <w:rFonts w:cstheme="minorBidi"/>
          <w:sz w:val="26"/>
          <w:szCs w:val="22"/>
        </w:rPr>
        <w:t xml:space="preserve">., </w:t>
      </w:r>
      <w:r w:rsidRPr="00530729">
        <w:rPr>
          <w:rFonts w:cstheme="minorBidi"/>
          <w:i/>
          <w:iCs/>
          <w:sz w:val="26"/>
          <w:szCs w:val="22"/>
        </w:rPr>
        <w:t>Middletown T</w:t>
      </w:r>
      <w:r w:rsidR="00231E28">
        <w:rPr>
          <w:rFonts w:cstheme="minorBidi"/>
          <w:i/>
          <w:iCs/>
          <w:sz w:val="26"/>
          <w:szCs w:val="22"/>
        </w:rPr>
        <w:t>o</w:t>
      </w:r>
      <w:r w:rsidRPr="00530729">
        <w:rPr>
          <w:rFonts w:cstheme="minorBidi"/>
          <w:i/>
          <w:iCs/>
          <w:sz w:val="26"/>
          <w:szCs w:val="22"/>
        </w:rPr>
        <w:t>w</w:t>
      </w:r>
      <w:r w:rsidR="00231E28">
        <w:rPr>
          <w:rFonts w:cstheme="minorBidi"/>
          <w:i/>
          <w:iCs/>
          <w:sz w:val="26"/>
          <w:szCs w:val="22"/>
        </w:rPr>
        <w:t>nship</w:t>
      </w:r>
      <w:r w:rsidRPr="00530729">
        <w:rPr>
          <w:rFonts w:cstheme="minorBidi"/>
          <w:i/>
          <w:iCs/>
          <w:sz w:val="26"/>
          <w:szCs w:val="22"/>
        </w:rPr>
        <w:t>.</w:t>
      </w:r>
      <w:r w:rsidRPr="00530729">
        <w:rPr>
          <w:rFonts w:cstheme="minorBidi"/>
          <w:sz w:val="26"/>
          <w:szCs w:val="22"/>
        </w:rPr>
        <w:t xml:space="preserve">, 482 A.2d at 674; </w:t>
      </w:r>
      <w:r w:rsidRPr="00530729">
        <w:rPr>
          <w:rFonts w:cstheme="minorBidi"/>
          <w:i/>
          <w:iCs/>
          <w:sz w:val="26"/>
          <w:szCs w:val="22"/>
        </w:rPr>
        <w:t>Philadelphia Suburban Water Company v. Pa. PUC</w:t>
      </w:r>
      <w:r w:rsidRPr="00530729">
        <w:rPr>
          <w:rFonts w:cstheme="minorBidi"/>
          <w:sz w:val="26"/>
          <w:szCs w:val="22"/>
        </w:rPr>
        <w:t xml:space="preserve">, 427 A.2d 1244 (Pa. Cmwlth. 1981).  I&amp;E correctly notes that the 2013 Equitable Settlement provided that EQT would contribute $5 million for the initial analysis, testing, and improvements or repairs made during the initial assessment and inspection of the G/T </w:t>
      </w:r>
      <w:r w:rsidRPr="00530729">
        <w:rPr>
          <w:rFonts w:cstheme="minorBidi"/>
          <w:sz w:val="26"/>
          <w:szCs w:val="22"/>
        </w:rPr>
        <w:lastRenderedPageBreak/>
        <w:t xml:space="preserve">Systems; however, that $5 million contribution was based on an agreement between the parties in that proceeding and was not a Commission directive.  </w:t>
      </w:r>
    </w:p>
    <w:p w14:paraId="6B06F0D9" w14:textId="77777777" w:rsidR="00530729" w:rsidRPr="00530729" w:rsidRDefault="00530729" w:rsidP="00B24187">
      <w:pPr>
        <w:widowControl/>
        <w:spacing w:line="360" w:lineRule="auto"/>
        <w:rPr>
          <w:rFonts w:cstheme="minorBidi"/>
          <w:sz w:val="26"/>
          <w:szCs w:val="22"/>
        </w:rPr>
      </w:pPr>
    </w:p>
    <w:p w14:paraId="0452B783" w14:textId="77777777" w:rsidR="00530729" w:rsidRPr="00530729" w:rsidRDefault="00530729" w:rsidP="00B24187">
      <w:pPr>
        <w:widowControl/>
        <w:spacing w:line="360" w:lineRule="auto"/>
        <w:rPr>
          <w:rFonts w:eastAsiaTheme="minorHAnsi" w:cstheme="minorBidi"/>
          <w:sz w:val="26"/>
          <w:szCs w:val="26"/>
        </w:rPr>
      </w:pPr>
      <w:r w:rsidRPr="00530729">
        <w:rPr>
          <w:rFonts w:cstheme="minorBidi"/>
          <w:sz w:val="26"/>
          <w:szCs w:val="22"/>
        </w:rPr>
        <w:tab/>
      </w:r>
      <w:r w:rsidRPr="00530729">
        <w:rPr>
          <w:rFonts w:cstheme="minorBidi"/>
          <w:sz w:val="26"/>
          <w:szCs w:val="22"/>
        </w:rPr>
        <w:tab/>
        <w:t xml:space="preserve">We are aware of at least one case in which we addressed an “exit fee” in the context of an acquisition proceeding.  In </w:t>
      </w:r>
      <w:r w:rsidRPr="00530729">
        <w:rPr>
          <w:rFonts w:cstheme="minorBidi"/>
          <w:i/>
          <w:iCs/>
          <w:sz w:val="26"/>
          <w:szCs w:val="22"/>
        </w:rPr>
        <w:t>Application for Authority to Transfer Control of Trigen-Philadelphia Energy Corporation</w:t>
      </w:r>
      <w:r w:rsidRPr="00530729">
        <w:rPr>
          <w:rFonts w:cstheme="minorBidi"/>
          <w:sz w:val="26"/>
          <w:szCs w:val="22"/>
        </w:rPr>
        <w:t>, Docket No. A-130375F5000 (Order entered April 7, 2005), a party proposed to condition the approval of the acquisition on a $6.3 million exit fee paid by the seller based on a customer party’s averment that the seller had experienced a windfall of $6.3 million as a result of unjust profits from past rates.  The Commission denied the exit fee condition on the basis that the acquisition proceeding was not the appropriate proceeding in which to determine whether past rates were just and reasonable, noting that the customer should have filed a complaint for a refund under Section</w:t>
      </w:r>
      <w:r w:rsidR="00231E28">
        <w:rPr>
          <w:rFonts w:cstheme="minorBidi"/>
          <w:sz w:val="26"/>
          <w:szCs w:val="22"/>
        </w:rPr>
        <w:t>s</w:t>
      </w:r>
      <w:r w:rsidRPr="00530729">
        <w:rPr>
          <w:rFonts w:cstheme="minorBidi"/>
          <w:sz w:val="26"/>
          <w:szCs w:val="22"/>
        </w:rPr>
        <w:t xml:space="preserve"> 701 and 1312 of the Code, 66 Pa. C.S. </w:t>
      </w:r>
      <w:r w:rsidRPr="00530729">
        <w:rPr>
          <w:sz w:val="26"/>
          <w:szCs w:val="22"/>
        </w:rPr>
        <w:t>§§</w:t>
      </w:r>
      <w:r w:rsidRPr="00530729">
        <w:rPr>
          <w:rFonts w:cstheme="minorBidi"/>
          <w:sz w:val="26"/>
          <w:szCs w:val="22"/>
        </w:rPr>
        <w:t xml:space="preserve"> 701 and 1312.  We find that a similar line of reasoning applies in this case.  We conclude that I&amp;E’s proposed $127 million condition that is intended to address rates that may be recovered by the Peoples Companies in a future base rate proceeding is not properly before us in the context of this transaction proceeding.  This decision is consistent with our prior reasoning in acquisition proceedings that rate issues are better reserved for future base rate proceedings.  </w:t>
      </w:r>
      <w:r w:rsidRPr="00530729">
        <w:rPr>
          <w:rFonts w:cstheme="minorBidi"/>
          <w:i/>
          <w:iCs/>
          <w:sz w:val="26"/>
          <w:szCs w:val="22"/>
        </w:rPr>
        <w:t>See Joint Application of Pennsylvania-American Water Company and the Sewer Authority of the City of Scranton</w:t>
      </w:r>
      <w:r w:rsidRPr="00530729">
        <w:rPr>
          <w:rFonts w:cstheme="minorBidi"/>
          <w:sz w:val="26"/>
          <w:szCs w:val="22"/>
        </w:rPr>
        <w:t>, Docket No. A-2016-2537209, at 50 (Order entered October 19, 2016) (</w:t>
      </w:r>
      <w:r w:rsidRPr="00530729">
        <w:rPr>
          <w:rFonts w:eastAsiaTheme="minorHAnsi" w:cstheme="minorBidi"/>
          <w:sz w:val="26"/>
          <w:szCs w:val="26"/>
        </w:rPr>
        <w:t xml:space="preserve">finding that an acquisition proceeding was not the appropriate context for addressing rate issues, particularly when the record did not contain sufficient evidence to evaluate the specific effects of the acquisition on the acquiring entity’s revenue requirement or to decide cost allocation and rate design matters).  </w:t>
      </w:r>
    </w:p>
    <w:p w14:paraId="7456C7AC" w14:textId="77777777" w:rsidR="00530729" w:rsidRPr="00530729" w:rsidRDefault="00530729" w:rsidP="00B24187">
      <w:pPr>
        <w:widowControl/>
        <w:spacing w:line="360" w:lineRule="auto"/>
        <w:rPr>
          <w:rFonts w:eastAsiaTheme="minorHAnsi" w:cstheme="minorBidi"/>
          <w:sz w:val="26"/>
          <w:szCs w:val="26"/>
        </w:rPr>
      </w:pPr>
    </w:p>
    <w:p w14:paraId="4036FC55" w14:textId="72EBF492" w:rsidR="00530729" w:rsidRPr="00530729" w:rsidRDefault="00530729" w:rsidP="00B24187">
      <w:pPr>
        <w:widowControl/>
        <w:spacing w:line="360" w:lineRule="auto"/>
        <w:rPr>
          <w:rFonts w:cstheme="minorBidi"/>
          <w:sz w:val="26"/>
          <w:szCs w:val="22"/>
        </w:rPr>
      </w:pPr>
      <w:r w:rsidRPr="00530729">
        <w:rPr>
          <w:rFonts w:eastAsiaTheme="minorHAnsi" w:cstheme="minorBidi"/>
          <w:sz w:val="26"/>
          <w:szCs w:val="26"/>
        </w:rPr>
        <w:tab/>
      </w:r>
      <w:r w:rsidRPr="00530729">
        <w:rPr>
          <w:rFonts w:eastAsiaTheme="minorHAnsi" w:cstheme="minorBidi"/>
          <w:sz w:val="26"/>
          <w:szCs w:val="26"/>
        </w:rPr>
        <w:tab/>
        <w:t>Additionally, as the Joint Applicants explained through</w:t>
      </w:r>
      <w:r w:rsidRPr="00530729">
        <w:rPr>
          <w:rFonts w:cstheme="minorBidi"/>
          <w:sz w:val="26"/>
          <w:szCs w:val="22"/>
        </w:rPr>
        <w:t xml:space="preserve"> the testimony of Mr. Franklin and Mr. O’Brien, the socialization of costs associated with infrastructure improvement is not an unusual concept and has been approved by the Commission in the past.  (citing Tr. at 90-91,105-107).  This concept is consistent with the regulatory </w:t>
      </w:r>
      <w:r w:rsidRPr="00530729">
        <w:rPr>
          <w:rFonts w:cstheme="minorBidi"/>
          <w:sz w:val="26"/>
          <w:szCs w:val="22"/>
        </w:rPr>
        <w:lastRenderedPageBreak/>
        <w:t xml:space="preserve">compact, which is the principle that a utility is required to provide reasonable and adequate service to its customers and, in return, the utility is entitled to recover its costs and its shareholders are entitled to a fair return on their capital investment.  Tr. at 83, </w:t>
      </w:r>
      <w:r w:rsidR="003A591D" w:rsidRPr="00530729">
        <w:rPr>
          <w:rFonts w:cstheme="minorBidi"/>
          <w:sz w:val="26"/>
          <w:szCs w:val="22"/>
        </w:rPr>
        <w:t>207; Federal</w:t>
      </w:r>
      <w:r w:rsidRPr="00530729">
        <w:rPr>
          <w:rFonts w:cstheme="minorBidi"/>
          <w:i/>
          <w:iCs/>
          <w:sz w:val="26"/>
          <w:szCs w:val="22"/>
        </w:rPr>
        <w:t xml:space="preserve"> Power Comm’n v. Hope Natural Gas Co</w:t>
      </w:r>
      <w:r w:rsidRPr="00530729">
        <w:rPr>
          <w:rFonts w:cstheme="minorBidi"/>
          <w:sz w:val="26"/>
          <w:szCs w:val="22"/>
        </w:rPr>
        <w:t xml:space="preserve">., 320 U.S. 591 (1944); </w:t>
      </w:r>
      <w:r w:rsidRPr="00530729">
        <w:rPr>
          <w:rFonts w:cstheme="minorBidi"/>
          <w:i/>
          <w:iCs/>
          <w:sz w:val="26"/>
          <w:szCs w:val="22"/>
        </w:rPr>
        <w:t>Bluefield Waterworks and Improvement Co. v. Pub. Serv. Comm’n of West Va</w:t>
      </w:r>
      <w:r w:rsidRPr="00530729">
        <w:rPr>
          <w:rFonts w:cstheme="minorBidi"/>
          <w:sz w:val="26"/>
          <w:szCs w:val="22"/>
        </w:rPr>
        <w:t xml:space="preserve">., 262 U.S. 679 (1923).  </w:t>
      </w:r>
    </w:p>
    <w:p w14:paraId="187B239F" w14:textId="77777777" w:rsidR="00530729" w:rsidRPr="00530729" w:rsidRDefault="00530729" w:rsidP="00B24187">
      <w:pPr>
        <w:widowControl/>
        <w:spacing w:line="360" w:lineRule="auto"/>
        <w:rPr>
          <w:rFonts w:cstheme="minorBidi"/>
          <w:sz w:val="26"/>
          <w:szCs w:val="22"/>
        </w:rPr>
      </w:pPr>
    </w:p>
    <w:p w14:paraId="47123CF7" w14:textId="452266BC" w:rsidR="00530729" w:rsidRPr="00530729" w:rsidRDefault="00530729" w:rsidP="00B24187">
      <w:pPr>
        <w:widowControl/>
        <w:spacing w:line="360" w:lineRule="auto"/>
        <w:rPr>
          <w:rFonts w:cstheme="minorBidi"/>
          <w:sz w:val="26"/>
          <w:szCs w:val="22"/>
        </w:rPr>
      </w:pPr>
      <w:r w:rsidRPr="00530729">
        <w:rPr>
          <w:rFonts w:cstheme="minorBidi"/>
          <w:sz w:val="26"/>
          <w:szCs w:val="22"/>
        </w:rPr>
        <w:tab/>
      </w:r>
      <w:r w:rsidRPr="00530729">
        <w:rPr>
          <w:rFonts w:cstheme="minorBidi"/>
          <w:sz w:val="26"/>
          <w:szCs w:val="22"/>
        </w:rPr>
        <w:tab/>
        <w:t xml:space="preserve">Furthermore, while the Commission has the authority to impose just and reasonable conditions to ensure that a transaction is in the public interest, it is not necessary to impose a condition when the record supports a finding that the Peoples Companies’ commitment to replace the pipe on the G/T Systems constitutes an affirmative public benefit.  </w:t>
      </w:r>
      <w:r w:rsidRPr="00530729">
        <w:rPr>
          <w:rFonts w:cstheme="minorBidi"/>
          <w:i/>
          <w:iCs/>
          <w:sz w:val="26"/>
          <w:szCs w:val="22"/>
        </w:rPr>
        <w:t>See Popowsky</w:t>
      </w:r>
      <w:r w:rsidRPr="00530729">
        <w:rPr>
          <w:rFonts w:cstheme="minorBidi"/>
          <w:sz w:val="26"/>
          <w:szCs w:val="22"/>
        </w:rPr>
        <w:t xml:space="preserve">, 937 A.2d at 1059.  As we have discussed previously herein, the Settlement’s terms concerning the G/T Systems are an affirmative public benefit </w:t>
      </w:r>
      <w:r w:rsidR="00231E28">
        <w:rPr>
          <w:rFonts w:cstheme="minorBidi"/>
          <w:sz w:val="26"/>
          <w:szCs w:val="22"/>
        </w:rPr>
        <w:t>and</w:t>
      </w:r>
      <w:r w:rsidRPr="00530729">
        <w:rPr>
          <w:rFonts w:cstheme="minorBidi"/>
          <w:sz w:val="26"/>
          <w:szCs w:val="22"/>
        </w:rPr>
        <w:t xml:space="preserve"> contain some built-in protections for ratepayers, such as the $13 million rate credit </w:t>
      </w:r>
      <w:r w:rsidRPr="00530729">
        <w:rPr>
          <w:rFonts w:eastAsiaTheme="minorHAnsi"/>
          <w:sz w:val="26"/>
          <w:szCs w:val="24"/>
        </w:rPr>
        <w:t xml:space="preserve">Aqua America will provide to all of the Peoples Companies’ customers. </w:t>
      </w:r>
      <w:r w:rsidRPr="00530729">
        <w:rPr>
          <w:rFonts w:cstheme="minorBidi"/>
          <w:sz w:val="26"/>
          <w:szCs w:val="22"/>
        </w:rPr>
        <w:t xml:space="preserve"> </w:t>
      </w:r>
    </w:p>
    <w:p w14:paraId="21B99E08" w14:textId="77777777" w:rsidR="00530729" w:rsidRPr="00530729" w:rsidRDefault="00530729" w:rsidP="00B24187">
      <w:pPr>
        <w:widowControl/>
        <w:spacing w:line="360" w:lineRule="auto"/>
        <w:rPr>
          <w:rFonts w:cstheme="minorBidi"/>
          <w:sz w:val="26"/>
          <w:szCs w:val="22"/>
        </w:rPr>
      </w:pPr>
    </w:p>
    <w:p w14:paraId="68F06BA0" w14:textId="20FA6971" w:rsidR="00530729" w:rsidRPr="00530729" w:rsidRDefault="00530729" w:rsidP="00B24187">
      <w:pPr>
        <w:widowControl/>
        <w:spacing w:line="360" w:lineRule="auto"/>
        <w:rPr>
          <w:rFonts w:cstheme="minorBidi"/>
          <w:sz w:val="26"/>
          <w:szCs w:val="22"/>
        </w:rPr>
      </w:pPr>
      <w:r w:rsidRPr="00530729">
        <w:rPr>
          <w:rFonts w:cstheme="minorBidi"/>
          <w:sz w:val="26"/>
          <w:szCs w:val="22"/>
        </w:rPr>
        <w:tab/>
      </w:r>
      <w:r w:rsidRPr="00530729">
        <w:rPr>
          <w:rFonts w:cstheme="minorBidi"/>
          <w:sz w:val="26"/>
          <w:szCs w:val="22"/>
        </w:rPr>
        <w:tab/>
        <w:t xml:space="preserve">A significant basis for I&amp;E and the OSBA’s position favoring the withholding of $127 million from the purchase price is their argument that SteelRiver and the Peoples Companies have failed to take certain actions to comply with the 2013 Equitable Settlement because they did not address the problems on the G/T Systems, including the UFG levels, and therefore they should not be financially rewarded.  Based on our review of the record in this proceeding and the commitments in the 2013 Equitable Settlement, SteelRiver and the Peoples Companies have complied with the 2013 Equitable Settlement.  Under the 2013 Equitable Settlement, the Peoples Companies were to assess and improve the G/T Systems’ facilities and to develop and implement an initial plan addressing improvements.  Additionally, the Peoples Companies provided a summary of the activities they expected to complete in “Appendix C” of the 2013 Equitable Settlement.  2013 Equitable Settlement </w:t>
      </w:r>
      <w:bookmarkStart w:id="75" w:name="_Hlk27139906"/>
      <w:r w:rsidRPr="00530729">
        <w:rPr>
          <w:rFonts w:cstheme="minorBidi"/>
          <w:sz w:val="26"/>
          <w:szCs w:val="22"/>
        </w:rPr>
        <w:t xml:space="preserve">at </w:t>
      </w:r>
      <w:r w:rsidRPr="00530729">
        <w:rPr>
          <w:sz w:val="26"/>
          <w:szCs w:val="22"/>
        </w:rPr>
        <w:t>¶</w:t>
      </w:r>
      <w:r w:rsidRPr="00530729">
        <w:rPr>
          <w:rFonts w:cstheme="minorBidi"/>
          <w:sz w:val="26"/>
          <w:szCs w:val="22"/>
        </w:rPr>
        <w:t xml:space="preserve"> 6</w:t>
      </w:r>
      <w:bookmarkEnd w:id="75"/>
      <w:r w:rsidR="00C90536">
        <w:rPr>
          <w:rFonts w:cstheme="minorBidi"/>
          <w:sz w:val="26"/>
          <w:szCs w:val="22"/>
        </w:rPr>
        <w:t>5</w:t>
      </w:r>
      <w:r w:rsidRPr="00530729">
        <w:rPr>
          <w:rFonts w:cstheme="minorBidi"/>
          <w:sz w:val="26"/>
          <w:szCs w:val="22"/>
        </w:rPr>
        <w:t xml:space="preserve">(e)(i),(ii),(iii).  </w:t>
      </w:r>
    </w:p>
    <w:p w14:paraId="6A5DC758" w14:textId="77777777" w:rsidR="00530729" w:rsidRPr="00530729" w:rsidRDefault="00530729" w:rsidP="00B24187">
      <w:pPr>
        <w:widowControl/>
        <w:spacing w:line="360" w:lineRule="auto"/>
        <w:rPr>
          <w:rFonts w:cstheme="minorBidi"/>
          <w:sz w:val="26"/>
          <w:szCs w:val="22"/>
        </w:rPr>
      </w:pPr>
    </w:p>
    <w:p w14:paraId="2AB55C3A" w14:textId="6537E356" w:rsidR="00530729" w:rsidRDefault="00530729" w:rsidP="00B24187">
      <w:pPr>
        <w:widowControl/>
        <w:spacing w:line="360" w:lineRule="auto"/>
        <w:rPr>
          <w:rFonts w:cstheme="minorBidi"/>
          <w:sz w:val="26"/>
          <w:szCs w:val="22"/>
        </w:rPr>
      </w:pPr>
      <w:r w:rsidRPr="00530729">
        <w:rPr>
          <w:rFonts w:cstheme="minorBidi"/>
          <w:sz w:val="26"/>
          <w:szCs w:val="22"/>
        </w:rPr>
        <w:tab/>
      </w:r>
      <w:r w:rsidRPr="00530729">
        <w:rPr>
          <w:rFonts w:cstheme="minorBidi"/>
          <w:sz w:val="26"/>
          <w:szCs w:val="22"/>
        </w:rPr>
        <w:tab/>
        <w:t>As the Joint Applicants’ witness Mr. Gregorini detailed in his testimony, the Peoples Companies have taken numerous actions since December of 2013 in operating and maintaining the G/T Systems.  Mr. Gregorini explained that after the transfer of the G/T Systems to PNG Gathering in late 2013, the Peoples Companies took steps to establish safe and reliable operations on these systems.  For instance, during 2014, the Peoples Companies mowed right</w:t>
      </w:r>
      <w:r w:rsidR="009A37F0">
        <w:rPr>
          <w:rFonts w:cstheme="minorBidi"/>
          <w:sz w:val="26"/>
          <w:szCs w:val="22"/>
        </w:rPr>
        <w:t>s</w:t>
      </w:r>
      <w:r w:rsidRPr="00530729">
        <w:rPr>
          <w:rFonts w:cstheme="minorBidi"/>
          <w:sz w:val="26"/>
          <w:szCs w:val="22"/>
        </w:rPr>
        <w:t>-of-way, leak surveyed the lines throughout the systems, walked the systems in order to GPS-locate facilities and meter locations, placed all facilities into their GIS mapping system, replaced and installed the Peoples Companies’ line markers, established eight new odor inspection sites, initiated quarterly odor inspections, placed all facilities into the PA One Call System, and incorporated the facilities into their damage prevention program.  Mr. Gregorini also explained that since 2014, the Companies have addressed all customer related issues on the system, such as weather-related service disruptions caused by supply issues and freeze offs.  The Peoples Companies have further added all lines to a three-year cycle program for right</w:t>
      </w:r>
      <w:r w:rsidR="00FB0144">
        <w:rPr>
          <w:rFonts w:cstheme="minorBidi"/>
          <w:sz w:val="26"/>
          <w:szCs w:val="22"/>
        </w:rPr>
        <w:t>s</w:t>
      </w:r>
      <w:r w:rsidRPr="00530729">
        <w:rPr>
          <w:rFonts w:cstheme="minorBidi"/>
          <w:sz w:val="26"/>
          <w:szCs w:val="22"/>
        </w:rPr>
        <w:t xml:space="preserve">-of-way mowing and leak surveys and have classified, graded, and repaired all leaks according to their established leak management program.  The Peoples Companies have abandoned eight miles of bare steel pipelines and installed two miles of new plastic line segments when repairs were not possible in order to maintain service to customers.  The Peoples Companies are engaging in ongoing efforts to identify and abandon zero flow production meters.  </w:t>
      </w:r>
    </w:p>
    <w:p w14:paraId="0A9FEE12" w14:textId="77777777" w:rsidR="00C90536" w:rsidRDefault="00C90536" w:rsidP="00B24187">
      <w:pPr>
        <w:widowControl/>
        <w:spacing w:line="360" w:lineRule="auto"/>
        <w:rPr>
          <w:rFonts w:cstheme="minorBidi"/>
          <w:sz w:val="26"/>
          <w:szCs w:val="22"/>
        </w:rPr>
      </w:pPr>
    </w:p>
    <w:p w14:paraId="347CE994" w14:textId="59E4F517" w:rsidR="00530729" w:rsidRPr="00530729" w:rsidRDefault="00530729" w:rsidP="00B24187">
      <w:pPr>
        <w:widowControl/>
        <w:spacing w:line="360" w:lineRule="auto"/>
        <w:rPr>
          <w:rFonts w:eastAsiaTheme="minorHAnsi"/>
          <w:sz w:val="26"/>
          <w:szCs w:val="24"/>
        </w:rPr>
      </w:pPr>
      <w:r w:rsidRPr="00530729">
        <w:rPr>
          <w:rFonts w:cstheme="minorBidi"/>
          <w:sz w:val="26"/>
          <w:szCs w:val="22"/>
        </w:rPr>
        <w:tab/>
      </w:r>
      <w:r w:rsidRPr="00530729">
        <w:rPr>
          <w:rFonts w:cstheme="minorBidi"/>
          <w:sz w:val="26"/>
          <w:szCs w:val="22"/>
        </w:rPr>
        <w:tab/>
        <w:t xml:space="preserve">The other Parties do not debate that the Peoples Companies have engaged in these actions.  Based on our review, we conclude that the Peoples Companies have followed the 2013 Equitable Settlement and have engaged in actions consistent with “Appendix C” of that Settlement.  As the OCA correctly points out, the 2013 Equitable Settlement did not contain a time frame in which the Peoples Companies were required to have completed these actions.  Mr. Gregorini also explained that it was difficult to engage in any aggressive actions to address UFG levels, including large pipeline replacement </w:t>
      </w:r>
      <w:r w:rsidRPr="00530729">
        <w:rPr>
          <w:rFonts w:cstheme="minorBidi"/>
          <w:sz w:val="26"/>
          <w:szCs w:val="22"/>
        </w:rPr>
        <w:lastRenderedPageBreak/>
        <w:t>projects, for a system that is not yet a regulated asset and for which, accordingly, the Peoples Companies did not have a pipeline replacement plan in place.  Tr. at 134-135.  Accordingly, we shall deny I&amp;E and the OSBA’s Exceptions on this issue.</w:t>
      </w:r>
      <w:r w:rsidRPr="00530729">
        <w:rPr>
          <w:rFonts w:eastAsiaTheme="minorHAnsi"/>
          <w:sz w:val="26"/>
          <w:szCs w:val="24"/>
        </w:rPr>
        <w:t xml:space="preserve"> </w:t>
      </w:r>
    </w:p>
    <w:p w14:paraId="37199FB8" w14:textId="77777777" w:rsidR="00530729" w:rsidRPr="00530729" w:rsidRDefault="00530729" w:rsidP="00B24187">
      <w:pPr>
        <w:widowControl/>
        <w:spacing w:line="360" w:lineRule="auto"/>
        <w:rPr>
          <w:rFonts w:eastAsiaTheme="minorHAnsi"/>
          <w:w w:val="105"/>
          <w:sz w:val="26"/>
          <w:szCs w:val="24"/>
          <w:u w:val="single"/>
        </w:rPr>
      </w:pPr>
    </w:p>
    <w:p w14:paraId="6D111E39" w14:textId="77777777" w:rsidR="00530729" w:rsidRPr="00530729" w:rsidRDefault="00530729" w:rsidP="006D2898">
      <w:pPr>
        <w:pStyle w:val="Heading4"/>
        <w:widowControl/>
        <w:spacing w:line="240" w:lineRule="auto"/>
        <w:ind w:left="2160" w:hanging="720"/>
        <w:rPr>
          <w:rFonts w:eastAsiaTheme="minorHAnsi"/>
          <w:w w:val="105"/>
        </w:rPr>
      </w:pPr>
      <w:bookmarkStart w:id="76" w:name="_Toc29278202"/>
      <w:r w:rsidRPr="00530729">
        <w:rPr>
          <w:rFonts w:eastAsiaTheme="minorHAnsi"/>
          <w:w w:val="105"/>
        </w:rPr>
        <w:t>I&amp;E Exc</w:t>
      </w:r>
      <w:r w:rsidR="008A5ACC">
        <w:rPr>
          <w:rFonts w:eastAsiaTheme="minorHAnsi"/>
          <w:w w:val="105"/>
        </w:rPr>
        <w:t>eption</w:t>
      </w:r>
      <w:r w:rsidRPr="00530729">
        <w:rPr>
          <w:rFonts w:eastAsiaTheme="minorHAnsi"/>
          <w:w w:val="105"/>
        </w:rPr>
        <w:t xml:space="preserve"> No. 4, OSBA Exc</w:t>
      </w:r>
      <w:r w:rsidR="008A5ACC">
        <w:rPr>
          <w:rFonts w:eastAsiaTheme="minorHAnsi"/>
          <w:w w:val="105"/>
        </w:rPr>
        <w:t>eption</w:t>
      </w:r>
      <w:r w:rsidRPr="00530729">
        <w:rPr>
          <w:rFonts w:eastAsiaTheme="minorHAnsi"/>
          <w:w w:val="105"/>
        </w:rPr>
        <w:t xml:space="preserve"> No</w:t>
      </w:r>
      <w:r w:rsidR="00A412A7">
        <w:rPr>
          <w:rFonts w:eastAsiaTheme="minorHAnsi"/>
          <w:w w:val="105"/>
        </w:rPr>
        <w:t>s</w:t>
      </w:r>
      <w:r w:rsidRPr="00530729">
        <w:rPr>
          <w:rFonts w:eastAsiaTheme="minorHAnsi"/>
          <w:w w:val="105"/>
        </w:rPr>
        <w:t>. 7</w:t>
      </w:r>
      <w:r w:rsidR="00A412A7">
        <w:rPr>
          <w:rFonts w:eastAsiaTheme="minorHAnsi"/>
          <w:w w:val="105"/>
        </w:rPr>
        <w:t xml:space="preserve"> and 12</w:t>
      </w:r>
      <w:r w:rsidRPr="00530729">
        <w:rPr>
          <w:rFonts w:eastAsiaTheme="minorHAnsi"/>
          <w:w w:val="105"/>
        </w:rPr>
        <w:t xml:space="preserve">, the Joint </w:t>
      </w:r>
      <w:r w:rsidR="00A412A7">
        <w:rPr>
          <w:rFonts w:eastAsiaTheme="minorHAnsi"/>
          <w:w w:val="105"/>
        </w:rPr>
        <w:t>A</w:t>
      </w:r>
      <w:r w:rsidRPr="00530729">
        <w:rPr>
          <w:rFonts w:eastAsiaTheme="minorHAnsi"/>
          <w:w w:val="105"/>
        </w:rPr>
        <w:t>pplicants and the OCA’s Replies</w:t>
      </w:r>
      <w:r w:rsidR="00157CDA">
        <w:rPr>
          <w:rFonts w:eastAsiaTheme="minorHAnsi"/>
          <w:w w:val="105"/>
        </w:rPr>
        <w:t>, and Disposition</w:t>
      </w:r>
      <w:bookmarkEnd w:id="76"/>
    </w:p>
    <w:p w14:paraId="44C15C61" w14:textId="77777777" w:rsidR="00530729" w:rsidRDefault="00530729" w:rsidP="006D2898">
      <w:pPr>
        <w:keepNext/>
        <w:widowControl/>
        <w:kinsoku w:val="0"/>
        <w:overflowPunct w:val="0"/>
        <w:spacing w:line="360" w:lineRule="auto"/>
        <w:rPr>
          <w:rFonts w:eastAsiaTheme="minorHAnsi"/>
          <w:w w:val="105"/>
          <w:sz w:val="26"/>
          <w:szCs w:val="24"/>
        </w:rPr>
      </w:pPr>
    </w:p>
    <w:p w14:paraId="4901CFD4" w14:textId="77777777" w:rsidR="00E3652E" w:rsidRDefault="00E3652E" w:rsidP="006D2898">
      <w:pPr>
        <w:keepNext/>
        <w:widowControl/>
        <w:kinsoku w:val="0"/>
        <w:overflowPunct w:val="0"/>
        <w:ind w:left="2880" w:hanging="720"/>
        <w:rPr>
          <w:rFonts w:eastAsiaTheme="minorHAnsi"/>
          <w:w w:val="105"/>
          <w:sz w:val="26"/>
          <w:szCs w:val="24"/>
        </w:rPr>
      </w:pPr>
      <w:r w:rsidRPr="00157CDA">
        <w:rPr>
          <w:rFonts w:eastAsiaTheme="minorHAnsi"/>
          <w:b/>
          <w:bCs/>
          <w:w w:val="105"/>
          <w:sz w:val="26"/>
          <w:szCs w:val="24"/>
        </w:rPr>
        <w:t>(1)</w:t>
      </w:r>
      <w:r>
        <w:rPr>
          <w:rFonts w:eastAsiaTheme="minorHAnsi"/>
          <w:w w:val="105"/>
          <w:sz w:val="26"/>
          <w:szCs w:val="24"/>
        </w:rPr>
        <w:tab/>
      </w:r>
      <w:r w:rsidR="00157CDA" w:rsidRPr="00530729">
        <w:rPr>
          <w:rFonts w:eastAsiaTheme="minorHAnsi"/>
          <w:b/>
          <w:bCs/>
          <w:w w:val="105"/>
          <w:sz w:val="26"/>
          <w:szCs w:val="24"/>
        </w:rPr>
        <w:t>I&amp;E Exc</w:t>
      </w:r>
      <w:r w:rsidR="00157CDA">
        <w:rPr>
          <w:rFonts w:eastAsiaTheme="minorHAnsi"/>
          <w:b/>
          <w:bCs/>
          <w:w w:val="105"/>
          <w:sz w:val="26"/>
          <w:szCs w:val="24"/>
        </w:rPr>
        <w:t>eption</w:t>
      </w:r>
      <w:r w:rsidR="00157CDA" w:rsidRPr="00530729">
        <w:rPr>
          <w:rFonts w:eastAsiaTheme="minorHAnsi"/>
          <w:b/>
          <w:bCs/>
          <w:w w:val="105"/>
          <w:sz w:val="26"/>
          <w:szCs w:val="24"/>
        </w:rPr>
        <w:t xml:space="preserve"> No. 4, OSBA Exc</w:t>
      </w:r>
      <w:r w:rsidR="00157CDA">
        <w:rPr>
          <w:rFonts w:eastAsiaTheme="minorHAnsi"/>
          <w:b/>
          <w:bCs/>
          <w:w w:val="105"/>
          <w:sz w:val="26"/>
          <w:szCs w:val="24"/>
        </w:rPr>
        <w:t>eption</w:t>
      </w:r>
      <w:r w:rsidR="00A412A7">
        <w:rPr>
          <w:rFonts w:eastAsiaTheme="minorHAnsi"/>
          <w:b/>
          <w:bCs/>
          <w:w w:val="105"/>
          <w:sz w:val="26"/>
          <w:szCs w:val="24"/>
        </w:rPr>
        <w:t>s</w:t>
      </w:r>
      <w:r w:rsidR="00157CDA" w:rsidRPr="00530729">
        <w:rPr>
          <w:rFonts w:eastAsiaTheme="minorHAnsi"/>
          <w:b/>
          <w:bCs/>
          <w:w w:val="105"/>
          <w:sz w:val="26"/>
          <w:szCs w:val="24"/>
        </w:rPr>
        <w:t xml:space="preserve"> No</w:t>
      </w:r>
      <w:r w:rsidR="00A412A7">
        <w:rPr>
          <w:rFonts w:eastAsiaTheme="minorHAnsi"/>
          <w:b/>
          <w:bCs/>
          <w:w w:val="105"/>
          <w:sz w:val="26"/>
          <w:szCs w:val="24"/>
        </w:rPr>
        <w:t>s</w:t>
      </w:r>
      <w:r w:rsidR="00157CDA" w:rsidRPr="00530729">
        <w:rPr>
          <w:rFonts w:eastAsiaTheme="minorHAnsi"/>
          <w:b/>
          <w:bCs/>
          <w:w w:val="105"/>
          <w:sz w:val="26"/>
          <w:szCs w:val="24"/>
        </w:rPr>
        <w:t>. 7</w:t>
      </w:r>
      <w:r w:rsidR="00A412A7">
        <w:rPr>
          <w:rFonts w:eastAsiaTheme="minorHAnsi"/>
          <w:b/>
          <w:bCs/>
          <w:w w:val="105"/>
          <w:sz w:val="26"/>
          <w:szCs w:val="24"/>
        </w:rPr>
        <w:t xml:space="preserve"> and 12</w:t>
      </w:r>
      <w:r w:rsidR="00157CDA" w:rsidRPr="00530729">
        <w:rPr>
          <w:rFonts w:eastAsiaTheme="minorHAnsi"/>
          <w:b/>
          <w:bCs/>
          <w:w w:val="105"/>
          <w:sz w:val="26"/>
          <w:szCs w:val="24"/>
        </w:rPr>
        <w:t xml:space="preserve">, </w:t>
      </w:r>
      <w:r w:rsidR="00157CDA">
        <w:rPr>
          <w:rFonts w:eastAsiaTheme="minorHAnsi"/>
          <w:b/>
          <w:bCs/>
          <w:w w:val="105"/>
          <w:sz w:val="26"/>
          <w:szCs w:val="24"/>
        </w:rPr>
        <w:t xml:space="preserve">and </w:t>
      </w:r>
      <w:r w:rsidR="00157CDA" w:rsidRPr="00530729">
        <w:rPr>
          <w:rFonts w:eastAsiaTheme="minorHAnsi"/>
          <w:b/>
          <w:bCs/>
          <w:w w:val="105"/>
          <w:sz w:val="26"/>
          <w:szCs w:val="24"/>
        </w:rPr>
        <w:t>the Joint Applicants and the OCA’s Replies</w:t>
      </w:r>
    </w:p>
    <w:p w14:paraId="658EC2A4" w14:textId="77777777" w:rsidR="00E3652E" w:rsidRDefault="00E3652E" w:rsidP="006D2898">
      <w:pPr>
        <w:keepNext/>
        <w:widowControl/>
        <w:kinsoku w:val="0"/>
        <w:overflowPunct w:val="0"/>
        <w:rPr>
          <w:rFonts w:eastAsiaTheme="minorHAnsi"/>
          <w:w w:val="105"/>
          <w:sz w:val="26"/>
          <w:szCs w:val="24"/>
        </w:rPr>
      </w:pPr>
    </w:p>
    <w:p w14:paraId="30CE0A7C" w14:textId="77777777" w:rsidR="00157CDA" w:rsidRPr="00530729" w:rsidRDefault="00157CDA" w:rsidP="006D2898">
      <w:pPr>
        <w:keepNext/>
        <w:widowControl/>
        <w:kinsoku w:val="0"/>
        <w:overflowPunct w:val="0"/>
        <w:rPr>
          <w:rFonts w:eastAsiaTheme="minorHAnsi"/>
          <w:w w:val="105"/>
          <w:sz w:val="26"/>
          <w:szCs w:val="24"/>
        </w:rPr>
      </w:pPr>
    </w:p>
    <w:p w14:paraId="6B750904" w14:textId="7E16372E" w:rsidR="00530729" w:rsidRPr="00530729" w:rsidRDefault="00530729" w:rsidP="00570AA5">
      <w:pPr>
        <w:keepNext/>
        <w:widowControl/>
        <w:spacing w:line="360" w:lineRule="auto"/>
        <w:ind w:firstLine="1440"/>
        <w:textAlignment w:val="baseline"/>
        <w:rPr>
          <w:rFonts w:cstheme="minorBidi"/>
          <w:color w:val="000000"/>
          <w:spacing w:val="9"/>
          <w:sz w:val="26"/>
          <w:szCs w:val="22"/>
        </w:rPr>
      </w:pPr>
      <w:r w:rsidRPr="00530729">
        <w:rPr>
          <w:rFonts w:cstheme="minorBidi"/>
          <w:spacing w:val="6"/>
          <w:sz w:val="26"/>
          <w:szCs w:val="22"/>
        </w:rPr>
        <w:t xml:space="preserve">In its Exception No. 4, I&amp;E contends that the ALJ erred in stating that I&amp;E and the OSBA have been advocating for the abandonment of customers served off of the G/T Systems.  I&amp;E avers that the statement </w:t>
      </w:r>
      <w:r w:rsidRPr="00530729">
        <w:rPr>
          <w:rFonts w:cstheme="minorBidi"/>
          <w:color w:val="000000"/>
          <w:spacing w:val="6"/>
          <w:sz w:val="26"/>
          <w:szCs w:val="22"/>
        </w:rPr>
        <w:t xml:space="preserve">unfairly shifts the blame from the Peoples Companies, which should have been doing more to ensure these customers received safe and reliable service, to I&amp;E and the OSBA.  I&amp;E Exc. at 14.  I&amp;E believes that </w:t>
      </w:r>
      <w:r w:rsidRPr="00530729">
        <w:rPr>
          <w:rFonts w:cstheme="minorBidi"/>
          <w:color w:val="000000"/>
          <w:spacing w:val="9"/>
          <w:sz w:val="26"/>
          <w:szCs w:val="22"/>
        </w:rPr>
        <w:t>regardless of which path the Commission orders the Peoples Companies to follow, i</w:t>
      </w:r>
      <w:r w:rsidRPr="00530729">
        <w:rPr>
          <w:rFonts w:cstheme="minorBidi"/>
          <w:color w:val="000000"/>
          <w:spacing w:val="6"/>
          <w:sz w:val="26"/>
          <w:szCs w:val="22"/>
        </w:rPr>
        <w:t xml:space="preserve">t is likely that abandonment of some of these customers will </w:t>
      </w:r>
      <w:r w:rsidRPr="00530729">
        <w:rPr>
          <w:rFonts w:cstheme="minorBidi"/>
          <w:color w:val="000000"/>
          <w:spacing w:val="9"/>
          <w:sz w:val="26"/>
          <w:szCs w:val="22"/>
        </w:rPr>
        <w:t xml:space="preserve">occur as a result of inaction on the part of others to do what was necessary to keep these gathering lines in safe and adequate condition.  </w:t>
      </w:r>
      <w:r w:rsidRPr="00530729">
        <w:rPr>
          <w:rFonts w:cstheme="minorBidi"/>
          <w:i/>
          <w:iCs/>
          <w:color w:val="000000"/>
          <w:spacing w:val="9"/>
          <w:sz w:val="26"/>
          <w:szCs w:val="22"/>
        </w:rPr>
        <w:t>Id</w:t>
      </w:r>
      <w:r w:rsidRPr="00530729">
        <w:rPr>
          <w:rFonts w:cstheme="minorBidi"/>
          <w:color w:val="000000"/>
          <w:spacing w:val="9"/>
          <w:sz w:val="26"/>
          <w:szCs w:val="22"/>
        </w:rPr>
        <w:t xml:space="preserve">. at 14-15.  </w:t>
      </w:r>
    </w:p>
    <w:p w14:paraId="03E7D3B8" w14:textId="77777777" w:rsidR="00530729" w:rsidRPr="00530729" w:rsidRDefault="00530729" w:rsidP="00B24187">
      <w:pPr>
        <w:widowControl/>
        <w:spacing w:line="360" w:lineRule="auto"/>
        <w:ind w:firstLine="720"/>
        <w:textAlignment w:val="baseline"/>
        <w:rPr>
          <w:rFonts w:cstheme="minorBidi"/>
          <w:color w:val="000000"/>
          <w:spacing w:val="9"/>
          <w:sz w:val="26"/>
          <w:szCs w:val="22"/>
        </w:rPr>
      </w:pPr>
    </w:p>
    <w:p w14:paraId="6FB1F7A8" w14:textId="1FDE0A04" w:rsidR="00530729" w:rsidRPr="00530729" w:rsidRDefault="00530729" w:rsidP="00B24187">
      <w:pPr>
        <w:widowControl/>
        <w:spacing w:line="360" w:lineRule="auto"/>
        <w:ind w:firstLine="720"/>
        <w:textAlignment w:val="baseline"/>
        <w:rPr>
          <w:rFonts w:cstheme="minorBidi"/>
          <w:color w:val="000000"/>
          <w:spacing w:val="9"/>
          <w:sz w:val="26"/>
          <w:szCs w:val="22"/>
        </w:rPr>
      </w:pPr>
      <w:r w:rsidRPr="00530729">
        <w:rPr>
          <w:rFonts w:cstheme="minorBidi"/>
          <w:color w:val="000000"/>
          <w:spacing w:val="9"/>
          <w:sz w:val="26"/>
          <w:szCs w:val="22"/>
        </w:rPr>
        <w:tab/>
        <w:t xml:space="preserve">I&amp;E refers to the 2013 Equitable Settlement, particularly to </w:t>
      </w:r>
      <w:r w:rsidR="003A591D" w:rsidRPr="00530729">
        <w:rPr>
          <w:rFonts w:cstheme="minorBidi"/>
          <w:color w:val="000000"/>
          <w:spacing w:val="9"/>
          <w:sz w:val="26"/>
          <w:szCs w:val="22"/>
        </w:rPr>
        <w:t>the economic</w:t>
      </w:r>
      <w:r w:rsidRPr="00530729">
        <w:rPr>
          <w:rFonts w:cstheme="minorBidi"/>
          <w:color w:val="000000"/>
          <w:spacing w:val="9"/>
          <w:sz w:val="26"/>
          <w:szCs w:val="22"/>
        </w:rPr>
        <w:t xml:space="preserve"> test, and argues that the Peoples Companies have not complied with that test.  I&amp;E stated that the </w:t>
      </w:r>
      <w:bookmarkStart w:id="77" w:name="_Hlk26193822"/>
      <w:r w:rsidRPr="00530729">
        <w:rPr>
          <w:rFonts w:cstheme="minorBidi"/>
          <w:color w:val="000000"/>
          <w:spacing w:val="9"/>
          <w:sz w:val="26"/>
          <w:szCs w:val="22"/>
        </w:rPr>
        <w:t xml:space="preserve">2013 Equitable Settlement </w:t>
      </w:r>
      <w:bookmarkEnd w:id="77"/>
      <w:r w:rsidRPr="00530729">
        <w:rPr>
          <w:rFonts w:cstheme="minorBidi"/>
          <w:color w:val="000000"/>
          <w:spacing w:val="9"/>
          <w:sz w:val="26"/>
          <w:szCs w:val="22"/>
        </w:rPr>
        <w:t xml:space="preserve">provided that if the economic test was satisfied, </w:t>
      </w:r>
      <w:r w:rsidR="0097198F">
        <w:rPr>
          <w:rFonts w:cstheme="minorBidi"/>
          <w:color w:val="000000"/>
          <w:spacing w:val="9"/>
          <w:sz w:val="26"/>
          <w:szCs w:val="22"/>
        </w:rPr>
        <w:t xml:space="preserve">the </w:t>
      </w:r>
      <w:r w:rsidRPr="00530729">
        <w:rPr>
          <w:rFonts w:cstheme="minorBidi"/>
          <w:color w:val="000000"/>
          <w:spacing w:val="9"/>
          <w:sz w:val="26"/>
          <w:szCs w:val="22"/>
        </w:rPr>
        <w:t xml:space="preserve">Peoples </w:t>
      </w:r>
      <w:r w:rsidR="0097198F">
        <w:rPr>
          <w:rFonts w:cstheme="minorBidi"/>
          <w:color w:val="000000"/>
          <w:spacing w:val="9"/>
          <w:sz w:val="26"/>
          <w:szCs w:val="22"/>
        </w:rPr>
        <w:t xml:space="preserve">Companies </w:t>
      </w:r>
      <w:r w:rsidRPr="00530729">
        <w:rPr>
          <w:rFonts w:cstheme="minorBidi"/>
          <w:color w:val="000000"/>
          <w:spacing w:val="9"/>
          <w:sz w:val="26"/>
          <w:szCs w:val="22"/>
        </w:rPr>
        <w:t xml:space="preserve">would be permitted to include </w:t>
      </w:r>
      <w:r w:rsidR="0097198F">
        <w:rPr>
          <w:rFonts w:cstheme="minorBidi"/>
          <w:color w:val="000000"/>
          <w:spacing w:val="9"/>
          <w:sz w:val="26"/>
          <w:szCs w:val="22"/>
        </w:rPr>
        <w:t>their</w:t>
      </w:r>
      <w:r w:rsidRPr="00530729">
        <w:rPr>
          <w:rFonts w:cstheme="minorBidi"/>
          <w:color w:val="000000"/>
          <w:spacing w:val="9"/>
          <w:sz w:val="26"/>
          <w:szCs w:val="22"/>
        </w:rPr>
        <w:t xml:space="preserve"> investments in the G/T Systems in rate base to be recovered from ratepayers; however, if the economic test was not satisfied, </w:t>
      </w:r>
      <w:r w:rsidR="0097198F">
        <w:rPr>
          <w:rFonts w:cstheme="minorBidi"/>
          <w:color w:val="000000"/>
          <w:spacing w:val="9"/>
          <w:sz w:val="26"/>
          <w:szCs w:val="22"/>
        </w:rPr>
        <w:t xml:space="preserve">the </w:t>
      </w:r>
      <w:r w:rsidRPr="00530729">
        <w:rPr>
          <w:rFonts w:cstheme="minorBidi"/>
          <w:color w:val="000000"/>
          <w:spacing w:val="9"/>
          <w:sz w:val="26"/>
          <w:szCs w:val="22"/>
        </w:rPr>
        <w:t>Peoples</w:t>
      </w:r>
      <w:r w:rsidR="0097198F">
        <w:rPr>
          <w:rFonts w:cstheme="minorBidi"/>
          <w:color w:val="000000"/>
          <w:spacing w:val="9"/>
          <w:sz w:val="26"/>
          <w:szCs w:val="22"/>
        </w:rPr>
        <w:t xml:space="preserve"> Companies</w:t>
      </w:r>
      <w:r w:rsidRPr="00530729">
        <w:rPr>
          <w:rFonts w:cstheme="minorBidi"/>
          <w:color w:val="000000"/>
          <w:spacing w:val="9"/>
          <w:sz w:val="26"/>
          <w:szCs w:val="22"/>
        </w:rPr>
        <w:t xml:space="preserve"> agreed that </w:t>
      </w:r>
      <w:r w:rsidR="0097198F">
        <w:rPr>
          <w:rFonts w:cstheme="minorBidi"/>
          <w:color w:val="000000"/>
          <w:spacing w:val="9"/>
          <w:sz w:val="26"/>
          <w:szCs w:val="22"/>
        </w:rPr>
        <w:t>they</w:t>
      </w:r>
      <w:r w:rsidRPr="00530729">
        <w:rPr>
          <w:rFonts w:cstheme="minorBidi"/>
          <w:color w:val="000000"/>
          <w:spacing w:val="9"/>
          <w:sz w:val="26"/>
          <w:szCs w:val="22"/>
        </w:rPr>
        <w:t xml:space="preserve"> would not further invest in the G/T Systems.  I&amp;E avers that these </w:t>
      </w:r>
      <w:bookmarkStart w:id="78" w:name="_Hlk26193834"/>
      <w:r w:rsidRPr="00530729">
        <w:rPr>
          <w:rFonts w:cstheme="minorBidi"/>
          <w:color w:val="000000"/>
          <w:spacing w:val="9"/>
          <w:sz w:val="26"/>
          <w:szCs w:val="22"/>
        </w:rPr>
        <w:t xml:space="preserve">2013 Equitable Settlement </w:t>
      </w:r>
      <w:bookmarkEnd w:id="78"/>
      <w:r w:rsidRPr="00530729">
        <w:rPr>
          <w:rFonts w:cstheme="minorBidi"/>
          <w:color w:val="000000"/>
          <w:spacing w:val="9"/>
          <w:sz w:val="26"/>
          <w:szCs w:val="22"/>
        </w:rPr>
        <w:t xml:space="preserve">terms balanced the need to address the safety concerns on the G/T Systems in a manner consistent with sound ratemaking principles.  I&amp;E posits that </w:t>
      </w:r>
      <w:r w:rsidR="0097198F">
        <w:rPr>
          <w:rFonts w:cstheme="minorBidi"/>
          <w:color w:val="000000"/>
          <w:spacing w:val="9"/>
          <w:sz w:val="26"/>
          <w:szCs w:val="22"/>
        </w:rPr>
        <w:t xml:space="preserve">the </w:t>
      </w:r>
      <w:r w:rsidRPr="00530729">
        <w:rPr>
          <w:rFonts w:cstheme="minorBidi"/>
          <w:color w:val="000000"/>
          <w:spacing w:val="9"/>
          <w:sz w:val="26"/>
          <w:szCs w:val="22"/>
        </w:rPr>
        <w:t xml:space="preserve">Peoples </w:t>
      </w:r>
      <w:r w:rsidR="0097198F">
        <w:rPr>
          <w:rFonts w:cstheme="minorBidi"/>
          <w:color w:val="000000"/>
          <w:spacing w:val="9"/>
          <w:sz w:val="26"/>
          <w:szCs w:val="22"/>
        </w:rPr>
        <w:t>Companies are</w:t>
      </w:r>
      <w:r w:rsidRPr="00530729">
        <w:rPr>
          <w:rFonts w:cstheme="minorBidi"/>
          <w:color w:val="000000"/>
          <w:spacing w:val="9"/>
          <w:sz w:val="26"/>
          <w:szCs w:val="22"/>
        </w:rPr>
        <w:t xml:space="preserve"> currently bound by those 2013 Equitable </w:t>
      </w:r>
      <w:r w:rsidRPr="00530729">
        <w:rPr>
          <w:rFonts w:cstheme="minorBidi"/>
          <w:color w:val="000000"/>
          <w:spacing w:val="9"/>
          <w:sz w:val="26"/>
          <w:szCs w:val="22"/>
        </w:rPr>
        <w:lastRenderedPageBreak/>
        <w:t xml:space="preserve">Settlement terms but </w:t>
      </w:r>
      <w:r w:rsidR="0097198F">
        <w:rPr>
          <w:rFonts w:cstheme="minorBidi"/>
          <w:color w:val="000000"/>
          <w:spacing w:val="9"/>
          <w:sz w:val="26"/>
          <w:szCs w:val="22"/>
        </w:rPr>
        <w:t>are</w:t>
      </w:r>
      <w:r w:rsidRPr="00530729">
        <w:rPr>
          <w:rFonts w:cstheme="minorBidi"/>
          <w:color w:val="000000"/>
          <w:spacing w:val="9"/>
          <w:sz w:val="26"/>
          <w:szCs w:val="22"/>
        </w:rPr>
        <w:t xml:space="preserve"> seeking to circumvent those terms through the Settlement in this proceeding by not performing any economic analysis and obtaining full recovery from </w:t>
      </w:r>
      <w:r w:rsidR="0097198F">
        <w:rPr>
          <w:rFonts w:cstheme="minorBidi"/>
          <w:color w:val="000000"/>
          <w:spacing w:val="9"/>
          <w:sz w:val="26"/>
          <w:szCs w:val="22"/>
        </w:rPr>
        <w:t>their</w:t>
      </w:r>
      <w:r w:rsidRPr="00530729">
        <w:rPr>
          <w:rFonts w:cstheme="minorBidi"/>
          <w:color w:val="000000"/>
          <w:spacing w:val="9"/>
          <w:sz w:val="26"/>
          <w:szCs w:val="22"/>
        </w:rPr>
        <w:t xml:space="preserve"> customers.  </w:t>
      </w:r>
      <w:r w:rsidRPr="00530729">
        <w:rPr>
          <w:rFonts w:cstheme="minorBidi"/>
          <w:i/>
          <w:iCs/>
          <w:color w:val="000000"/>
          <w:spacing w:val="9"/>
          <w:sz w:val="26"/>
          <w:szCs w:val="22"/>
        </w:rPr>
        <w:t>Id</w:t>
      </w:r>
      <w:r w:rsidRPr="00530729">
        <w:rPr>
          <w:rFonts w:cstheme="minorBidi"/>
          <w:color w:val="000000"/>
          <w:spacing w:val="9"/>
          <w:sz w:val="26"/>
          <w:szCs w:val="22"/>
        </w:rPr>
        <w:t>. at 15.</w:t>
      </w:r>
    </w:p>
    <w:p w14:paraId="1976E29E" w14:textId="77777777" w:rsidR="00530729" w:rsidRPr="00530729" w:rsidRDefault="00530729" w:rsidP="00B24187">
      <w:pPr>
        <w:widowControl/>
        <w:spacing w:line="360" w:lineRule="auto"/>
        <w:ind w:firstLine="720"/>
        <w:textAlignment w:val="baseline"/>
        <w:rPr>
          <w:rFonts w:cstheme="minorBidi"/>
          <w:color w:val="000000"/>
          <w:spacing w:val="9"/>
          <w:sz w:val="26"/>
          <w:szCs w:val="22"/>
        </w:rPr>
      </w:pPr>
    </w:p>
    <w:p w14:paraId="3FC82A2F" w14:textId="01C9AC31" w:rsidR="00530729" w:rsidRDefault="00530729" w:rsidP="00AD06EE">
      <w:pPr>
        <w:widowControl/>
        <w:spacing w:line="360" w:lineRule="auto"/>
        <w:ind w:firstLine="1440"/>
        <w:textAlignment w:val="baseline"/>
        <w:rPr>
          <w:rFonts w:cstheme="minorBidi"/>
          <w:color w:val="000000"/>
          <w:spacing w:val="6"/>
          <w:sz w:val="26"/>
          <w:szCs w:val="22"/>
        </w:rPr>
      </w:pPr>
      <w:r w:rsidRPr="00530729">
        <w:rPr>
          <w:rFonts w:cstheme="minorBidi"/>
          <w:color w:val="000000"/>
          <w:sz w:val="26"/>
          <w:szCs w:val="22"/>
        </w:rPr>
        <w:t xml:space="preserve">I&amp;E continues that the high levels of UFG on the G/T Systems </w:t>
      </w:r>
      <w:r w:rsidRPr="00530729">
        <w:rPr>
          <w:rFonts w:cstheme="minorBidi"/>
          <w:color w:val="000000"/>
          <w:spacing w:val="6"/>
          <w:sz w:val="26"/>
          <w:szCs w:val="22"/>
        </w:rPr>
        <w:t xml:space="preserve">will result in certain customers being abandoned, even under the proposed Settlement in this proceeding.  </w:t>
      </w:r>
      <w:r w:rsidRPr="00530729">
        <w:rPr>
          <w:rFonts w:cstheme="minorBidi"/>
          <w:i/>
          <w:iCs/>
          <w:color w:val="000000"/>
          <w:spacing w:val="6"/>
          <w:sz w:val="26"/>
          <w:szCs w:val="22"/>
        </w:rPr>
        <w:t>Id</w:t>
      </w:r>
      <w:r w:rsidRPr="00530729">
        <w:rPr>
          <w:rFonts w:cstheme="minorBidi"/>
          <w:color w:val="000000"/>
          <w:spacing w:val="6"/>
          <w:sz w:val="26"/>
          <w:szCs w:val="22"/>
        </w:rPr>
        <w:t>. at 15-16 (citing I&amp;E St. 2 at 3-4).  I&amp;E states that even the Peoples Companies recognize that replacement of every mile of these G/T Systems would not be economic and that there are certain instances in which “abandonment of the customer, and converting the customer to an alternative fuel source, would be more economic and in the public interest.”  I&amp;E Exc. at 16 (citing Joint Applicants St. 6-SR at 8).</w:t>
      </w:r>
      <w:r w:rsidR="003A591D">
        <w:rPr>
          <w:rFonts w:cstheme="minorBidi"/>
          <w:color w:val="000000"/>
          <w:spacing w:val="6"/>
          <w:sz w:val="26"/>
          <w:szCs w:val="22"/>
        </w:rPr>
        <w:t xml:space="preserve">  </w:t>
      </w:r>
    </w:p>
    <w:p w14:paraId="7D072590" w14:textId="77777777" w:rsidR="00157CDA" w:rsidRPr="00530729" w:rsidRDefault="00157CDA" w:rsidP="00B24187">
      <w:pPr>
        <w:widowControl/>
        <w:spacing w:line="360" w:lineRule="auto"/>
        <w:textAlignment w:val="baseline"/>
        <w:rPr>
          <w:rFonts w:cstheme="minorBidi"/>
          <w:color w:val="000000"/>
          <w:spacing w:val="6"/>
          <w:sz w:val="26"/>
          <w:szCs w:val="22"/>
        </w:rPr>
      </w:pPr>
    </w:p>
    <w:p w14:paraId="238736DC" w14:textId="6DFE84C4" w:rsidR="00A412A7" w:rsidRDefault="00530729" w:rsidP="00AD06EE">
      <w:pPr>
        <w:widowControl/>
        <w:spacing w:line="360" w:lineRule="auto"/>
        <w:ind w:firstLine="1440"/>
        <w:textAlignment w:val="baseline"/>
        <w:rPr>
          <w:rFonts w:cstheme="minorBidi"/>
          <w:color w:val="000000"/>
          <w:spacing w:val="6"/>
          <w:sz w:val="26"/>
          <w:szCs w:val="22"/>
        </w:rPr>
      </w:pPr>
      <w:r w:rsidRPr="00530729">
        <w:rPr>
          <w:rFonts w:cstheme="minorBidi"/>
          <w:color w:val="000000"/>
          <w:spacing w:val="6"/>
          <w:sz w:val="26"/>
          <w:szCs w:val="22"/>
        </w:rPr>
        <w:t xml:space="preserve">I&amp;E further contends that the ALJ essentially concludes that abandonment of customers is never an option regardless of what the economic analysis shows.  I&amp;E asserts that this is a dangerous precedent and is inconsistent with prior Commission Orders.  I&amp;E Exc. at 16-17 (citing </w:t>
      </w:r>
      <w:r w:rsidRPr="00530729">
        <w:rPr>
          <w:rFonts w:cstheme="minorBidi"/>
          <w:i/>
          <w:iCs/>
          <w:color w:val="000000"/>
          <w:spacing w:val="6"/>
          <w:sz w:val="26"/>
          <w:szCs w:val="22"/>
        </w:rPr>
        <w:t>Application for Approval of Abandonment of Service by Columbia Gas of Pennsylvania</w:t>
      </w:r>
      <w:r w:rsidRPr="00530729">
        <w:rPr>
          <w:rFonts w:cstheme="minorBidi"/>
          <w:color w:val="000000"/>
          <w:spacing w:val="6"/>
          <w:sz w:val="26"/>
          <w:szCs w:val="22"/>
        </w:rPr>
        <w:t xml:space="preserve">, Docket No. A-2017-2604409 (Order entered July 13, 2017); </w:t>
      </w:r>
      <w:r w:rsidRPr="00530729">
        <w:rPr>
          <w:rFonts w:cstheme="minorBidi"/>
          <w:i/>
          <w:iCs/>
          <w:color w:val="000000"/>
          <w:spacing w:val="6"/>
          <w:sz w:val="26"/>
          <w:szCs w:val="22"/>
        </w:rPr>
        <w:t>Groff v. North Penn Gas Co</w:t>
      </w:r>
      <w:r w:rsidRPr="00530729">
        <w:rPr>
          <w:rFonts w:cstheme="minorBidi"/>
          <w:color w:val="000000"/>
          <w:spacing w:val="6"/>
          <w:sz w:val="26"/>
          <w:szCs w:val="22"/>
        </w:rPr>
        <w:t>., 77 Pa. P.U.C. 203 (1992)).  I&amp;E states that the type of economic test approved by the Commission in 2013 is not a unique or unusual approach to issues of pipeline replacement, nevertheless, the ALJ recommends forgoing any economic analysis, which is necessary to determine just and reasonable rates.</w:t>
      </w:r>
      <w:r w:rsidR="008E7FAB">
        <w:rPr>
          <w:rFonts w:cstheme="minorBidi"/>
          <w:color w:val="000000"/>
          <w:spacing w:val="6"/>
          <w:sz w:val="26"/>
          <w:szCs w:val="22"/>
        </w:rPr>
        <w:t xml:space="preserve">  </w:t>
      </w:r>
      <w:r w:rsidR="00F71C4D">
        <w:rPr>
          <w:rFonts w:cstheme="minorBidi"/>
          <w:color w:val="000000"/>
          <w:spacing w:val="6"/>
          <w:sz w:val="26"/>
          <w:szCs w:val="22"/>
        </w:rPr>
        <w:t>I&amp;E Exc. at 17.</w:t>
      </w:r>
    </w:p>
    <w:p w14:paraId="4A31AB3A" w14:textId="77777777" w:rsidR="00D66EA5" w:rsidRPr="00530729" w:rsidRDefault="00D66EA5" w:rsidP="00B24187">
      <w:pPr>
        <w:widowControl/>
        <w:spacing w:line="360" w:lineRule="auto"/>
        <w:ind w:firstLine="720"/>
        <w:textAlignment w:val="baseline"/>
        <w:rPr>
          <w:rFonts w:cstheme="minorBidi"/>
          <w:color w:val="000000"/>
          <w:spacing w:val="6"/>
          <w:sz w:val="26"/>
          <w:szCs w:val="22"/>
        </w:rPr>
      </w:pPr>
    </w:p>
    <w:p w14:paraId="155053AA" w14:textId="2A08EA4B" w:rsidR="00530729" w:rsidRPr="00530729" w:rsidRDefault="00530729" w:rsidP="00AD06EE">
      <w:pPr>
        <w:widowControl/>
        <w:spacing w:line="360" w:lineRule="auto"/>
        <w:ind w:firstLine="1440"/>
        <w:textAlignment w:val="baseline"/>
        <w:rPr>
          <w:rFonts w:asciiTheme="minorHAnsi" w:hAnsiTheme="minorHAnsi" w:cstheme="minorBidi"/>
          <w:sz w:val="26"/>
          <w:szCs w:val="22"/>
        </w:rPr>
      </w:pPr>
      <w:r w:rsidRPr="00530729">
        <w:rPr>
          <w:rFonts w:cstheme="minorBidi"/>
          <w:spacing w:val="6"/>
          <w:sz w:val="26"/>
          <w:szCs w:val="22"/>
        </w:rPr>
        <w:t xml:space="preserve">In its Exception No. 7, the OSBA argues that the ALJ erred in improperly inserting the issue of abandonment of customers on the G/T Systems into this proceeding.  The OSBA states that there </w:t>
      </w:r>
      <w:r w:rsidRPr="00530729">
        <w:rPr>
          <w:rFonts w:cstheme="minorBidi"/>
          <w:sz w:val="26"/>
          <w:szCs w:val="22"/>
        </w:rPr>
        <w:t>is no proposal to abandon the G/T Systems’ customers before the Commission, and the ALJ’s analysis that the only two options are abandoning customers or accepting the Settlement</w:t>
      </w:r>
      <w:r w:rsidRPr="00530729">
        <w:rPr>
          <w:rFonts w:cstheme="minorBidi"/>
          <w:i/>
          <w:sz w:val="26"/>
          <w:szCs w:val="22"/>
        </w:rPr>
        <w:t xml:space="preserve"> </w:t>
      </w:r>
      <w:r w:rsidRPr="00530729">
        <w:rPr>
          <w:rFonts w:cstheme="minorBidi"/>
          <w:sz w:val="26"/>
          <w:szCs w:val="22"/>
        </w:rPr>
        <w:t xml:space="preserve">contradicts the record </w:t>
      </w:r>
      <w:r w:rsidRPr="00530729">
        <w:rPr>
          <w:rFonts w:cstheme="minorBidi"/>
          <w:sz w:val="26"/>
          <w:szCs w:val="22"/>
        </w:rPr>
        <w:lastRenderedPageBreak/>
        <w:t xml:space="preserve">evidence.  OSBA Exc. at 10.  The OSBA explains that as set forth in its Main and Reply Briefs, there are more options to address the G/T Systems than just the two proffered by the ALJ.  </w:t>
      </w:r>
      <w:r w:rsidRPr="00530729">
        <w:rPr>
          <w:rFonts w:cstheme="minorBidi"/>
          <w:i/>
          <w:iCs/>
          <w:sz w:val="26"/>
          <w:szCs w:val="22"/>
        </w:rPr>
        <w:t>Id</w:t>
      </w:r>
      <w:r w:rsidRPr="00530729">
        <w:rPr>
          <w:rFonts w:cstheme="minorBidi"/>
          <w:sz w:val="26"/>
          <w:szCs w:val="22"/>
        </w:rPr>
        <w:t xml:space="preserve">. at 11 (citing OSBA R.B. at 23).  Additionally, the OSBA points to I&amp;E’s Main and Reply Briefs to demonstrate that there are many options to address the G/T Systems that do not involve approving uneconomic plans, abandoning customers, or penalizing general ratepayers by forcing them to pay for the G/T Systems’ remediation, while rewarding SteelRiver by allowing it to take its $4 billion and forget about these systems.  OSBA Exc. at 11 (citing I&amp;E M.B. at 33-35; I&amp;E R.B. at 18).  </w:t>
      </w:r>
    </w:p>
    <w:p w14:paraId="45A66E02" w14:textId="77777777" w:rsidR="00530729" w:rsidRPr="00530729" w:rsidRDefault="00530729" w:rsidP="00B24187">
      <w:pPr>
        <w:widowControl/>
        <w:spacing w:before="273" w:after="200" w:line="360" w:lineRule="auto"/>
        <w:ind w:right="-30"/>
        <w:textAlignment w:val="baseline"/>
        <w:rPr>
          <w:rFonts w:asciiTheme="minorHAnsi" w:hAnsiTheme="minorHAnsi" w:cstheme="minorBidi"/>
          <w:spacing w:val="-1"/>
          <w:sz w:val="26"/>
          <w:szCs w:val="22"/>
        </w:rPr>
      </w:pPr>
      <w:r w:rsidRPr="00530729">
        <w:rPr>
          <w:rFonts w:cstheme="minorBidi"/>
          <w:sz w:val="26"/>
          <w:szCs w:val="22"/>
        </w:rPr>
        <w:tab/>
      </w:r>
      <w:r w:rsidRPr="00530729">
        <w:rPr>
          <w:rFonts w:cstheme="minorBidi"/>
          <w:sz w:val="26"/>
          <w:szCs w:val="22"/>
        </w:rPr>
        <w:tab/>
        <w:t xml:space="preserve">The OSBA lists the following examples of the various options available to the Commission, as </w:t>
      </w:r>
      <w:r w:rsidRPr="00530729">
        <w:rPr>
          <w:rFonts w:cstheme="minorBidi"/>
          <w:spacing w:val="-1"/>
          <w:sz w:val="26"/>
          <w:szCs w:val="22"/>
        </w:rPr>
        <w:t>follows:</w:t>
      </w:r>
    </w:p>
    <w:p w14:paraId="1CD726FC" w14:textId="181FC888" w:rsidR="00530729" w:rsidRPr="00ED379C" w:rsidRDefault="00530729" w:rsidP="00ED379C">
      <w:pPr>
        <w:widowControl/>
        <w:numPr>
          <w:ilvl w:val="0"/>
          <w:numId w:val="10"/>
        </w:numPr>
        <w:tabs>
          <w:tab w:val="clear" w:pos="288"/>
        </w:tabs>
        <w:ind w:left="2160" w:right="1483" w:hanging="720"/>
        <w:textAlignment w:val="baseline"/>
        <w:rPr>
          <w:rFonts w:asciiTheme="minorHAnsi" w:hAnsiTheme="minorHAnsi" w:cstheme="minorBidi"/>
          <w:sz w:val="26"/>
          <w:szCs w:val="22"/>
        </w:rPr>
      </w:pPr>
      <w:r w:rsidRPr="00530729">
        <w:rPr>
          <w:rFonts w:cstheme="minorBidi"/>
          <w:sz w:val="26"/>
          <w:szCs w:val="22"/>
        </w:rPr>
        <w:t xml:space="preserve">Require $127 million be set aside by SteelRiver to facilitate remediation of the G/T Systems, and that any portion of the $127 million not spent be returned to SteelRiver, or, if the costs are higher than $127 million, then the amounts above $127 million be borne by Aqua America’s shareholders. (I&amp;E M.B. at 34; I&amp;E R.B. at 18). </w:t>
      </w:r>
    </w:p>
    <w:p w14:paraId="165CBB63" w14:textId="77777777" w:rsidR="00ED379C" w:rsidRPr="00530729" w:rsidRDefault="00ED379C" w:rsidP="00ED379C">
      <w:pPr>
        <w:widowControl/>
        <w:tabs>
          <w:tab w:val="left" w:pos="288"/>
        </w:tabs>
        <w:ind w:left="2160" w:right="1483"/>
        <w:textAlignment w:val="baseline"/>
        <w:rPr>
          <w:rFonts w:asciiTheme="minorHAnsi" w:hAnsiTheme="minorHAnsi" w:cstheme="minorBidi"/>
          <w:sz w:val="26"/>
          <w:szCs w:val="22"/>
        </w:rPr>
      </w:pPr>
    </w:p>
    <w:p w14:paraId="04FF4660" w14:textId="53146621" w:rsidR="00530729" w:rsidRPr="00530729" w:rsidRDefault="00530729" w:rsidP="00ED379C">
      <w:pPr>
        <w:widowControl/>
        <w:numPr>
          <w:ilvl w:val="0"/>
          <w:numId w:val="11"/>
        </w:numPr>
        <w:tabs>
          <w:tab w:val="clear" w:pos="360"/>
        </w:tabs>
        <w:ind w:left="2160" w:right="1487" w:hanging="720"/>
        <w:textAlignment w:val="baseline"/>
        <w:rPr>
          <w:rFonts w:asciiTheme="minorHAnsi" w:hAnsiTheme="minorHAnsi" w:cstheme="minorBidi"/>
          <w:sz w:val="26"/>
          <w:szCs w:val="22"/>
        </w:rPr>
      </w:pPr>
      <w:r w:rsidRPr="00530729">
        <w:rPr>
          <w:rFonts w:cstheme="minorBidi"/>
          <w:sz w:val="26"/>
          <w:szCs w:val="22"/>
        </w:rPr>
        <w:t>Require Peoples and SteelRiver to begin repair of the G/T Systems immediately, with the cost of repair primarily borne by SteelRiver. (OSBA R.B. at 23).</w:t>
      </w:r>
    </w:p>
    <w:p w14:paraId="503B8686" w14:textId="77777777" w:rsidR="00530729" w:rsidRPr="00530729" w:rsidRDefault="00530729" w:rsidP="00ED379C">
      <w:pPr>
        <w:widowControl/>
        <w:tabs>
          <w:tab w:val="left" w:pos="360"/>
        </w:tabs>
        <w:ind w:left="2160" w:right="1483" w:hanging="720"/>
        <w:textAlignment w:val="baseline"/>
        <w:rPr>
          <w:rFonts w:asciiTheme="minorHAnsi" w:hAnsiTheme="minorHAnsi" w:cstheme="minorBidi"/>
          <w:sz w:val="26"/>
          <w:szCs w:val="22"/>
        </w:rPr>
      </w:pPr>
    </w:p>
    <w:p w14:paraId="16A49E9F" w14:textId="78B2D036" w:rsidR="00530729" w:rsidRPr="00530729" w:rsidRDefault="00530729" w:rsidP="00ED379C">
      <w:pPr>
        <w:widowControl/>
        <w:numPr>
          <w:ilvl w:val="0"/>
          <w:numId w:val="11"/>
        </w:numPr>
        <w:ind w:left="2160" w:right="1487" w:hanging="720"/>
        <w:textAlignment w:val="baseline"/>
        <w:rPr>
          <w:rFonts w:asciiTheme="minorHAnsi" w:hAnsiTheme="minorHAnsi" w:cstheme="minorBidi"/>
          <w:sz w:val="26"/>
          <w:szCs w:val="22"/>
        </w:rPr>
      </w:pPr>
      <w:r w:rsidRPr="00530729">
        <w:rPr>
          <w:rFonts w:cstheme="minorBidi"/>
          <w:sz w:val="26"/>
          <w:szCs w:val="22"/>
        </w:rPr>
        <w:t>Require a portion of the purchase price to be set aside and held in a restricted account to pay for the uneconomic cost to replace the G/T Systems. (I&amp;E M.B. at 33).</w:t>
      </w:r>
    </w:p>
    <w:p w14:paraId="4465E85E" w14:textId="77777777" w:rsidR="00530729" w:rsidRPr="00530729" w:rsidRDefault="00530729" w:rsidP="00ED379C">
      <w:pPr>
        <w:widowControl/>
        <w:tabs>
          <w:tab w:val="left" w:pos="360"/>
        </w:tabs>
        <w:ind w:left="2160" w:right="1483" w:hanging="720"/>
        <w:textAlignment w:val="baseline"/>
        <w:rPr>
          <w:rFonts w:asciiTheme="minorHAnsi" w:hAnsiTheme="minorHAnsi" w:cstheme="minorBidi"/>
          <w:sz w:val="26"/>
          <w:szCs w:val="22"/>
        </w:rPr>
      </w:pPr>
    </w:p>
    <w:p w14:paraId="1490373E" w14:textId="279F922C" w:rsidR="00530729" w:rsidRPr="00530729" w:rsidRDefault="00530729" w:rsidP="00ED379C">
      <w:pPr>
        <w:widowControl/>
        <w:numPr>
          <w:ilvl w:val="0"/>
          <w:numId w:val="11"/>
        </w:numPr>
        <w:ind w:left="2160" w:right="1487" w:hanging="720"/>
        <w:textAlignment w:val="baseline"/>
        <w:rPr>
          <w:rFonts w:asciiTheme="minorHAnsi" w:hAnsiTheme="minorHAnsi" w:cstheme="minorBidi"/>
          <w:sz w:val="26"/>
          <w:szCs w:val="22"/>
        </w:rPr>
      </w:pPr>
      <w:r w:rsidRPr="00530729">
        <w:rPr>
          <w:rFonts w:cstheme="minorBidi"/>
          <w:sz w:val="26"/>
          <w:szCs w:val="22"/>
        </w:rPr>
        <w:t xml:space="preserve">Evaluate whether SteelRiver/Peoples should be fined under Section 501 of the Pennsylvania Public Utility Code, 66 Pa. C.S. § 501(a), for delaying meaningful progress on its commitments under the </w:t>
      </w:r>
      <w:r w:rsidRPr="00530729">
        <w:rPr>
          <w:rFonts w:cstheme="minorBidi"/>
          <w:i/>
          <w:iCs/>
          <w:sz w:val="26"/>
          <w:szCs w:val="22"/>
        </w:rPr>
        <w:t>2013 Equitable Settlement</w:t>
      </w:r>
      <w:r w:rsidRPr="00530729">
        <w:rPr>
          <w:rFonts w:cstheme="minorBidi"/>
          <w:sz w:val="26"/>
          <w:szCs w:val="22"/>
        </w:rPr>
        <w:t>, for allowing the G/T Systems to deteriorate, and for failing to address the safety issues on the G/T Systems of which it had full knowledge. (OSBA R.B. at 23).</w:t>
      </w:r>
    </w:p>
    <w:p w14:paraId="7BA3F7DF" w14:textId="77777777" w:rsidR="00530729" w:rsidRPr="00530729" w:rsidRDefault="00530729" w:rsidP="00ED379C">
      <w:pPr>
        <w:widowControl/>
        <w:tabs>
          <w:tab w:val="left" w:pos="360"/>
        </w:tabs>
        <w:ind w:left="2160" w:right="1487" w:hanging="720"/>
        <w:textAlignment w:val="baseline"/>
        <w:rPr>
          <w:rFonts w:asciiTheme="minorHAnsi" w:hAnsiTheme="minorHAnsi" w:cstheme="minorBidi"/>
          <w:sz w:val="26"/>
          <w:szCs w:val="22"/>
        </w:rPr>
      </w:pPr>
    </w:p>
    <w:p w14:paraId="5C69289C" w14:textId="2FB77442" w:rsidR="00530729" w:rsidRPr="00530729" w:rsidRDefault="00530729" w:rsidP="00ED379C">
      <w:pPr>
        <w:widowControl/>
        <w:numPr>
          <w:ilvl w:val="0"/>
          <w:numId w:val="11"/>
        </w:numPr>
        <w:ind w:left="2160" w:right="1487" w:hanging="720"/>
        <w:textAlignment w:val="baseline"/>
        <w:rPr>
          <w:rFonts w:asciiTheme="minorHAnsi" w:hAnsiTheme="minorHAnsi" w:cstheme="minorBidi"/>
          <w:sz w:val="26"/>
          <w:szCs w:val="22"/>
        </w:rPr>
      </w:pPr>
      <w:r w:rsidRPr="00530729">
        <w:rPr>
          <w:rFonts w:cstheme="minorBidi"/>
          <w:sz w:val="26"/>
          <w:szCs w:val="22"/>
        </w:rPr>
        <w:lastRenderedPageBreak/>
        <w:t>Reject the provisions related to the G/T Systems in the Settlement</w:t>
      </w:r>
      <w:r w:rsidRPr="00530729">
        <w:rPr>
          <w:rFonts w:cstheme="minorBidi"/>
          <w:i/>
          <w:sz w:val="26"/>
          <w:szCs w:val="22"/>
        </w:rPr>
        <w:t xml:space="preserve"> </w:t>
      </w:r>
      <w:r w:rsidRPr="00530729">
        <w:rPr>
          <w:rFonts w:cstheme="minorBidi"/>
          <w:sz w:val="26"/>
          <w:szCs w:val="22"/>
        </w:rPr>
        <w:t>(I&amp;E R.B. at 29-30).</w:t>
      </w:r>
    </w:p>
    <w:p w14:paraId="4947D997" w14:textId="77777777" w:rsidR="00530729" w:rsidRPr="00530729" w:rsidRDefault="00530729" w:rsidP="00B24187">
      <w:pPr>
        <w:widowControl/>
        <w:spacing w:line="360" w:lineRule="auto"/>
        <w:ind w:left="72" w:right="1483" w:firstLine="648"/>
        <w:textAlignment w:val="baseline"/>
        <w:rPr>
          <w:rFonts w:cstheme="minorBidi"/>
          <w:spacing w:val="-2"/>
          <w:sz w:val="26"/>
          <w:szCs w:val="22"/>
        </w:rPr>
      </w:pPr>
    </w:p>
    <w:p w14:paraId="6473456D" w14:textId="77777777" w:rsidR="00530729" w:rsidRPr="00530729" w:rsidRDefault="00530729" w:rsidP="00B24187">
      <w:pPr>
        <w:widowControl/>
        <w:spacing w:line="360" w:lineRule="auto"/>
        <w:ind w:left="72" w:right="216" w:hanging="72"/>
        <w:textAlignment w:val="baseline"/>
        <w:rPr>
          <w:rFonts w:cstheme="minorBidi"/>
          <w:spacing w:val="-2"/>
          <w:sz w:val="26"/>
          <w:szCs w:val="22"/>
        </w:rPr>
      </w:pPr>
      <w:r w:rsidRPr="00530729">
        <w:rPr>
          <w:rFonts w:cstheme="minorBidi"/>
          <w:spacing w:val="-2"/>
          <w:sz w:val="26"/>
          <w:szCs w:val="22"/>
        </w:rPr>
        <w:t xml:space="preserve">OSBA Exc. at 12.  </w:t>
      </w:r>
    </w:p>
    <w:p w14:paraId="353B630E" w14:textId="77777777" w:rsidR="00530729" w:rsidRPr="00530729" w:rsidRDefault="00530729" w:rsidP="00B24187">
      <w:pPr>
        <w:widowControl/>
        <w:spacing w:line="360" w:lineRule="auto"/>
        <w:ind w:left="72" w:right="216" w:hanging="72"/>
        <w:textAlignment w:val="baseline"/>
        <w:rPr>
          <w:rFonts w:cstheme="minorBidi"/>
          <w:spacing w:val="-2"/>
          <w:sz w:val="26"/>
          <w:szCs w:val="22"/>
        </w:rPr>
      </w:pPr>
      <w:r w:rsidRPr="00530729">
        <w:rPr>
          <w:rFonts w:cstheme="minorBidi"/>
          <w:spacing w:val="-2"/>
          <w:sz w:val="26"/>
          <w:szCs w:val="22"/>
        </w:rPr>
        <w:t xml:space="preserve"> </w:t>
      </w:r>
    </w:p>
    <w:p w14:paraId="4253DE9C" w14:textId="1B4CAD46" w:rsidR="00530729" w:rsidRPr="00530729" w:rsidRDefault="00530729" w:rsidP="003569C3">
      <w:pPr>
        <w:widowControl/>
        <w:spacing w:after="624" w:line="360" w:lineRule="auto"/>
        <w:ind w:right="-30" w:firstLine="1440"/>
        <w:textAlignment w:val="baseline"/>
        <w:rPr>
          <w:rFonts w:cstheme="minorBidi"/>
          <w:spacing w:val="-2"/>
          <w:sz w:val="26"/>
          <w:szCs w:val="22"/>
        </w:rPr>
      </w:pPr>
      <w:r w:rsidRPr="00530729">
        <w:rPr>
          <w:rFonts w:cstheme="minorBidi"/>
          <w:spacing w:val="-2"/>
          <w:sz w:val="26"/>
          <w:szCs w:val="22"/>
        </w:rPr>
        <w:t>The OSBA continues that the Commission has the authority to impose conditions on the Proposed Transaction to protect customers and to ensure that customers are not paying for imprudent investment decisions by the Joint Applicants.  The OSBA believes it would be contrary to Commission precedent to approve a wholly uneconomic project such as the G/T Systems</w:t>
      </w:r>
      <w:r w:rsidR="00D65673">
        <w:rPr>
          <w:rFonts w:cstheme="minorBidi"/>
          <w:spacing w:val="-2"/>
          <w:sz w:val="26"/>
          <w:szCs w:val="22"/>
        </w:rPr>
        <w:t>’</w:t>
      </w:r>
      <w:r w:rsidRPr="00530729">
        <w:rPr>
          <w:rFonts w:cstheme="minorBidi"/>
          <w:spacing w:val="-2"/>
          <w:sz w:val="26"/>
          <w:szCs w:val="22"/>
        </w:rPr>
        <w:t xml:space="preserve"> remediation plan proposed in the Settlement</w:t>
      </w:r>
      <w:r w:rsidRPr="00530729">
        <w:rPr>
          <w:rFonts w:cstheme="minorBidi"/>
          <w:i/>
          <w:spacing w:val="-2"/>
          <w:sz w:val="26"/>
          <w:szCs w:val="22"/>
        </w:rPr>
        <w:t xml:space="preserve">.  </w:t>
      </w:r>
      <w:r w:rsidRPr="00530729">
        <w:rPr>
          <w:rFonts w:cstheme="minorBidi"/>
          <w:iCs/>
          <w:spacing w:val="-2"/>
          <w:sz w:val="26"/>
          <w:szCs w:val="22"/>
        </w:rPr>
        <w:t xml:space="preserve">The OSBA contends that based on the </w:t>
      </w:r>
      <w:r w:rsidRPr="00530729">
        <w:rPr>
          <w:rFonts w:cstheme="minorBidi"/>
          <w:spacing w:val="-2"/>
          <w:sz w:val="26"/>
          <w:szCs w:val="22"/>
        </w:rPr>
        <w:t xml:space="preserve">safety, economics, and history of the G/T Systems, approving the </w:t>
      </w:r>
      <w:r w:rsidRPr="00530729">
        <w:rPr>
          <w:rFonts w:cstheme="minorBidi"/>
          <w:iCs/>
          <w:spacing w:val="-2"/>
          <w:sz w:val="26"/>
          <w:szCs w:val="22"/>
        </w:rPr>
        <w:t>Settlement</w:t>
      </w:r>
      <w:r w:rsidRPr="00530729">
        <w:rPr>
          <w:rFonts w:cstheme="minorBidi"/>
          <w:i/>
          <w:spacing w:val="-2"/>
          <w:sz w:val="26"/>
          <w:szCs w:val="22"/>
        </w:rPr>
        <w:t xml:space="preserve"> </w:t>
      </w:r>
      <w:r w:rsidRPr="00530729">
        <w:rPr>
          <w:rFonts w:cstheme="minorBidi"/>
          <w:spacing w:val="-2"/>
          <w:sz w:val="26"/>
          <w:szCs w:val="22"/>
        </w:rPr>
        <w:t xml:space="preserve">would be unconscionable, and there is no substantial record evidence showing its reasonableness to customers.  </w:t>
      </w:r>
      <w:r w:rsidRPr="00530729">
        <w:rPr>
          <w:rFonts w:cstheme="minorBidi"/>
          <w:i/>
          <w:iCs/>
          <w:spacing w:val="-2"/>
          <w:sz w:val="26"/>
          <w:szCs w:val="22"/>
        </w:rPr>
        <w:t>Id</w:t>
      </w:r>
      <w:r w:rsidRPr="00530729">
        <w:rPr>
          <w:rFonts w:cstheme="minorBidi"/>
          <w:spacing w:val="-2"/>
          <w:sz w:val="26"/>
          <w:szCs w:val="22"/>
        </w:rPr>
        <w:t xml:space="preserve">. </w:t>
      </w:r>
    </w:p>
    <w:p w14:paraId="268FEE4D" w14:textId="3CAFCDE1" w:rsidR="00530729" w:rsidRPr="00530729" w:rsidRDefault="00530729" w:rsidP="003569C3">
      <w:pPr>
        <w:widowControl/>
        <w:spacing w:line="360" w:lineRule="auto"/>
        <w:ind w:right="-30" w:firstLine="1440"/>
        <w:textAlignment w:val="baseline"/>
        <w:rPr>
          <w:rFonts w:cstheme="minorBidi"/>
          <w:sz w:val="26"/>
          <w:szCs w:val="22"/>
        </w:rPr>
      </w:pPr>
      <w:r w:rsidRPr="00530729">
        <w:rPr>
          <w:rFonts w:eastAsiaTheme="minorHAnsi"/>
          <w:sz w:val="26"/>
          <w:szCs w:val="22"/>
        </w:rPr>
        <w:t>In</w:t>
      </w:r>
      <w:r w:rsidRPr="00530729">
        <w:rPr>
          <w:rFonts w:eastAsiaTheme="minorHAnsi" w:cstheme="minorBidi"/>
          <w:sz w:val="26"/>
          <w:szCs w:val="22"/>
        </w:rPr>
        <w:t xml:space="preserve"> its Exception No. 12, the OSBA avers that the ALJ erred in her analysis of the Settlement terms by improperly weighing the burden on the G/T Systems’ customers who may be subject to abandonment against the impact of socializing the costs of remediation to other ratepayers.  </w:t>
      </w:r>
      <w:r w:rsidRPr="00530729">
        <w:rPr>
          <w:rFonts w:cstheme="minorBidi"/>
          <w:sz w:val="26"/>
          <w:szCs w:val="22"/>
        </w:rPr>
        <w:t>The OSBA asserts that the Commission should exercise its authority under Section 1103(a) of the Code to impose conditions on the Proposed Transaction to mitigate the negative impacts on ratepayers, particularly concerning the G/T Systems.  OSBA Exc. at 20.  The OSBA notes that I&amp;E and the OSBA have suggested numerous conditions that the Commission may impose on the Proposed Transaction and the Settlement</w:t>
      </w:r>
      <w:r w:rsidRPr="00530729">
        <w:rPr>
          <w:rFonts w:cstheme="minorBidi"/>
          <w:i/>
          <w:sz w:val="26"/>
          <w:szCs w:val="22"/>
        </w:rPr>
        <w:t xml:space="preserve"> </w:t>
      </w:r>
      <w:r w:rsidRPr="00530729">
        <w:rPr>
          <w:rFonts w:cstheme="minorBidi"/>
          <w:sz w:val="26"/>
          <w:szCs w:val="22"/>
        </w:rPr>
        <w:t xml:space="preserve">to prevent customers from the financial burden of paying for the uneconomic full rehabilitation of the G/T Systems.  </w:t>
      </w:r>
      <w:r w:rsidRPr="00530729">
        <w:rPr>
          <w:rFonts w:cstheme="minorBidi"/>
          <w:i/>
          <w:iCs/>
          <w:sz w:val="26"/>
          <w:szCs w:val="22"/>
        </w:rPr>
        <w:t>Id</w:t>
      </w:r>
      <w:r w:rsidRPr="00530729">
        <w:rPr>
          <w:rFonts w:cstheme="minorBidi"/>
          <w:sz w:val="26"/>
          <w:szCs w:val="22"/>
        </w:rPr>
        <w:t>. (citing OSBA R.B. at 23; I&amp;E M.B. at 33-34; I&amp;E R.B. at 18, 29-30).</w:t>
      </w:r>
    </w:p>
    <w:p w14:paraId="7AB5BB76" w14:textId="42F4C596" w:rsidR="00530729" w:rsidRPr="00530729" w:rsidRDefault="00530729" w:rsidP="00B24187">
      <w:pPr>
        <w:widowControl/>
        <w:spacing w:line="360" w:lineRule="auto"/>
        <w:rPr>
          <w:rFonts w:eastAsiaTheme="minorHAnsi"/>
          <w:sz w:val="26"/>
          <w:szCs w:val="24"/>
        </w:rPr>
      </w:pPr>
    </w:p>
    <w:p w14:paraId="28E5A69D" w14:textId="7460E61E" w:rsidR="00530729" w:rsidRPr="00530729" w:rsidRDefault="00530729" w:rsidP="003569C3">
      <w:pPr>
        <w:widowControl/>
        <w:spacing w:line="360" w:lineRule="auto"/>
        <w:ind w:firstLine="1440"/>
        <w:rPr>
          <w:rFonts w:eastAsiaTheme="minorHAnsi"/>
          <w:sz w:val="26"/>
          <w:szCs w:val="26"/>
        </w:rPr>
      </w:pPr>
      <w:r w:rsidRPr="00530729">
        <w:rPr>
          <w:rFonts w:eastAsiaTheme="minorHAnsi"/>
          <w:sz w:val="26"/>
          <w:szCs w:val="24"/>
        </w:rPr>
        <w:t xml:space="preserve">In their Replies to Exceptions, the Joint Applicants disagree with </w:t>
      </w:r>
      <w:r w:rsidRPr="00530729">
        <w:rPr>
          <w:rFonts w:eastAsiaTheme="minorHAnsi"/>
          <w:sz w:val="26"/>
          <w:szCs w:val="26"/>
        </w:rPr>
        <w:t xml:space="preserve">I&amp;E and the OSBA’s arguments that they have not advocated for the abandonment of existing customers served by the G/T Systems.  The Joint Applicants contend that because I&amp;E </w:t>
      </w:r>
      <w:r w:rsidRPr="00530729">
        <w:rPr>
          <w:rFonts w:eastAsiaTheme="minorHAnsi"/>
          <w:sz w:val="26"/>
          <w:szCs w:val="26"/>
        </w:rPr>
        <w:lastRenderedPageBreak/>
        <w:t xml:space="preserve">and the OSBA oppose the Settlement and support the implementation of the economic test in the 2013 Equitable Settlement test, which will result in the abandonment of over 900 customers, they are effectively advocating for the abandonment of existing customers.  Joint Applicants R. Exc. at 14.  The Joint Applicants assert that under the Settlement, the Peoples Companies, under Aqua America control, have committed to a rapid reconstruction of the G/T Systems, which will avoid the large scale abandonment of existing customers and the resulting substantial increases to their energy costs.  The Joint Applicants believe that this is unquestionably a substantial affirmative public benefit.  The Joint Applicants also point out that they will be required to consult with the Statutory Advocates and the Commission on a regular basis during the project, and the costs for repairs will be reviewed before recovery in a future base rate case.  </w:t>
      </w:r>
      <w:r w:rsidRPr="00530729">
        <w:rPr>
          <w:rFonts w:eastAsiaTheme="minorHAnsi"/>
          <w:i/>
          <w:iCs/>
          <w:sz w:val="26"/>
          <w:szCs w:val="26"/>
        </w:rPr>
        <w:t>Id</w:t>
      </w:r>
      <w:r w:rsidRPr="00530729">
        <w:rPr>
          <w:rFonts w:eastAsiaTheme="minorHAnsi"/>
          <w:sz w:val="26"/>
          <w:szCs w:val="26"/>
        </w:rPr>
        <w:t>. at 15.</w:t>
      </w:r>
      <w:r w:rsidR="003A591D">
        <w:rPr>
          <w:rFonts w:eastAsiaTheme="minorHAnsi"/>
          <w:sz w:val="26"/>
          <w:szCs w:val="26"/>
        </w:rPr>
        <w:t xml:space="preserve">  </w:t>
      </w:r>
    </w:p>
    <w:p w14:paraId="0D359B8C" w14:textId="77777777" w:rsidR="00530729" w:rsidRPr="00530729" w:rsidRDefault="00530729" w:rsidP="00B24187">
      <w:pPr>
        <w:widowControl/>
        <w:spacing w:line="360" w:lineRule="auto"/>
        <w:rPr>
          <w:rFonts w:eastAsiaTheme="minorHAnsi"/>
          <w:sz w:val="26"/>
          <w:szCs w:val="26"/>
        </w:rPr>
      </w:pPr>
    </w:p>
    <w:p w14:paraId="5C9CFA69" w14:textId="53898CC4" w:rsidR="00530729" w:rsidRDefault="00530729" w:rsidP="00B24187">
      <w:pPr>
        <w:widowControl/>
        <w:spacing w:line="360" w:lineRule="auto"/>
        <w:rPr>
          <w:rFonts w:eastAsiaTheme="minorHAnsi"/>
          <w:sz w:val="26"/>
          <w:szCs w:val="24"/>
        </w:rPr>
      </w:pPr>
      <w:r w:rsidRPr="00530729">
        <w:rPr>
          <w:rFonts w:cstheme="minorBidi"/>
          <w:spacing w:val="-2"/>
          <w:sz w:val="26"/>
          <w:szCs w:val="22"/>
        </w:rPr>
        <w:tab/>
      </w:r>
      <w:r w:rsidRPr="00530729">
        <w:rPr>
          <w:rFonts w:cstheme="minorBidi"/>
          <w:spacing w:val="-2"/>
          <w:sz w:val="26"/>
          <w:szCs w:val="22"/>
        </w:rPr>
        <w:tab/>
        <w:t xml:space="preserve">In response, the OCA avers that the ALJ correctly determined that applying the </w:t>
      </w:r>
      <w:r w:rsidRPr="00530729">
        <w:rPr>
          <w:rFonts w:cstheme="minorBidi"/>
          <w:spacing w:val="9"/>
          <w:sz w:val="26"/>
          <w:szCs w:val="22"/>
        </w:rPr>
        <w:t xml:space="preserve">2013 Equitable Settlement terms, based on the facts in this proceeding, would require the abandonment of over 900 natural gas customers.  The OCA explains that the </w:t>
      </w:r>
      <w:r w:rsidRPr="00530729">
        <w:rPr>
          <w:rFonts w:eastAsiaTheme="minorHAnsi"/>
          <w:sz w:val="26"/>
          <w:szCs w:val="24"/>
        </w:rPr>
        <w:t xml:space="preserve">Peoples Companies developed three potential scenarios for addressing the repair or rehabilitation of the G/T Systems and submitted those scenarios for review in this proceeding.  OCA R. Exc. at 5.  The OCA also explains that only one of these scenarios would satisfy the economic test in the 2013 Equitable Settlement, and strict compliance with the 2013 Equitable Settlement as depicted in this scenario would result in the abandonment of 972 customers.  </w:t>
      </w:r>
      <w:r w:rsidRPr="00530729">
        <w:rPr>
          <w:rFonts w:eastAsiaTheme="minorHAnsi"/>
          <w:i/>
          <w:iCs/>
          <w:sz w:val="26"/>
          <w:szCs w:val="24"/>
        </w:rPr>
        <w:t>Id</w:t>
      </w:r>
      <w:r w:rsidRPr="00530729">
        <w:rPr>
          <w:rFonts w:eastAsiaTheme="minorHAnsi"/>
          <w:sz w:val="26"/>
          <w:szCs w:val="24"/>
        </w:rPr>
        <w:t xml:space="preserve">. at 5-6.  </w:t>
      </w:r>
    </w:p>
    <w:p w14:paraId="0D3F82F6" w14:textId="77777777" w:rsidR="00B311D5" w:rsidRPr="00530729" w:rsidRDefault="00B311D5" w:rsidP="00B24187">
      <w:pPr>
        <w:widowControl/>
        <w:spacing w:line="360" w:lineRule="auto"/>
        <w:rPr>
          <w:rFonts w:eastAsiaTheme="minorHAnsi"/>
          <w:sz w:val="26"/>
          <w:szCs w:val="24"/>
        </w:rPr>
      </w:pPr>
    </w:p>
    <w:p w14:paraId="588FD1A9" w14:textId="77777777" w:rsidR="00530729" w:rsidRPr="00530729" w:rsidRDefault="00530729" w:rsidP="00B24187">
      <w:pPr>
        <w:widowControl/>
        <w:spacing w:line="360" w:lineRule="auto"/>
        <w:rPr>
          <w:rFonts w:eastAsiaTheme="minorHAnsi"/>
          <w:sz w:val="26"/>
          <w:szCs w:val="24"/>
        </w:rPr>
      </w:pPr>
      <w:r w:rsidRPr="00530729">
        <w:rPr>
          <w:rFonts w:eastAsiaTheme="minorHAnsi"/>
          <w:sz w:val="26"/>
          <w:szCs w:val="24"/>
        </w:rPr>
        <w:tab/>
      </w:r>
      <w:r w:rsidRPr="00530729">
        <w:rPr>
          <w:rFonts w:eastAsiaTheme="minorHAnsi"/>
          <w:sz w:val="26"/>
          <w:szCs w:val="24"/>
        </w:rPr>
        <w:tab/>
        <w:t xml:space="preserve">The OCA also avers that the ALJ’s findings that such an abandonment would harm customers is supported by substantial evidence and is uncontested.  The OCA asserts that the record evidence demonstrates that customers served on the G/T Systems would be substantially harmed if they lose natural gas service.  The OCA submits that the instant Settlement allows customers currently served by the G/T Systems to continue receiving natural gas service and provides that regardless of the actual capital spent to rehabilitate the G/T Systems, Aqua America will provide all of the Peoples </w:t>
      </w:r>
      <w:r w:rsidRPr="00530729">
        <w:rPr>
          <w:rFonts w:eastAsiaTheme="minorHAnsi"/>
          <w:sz w:val="26"/>
          <w:szCs w:val="24"/>
        </w:rPr>
        <w:lastRenderedPageBreak/>
        <w:t xml:space="preserve">Companies’ customers with a $13 million rate credit.  As such, the OCA concludes that the Settlement provides a clear path forward to repair and modernize this important infrastructure.  </w:t>
      </w:r>
      <w:r w:rsidRPr="00530729">
        <w:rPr>
          <w:rFonts w:eastAsiaTheme="minorHAnsi"/>
          <w:i/>
          <w:iCs/>
          <w:sz w:val="26"/>
          <w:szCs w:val="24"/>
        </w:rPr>
        <w:t>Id</w:t>
      </w:r>
      <w:r w:rsidRPr="00530729">
        <w:rPr>
          <w:rFonts w:eastAsiaTheme="minorHAnsi"/>
          <w:sz w:val="26"/>
          <w:szCs w:val="24"/>
        </w:rPr>
        <w:t xml:space="preserve">. at 7.  </w:t>
      </w:r>
    </w:p>
    <w:p w14:paraId="206B2660" w14:textId="77777777" w:rsidR="00530729" w:rsidRPr="00530729" w:rsidRDefault="00530729" w:rsidP="00B24187">
      <w:pPr>
        <w:widowControl/>
        <w:spacing w:line="360" w:lineRule="auto"/>
        <w:rPr>
          <w:rFonts w:eastAsiaTheme="minorHAnsi"/>
          <w:sz w:val="26"/>
          <w:szCs w:val="24"/>
        </w:rPr>
      </w:pPr>
    </w:p>
    <w:p w14:paraId="49ABEC85" w14:textId="553618AB" w:rsidR="00530729" w:rsidRDefault="00530729" w:rsidP="00B24187">
      <w:pPr>
        <w:widowControl/>
        <w:spacing w:line="360" w:lineRule="auto"/>
        <w:rPr>
          <w:rFonts w:eastAsiaTheme="minorHAnsi"/>
          <w:sz w:val="26"/>
          <w:szCs w:val="24"/>
        </w:rPr>
      </w:pPr>
      <w:r w:rsidRPr="00530729">
        <w:rPr>
          <w:rFonts w:asciiTheme="minorHAnsi" w:eastAsiaTheme="minorHAnsi" w:hAnsiTheme="minorHAnsi" w:cstheme="minorBidi"/>
          <w:sz w:val="26"/>
          <w:szCs w:val="22"/>
        </w:rPr>
        <w:tab/>
      </w:r>
      <w:r w:rsidRPr="00530729">
        <w:rPr>
          <w:rFonts w:asciiTheme="minorHAnsi" w:eastAsiaTheme="minorHAnsi" w:hAnsiTheme="minorHAnsi" w:cstheme="minorBidi"/>
          <w:sz w:val="26"/>
          <w:szCs w:val="22"/>
        </w:rPr>
        <w:tab/>
      </w:r>
      <w:r w:rsidRPr="00530729">
        <w:rPr>
          <w:rFonts w:eastAsiaTheme="minorHAnsi" w:cstheme="minorBidi"/>
          <w:sz w:val="26"/>
          <w:szCs w:val="22"/>
        </w:rPr>
        <w:t>In response to the OSBA’s Exception No. 12, the OCA states that the ALJ engaged in a thorough evaluation based on the record evidence in finding that it is in the public interest to adopt the settlement provisions concerning the G/T Systems.  The OCA disagrees with t</w:t>
      </w:r>
      <w:r w:rsidRPr="00530729">
        <w:rPr>
          <w:rFonts w:eastAsiaTheme="minorHAnsi"/>
          <w:sz w:val="26"/>
          <w:szCs w:val="24"/>
        </w:rPr>
        <w:t>he OSBA’s argument that the potential abandonment of public utility customers is not properly part of this proceeding and finds that the OSBA’s position is inconsistent with the evidence.  The OCA believes that resolution of the G/T Systems has been a critical part of this proceeding and that all of the Parties agree that the G/T Systems are displaying an unacceptable level of leakage which poses a serious safety concern.  The OCA asserts that the Settlement provides a clear and focused path to correct this long-standing concern and provides a substantial public benefit by calling for the replacement of the pipeline in the next seven years.  OCA R. Exc. at 11.</w:t>
      </w:r>
      <w:r w:rsidR="003A591D">
        <w:rPr>
          <w:rFonts w:eastAsiaTheme="minorHAnsi"/>
          <w:sz w:val="26"/>
          <w:szCs w:val="24"/>
        </w:rPr>
        <w:t xml:space="preserve"> </w:t>
      </w:r>
      <w:r w:rsidRPr="00530729">
        <w:rPr>
          <w:rFonts w:eastAsiaTheme="minorHAnsi"/>
          <w:sz w:val="26"/>
          <w:szCs w:val="24"/>
        </w:rPr>
        <w:t xml:space="preserve"> </w:t>
      </w:r>
    </w:p>
    <w:p w14:paraId="639D7445" w14:textId="77777777" w:rsidR="00530729" w:rsidRPr="00530729" w:rsidRDefault="00530729" w:rsidP="00B24187">
      <w:pPr>
        <w:widowControl/>
        <w:spacing w:line="360" w:lineRule="auto"/>
        <w:rPr>
          <w:rFonts w:eastAsiaTheme="minorHAnsi"/>
          <w:sz w:val="26"/>
          <w:szCs w:val="24"/>
        </w:rPr>
      </w:pPr>
    </w:p>
    <w:p w14:paraId="2A825F9F" w14:textId="77777777" w:rsidR="00530729" w:rsidRPr="00530729" w:rsidRDefault="00157CDA" w:rsidP="006D2898">
      <w:pPr>
        <w:keepNext/>
        <w:widowControl/>
        <w:spacing w:line="360" w:lineRule="auto"/>
        <w:ind w:left="2880" w:hanging="720"/>
        <w:rPr>
          <w:rFonts w:eastAsiaTheme="minorHAnsi"/>
          <w:b/>
          <w:bCs/>
          <w:sz w:val="26"/>
          <w:szCs w:val="24"/>
        </w:rPr>
      </w:pPr>
      <w:r>
        <w:rPr>
          <w:rFonts w:eastAsiaTheme="minorHAnsi"/>
          <w:b/>
          <w:bCs/>
          <w:sz w:val="26"/>
          <w:szCs w:val="24"/>
        </w:rPr>
        <w:t>(2)</w:t>
      </w:r>
      <w:r>
        <w:rPr>
          <w:rFonts w:eastAsiaTheme="minorHAnsi"/>
          <w:b/>
          <w:bCs/>
          <w:sz w:val="26"/>
          <w:szCs w:val="24"/>
        </w:rPr>
        <w:tab/>
      </w:r>
      <w:r w:rsidR="00530729" w:rsidRPr="00530729">
        <w:rPr>
          <w:rFonts w:eastAsiaTheme="minorHAnsi"/>
          <w:b/>
          <w:bCs/>
          <w:sz w:val="26"/>
          <w:szCs w:val="24"/>
        </w:rPr>
        <w:t>Disposition</w:t>
      </w:r>
    </w:p>
    <w:p w14:paraId="669B2775" w14:textId="77777777" w:rsidR="00530729" w:rsidRPr="003A591D" w:rsidRDefault="00530729" w:rsidP="006D2898">
      <w:pPr>
        <w:keepNext/>
        <w:widowControl/>
        <w:spacing w:line="360" w:lineRule="auto"/>
        <w:rPr>
          <w:rFonts w:eastAsiaTheme="minorHAnsi"/>
          <w:sz w:val="26"/>
          <w:szCs w:val="24"/>
        </w:rPr>
      </w:pPr>
    </w:p>
    <w:p w14:paraId="6945A565" w14:textId="58109761" w:rsidR="00530729" w:rsidRPr="00530729" w:rsidRDefault="00530729" w:rsidP="006D2898">
      <w:pPr>
        <w:keepNext/>
        <w:widowControl/>
        <w:spacing w:line="360" w:lineRule="auto"/>
        <w:rPr>
          <w:rFonts w:cstheme="minorBidi"/>
          <w:sz w:val="26"/>
          <w:szCs w:val="22"/>
        </w:rPr>
      </w:pPr>
      <w:r w:rsidRPr="00530729">
        <w:rPr>
          <w:rFonts w:eastAsiaTheme="minorHAnsi"/>
          <w:b/>
          <w:bCs/>
          <w:sz w:val="26"/>
          <w:szCs w:val="24"/>
        </w:rPr>
        <w:tab/>
      </w:r>
      <w:r w:rsidRPr="00530729">
        <w:rPr>
          <w:rFonts w:eastAsiaTheme="minorHAnsi"/>
          <w:b/>
          <w:bCs/>
          <w:sz w:val="26"/>
          <w:szCs w:val="24"/>
        </w:rPr>
        <w:tab/>
      </w:r>
      <w:r w:rsidRPr="00530729">
        <w:rPr>
          <w:rFonts w:eastAsiaTheme="minorHAnsi"/>
          <w:sz w:val="26"/>
          <w:szCs w:val="24"/>
        </w:rPr>
        <w:t xml:space="preserve">In reviewing the terms of the 2013 Equitable Settlement and the record in this proceeding, we conclude that the Peoples Companies are following the prior Settlement terms as they apply to the economic test.  We do not view the 2013 Equitable Settlement as requiring that the economic test must be satisfied under all circumstances.  Rather, the 2013 Equitable Settlement provides that if the economic test is not satisfied, then the “other parties expressly reserve the right to present their own recommendations to the Commission as to the [G/T] Systems.”  </w:t>
      </w:r>
      <w:r w:rsidRPr="00530729">
        <w:rPr>
          <w:rFonts w:cstheme="minorBidi"/>
          <w:sz w:val="26"/>
          <w:szCs w:val="22"/>
        </w:rPr>
        <w:t xml:space="preserve">2013 Equitable Settlement at </w:t>
      </w:r>
      <w:r w:rsidRPr="00530729">
        <w:rPr>
          <w:sz w:val="26"/>
          <w:szCs w:val="22"/>
        </w:rPr>
        <w:t>¶</w:t>
      </w:r>
      <w:r w:rsidRPr="00530729">
        <w:rPr>
          <w:rFonts w:cstheme="minorBidi"/>
          <w:sz w:val="26"/>
          <w:szCs w:val="22"/>
        </w:rPr>
        <w:t xml:space="preserve"> 6</w:t>
      </w:r>
      <w:r w:rsidR="00F77982">
        <w:rPr>
          <w:rFonts w:cstheme="minorBidi"/>
          <w:sz w:val="26"/>
          <w:szCs w:val="22"/>
        </w:rPr>
        <w:t>5</w:t>
      </w:r>
      <w:r w:rsidRPr="00530729">
        <w:rPr>
          <w:rFonts w:cstheme="minorBidi"/>
          <w:sz w:val="26"/>
          <w:szCs w:val="22"/>
        </w:rPr>
        <w:t xml:space="preserve">(f)(ii).  We find that the 2013 Equitable Settlement has essentially been incorporated into the instant proceeding.  The Peoples Companies have completed the assessment of the G/T Systems and have submitted, within the context of this proceeding, a plan proposing three scenarios to improve the G/T Systems facilities.  The Parties to the 2013 Equitable </w:t>
      </w:r>
      <w:r w:rsidR="00BF567B">
        <w:rPr>
          <w:rFonts w:cstheme="minorBidi"/>
          <w:sz w:val="26"/>
          <w:szCs w:val="22"/>
        </w:rPr>
        <w:lastRenderedPageBreak/>
        <w:t xml:space="preserve">Settlement </w:t>
      </w:r>
      <w:r w:rsidRPr="00530729">
        <w:rPr>
          <w:rFonts w:cstheme="minorBidi"/>
          <w:sz w:val="26"/>
          <w:szCs w:val="22"/>
        </w:rPr>
        <w:t>proceeding with which the Peoples Companies were required to consult and provide notice regarding their plan, including the OCA, the OSBA, and PIOGA, are Parties to this transaction proceeding.  As evidenced by the fully developed record here, the Parties to this proceeding have had the opportunity to be heard regarding the three scenarios that the Peoples Companies developed and the Settlement provisions in this proceeding that call for the Peoples Companies to replace and repair the bare steel pipe in the system over a seven-year time frame.</w:t>
      </w:r>
      <w:r w:rsidRPr="00530729">
        <w:rPr>
          <w:rFonts w:cstheme="minorBidi"/>
          <w:sz w:val="26"/>
          <w:szCs w:val="22"/>
          <w:vertAlign w:val="superscript"/>
        </w:rPr>
        <w:footnoteReference w:id="28"/>
      </w:r>
      <w:r w:rsidRPr="00530729">
        <w:rPr>
          <w:rFonts w:cstheme="minorBidi"/>
          <w:sz w:val="26"/>
          <w:szCs w:val="22"/>
        </w:rPr>
        <w:t xml:space="preserve">  </w:t>
      </w:r>
    </w:p>
    <w:p w14:paraId="1756C113" w14:textId="77777777" w:rsidR="009A37F0" w:rsidRDefault="009A37F0" w:rsidP="00B24187">
      <w:pPr>
        <w:widowControl/>
        <w:spacing w:line="360" w:lineRule="auto"/>
        <w:rPr>
          <w:rFonts w:cstheme="minorBidi"/>
          <w:sz w:val="26"/>
          <w:szCs w:val="22"/>
        </w:rPr>
      </w:pPr>
    </w:p>
    <w:p w14:paraId="49BD45DF" w14:textId="302BB1F5" w:rsidR="00530729" w:rsidRPr="00530729" w:rsidRDefault="00530729" w:rsidP="00B24187">
      <w:pPr>
        <w:widowControl/>
        <w:spacing w:line="360" w:lineRule="auto"/>
        <w:rPr>
          <w:rFonts w:cstheme="minorBidi"/>
          <w:sz w:val="26"/>
          <w:szCs w:val="22"/>
        </w:rPr>
      </w:pPr>
      <w:r w:rsidRPr="00530729">
        <w:rPr>
          <w:rFonts w:cstheme="minorBidi"/>
          <w:sz w:val="26"/>
          <w:szCs w:val="22"/>
        </w:rPr>
        <w:tab/>
      </w:r>
      <w:r w:rsidRPr="00530729">
        <w:rPr>
          <w:rFonts w:cstheme="minorBidi"/>
          <w:sz w:val="26"/>
          <w:szCs w:val="22"/>
        </w:rPr>
        <w:tab/>
        <w:t>We find it appropriate to consider the Peoples Companies’ plan for repair and replacement of the G/T Systems</w:t>
      </w:r>
      <w:r w:rsidR="00A34C56">
        <w:rPr>
          <w:rFonts w:cstheme="minorBidi"/>
          <w:sz w:val="26"/>
          <w:szCs w:val="22"/>
        </w:rPr>
        <w:t>’</w:t>
      </w:r>
      <w:r w:rsidRPr="00530729">
        <w:rPr>
          <w:rFonts w:cstheme="minorBidi"/>
          <w:sz w:val="26"/>
          <w:szCs w:val="22"/>
        </w:rPr>
        <w:t xml:space="preserve"> pipe and the Parties’ positions regarding the Peoples Companies’ plan within the context of this proceeding.  The 2013 Equitable Settlement terms were constructed within the confines of the information that was available at the time of that proceeding and were intended to resolve the Parties’ concerns associated with the transfer of the G/T Systems from EQT to the Peoples Companies.  2013 Equitable Settlement at </w:t>
      </w:r>
      <w:r w:rsidRPr="00530729">
        <w:rPr>
          <w:sz w:val="26"/>
          <w:szCs w:val="22"/>
        </w:rPr>
        <w:t>¶</w:t>
      </w:r>
      <w:r w:rsidRPr="00530729">
        <w:rPr>
          <w:rFonts w:cstheme="minorBidi"/>
          <w:sz w:val="26"/>
          <w:szCs w:val="22"/>
        </w:rPr>
        <w:t xml:space="preserve"> 109.  The instant Proposed Transaction was not anticipated in 2013.  Since several years have passed since the 2013 Equitable Settlement, the Peoples Companies have had time to complete the assessment on the G/T Systems and to come up with a plan for improvements and an accurate representation of repair and replacement costs associated with that plan.  The Parties to the 2013 Equitable </w:t>
      </w:r>
      <w:r w:rsidRPr="00530729">
        <w:rPr>
          <w:rFonts w:cstheme="minorBidi"/>
          <w:sz w:val="26"/>
          <w:szCs w:val="22"/>
        </w:rPr>
        <w:lastRenderedPageBreak/>
        <w:t xml:space="preserve">Settlement had limited information regarding repair and replacement costs.  </w:t>
      </w:r>
      <w:r w:rsidRPr="00530729">
        <w:rPr>
          <w:rFonts w:cstheme="minorBidi"/>
          <w:i/>
          <w:iCs/>
          <w:sz w:val="26"/>
          <w:szCs w:val="22"/>
        </w:rPr>
        <w:t xml:space="preserve">See </w:t>
      </w:r>
      <w:r w:rsidRPr="00530729">
        <w:rPr>
          <w:rFonts w:cstheme="minorBidi"/>
          <w:sz w:val="26"/>
          <w:szCs w:val="22"/>
        </w:rPr>
        <w:t xml:space="preserve">Joint Applicants St. 6-R at 8-11; </w:t>
      </w:r>
      <w:r w:rsidRPr="00530729">
        <w:rPr>
          <w:rFonts w:cstheme="minorBidi"/>
          <w:i/>
          <w:iCs/>
          <w:sz w:val="26"/>
          <w:szCs w:val="22"/>
        </w:rPr>
        <w:t>Joint Application of Peoples Natural Gas Company LLC</w:t>
      </w:r>
      <w:r w:rsidRPr="00530729">
        <w:rPr>
          <w:rFonts w:cstheme="minorBidi"/>
          <w:sz w:val="26"/>
          <w:szCs w:val="22"/>
        </w:rPr>
        <w:t>, Docket No. A-2013-2353647, Initial Decision Finding of Fact No. 75 (“Joint Applicants do not currently know what it will cost to repair the two gathering systems and bring UFG into an acceptable range”).  Given the passage of time, it is also logical to approve herein a streamlined plan with a specific time frame for replacing the pipe on the G/T Systems, thereby efficiently addressing the safety concerns on the Systems.</w:t>
      </w:r>
      <w:r w:rsidRPr="00530729">
        <w:rPr>
          <w:rFonts w:cstheme="minorBidi"/>
          <w:sz w:val="26"/>
          <w:szCs w:val="22"/>
          <w:vertAlign w:val="superscript"/>
        </w:rPr>
        <w:footnoteReference w:id="29"/>
      </w:r>
      <w:r w:rsidRPr="00530729">
        <w:rPr>
          <w:rFonts w:cstheme="minorBidi"/>
          <w:sz w:val="26"/>
          <w:szCs w:val="22"/>
        </w:rPr>
        <w:t xml:space="preserve">  </w:t>
      </w:r>
    </w:p>
    <w:p w14:paraId="7D2E4F67" w14:textId="77777777" w:rsidR="00530729" w:rsidRPr="00530729" w:rsidRDefault="00530729" w:rsidP="00B24187">
      <w:pPr>
        <w:widowControl/>
        <w:spacing w:line="360" w:lineRule="auto"/>
        <w:rPr>
          <w:rFonts w:eastAsiaTheme="minorHAnsi"/>
          <w:sz w:val="26"/>
          <w:szCs w:val="24"/>
        </w:rPr>
      </w:pPr>
      <w:r w:rsidRPr="00530729">
        <w:rPr>
          <w:rFonts w:eastAsiaTheme="minorHAnsi"/>
          <w:sz w:val="26"/>
          <w:szCs w:val="24"/>
        </w:rPr>
        <w:t xml:space="preserve"> </w:t>
      </w:r>
    </w:p>
    <w:p w14:paraId="74A928FC" w14:textId="62C3775E" w:rsidR="00530729" w:rsidRPr="00530729" w:rsidRDefault="00530729" w:rsidP="00B24187">
      <w:pPr>
        <w:widowControl/>
        <w:spacing w:line="360" w:lineRule="auto"/>
        <w:rPr>
          <w:rFonts w:eastAsiaTheme="minorHAnsi"/>
          <w:sz w:val="26"/>
          <w:szCs w:val="24"/>
        </w:rPr>
      </w:pPr>
      <w:r w:rsidRPr="00530729">
        <w:rPr>
          <w:rFonts w:eastAsiaTheme="minorHAnsi"/>
          <w:sz w:val="26"/>
          <w:szCs w:val="24"/>
        </w:rPr>
        <w:tab/>
      </w:r>
      <w:r w:rsidRPr="00530729">
        <w:rPr>
          <w:rFonts w:eastAsiaTheme="minorHAnsi"/>
          <w:sz w:val="26"/>
          <w:szCs w:val="24"/>
        </w:rPr>
        <w:tab/>
        <w:t xml:space="preserve">Moreover, we view the issue of customer abandonment within the context of this proceeding to be relevant to the extent that it factors into determining if the Settlement provisions relating to the G/T Systems constitute an affirmative public benefit and if the Parties’ respective positions regarding how the Peoples Companies should proceed with the G/T Systems should be adopted.  For instance, the ALJ found that the Peoples Companies’ Scenario 1, which was incorporated into the Settlement, presented an affirmative benefit because it would avoid abandonment and conversion of existing customers to potentially higher cost fuel sources.  On the other hand, the ALJ rejected I&amp;E and the OSBA’s argument that the economic test from the 2013 Equitable Settlement should be adopted because only one of the Peoples Companies’ scenarios, Scenario 3, would satisfy the economic test.  The evidence demonstrated that strict adherence to the economic test under Scenario 3 would result in 972 customers being abandoned.  Joint Applicants St. 6R at 12-13.  While we cannot make any decisions in </w:t>
      </w:r>
      <w:r w:rsidRPr="00530729">
        <w:rPr>
          <w:rFonts w:eastAsiaTheme="minorHAnsi"/>
          <w:sz w:val="26"/>
          <w:szCs w:val="24"/>
        </w:rPr>
        <w:lastRenderedPageBreak/>
        <w:t>th</w:t>
      </w:r>
      <w:r w:rsidR="0097198F">
        <w:rPr>
          <w:rFonts w:eastAsiaTheme="minorHAnsi"/>
          <w:sz w:val="26"/>
          <w:szCs w:val="24"/>
        </w:rPr>
        <w:t>e instant</w:t>
      </w:r>
      <w:r w:rsidRPr="00530729">
        <w:rPr>
          <w:rFonts w:eastAsiaTheme="minorHAnsi"/>
          <w:sz w:val="26"/>
          <w:szCs w:val="24"/>
        </w:rPr>
        <w:t xml:space="preserve"> proceeding that would result in customers being abandoned,</w:t>
      </w:r>
      <w:r w:rsidRPr="00530729">
        <w:rPr>
          <w:rFonts w:eastAsiaTheme="minorHAnsi"/>
          <w:sz w:val="26"/>
          <w:szCs w:val="24"/>
          <w:vertAlign w:val="superscript"/>
        </w:rPr>
        <w:footnoteReference w:id="30"/>
      </w:r>
      <w:r w:rsidRPr="00530729">
        <w:rPr>
          <w:rFonts w:eastAsiaTheme="minorHAnsi"/>
          <w:sz w:val="26"/>
          <w:szCs w:val="24"/>
        </w:rPr>
        <w:t xml:space="preserve"> we can consider the </w:t>
      </w:r>
      <w:r w:rsidR="00FB7292">
        <w:rPr>
          <w:rFonts w:eastAsiaTheme="minorHAnsi"/>
          <w:sz w:val="26"/>
          <w:szCs w:val="24"/>
        </w:rPr>
        <w:t>number</w:t>
      </w:r>
      <w:r w:rsidRPr="00530729">
        <w:rPr>
          <w:rFonts w:eastAsiaTheme="minorHAnsi"/>
          <w:sz w:val="26"/>
          <w:szCs w:val="24"/>
        </w:rPr>
        <w:t xml:space="preserve"> of customers that </w:t>
      </w:r>
      <w:r w:rsidR="00FB7292">
        <w:rPr>
          <w:rFonts w:eastAsiaTheme="minorHAnsi"/>
          <w:sz w:val="26"/>
          <w:szCs w:val="24"/>
        </w:rPr>
        <w:t>c</w:t>
      </w:r>
      <w:r w:rsidRPr="00530729">
        <w:rPr>
          <w:rFonts w:eastAsiaTheme="minorHAnsi"/>
          <w:sz w:val="26"/>
          <w:szCs w:val="24"/>
        </w:rPr>
        <w:t xml:space="preserve">ould be abandoned based on the Parties’ respective positions and the Peoples Companies’ three scenarios.  </w:t>
      </w:r>
    </w:p>
    <w:p w14:paraId="18965472" w14:textId="77777777" w:rsidR="00530729" w:rsidRPr="00530729" w:rsidRDefault="00530729" w:rsidP="00B24187">
      <w:pPr>
        <w:widowControl/>
        <w:spacing w:line="360" w:lineRule="auto"/>
        <w:rPr>
          <w:rFonts w:eastAsiaTheme="minorHAnsi"/>
          <w:sz w:val="26"/>
          <w:szCs w:val="24"/>
        </w:rPr>
      </w:pPr>
    </w:p>
    <w:p w14:paraId="5A32477E" w14:textId="40DAF5C1" w:rsidR="00530729" w:rsidRPr="00530729" w:rsidRDefault="00530729" w:rsidP="00B24187">
      <w:pPr>
        <w:widowControl/>
        <w:spacing w:line="360" w:lineRule="auto"/>
        <w:rPr>
          <w:rFonts w:eastAsiaTheme="minorHAnsi"/>
          <w:sz w:val="26"/>
          <w:szCs w:val="24"/>
        </w:rPr>
      </w:pPr>
      <w:r w:rsidRPr="00530729">
        <w:rPr>
          <w:rFonts w:eastAsiaTheme="minorHAnsi"/>
          <w:sz w:val="26"/>
          <w:szCs w:val="24"/>
        </w:rPr>
        <w:tab/>
      </w:r>
      <w:r w:rsidRPr="00530729">
        <w:rPr>
          <w:rFonts w:eastAsiaTheme="minorHAnsi"/>
          <w:sz w:val="26"/>
          <w:szCs w:val="24"/>
        </w:rPr>
        <w:tab/>
        <w:t xml:space="preserve">We agree with the ALJ’s conclusion that the Settling Parties’ intent to avoid the abandonment of customers constitutes an affirmative public benefit within this Proposed Transaction.  We do not view the ALJ’s decision as one that assumes abandonment is never an option, but, rather </w:t>
      </w:r>
      <w:r w:rsidR="00B7078F">
        <w:rPr>
          <w:rFonts w:eastAsiaTheme="minorHAnsi"/>
          <w:sz w:val="26"/>
          <w:szCs w:val="24"/>
        </w:rPr>
        <w:t xml:space="preserve">as </w:t>
      </w:r>
      <w:r w:rsidRPr="00530729">
        <w:rPr>
          <w:rFonts w:eastAsiaTheme="minorHAnsi"/>
          <w:sz w:val="26"/>
          <w:szCs w:val="24"/>
        </w:rPr>
        <w:t>an acknowledgement that because the Parties to this particular proceeding have a plan in place that will avoid abandonment of a large number of customers, this can be viewed as an affirmative benefit.</w:t>
      </w:r>
      <w:r w:rsidRPr="00530729">
        <w:rPr>
          <w:rFonts w:eastAsiaTheme="minorHAnsi"/>
          <w:sz w:val="26"/>
          <w:szCs w:val="24"/>
          <w:vertAlign w:val="superscript"/>
        </w:rPr>
        <w:footnoteReference w:id="31"/>
      </w:r>
      <w:r w:rsidRPr="00530729">
        <w:rPr>
          <w:rFonts w:eastAsiaTheme="minorHAnsi"/>
          <w:sz w:val="26"/>
          <w:szCs w:val="24"/>
        </w:rPr>
        <w:t xml:space="preserve">  </w:t>
      </w:r>
      <w:r w:rsidRPr="00530729">
        <w:rPr>
          <w:rFonts w:cstheme="minorBidi"/>
          <w:sz w:val="26"/>
          <w:szCs w:val="22"/>
        </w:rPr>
        <w:t>The ALJ also noted special factors in this case, including testimony describing many of the G/T Systems</w:t>
      </w:r>
      <w:r w:rsidR="00B7078F">
        <w:rPr>
          <w:rFonts w:cstheme="minorBidi"/>
          <w:sz w:val="26"/>
          <w:szCs w:val="22"/>
        </w:rPr>
        <w:t>’</w:t>
      </w:r>
      <w:r w:rsidRPr="00530729">
        <w:rPr>
          <w:rFonts w:cstheme="minorBidi"/>
          <w:sz w:val="26"/>
          <w:szCs w:val="22"/>
        </w:rPr>
        <w:t xml:space="preserve"> customers as low-income customers who rely on the customer assistance programs that are available to them as distribution customers of the Peoples Companies.  While acknowledging that these customers will likely receive conversion costs if they are abandoned, the ALJ observed that the cost of propane and electricity is higher than the </w:t>
      </w:r>
      <w:r w:rsidRPr="00530729">
        <w:rPr>
          <w:rFonts w:cstheme="minorBidi"/>
          <w:sz w:val="26"/>
          <w:szCs w:val="22"/>
        </w:rPr>
        <w:lastRenderedPageBreak/>
        <w:t xml:space="preserve">cost of natural gas, and these customers’ energy bills will likely be higher in the future.  </w:t>
      </w:r>
      <w:r w:rsidRPr="00530729">
        <w:rPr>
          <w:rFonts w:cstheme="minorBidi"/>
          <w:i/>
          <w:iCs/>
          <w:sz w:val="26"/>
          <w:szCs w:val="22"/>
        </w:rPr>
        <w:t>See</w:t>
      </w:r>
      <w:r w:rsidRPr="00530729">
        <w:rPr>
          <w:rFonts w:cstheme="minorBidi"/>
          <w:sz w:val="26"/>
          <w:szCs w:val="22"/>
        </w:rPr>
        <w:t xml:space="preserve"> R.D. at 51; Joint Applicants St. 5-R at 2.  </w:t>
      </w:r>
      <w:r w:rsidRPr="00530729">
        <w:rPr>
          <w:rFonts w:eastAsiaTheme="minorHAnsi"/>
          <w:sz w:val="26"/>
          <w:szCs w:val="24"/>
        </w:rPr>
        <w:t>We further find that the ALJ accurately described, based on the record evidence, I&amp;E and the OSBA’s position favoring strict adherence to the economic test as a position that, if adopted, would result in the abandonment of over 900 customers.  Tr. at 200-201.</w:t>
      </w:r>
      <w:r w:rsidR="003A591D">
        <w:rPr>
          <w:rFonts w:eastAsiaTheme="minorHAnsi"/>
          <w:sz w:val="26"/>
          <w:szCs w:val="24"/>
        </w:rPr>
        <w:t xml:space="preserve">  </w:t>
      </w:r>
    </w:p>
    <w:p w14:paraId="55EDA1CF" w14:textId="77777777" w:rsidR="00530729" w:rsidRPr="00530729" w:rsidRDefault="00530729" w:rsidP="00B24187">
      <w:pPr>
        <w:widowControl/>
        <w:spacing w:line="360" w:lineRule="auto"/>
        <w:rPr>
          <w:rFonts w:eastAsiaTheme="minorHAnsi"/>
          <w:sz w:val="26"/>
          <w:szCs w:val="24"/>
        </w:rPr>
      </w:pPr>
    </w:p>
    <w:p w14:paraId="186577C4" w14:textId="3CB00201" w:rsidR="00530729" w:rsidRPr="00530729" w:rsidRDefault="00530729" w:rsidP="00B24187">
      <w:pPr>
        <w:widowControl/>
        <w:spacing w:line="360" w:lineRule="auto"/>
        <w:rPr>
          <w:rFonts w:eastAsiaTheme="minorHAnsi"/>
          <w:sz w:val="26"/>
          <w:szCs w:val="24"/>
        </w:rPr>
      </w:pPr>
      <w:r w:rsidRPr="00530729">
        <w:rPr>
          <w:rFonts w:eastAsiaTheme="minorHAnsi"/>
          <w:b/>
          <w:bCs/>
          <w:sz w:val="26"/>
          <w:szCs w:val="24"/>
        </w:rPr>
        <w:tab/>
      </w:r>
      <w:r w:rsidRPr="00530729">
        <w:rPr>
          <w:rFonts w:eastAsiaTheme="minorHAnsi"/>
          <w:b/>
          <w:bCs/>
          <w:sz w:val="26"/>
          <w:szCs w:val="24"/>
        </w:rPr>
        <w:tab/>
      </w:r>
      <w:r w:rsidRPr="00530729">
        <w:rPr>
          <w:rFonts w:eastAsiaTheme="minorHAnsi"/>
          <w:sz w:val="26"/>
          <w:szCs w:val="24"/>
        </w:rPr>
        <w:t>As we are assured by the public benefits</w:t>
      </w:r>
      <w:r w:rsidRPr="00530729">
        <w:rPr>
          <w:rFonts w:eastAsiaTheme="minorHAnsi"/>
          <w:b/>
          <w:bCs/>
          <w:sz w:val="26"/>
          <w:szCs w:val="24"/>
        </w:rPr>
        <w:t xml:space="preserve"> </w:t>
      </w:r>
      <w:r w:rsidRPr="00530729">
        <w:rPr>
          <w:rFonts w:eastAsiaTheme="minorHAnsi"/>
          <w:sz w:val="26"/>
          <w:szCs w:val="24"/>
        </w:rPr>
        <w:t xml:space="preserve">of the Peoples Companies’ commitment to replace the pipe on the G/T Systems, as well as the accompanying safety provisions and customer protection provisions in the Settlement, we do not find it necessary to place additional conditions on the transaction as it relates to the G/T Systems.  The replacement of all bare steel pipe on the G/T Systems will allow existing G/T Systems’ residential customers and local businesses to remain on low-cost, abundant natural gas and avoid abandonment and conversion to potentially higher cost alternative fuel sources.  Replacement will also help to mitigate any potential safety issues and reduce the high UFG levels on the G/T Systems.  </w:t>
      </w:r>
      <w:r w:rsidRPr="00530729">
        <w:rPr>
          <w:rFonts w:eastAsiaTheme="minorHAnsi"/>
          <w:i/>
          <w:iCs/>
          <w:sz w:val="26"/>
          <w:szCs w:val="24"/>
        </w:rPr>
        <w:t>See</w:t>
      </w:r>
      <w:r w:rsidRPr="00530729">
        <w:rPr>
          <w:rFonts w:eastAsiaTheme="minorHAnsi"/>
          <w:sz w:val="26"/>
          <w:szCs w:val="24"/>
        </w:rPr>
        <w:t xml:space="preserve"> Joint Applicants St. 5-R at 14-15.  </w:t>
      </w:r>
    </w:p>
    <w:p w14:paraId="07B04D75" w14:textId="77777777" w:rsidR="00530729" w:rsidRPr="00530729" w:rsidRDefault="00530729" w:rsidP="00B24187">
      <w:pPr>
        <w:widowControl/>
        <w:tabs>
          <w:tab w:val="left" w:pos="1440"/>
        </w:tabs>
        <w:spacing w:line="360" w:lineRule="auto"/>
        <w:rPr>
          <w:rFonts w:eastAsiaTheme="minorHAnsi"/>
          <w:sz w:val="26"/>
          <w:szCs w:val="24"/>
        </w:rPr>
      </w:pPr>
    </w:p>
    <w:p w14:paraId="11983E46" w14:textId="77777777" w:rsidR="00534F4F" w:rsidRPr="00D36FFE" w:rsidRDefault="00534F4F" w:rsidP="00364103">
      <w:pPr>
        <w:pStyle w:val="Heading3"/>
        <w:keepNext/>
        <w:ind w:left="1440" w:hanging="720"/>
      </w:pPr>
      <w:bookmarkStart w:id="79" w:name="_Toc29278203"/>
      <w:bookmarkStart w:id="80" w:name="_Toc25233054"/>
      <w:r>
        <w:t>Reliability and Pipe Replacement</w:t>
      </w:r>
      <w:bookmarkEnd w:id="79"/>
    </w:p>
    <w:p w14:paraId="1899C2D2" w14:textId="77777777" w:rsidR="00534F4F" w:rsidRDefault="00534F4F" w:rsidP="00364103">
      <w:pPr>
        <w:pStyle w:val="Default"/>
        <w:keepNext/>
        <w:spacing w:line="360" w:lineRule="auto"/>
        <w:ind w:firstLine="1440"/>
        <w:rPr>
          <w:sz w:val="26"/>
          <w:szCs w:val="26"/>
        </w:rPr>
      </w:pPr>
    </w:p>
    <w:p w14:paraId="5DD3BF64" w14:textId="77777777" w:rsidR="00534F4F" w:rsidRPr="00B311D5" w:rsidRDefault="00534F4F" w:rsidP="00364103">
      <w:pPr>
        <w:pStyle w:val="Heading4"/>
        <w:widowControl/>
        <w:numPr>
          <w:ilvl w:val="0"/>
          <w:numId w:val="29"/>
        </w:numPr>
        <w:ind w:left="2160" w:hanging="720"/>
      </w:pPr>
      <w:bookmarkStart w:id="81" w:name="_Toc29278204"/>
      <w:r w:rsidRPr="00B311D5">
        <w:t>Settlement Terms</w:t>
      </w:r>
      <w:bookmarkEnd w:id="81"/>
    </w:p>
    <w:p w14:paraId="1F6235A6" w14:textId="77777777" w:rsidR="00534F4F" w:rsidRPr="00B311D5" w:rsidRDefault="00534F4F" w:rsidP="00364103">
      <w:pPr>
        <w:keepNext/>
        <w:widowControl/>
        <w:spacing w:line="360" w:lineRule="auto"/>
        <w:rPr>
          <w:sz w:val="26"/>
          <w:szCs w:val="26"/>
        </w:rPr>
      </w:pPr>
    </w:p>
    <w:p w14:paraId="15B0DE60" w14:textId="136DE6E8" w:rsidR="00534F4F" w:rsidRDefault="00534F4F" w:rsidP="00364103">
      <w:pPr>
        <w:keepNext/>
        <w:widowControl/>
        <w:spacing w:line="360" w:lineRule="auto"/>
        <w:textAlignment w:val="baseline"/>
        <w:rPr>
          <w:color w:val="000000"/>
          <w:sz w:val="26"/>
          <w:szCs w:val="26"/>
        </w:rPr>
      </w:pPr>
      <w:r w:rsidRPr="00B311D5">
        <w:rPr>
          <w:color w:val="000000"/>
          <w:sz w:val="26"/>
          <w:szCs w:val="26"/>
        </w:rPr>
        <w:tab/>
      </w:r>
      <w:r w:rsidRPr="00B311D5">
        <w:rPr>
          <w:color w:val="000000"/>
          <w:sz w:val="26"/>
          <w:szCs w:val="26"/>
        </w:rPr>
        <w:tab/>
        <w:t>The Settling Parties agreed to the following terms regarding Aqua America’s commitment to accelerate</w:t>
      </w:r>
      <w:r>
        <w:rPr>
          <w:color w:val="000000"/>
          <w:sz w:val="26"/>
          <w:szCs w:val="26"/>
        </w:rPr>
        <w:t xml:space="preserve"> the replacement of higher risk pipe, as follows:  </w:t>
      </w:r>
    </w:p>
    <w:p w14:paraId="3D4FBDC6" w14:textId="77777777" w:rsidR="00534F4F" w:rsidRDefault="00534F4F" w:rsidP="00B24187">
      <w:pPr>
        <w:widowControl/>
        <w:tabs>
          <w:tab w:val="left" w:pos="0"/>
        </w:tabs>
        <w:spacing w:after="178"/>
        <w:ind w:hanging="1440"/>
        <w:jc w:val="both"/>
        <w:textAlignment w:val="baseline"/>
        <w:rPr>
          <w:color w:val="000000"/>
          <w:sz w:val="26"/>
          <w:szCs w:val="26"/>
        </w:rPr>
      </w:pPr>
    </w:p>
    <w:p w14:paraId="373037E9" w14:textId="09C45C98" w:rsidR="00534F4F" w:rsidRDefault="00534F4F" w:rsidP="00B24187">
      <w:pPr>
        <w:widowControl/>
        <w:tabs>
          <w:tab w:val="left" w:pos="1440"/>
        </w:tabs>
        <w:ind w:left="1440" w:right="1440"/>
        <w:textAlignment w:val="baseline"/>
        <w:rPr>
          <w:sz w:val="26"/>
          <w:szCs w:val="26"/>
        </w:rPr>
      </w:pPr>
      <w:bookmarkStart w:id="82" w:name="_Hlk28544806"/>
      <w:r w:rsidRPr="009373E2">
        <w:rPr>
          <w:color w:val="000000"/>
          <w:sz w:val="26"/>
          <w:szCs w:val="26"/>
        </w:rPr>
        <w:t>69.</w:t>
      </w:r>
      <w:r w:rsidR="003A591D">
        <w:rPr>
          <w:color w:val="000000"/>
          <w:sz w:val="26"/>
          <w:szCs w:val="26"/>
        </w:rPr>
        <w:tab/>
      </w:r>
      <w:r w:rsidRPr="009373E2">
        <w:rPr>
          <w:color w:val="000000"/>
          <w:sz w:val="26"/>
          <w:szCs w:val="26"/>
        </w:rPr>
        <w:t xml:space="preserve">Aqua America commits to continue to meet the Peoples Companies’ Combined Distribution Long Term Infrastructure Improvement Plan (“LTIIP”). </w:t>
      </w:r>
      <w:r>
        <w:rPr>
          <w:color w:val="000000"/>
          <w:sz w:val="26"/>
          <w:szCs w:val="26"/>
        </w:rPr>
        <w:t xml:space="preserve"> </w:t>
      </w:r>
      <w:r w:rsidRPr="009373E2">
        <w:rPr>
          <w:color w:val="000000"/>
          <w:sz w:val="26"/>
          <w:szCs w:val="26"/>
        </w:rPr>
        <w:t xml:space="preserve">In addition, Aqua America </w:t>
      </w:r>
      <w:r w:rsidRPr="009373E2">
        <w:rPr>
          <w:color w:val="000000"/>
          <w:spacing w:val="-1"/>
          <w:sz w:val="26"/>
          <w:szCs w:val="26"/>
        </w:rPr>
        <w:t xml:space="preserve">commits to further accelerate the replacement of higher risk pipe, with a focus on its distribution assets totaling at least $30 million per year and approximately 25 miles per year of distribution pipe. </w:t>
      </w:r>
      <w:r>
        <w:rPr>
          <w:color w:val="000000"/>
          <w:spacing w:val="-1"/>
          <w:sz w:val="26"/>
          <w:szCs w:val="26"/>
        </w:rPr>
        <w:t xml:space="preserve"> </w:t>
      </w:r>
      <w:r w:rsidRPr="009373E2">
        <w:rPr>
          <w:color w:val="000000"/>
          <w:spacing w:val="-1"/>
          <w:sz w:val="26"/>
          <w:szCs w:val="26"/>
        </w:rPr>
        <w:t xml:space="preserve">In order to accomplish this, the Peoples Companies will file a modified LTIIP after </w:t>
      </w:r>
      <w:r w:rsidRPr="009373E2">
        <w:rPr>
          <w:color w:val="000000"/>
          <w:spacing w:val="-1"/>
          <w:sz w:val="26"/>
          <w:szCs w:val="26"/>
        </w:rPr>
        <w:lastRenderedPageBreak/>
        <w:t xml:space="preserve">closing that will propose this further acceleration of the replacement of </w:t>
      </w:r>
      <w:r w:rsidR="003A591D" w:rsidRPr="009373E2">
        <w:rPr>
          <w:color w:val="000000"/>
          <w:spacing w:val="-1"/>
          <w:sz w:val="26"/>
          <w:szCs w:val="26"/>
        </w:rPr>
        <w:t>high</w:t>
      </w:r>
      <w:r w:rsidR="003A591D">
        <w:rPr>
          <w:color w:val="000000"/>
          <w:spacing w:val="-1"/>
          <w:sz w:val="26"/>
          <w:szCs w:val="26"/>
        </w:rPr>
        <w:t>-risk</w:t>
      </w:r>
      <w:r w:rsidRPr="009373E2">
        <w:rPr>
          <w:color w:val="000000"/>
          <w:spacing w:val="-1"/>
          <w:sz w:val="26"/>
          <w:szCs w:val="26"/>
        </w:rPr>
        <w:t xml:space="preserve"> pipe. </w:t>
      </w:r>
      <w:r>
        <w:rPr>
          <w:color w:val="000000"/>
          <w:spacing w:val="-1"/>
          <w:sz w:val="26"/>
          <w:szCs w:val="26"/>
        </w:rPr>
        <w:t xml:space="preserve"> </w:t>
      </w:r>
      <w:r w:rsidRPr="009373E2">
        <w:rPr>
          <w:color w:val="000000"/>
          <w:spacing w:val="-1"/>
          <w:sz w:val="26"/>
          <w:szCs w:val="26"/>
        </w:rPr>
        <w:t xml:space="preserve">The Peoples Companies will plan for pipe replacement needs in connection with the Peoples Companies’ modified LTIIP and associated in-house and sub-contractor staffing. </w:t>
      </w:r>
      <w:r>
        <w:rPr>
          <w:color w:val="000000"/>
          <w:spacing w:val="-1"/>
          <w:sz w:val="26"/>
          <w:szCs w:val="26"/>
        </w:rPr>
        <w:t xml:space="preserve"> </w:t>
      </w:r>
      <w:r w:rsidRPr="009373E2">
        <w:rPr>
          <w:color w:val="000000"/>
          <w:spacing w:val="-1"/>
          <w:sz w:val="26"/>
          <w:szCs w:val="26"/>
        </w:rPr>
        <w:t xml:space="preserve">The Peoples Companies will submit a detailed five-year plan explaining staffing needs matched to projected annual projects and work will commence in 2021 after PUC review and approval of the modified LTIIP. </w:t>
      </w:r>
      <w:r>
        <w:rPr>
          <w:color w:val="000000"/>
          <w:spacing w:val="-1"/>
          <w:sz w:val="26"/>
          <w:szCs w:val="26"/>
        </w:rPr>
        <w:t xml:space="preserve"> </w:t>
      </w:r>
      <w:r w:rsidRPr="009373E2">
        <w:rPr>
          <w:color w:val="000000"/>
          <w:spacing w:val="-1"/>
          <w:sz w:val="26"/>
          <w:szCs w:val="26"/>
        </w:rPr>
        <w:t>This modified LTIIP filing is in addition to the plant replacement discussed under Section III.A</w:t>
      </w:r>
      <w:bookmarkEnd w:id="82"/>
      <w:r w:rsidRPr="009373E2">
        <w:rPr>
          <w:color w:val="000000"/>
          <w:spacing w:val="-1"/>
          <w:sz w:val="26"/>
          <w:szCs w:val="26"/>
        </w:rPr>
        <w:t>.</w:t>
      </w:r>
      <w:r w:rsidRPr="00DC09DD">
        <w:rPr>
          <w:rStyle w:val="FootnoteReference"/>
          <w:sz w:val="26"/>
          <w:szCs w:val="26"/>
        </w:rPr>
        <w:footnoteReference w:id="32"/>
      </w:r>
      <w:r w:rsidRPr="00DC09DD">
        <w:rPr>
          <w:sz w:val="26"/>
          <w:szCs w:val="26"/>
        </w:rPr>
        <w:t xml:space="preserve">  </w:t>
      </w:r>
    </w:p>
    <w:p w14:paraId="4FDDBD76" w14:textId="77777777" w:rsidR="00534F4F" w:rsidRDefault="00534F4F" w:rsidP="00B24187">
      <w:pPr>
        <w:widowControl/>
        <w:tabs>
          <w:tab w:val="left" w:pos="1440"/>
        </w:tabs>
        <w:spacing w:after="178"/>
        <w:jc w:val="both"/>
        <w:textAlignment w:val="baseline"/>
        <w:rPr>
          <w:sz w:val="26"/>
          <w:szCs w:val="26"/>
        </w:rPr>
      </w:pPr>
    </w:p>
    <w:p w14:paraId="08BA2D37" w14:textId="77777777" w:rsidR="00534F4F" w:rsidRPr="00DC09DD" w:rsidRDefault="00534F4F" w:rsidP="00B24187">
      <w:pPr>
        <w:widowControl/>
        <w:tabs>
          <w:tab w:val="left" w:pos="1440"/>
        </w:tabs>
        <w:spacing w:line="360" w:lineRule="auto"/>
        <w:jc w:val="both"/>
        <w:textAlignment w:val="baseline"/>
        <w:rPr>
          <w:sz w:val="26"/>
          <w:szCs w:val="26"/>
        </w:rPr>
      </w:pPr>
      <w:r w:rsidRPr="00DC09DD">
        <w:rPr>
          <w:sz w:val="26"/>
          <w:szCs w:val="26"/>
        </w:rPr>
        <w:t>Joint Applicants Settlement at ¶</w:t>
      </w:r>
      <w:r>
        <w:rPr>
          <w:sz w:val="26"/>
          <w:szCs w:val="26"/>
        </w:rPr>
        <w:t xml:space="preserve"> </w:t>
      </w:r>
      <w:r w:rsidRPr="00DC09DD">
        <w:rPr>
          <w:sz w:val="26"/>
          <w:szCs w:val="26"/>
        </w:rPr>
        <w:t>69.</w:t>
      </w:r>
    </w:p>
    <w:p w14:paraId="6965462F" w14:textId="77777777" w:rsidR="00534F4F" w:rsidRDefault="00534F4F" w:rsidP="00B24187">
      <w:pPr>
        <w:pStyle w:val="Default"/>
        <w:spacing w:line="360" w:lineRule="auto"/>
        <w:ind w:firstLine="1440"/>
        <w:rPr>
          <w:sz w:val="26"/>
          <w:szCs w:val="26"/>
        </w:rPr>
      </w:pPr>
    </w:p>
    <w:p w14:paraId="6D42638B" w14:textId="77777777" w:rsidR="00534F4F" w:rsidRPr="00C42347" w:rsidRDefault="00534F4F" w:rsidP="00364103">
      <w:pPr>
        <w:pStyle w:val="Heading4"/>
        <w:widowControl/>
        <w:ind w:left="2160" w:hanging="720"/>
      </w:pPr>
      <w:bookmarkStart w:id="83" w:name="_Toc29278205"/>
      <w:r w:rsidRPr="00C42347">
        <w:t>Positions of the Parties</w:t>
      </w:r>
      <w:bookmarkEnd w:id="83"/>
    </w:p>
    <w:p w14:paraId="26F1CFF9" w14:textId="77777777" w:rsidR="00534F4F" w:rsidRDefault="00534F4F" w:rsidP="003569C3">
      <w:pPr>
        <w:pStyle w:val="Default"/>
        <w:keepNext/>
        <w:spacing w:line="360" w:lineRule="auto"/>
        <w:rPr>
          <w:sz w:val="26"/>
          <w:szCs w:val="26"/>
        </w:rPr>
      </w:pPr>
    </w:p>
    <w:p w14:paraId="25C43C54" w14:textId="77777777" w:rsidR="00534F4F" w:rsidRDefault="00534F4F" w:rsidP="00364103">
      <w:pPr>
        <w:keepNext/>
        <w:widowControl/>
        <w:spacing w:line="360" w:lineRule="auto"/>
        <w:rPr>
          <w:sz w:val="26"/>
          <w:szCs w:val="26"/>
        </w:rPr>
      </w:pPr>
      <w:r>
        <w:rPr>
          <w:sz w:val="26"/>
          <w:szCs w:val="26"/>
        </w:rPr>
        <w:tab/>
      </w:r>
      <w:r>
        <w:rPr>
          <w:sz w:val="26"/>
          <w:szCs w:val="26"/>
        </w:rPr>
        <w:tab/>
        <w:t xml:space="preserve">The Joint Applicants explained that the Peoples Companies and their predecessor companies have had LTIIPs in place since 2013.  The most recently approved version is a Combined Distribution LTIIP that encompasses the Peoples Companies, Peoples Natural Gas – Peoples Division, Peoples Natural Gas – Equitable Division and Peoples Gas.  Joint Applicants St. 3 at 7.  </w:t>
      </w:r>
    </w:p>
    <w:p w14:paraId="744B372F" w14:textId="77777777" w:rsidR="00534F4F" w:rsidRDefault="00534F4F" w:rsidP="00B24187">
      <w:pPr>
        <w:pStyle w:val="Default"/>
        <w:spacing w:line="360" w:lineRule="auto"/>
        <w:ind w:firstLine="1440"/>
        <w:rPr>
          <w:sz w:val="26"/>
          <w:szCs w:val="26"/>
        </w:rPr>
      </w:pPr>
    </w:p>
    <w:p w14:paraId="0490E9A8" w14:textId="77777777" w:rsidR="00534F4F" w:rsidRDefault="00534F4F" w:rsidP="00B24187">
      <w:pPr>
        <w:pStyle w:val="Default"/>
        <w:spacing w:line="360" w:lineRule="auto"/>
        <w:ind w:firstLine="1440"/>
        <w:rPr>
          <w:sz w:val="26"/>
          <w:szCs w:val="26"/>
        </w:rPr>
      </w:pPr>
      <w:r>
        <w:rPr>
          <w:sz w:val="26"/>
          <w:szCs w:val="26"/>
        </w:rPr>
        <w:t>The Joint Applicants explained further that the Combined Distribution LTIIP focuses on the removal of highest risk pipe first.  According to the Joint Applicants, the highest risk pipes are mainly located in urban areas, which have the highest concentration of customers served and for which replacement costs are significantly higher than rural areas.  Joint Applicants St. 3 at 8.</w:t>
      </w:r>
    </w:p>
    <w:p w14:paraId="466094F1" w14:textId="77777777" w:rsidR="00534F4F" w:rsidRDefault="00534F4F" w:rsidP="00B24187">
      <w:pPr>
        <w:pStyle w:val="Default"/>
        <w:spacing w:line="360" w:lineRule="auto"/>
        <w:ind w:firstLine="1440"/>
        <w:rPr>
          <w:sz w:val="26"/>
          <w:szCs w:val="26"/>
        </w:rPr>
      </w:pPr>
    </w:p>
    <w:p w14:paraId="023EC343" w14:textId="77777777" w:rsidR="00534F4F" w:rsidRDefault="00534F4F" w:rsidP="00B24187">
      <w:pPr>
        <w:pStyle w:val="Default"/>
        <w:spacing w:line="360" w:lineRule="auto"/>
        <w:ind w:firstLine="1440"/>
        <w:rPr>
          <w:sz w:val="26"/>
          <w:szCs w:val="26"/>
        </w:rPr>
      </w:pPr>
      <w:r>
        <w:rPr>
          <w:sz w:val="26"/>
          <w:szCs w:val="26"/>
        </w:rPr>
        <w:t xml:space="preserve">The Joint Applicants provided that Aqua America is proposing to increase DSIC-eligible capital spending by $30 million each year and miles of pipe to be replaced </w:t>
      </w:r>
      <w:r>
        <w:rPr>
          <w:sz w:val="26"/>
          <w:szCs w:val="26"/>
        </w:rPr>
        <w:lastRenderedPageBreak/>
        <w:t>by twenty to twenty-five additional miles per year over the current Peoples Combined LTIIP.  Aqua America will submit a revised LTIIP to the Commission for approval within six months of closing with the increase in capital spending to begin in 2021.  Joint Applicants St. 5-R at 19-22.</w:t>
      </w:r>
    </w:p>
    <w:p w14:paraId="3CD58F6C" w14:textId="77777777" w:rsidR="00534F4F" w:rsidRDefault="00534F4F" w:rsidP="00B24187">
      <w:pPr>
        <w:pStyle w:val="Default"/>
        <w:spacing w:line="360" w:lineRule="auto"/>
        <w:ind w:firstLine="1440"/>
        <w:rPr>
          <w:sz w:val="26"/>
          <w:szCs w:val="26"/>
        </w:rPr>
      </w:pPr>
    </w:p>
    <w:p w14:paraId="67EBF0E9" w14:textId="77777777" w:rsidR="00534F4F" w:rsidRDefault="00534F4F" w:rsidP="00B24187">
      <w:pPr>
        <w:pStyle w:val="Default"/>
        <w:spacing w:line="360" w:lineRule="auto"/>
        <w:ind w:firstLine="1440"/>
        <w:rPr>
          <w:sz w:val="26"/>
          <w:szCs w:val="26"/>
        </w:rPr>
      </w:pPr>
      <w:r>
        <w:rPr>
          <w:sz w:val="26"/>
          <w:szCs w:val="26"/>
        </w:rPr>
        <w:t xml:space="preserve">The Joint Applicants estimated that the added capital spending will require approximately 100 additional employees, inclusive of both contractors and Peoples Companies employees.  Joint Applicants St. 5-R at 20.  The Joint Applicants averred that the acceleration of the current LTIIP will allow more residential customers and local businesses to be positively affected by the plan sooner, and it will benefit the Commonwealth by the removal of riskier pipe, with associated improvements to UFG.  Joint Applicants St. 5-R at 21.  </w:t>
      </w:r>
    </w:p>
    <w:p w14:paraId="618600D8" w14:textId="77777777" w:rsidR="00534F4F" w:rsidRDefault="00534F4F" w:rsidP="00B24187">
      <w:pPr>
        <w:pStyle w:val="Default"/>
        <w:spacing w:line="360" w:lineRule="auto"/>
        <w:ind w:firstLine="1440"/>
        <w:rPr>
          <w:sz w:val="26"/>
          <w:szCs w:val="26"/>
        </w:rPr>
      </w:pPr>
    </w:p>
    <w:p w14:paraId="6CDB5561" w14:textId="1EB01404" w:rsidR="00534F4F" w:rsidRDefault="00534F4F" w:rsidP="00B24187">
      <w:pPr>
        <w:pStyle w:val="Default"/>
        <w:spacing w:line="360" w:lineRule="auto"/>
        <w:rPr>
          <w:sz w:val="26"/>
          <w:szCs w:val="26"/>
        </w:rPr>
      </w:pPr>
      <w:r>
        <w:rPr>
          <w:sz w:val="26"/>
          <w:szCs w:val="26"/>
        </w:rPr>
        <w:tab/>
      </w:r>
      <w:r>
        <w:rPr>
          <w:sz w:val="26"/>
          <w:szCs w:val="26"/>
        </w:rPr>
        <w:tab/>
        <w:t xml:space="preserve">According to I&amp;E, the LTIIP acceleration </w:t>
      </w:r>
      <w:r w:rsidR="00557927">
        <w:rPr>
          <w:sz w:val="26"/>
          <w:szCs w:val="26"/>
        </w:rPr>
        <w:t xml:space="preserve">could have </w:t>
      </w:r>
      <w:r w:rsidR="003A591D">
        <w:rPr>
          <w:sz w:val="26"/>
          <w:szCs w:val="26"/>
        </w:rPr>
        <w:t>been accomplished</w:t>
      </w:r>
      <w:r w:rsidR="00F71C4D">
        <w:rPr>
          <w:sz w:val="26"/>
          <w:szCs w:val="26"/>
        </w:rPr>
        <w:t xml:space="preserve"> </w:t>
      </w:r>
      <w:r>
        <w:rPr>
          <w:sz w:val="26"/>
          <w:szCs w:val="26"/>
        </w:rPr>
        <w:t xml:space="preserve">under SteelRiver’s ownership and does not rise to the level of an affirmative public benefit that would outweigh the negative aspects of the Proposed Transaction.  I&amp;E explained that it remains to be seen whether the LTIIP acceleration proposals detailed in the Settlement will be realized.  I&amp;E noted that the revised LTIIP must be filed with and approved by the Commission.  I&amp;E contended that there may be circumstances that could cause the Peoples Companies to not meet the revised acceleration levels, such as competing with other NGDCs for pipeline contractor manpower and pipeline purchases.  I&amp;E M.B. at 23-24 (citing I&amp;E St. 3 at 8-9).  </w:t>
      </w:r>
    </w:p>
    <w:p w14:paraId="35674E32" w14:textId="77777777" w:rsidR="00534F4F" w:rsidRDefault="00534F4F" w:rsidP="00B24187">
      <w:pPr>
        <w:pStyle w:val="Default"/>
        <w:spacing w:line="360" w:lineRule="auto"/>
        <w:ind w:firstLine="1440"/>
        <w:rPr>
          <w:sz w:val="26"/>
          <w:szCs w:val="26"/>
        </w:rPr>
      </w:pPr>
    </w:p>
    <w:p w14:paraId="572F93A1" w14:textId="087EA64D" w:rsidR="00534F4F" w:rsidRDefault="00534F4F" w:rsidP="00B24187">
      <w:pPr>
        <w:pStyle w:val="Default"/>
        <w:spacing w:line="360" w:lineRule="auto"/>
        <w:rPr>
          <w:sz w:val="26"/>
          <w:szCs w:val="26"/>
        </w:rPr>
      </w:pPr>
      <w:r>
        <w:rPr>
          <w:b/>
          <w:bCs/>
          <w:sz w:val="26"/>
          <w:szCs w:val="26"/>
        </w:rPr>
        <w:tab/>
      </w:r>
      <w:r>
        <w:rPr>
          <w:b/>
          <w:bCs/>
          <w:sz w:val="26"/>
          <w:szCs w:val="26"/>
        </w:rPr>
        <w:tab/>
      </w:r>
      <w:r>
        <w:rPr>
          <w:sz w:val="26"/>
          <w:szCs w:val="26"/>
        </w:rPr>
        <w:t xml:space="preserve">The OSBA averred that the Joint Applicants’ commitment to accelerate the LTIIP does not constitute an affirmative public benefit for </w:t>
      </w:r>
      <w:r w:rsidR="00557927">
        <w:rPr>
          <w:sz w:val="26"/>
          <w:szCs w:val="26"/>
        </w:rPr>
        <w:t xml:space="preserve">the following </w:t>
      </w:r>
      <w:r>
        <w:rPr>
          <w:sz w:val="26"/>
          <w:szCs w:val="26"/>
        </w:rPr>
        <w:t xml:space="preserve">three reasons: (1) the Joint Applicants have made no demonstration that the acceleration of the spending would be cost-effective and reasonable; (2) while the acceleration may not be a benefit to the public, it is a benefit to the shareholders of the utility; and (3) since the revised LTIIP must be approved by the Commission, the Joint Applicants’ commitment is nothing more </w:t>
      </w:r>
      <w:r>
        <w:rPr>
          <w:sz w:val="26"/>
          <w:szCs w:val="26"/>
        </w:rPr>
        <w:lastRenderedPageBreak/>
        <w:t>than an agreement that Aqua America will file a new LTIIP in the near future.  OSBA M.B. at 18 (citing Settlement at ¶ 69; Tr. at 175).</w:t>
      </w:r>
      <w:r w:rsidR="003A591D">
        <w:rPr>
          <w:sz w:val="26"/>
          <w:szCs w:val="26"/>
        </w:rPr>
        <w:t xml:space="preserve">  </w:t>
      </w:r>
    </w:p>
    <w:p w14:paraId="573F5B8F" w14:textId="77777777" w:rsidR="00534F4F" w:rsidRDefault="00534F4F" w:rsidP="00B24187">
      <w:pPr>
        <w:pStyle w:val="Default"/>
        <w:spacing w:line="360" w:lineRule="auto"/>
        <w:ind w:firstLine="1440"/>
        <w:rPr>
          <w:sz w:val="26"/>
          <w:szCs w:val="26"/>
        </w:rPr>
      </w:pPr>
    </w:p>
    <w:p w14:paraId="34A84F26" w14:textId="04635E13" w:rsidR="00534F4F" w:rsidRDefault="00534F4F" w:rsidP="00B24187">
      <w:pPr>
        <w:pStyle w:val="Default"/>
        <w:spacing w:line="360" w:lineRule="auto"/>
        <w:ind w:firstLine="1440"/>
        <w:rPr>
          <w:sz w:val="26"/>
          <w:szCs w:val="26"/>
        </w:rPr>
      </w:pPr>
      <w:r>
        <w:rPr>
          <w:sz w:val="26"/>
          <w:szCs w:val="26"/>
        </w:rPr>
        <w:t>According to the OSBA, while the benefits to the public of LTIIP acceleration are uncertain, it is clear that Aqua America has a strong financial interest in accelerating LTIIP spending.  The OSBA explained that the Peoples Companies’ equity is currently generating a return of approximately three percent.  For every additional dollar in equity financing, Aqua America expects to earn above nine percent.  The OSBA notes that, by accelerating LTIIP spending, Aqua America can partially offset the dilutive effect of the Proposed Transaction more quickly.  The OSBA explained further that by accelerating the spending in the near term when mains replacement costs are extremely high, Aqua America can obtain an additional financial bonus in the form of high-priced assets, upon which it can earn higher returns.  OSBA M.B. at 19 (citing OSBA St. 1-S at</w:t>
      </w:r>
      <w:r w:rsidR="00364103">
        <w:rPr>
          <w:sz w:val="26"/>
          <w:szCs w:val="26"/>
        </w:rPr>
        <w:t> </w:t>
      </w:r>
      <w:r>
        <w:rPr>
          <w:sz w:val="26"/>
          <w:szCs w:val="26"/>
        </w:rPr>
        <w:t>12-13).</w:t>
      </w:r>
    </w:p>
    <w:p w14:paraId="37F1223F" w14:textId="77777777" w:rsidR="00534F4F" w:rsidRDefault="00534F4F" w:rsidP="00B24187">
      <w:pPr>
        <w:pStyle w:val="Default"/>
        <w:spacing w:line="360" w:lineRule="auto"/>
        <w:ind w:firstLine="1440"/>
        <w:rPr>
          <w:sz w:val="26"/>
          <w:szCs w:val="26"/>
        </w:rPr>
      </w:pPr>
    </w:p>
    <w:p w14:paraId="38BBA2A1" w14:textId="77777777" w:rsidR="00534F4F" w:rsidRDefault="00534F4F" w:rsidP="005B0616">
      <w:pPr>
        <w:pStyle w:val="Heading4"/>
        <w:widowControl/>
        <w:ind w:left="2160" w:hanging="720"/>
      </w:pPr>
      <w:bookmarkStart w:id="84" w:name="_Toc29278206"/>
      <w:r w:rsidRPr="00C42347">
        <w:t>Recommended Decision</w:t>
      </w:r>
      <w:bookmarkEnd w:id="84"/>
    </w:p>
    <w:p w14:paraId="115AC8DE" w14:textId="77777777" w:rsidR="00534F4F" w:rsidRPr="00B311D5" w:rsidRDefault="00534F4F" w:rsidP="005B0616">
      <w:pPr>
        <w:keepNext/>
        <w:widowControl/>
        <w:spacing w:line="360" w:lineRule="auto"/>
        <w:rPr>
          <w:sz w:val="26"/>
          <w:szCs w:val="26"/>
        </w:rPr>
      </w:pPr>
    </w:p>
    <w:p w14:paraId="62D89FF9" w14:textId="76EC89A2" w:rsidR="00534F4F" w:rsidRDefault="00534F4F" w:rsidP="005B0616">
      <w:pPr>
        <w:pStyle w:val="Default"/>
        <w:keepNext/>
        <w:spacing w:line="360" w:lineRule="auto"/>
        <w:ind w:firstLine="1440"/>
        <w:rPr>
          <w:sz w:val="26"/>
          <w:szCs w:val="26"/>
        </w:rPr>
      </w:pPr>
      <w:r>
        <w:rPr>
          <w:sz w:val="26"/>
          <w:szCs w:val="26"/>
        </w:rPr>
        <w:t>Based on the record developed in this proceeding, the</w:t>
      </w:r>
      <w:r w:rsidRPr="004D3C62">
        <w:rPr>
          <w:sz w:val="26"/>
          <w:szCs w:val="26"/>
        </w:rPr>
        <w:t xml:space="preserve"> </w:t>
      </w:r>
      <w:r>
        <w:rPr>
          <w:sz w:val="26"/>
          <w:szCs w:val="26"/>
        </w:rPr>
        <w:t xml:space="preserve">ALJ concluded that the proposal set forth in the Settlement to increase spending and levelize the replacement of pipeline, as recommended by I&amp;E’s expert, is an important and significant public benefit which favors approval of the Proposed Transaction as modified by the Settlement.  R.D. at 60.  </w:t>
      </w:r>
    </w:p>
    <w:p w14:paraId="2B7DFD8F" w14:textId="731CC1CF" w:rsidR="00534F4F" w:rsidRDefault="00534F4F" w:rsidP="00364103">
      <w:pPr>
        <w:pStyle w:val="Default"/>
        <w:spacing w:line="360" w:lineRule="auto"/>
        <w:rPr>
          <w:sz w:val="26"/>
          <w:szCs w:val="26"/>
        </w:rPr>
      </w:pPr>
    </w:p>
    <w:p w14:paraId="1B751238" w14:textId="77777777" w:rsidR="00534F4F" w:rsidRDefault="00534F4F" w:rsidP="00B24187">
      <w:pPr>
        <w:pStyle w:val="Default"/>
        <w:spacing w:line="360" w:lineRule="auto"/>
        <w:ind w:firstLine="1440"/>
        <w:rPr>
          <w:sz w:val="26"/>
          <w:szCs w:val="26"/>
        </w:rPr>
      </w:pPr>
      <w:r>
        <w:rPr>
          <w:sz w:val="26"/>
          <w:szCs w:val="26"/>
        </w:rPr>
        <w:t xml:space="preserve">The ALJ noted that in the Application, the Joint Applicants committed to continue the existing Peoples Companies’ Combined Distribution LTIIP and to review the LTIIP for potential acceleration.  The ALJ provided that in its expert testimony, I&amp;E contended that the Peoples Companies should submit a revised LTIIP to levelize the pace of pipeline replacement by increasing at-risk pipe replacement in the short term and reducing replacement in later years.  R.D. at 55-56 (citing I&amp;E St. 3 at 8-9).  The ALJ </w:t>
      </w:r>
      <w:r>
        <w:rPr>
          <w:sz w:val="26"/>
          <w:szCs w:val="26"/>
        </w:rPr>
        <w:lastRenderedPageBreak/>
        <w:t xml:space="preserve">stated that in response, the Joint Applicants included specific commitments to accelerate the replacement of at-risk pipe, including an increase in capital spending of $30 million per year to allow for an increase of approximately twenty-five additional miles of pipe to be replaced each year.  R.D. at 56 (citing Settlement at ¶ 69).  </w:t>
      </w:r>
    </w:p>
    <w:p w14:paraId="7548BBD1" w14:textId="77777777" w:rsidR="008801AD" w:rsidRDefault="008801AD" w:rsidP="00B24187">
      <w:pPr>
        <w:pStyle w:val="Default"/>
        <w:spacing w:line="360" w:lineRule="auto"/>
        <w:ind w:firstLine="1440"/>
        <w:rPr>
          <w:sz w:val="26"/>
          <w:szCs w:val="26"/>
        </w:rPr>
      </w:pPr>
    </w:p>
    <w:p w14:paraId="025A3A17" w14:textId="77777777" w:rsidR="00534F4F" w:rsidRDefault="00534F4F" w:rsidP="00B24187">
      <w:pPr>
        <w:pStyle w:val="Default"/>
        <w:spacing w:line="360" w:lineRule="auto"/>
        <w:ind w:firstLine="1440"/>
        <w:rPr>
          <w:sz w:val="26"/>
          <w:szCs w:val="26"/>
        </w:rPr>
      </w:pPr>
      <w:r>
        <w:rPr>
          <w:sz w:val="26"/>
          <w:szCs w:val="26"/>
        </w:rPr>
        <w:t>The ALJ noted that to meet the increased replacement level, the Joint Applicants estimated that approximately 100 new employees, inclusive of contracted labor and Peoples Companies’ employees, will be needed, providing an opportunity to increase jobs in Western Pennsylvania, a further substantial public benefit.  The ALJ explained that the Joint Applicants also provided that the accelerated replacement of at-risk pipe will significantly enhance the safety and reliability of the system.  R</w:t>
      </w:r>
      <w:r w:rsidR="0097198F">
        <w:rPr>
          <w:sz w:val="26"/>
          <w:szCs w:val="26"/>
        </w:rPr>
        <w:t>.</w:t>
      </w:r>
      <w:r>
        <w:rPr>
          <w:sz w:val="26"/>
          <w:szCs w:val="26"/>
        </w:rPr>
        <w:t xml:space="preserve">D. at 56.  </w:t>
      </w:r>
    </w:p>
    <w:p w14:paraId="5A732CE4" w14:textId="77777777" w:rsidR="00534F4F" w:rsidRDefault="00534F4F" w:rsidP="00B24187">
      <w:pPr>
        <w:pStyle w:val="Default"/>
        <w:spacing w:line="360" w:lineRule="auto"/>
        <w:ind w:firstLine="1440"/>
        <w:rPr>
          <w:sz w:val="26"/>
          <w:szCs w:val="26"/>
        </w:rPr>
      </w:pPr>
    </w:p>
    <w:p w14:paraId="0F8E0AF0" w14:textId="77777777" w:rsidR="00534F4F" w:rsidRDefault="00534F4F" w:rsidP="00B24187">
      <w:pPr>
        <w:pStyle w:val="Default"/>
        <w:spacing w:line="360" w:lineRule="auto"/>
        <w:ind w:firstLine="1440"/>
        <w:rPr>
          <w:sz w:val="26"/>
          <w:szCs w:val="26"/>
        </w:rPr>
      </w:pPr>
      <w:r>
        <w:rPr>
          <w:sz w:val="26"/>
          <w:szCs w:val="26"/>
        </w:rPr>
        <w:t xml:space="preserve">The ALJ noted that I&amp;E criticized the current LTIIP advising that it should be more levelized, </w:t>
      </w:r>
      <w:r w:rsidRPr="00F106DC">
        <w:rPr>
          <w:i/>
          <w:iCs/>
          <w:sz w:val="26"/>
          <w:szCs w:val="26"/>
        </w:rPr>
        <w:t>i.e</w:t>
      </w:r>
      <w:r>
        <w:rPr>
          <w:sz w:val="26"/>
          <w:szCs w:val="26"/>
        </w:rPr>
        <w:t>., that the plan should be accelerated for an increase in pipe replacement in the short-term and a reduction in the number of replacement miles currently scheduled to be replaced later in the twenty-year replacement schedule.  The ALJ noted that the Joint Applicants have taken I&amp;E’s recommendation and memorialized it in the Settlement.  R</w:t>
      </w:r>
      <w:r w:rsidR="0097198F">
        <w:rPr>
          <w:sz w:val="26"/>
          <w:szCs w:val="26"/>
        </w:rPr>
        <w:t>.</w:t>
      </w:r>
      <w:r>
        <w:rPr>
          <w:sz w:val="26"/>
          <w:szCs w:val="26"/>
        </w:rPr>
        <w:t xml:space="preserve">D. at 58.  </w:t>
      </w:r>
    </w:p>
    <w:p w14:paraId="57465714" w14:textId="77777777" w:rsidR="00534F4F" w:rsidRDefault="00534F4F" w:rsidP="00B24187">
      <w:pPr>
        <w:pStyle w:val="Default"/>
        <w:spacing w:line="360" w:lineRule="auto"/>
        <w:ind w:firstLine="1440"/>
        <w:rPr>
          <w:sz w:val="26"/>
          <w:szCs w:val="26"/>
        </w:rPr>
      </w:pPr>
    </w:p>
    <w:p w14:paraId="40877574" w14:textId="77777777" w:rsidR="00534F4F" w:rsidRDefault="00534F4F" w:rsidP="00B24187">
      <w:pPr>
        <w:pStyle w:val="Default"/>
        <w:spacing w:line="360" w:lineRule="auto"/>
        <w:ind w:firstLine="1440"/>
        <w:rPr>
          <w:sz w:val="26"/>
          <w:szCs w:val="26"/>
        </w:rPr>
      </w:pPr>
      <w:r>
        <w:rPr>
          <w:sz w:val="26"/>
          <w:szCs w:val="26"/>
        </w:rPr>
        <w:t xml:space="preserve">The ALJ disagreed with I&amp;E’s argument that the accelerated LTIIP is not a public benefit because SteelRiver could have filed a revised LTIIP.  The ALJ pointed out that there is no evidence that the Peoples Companies have made a filing to accelerate infrastructure spending, and there is no evidence that they planned to do so before filing the Application.  There is no evidence that the Commission commenced a formal or informal action to direct SteelRiver to modify the Peoples Companies’ LTIIP.  The ALJ concluded that I&amp;E’s criticism of the proposal is speculative and unsubstantiated. </w:t>
      </w:r>
    </w:p>
    <w:p w14:paraId="27B1BF28" w14:textId="77777777" w:rsidR="00534F4F" w:rsidRDefault="00534F4F" w:rsidP="00B24187">
      <w:pPr>
        <w:pStyle w:val="Default"/>
        <w:spacing w:line="360" w:lineRule="auto"/>
        <w:ind w:firstLine="1440"/>
        <w:rPr>
          <w:sz w:val="26"/>
          <w:szCs w:val="26"/>
        </w:rPr>
      </w:pPr>
    </w:p>
    <w:p w14:paraId="68FF171A" w14:textId="77777777" w:rsidR="00534F4F" w:rsidRDefault="00534F4F" w:rsidP="00B24187">
      <w:pPr>
        <w:pStyle w:val="Default"/>
        <w:spacing w:line="360" w:lineRule="auto"/>
        <w:ind w:firstLine="1440"/>
        <w:rPr>
          <w:sz w:val="26"/>
          <w:szCs w:val="26"/>
        </w:rPr>
      </w:pPr>
      <w:r>
        <w:rPr>
          <w:sz w:val="26"/>
          <w:szCs w:val="26"/>
        </w:rPr>
        <w:t xml:space="preserve">The ALJ also disagreed with I&amp;E and the OSBA’s contention that the accelerated LTIIP should not be considered an affirmative benefit under the </w:t>
      </w:r>
      <w:r w:rsidRPr="00393A02">
        <w:rPr>
          <w:i/>
          <w:iCs/>
          <w:sz w:val="26"/>
          <w:szCs w:val="26"/>
        </w:rPr>
        <w:t>City of York</w:t>
      </w:r>
      <w:r>
        <w:rPr>
          <w:sz w:val="26"/>
          <w:szCs w:val="26"/>
        </w:rPr>
        <w:t xml:space="preserve"> </w:t>
      </w:r>
      <w:r>
        <w:rPr>
          <w:sz w:val="26"/>
          <w:szCs w:val="26"/>
        </w:rPr>
        <w:lastRenderedPageBreak/>
        <w:t xml:space="preserve">standard because the plan must be approved by the Commission.  The ALJ concluded </w:t>
      </w:r>
      <w:r w:rsidRPr="00CA473B">
        <w:rPr>
          <w:sz w:val="26"/>
          <w:szCs w:val="26"/>
        </w:rPr>
        <w:t>that there is no evidence that the Commission has ever rejected an LTIIP filing proposing a further acceleration.  R.D</w:t>
      </w:r>
      <w:r>
        <w:rPr>
          <w:sz w:val="26"/>
          <w:szCs w:val="26"/>
        </w:rPr>
        <w:t>. at 58 (citing I&amp;E St. 3 at 8-9).  The ALJ reasoned that the fact that the Joint Applicants have made the commitment to accelerate the LTIIP is sufficient to satisfy the affirmative benefits standard.  R.D. at 59.</w:t>
      </w:r>
    </w:p>
    <w:p w14:paraId="1D263BC8" w14:textId="77777777" w:rsidR="00534F4F" w:rsidRDefault="00534F4F" w:rsidP="00B24187">
      <w:pPr>
        <w:pStyle w:val="Default"/>
        <w:spacing w:line="360" w:lineRule="auto"/>
        <w:ind w:firstLine="1440"/>
        <w:rPr>
          <w:sz w:val="26"/>
          <w:szCs w:val="26"/>
        </w:rPr>
      </w:pPr>
    </w:p>
    <w:p w14:paraId="5ED01A62" w14:textId="77777777" w:rsidR="00534F4F" w:rsidRDefault="00534F4F" w:rsidP="00B24187">
      <w:pPr>
        <w:pStyle w:val="Default"/>
        <w:spacing w:line="360" w:lineRule="auto"/>
        <w:ind w:firstLine="1440"/>
        <w:rPr>
          <w:sz w:val="26"/>
          <w:szCs w:val="26"/>
        </w:rPr>
      </w:pPr>
      <w:r>
        <w:rPr>
          <w:sz w:val="26"/>
          <w:szCs w:val="26"/>
        </w:rPr>
        <w:t xml:space="preserve">Regarding the potential obstacles I&amp;E contends exist for the accelerated LTIIP, including skilled workers and supplies, the ALJ explained that the </w:t>
      </w:r>
      <w:r w:rsidRPr="00692EAA">
        <w:rPr>
          <w:i/>
          <w:iCs/>
          <w:sz w:val="26"/>
          <w:szCs w:val="26"/>
        </w:rPr>
        <w:t>City of York</w:t>
      </w:r>
      <w:r>
        <w:rPr>
          <w:sz w:val="26"/>
          <w:szCs w:val="26"/>
        </w:rPr>
        <w:t xml:space="preserve"> standard does not require a benefit to be an ironclad certainty and without risk.  The ALJ set forth that the intervenors representing organized labor indicated that there are union personnel available to fill the forecasted 100 employment positions needed.  The ALJ reasoned that it is not likely that I&amp;E’s expert would have suggested the modification if it was impossible to execute.  R.D. at 59.  </w:t>
      </w:r>
    </w:p>
    <w:p w14:paraId="7090FA50" w14:textId="77777777" w:rsidR="00534F4F" w:rsidRDefault="00534F4F" w:rsidP="00B24187">
      <w:pPr>
        <w:pStyle w:val="Default"/>
        <w:spacing w:line="360" w:lineRule="auto"/>
        <w:ind w:firstLine="1440"/>
        <w:rPr>
          <w:sz w:val="26"/>
          <w:szCs w:val="26"/>
        </w:rPr>
      </w:pPr>
    </w:p>
    <w:p w14:paraId="04DFD1AB" w14:textId="77777777" w:rsidR="00534F4F" w:rsidRDefault="00534F4F" w:rsidP="00B24187">
      <w:pPr>
        <w:pStyle w:val="Default"/>
        <w:spacing w:line="360" w:lineRule="auto"/>
        <w:ind w:firstLine="1440"/>
        <w:rPr>
          <w:sz w:val="26"/>
          <w:szCs w:val="26"/>
        </w:rPr>
      </w:pPr>
      <w:r>
        <w:rPr>
          <w:sz w:val="26"/>
          <w:szCs w:val="26"/>
        </w:rPr>
        <w:t xml:space="preserve">The ALJ explained that the Joint Applicants will be required to show that a modified LTIIP is cost effective and in accordance with the Code.  R.D. at 59 (citing 66 Pa. C.S. §§ 1350-1360).  The ALJ pointed out that the OCA, in its support of the Settlement, notes that approval of projected spending in an LTIIP filing is not approval of cost recovery in the DSIC and that the Joint Applicants will still be required to make a showing that costs should be recovered.  R.D. at 59-60.  </w:t>
      </w:r>
    </w:p>
    <w:p w14:paraId="197B3150" w14:textId="77777777" w:rsidR="00534F4F" w:rsidRDefault="00534F4F" w:rsidP="00B24187">
      <w:pPr>
        <w:pStyle w:val="Default"/>
        <w:spacing w:line="360" w:lineRule="auto"/>
        <w:ind w:firstLine="1440"/>
        <w:rPr>
          <w:sz w:val="26"/>
          <w:szCs w:val="26"/>
        </w:rPr>
      </w:pPr>
    </w:p>
    <w:p w14:paraId="261F99A3" w14:textId="737A177F" w:rsidR="00534F4F" w:rsidRDefault="00534F4F" w:rsidP="00B24187">
      <w:pPr>
        <w:pStyle w:val="Default"/>
        <w:spacing w:line="360" w:lineRule="auto"/>
        <w:ind w:firstLine="1440"/>
        <w:rPr>
          <w:sz w:val="26"/>
          <w:szCs w:val="26"/>
        </w:rPr>
      </w:pPr>
      <w:r>
        <w:rPr>
          <w:sz w:val="26"/>
          <w:szCs w:val="26"/>
        </w:rPr>
        <w:t xml:space="preserve">The ALJ disagreed with the OSBA’s argument that the Joint Applicants’ commitment to a modified LTIIP “appears to be self-serving and unsupported by any credible evidence.”  R.D. at 60 (citing OSBA St. 1-SR at 15).  The ALJ found that the fact that shareholders will earn a return is not nefarious or manipulative nor does it dilute the benefits derived from increased safety and reliability of replacing at-risk pipeline.  </w:t>
      </w:r>
    </w:p>
    <w:p w14:paraId="2555D84F" w14:textId="77777777" w:rsidR="00534F4F" w:rsidRDefault="00534F4F" w:rsidP="00B24187">
      <w:pPr>
        <w:pStyle w:val="Default"/>
        <w:spacing w:line="360" w:lineRule="auto"/>
        <w:ind w:firstLine="1440"/>
        <w:rPr>
          <w:sz w:val="26"/>
          <w:szCs w:val="26"/>
        </w:rPr>
      </w:pPr>
    </w:p>
    <w:p w14:paraId="69581D39" w14:textId="77777777" w:rsidR="00F35970" w:rsidRDefault="00F96106" w:rsidP="00364103">
      <w:pPr>
        <w:pStyle w:val="Heading4"/>
        <w:widowControl/>
        <w:ind w:left="2160" w:hanging="720"/>
      </w:pPr>
      <w:bookmarkStart w:id="85" w:name="_Hlk28529667"/>
      <w:bookmarkStart w:id="86" w:name="_Toc29278207"/>
      <w:r>
        <w:lastRenderedPageBreak/>
        <w:t xml:space="preserve">Exceptions and </w:t>
      </w:r>
      <w:bookmarkEnd w:id="85"/>
      <w:r>
        <w:t>Replies</w:t>
      </w:r>
      <w:bookmarkEnd w:id="86"/>
      <w:r>
        <w:t xml:space="preserve"> </w:t>
      </w:r>
    </w:p>
    <w:p w14:paraId="7465FB54" w14:textId="77777777" w:rsidR="00F35970" w:rsidRDefault="00F35970" w:rsidP="00364103">
      <w:pPr>
        <w:pStyle w:val="Default"/>
        <w:keepNext/>
        <w:spacing w:line="360" w:lineRule="auto"/>
        <w:ind w:firstLine="1440"/>
        <w:rPr>
          <w:sz w:val="26"/>
          <w:szCs w:val="26"/>
        </w:rPr>
      </w:pPr>
    </w:p>
    <w:p w14:paraId="0767CDBD" w14:textId="77777777" w:rsidR="00534F4F" w:rsidRDefault="00534F4F" w:rsidP="00364103">
      <w:pPr>
        <w:pStyle w:val="Default"/>
        <w:keepNext/>
        <w:spacing w:line="360" w:lineRule="auto"/>
        <w:ind w:firstLine="1440"/>
        <w:rPr>
          <w:sz w:val="26"/>
          <w:szCs w:val="26"/>
        </w:rPr>
      </w:pPr>
      <w:r>
        <w:rPr>
          <w:sz w:val="26"/>
          <w:szCs w:val="26"/>
        </w:rPr>
        <w:t>I&amp;E contends that the Recommended Decision attempts to trivialize I&amp;E and the OSBA’s concerns regarding the revised LTIIP by stating that those concerns are mere speculation.  I&amp;E Exc. at 18 (citing R.D. at 58).  I&amp;E explains that its concern is that merely committing to replace more pipeline does not translate into a benefit unless and until that pipeline is replaced.  I&amp;E Exc. at 18.</w:t>
      </w:r>
    </w:p>
    <w:p w14:paraId="344C87D4" w14:textId="77777777" w:rsidR="00F96106" w:rsidRDefault="00F96106" w:rsidP="00B24187">
      <w:pPr>
        <w:pStyle w:val="Default"/>
        <w:spacing w:line="360" w:lineRule="auto"/>
        <w:ind w:firstLine="1440"/>
        <w:rPr>
          <w:sz w:val="26"/>
          <w:szCs w:val="26"/>
        </w:rPr>
      </w:pPr>
    </w:p>
    <w:p w14:paraId="7703A462" w14:textId="3B44A46F" w:rsidR="00534F4F" w:rsidRDefault="00534F4F" w:rsidP="00B24187">
      <w:pPr>
        <w:pStyle w:val="Default"/>
        <w:spacing w:line="360" w:lineRule="auto"/>
        <w:ind w:firstLine="1440"/>
        <w:rPr>
          <w:sz w:val="26"/>
          <w:szCs w:val="26"/>
        </w:rPr>
      </w:pPr>
      <w:r>
        <w:rPr>
          <w:sz w:val="26"/>
          <w:szCs w:val="26"/>
        </w:rPr>
        <w:t xml:space="preserve">I&amp;E explains that LTIIP acceleration is something that is necessary independent of this acquisition and should the Commission disallow the acquisitions, </w:t>
      </w:r>
      <w:r w:rsidR="0097198F">
        <w:rPr>
          <w:sz w:val="26"/>
          <w:szCs w:val="26"/>
        </w:rPr>
        <w:t xml:space="preserve">the </w:t>
      </w:r>
      <w:r>
        <w:rPr>
          <w:sz w:val="26"/>
          <w:szCs w:val="26"/>
        </w:rPr>
        <w:t xml:space="preserve">Peoples </w:t>
      </w:r>
      <w:r w:rsidR="0097198F">
        <w:rPr>
          <w:sz w:val="26"/>
          <w:szCs w:val="26"/>
        </w:rPr>
        <w:t xml:space="preserve">Companies </w:t>
      </w:r>
      <w:r>
        <w:rPr>
          <w:sz w:val="26"/>
          <w:szCs w:val="26"/>
        </w:rPr>
        <w:t xml:space="preserve">should still be required to accelerate </w:t>
      </w:r>
      <w:r w:rsidR="0097198F">
        <w:rPr>
          <w:sz w:val="26"/>
          <w:szCs w:val="26"/>
        </w:rPr>
        <w:t>their</w:t>
      </w:r>
      <w:r>
        <w:rPr>
          <w:sz w:val="26"/>
          <w:szCs w:val="26"/>
        </w:rPr>
        <w:t xml:space="preserve"> pipeline replacement efforts.  I&amp;E Exc. at 18 (citing I&amp;E M.B. at 24-25).  </w:t>
      </w:r>
    </w:p>
    <w:p w14:paraId="61C631AB" w14:textId="77777777" w:rsidR="00534F4F" w:rsidRDefault="00534F4F" w:rsidP="00B24187">
      <w:pPr>
        <w:pStyle w:val="Default"/>
        <w:spacing w:line="360" w:lineRule="auto"/>
        <w:ind w:firstLine="1440"/>
        <w:rPr>
          <w:sz w:val="26"/>
          <w:szCs w:val="26"/>
        </w:rPr>
      </w:pPr>
    </w:p>
    <w:p w14:paraId="0B6C66E2" w14:textId="53650380" w:rsidR="00534F4F" w:rsidRDefault="00534F4F" w:rsidP="00B24187">
      <w:pPr>
        <w:pStyle w:val="Default"/>
        <w:spacing w:line="360" w:lineRule="auto"/>
        <w:ind w:firstLine="1440"/>
        <w:rPr>
          <w:sz w:val="26"/>
          <w:szCs w:val="26"/>
        </w:rPr>
      </w:pPr>
      <w:r>
        <w:rPr>
          <w:sz w:val="26"/>
          <w:szCs w:val="26"/>
        </w:rPr>
        <w:t xml:space="preserve">I&amp;E contends that </w:t>
      </w:r>
      <w:r w:rsidR="0097198F">
        <w:rPr>
          <w:sz w:val="26"/>
          <w:szCs w:val="26"/>
        </w:rPr>
        <w:t xml:space="preserve">the </w:t>
      </w:r>
      <w:r>
        <w:rPr>
          <w:sz w:val="26"/>
          <w:szCs w:val="26"/>
        </w:rPr>
        <w:t xml:space="preserve">Peoples </w:t>
      </w:r>
      <w:r w:rsidR="0097198F">
        <w:rPr>
          <w:sz w:val="26"/>
          <w:szCs w:val="26"/>
        </w:rPr>
        <w:t xml:space="preserve">Companies </w:t>
      </w:r>
      <w:r>
        <w:rPr>
          <w:sz w:val="26"/>
          <w:szCs w:val="26"/>
        </w:rPr>
        <w:t xml:space="preserve">may not be able to meet the acceleration commitment.  I&amp;E provides that between the years 2013 and 2018, </w:t>
      </w:r>
      <w:r w:rsidR="0097198F">
        <w:rPr>
          <w:sz w:val="26"/>
          <w:szCs w:val="26"/>
        </w:rPr>
        <w:t xml:space="preserve">the </w:t>
      </w:r>
      <w:r>
        <w:rPr>
          <w:sz w:val="26"/>
          <w:szCs w:val="26"/>
        </w:rPr>
        <w:t>Peoples</w:t>
      </w:r>
      <w:r w:rsidR="0097198F">
        <w:rPr>
          <w:sz w:val="26"/>
          <w:szCs w:val="26"/>
        </w:rPr>
        <w:t xml:space="preserve"> Companies</w:t>
      </w:r>
      <w:r>
        <w:rPr>
          <w:sz w:val="26"/>
          <w:szCs w:val="26"/>
        </w:rPr>
        <w:t xml:space="preserve"> only twice met the pipeline replacement goal stated in its LTIIP.  I&amp;E Exc. at 19 (citing I&amp;E St. 3 at 6-7).  I&amp;E avers that to meet this goal, </w:t>
      </w:r>
      <w:r w:rsidR="0097198F">
        <w:rPr>
          <w:sz w:val="26"/>
          <w:szCs w:val="26"/>
        </w:rPr>
        <w:t xml:space="preserve">the </w:t>
      </w:r>
      <w:r>
        <w:rPr>
          <w:sz w:val="26"/>
          <w:szCs w:val="26"/>
        </w:rPr>
        <w:t xml:space="preserve">Peoples </w:t>
      </w:r>
      <w:r w:rsidR="0097198F">
        <w:rPr>
          <w:sz w:val="26"/>
          <w:szCs w:val="26"/>
        </w:rPr>
        <w:t xml:space="preserve">Companies </w:t>
      </w:r>
      <w:r>
        <w:rPr>
          <w:sz w:val="26"/>
          <w:szCs w:val="26"/>
        </w:rPr>
        <w:t xml:space="preserve">would need to compete with other NGDCs for manpower and material, which may not be available.  I&amp;E provides that </w:t>
      </w:r>
      <w:r w:rsidR="007D2F9B">
        <w:rPr>
          <w:sz w:val="26"/>
          <w:szCs w:val="26"/>
        </w:rPr>
        <w:t xml:space="preserve">the </w:t>
      </w:r>
      <w:r>
        <w:rPr>
          <w:sz w:val="26"/>
          <w:szCs w:val="26"/>
        </w:rPr>
        <w:t xml:space="preserve">Peoples </w:t>
      </w:r>
      <w:r w:rsidR="007D2F9B">
        <w:rPr>
          <w:sz w:val="26"/>
          <w:szCs w:val="26"/>
        </w:rPr>
        <w:t xml:space="preserve">Companies </w:t>
      </w:r>
      <w:r>
        <w:rPr>
          <w:sz w:val="26"/>
          <w:szCs w:val="26"/>
        </w:rPr>
        <w:t xml:space="preserve">has historically been unable to meet </w:t>
      </w:r>
      <w:r w:rsidR="007D2F9B">
        <w:rPr>
          <w:sz w:val="26"/>
          <w:szCs w:val="26"/>
        </w:rPr>
        <w:t>their</w:t>
      </w:r>
      <w:r>
        <w:rPr>
          <w:sz w:val="26"/>
          <w:szCs w:val="26"/>
        </w:rPr>
        <w:t xml:space="preserve"> pipeline replacement goals, and it is therefore inaccurate to say the I&amp;E’s concern that </w:t>
      </w:r>
      <w:r w:rsidR="007D2F9B">
        <w:rPr>
          <w:sz w:val="26"/>
          <w:szCs w:val="26"/>
        </w:rPr>
        <w:t xml:space="preserve">the </w:t>
      </w:r>
      <w:r>
        <w:rPr>
          <w:sz w:val="26"/>
          <w:szCs w:val="26"/>
        </w:rPr>
        <w:t>Peoples</w:t>
      </w:r>
      <w:r w:rsidR="007D2F9B">
        <w:rPr>
          <w:sz w:val="26"/>
          <w:szCs w:val="26"/>
        </w:rPr>
        <w:t xml:space="preserve"> Companies</w:t>
      </w:r>
      <w:r>
        <w:rPr>
          <w:sz w:val="26"/>
          <w:szCs w:val="26"/>
        </w:rPr>
        <w:t xml:space="preserve"> will continue to be unable to meet those goals is mere speculation.  I&amp;E reasons that accelerated pipeline replacement is not a benefit until the new pipe is in the ground.  I&amp;E provides that accelerated replacement comes at a cost to ratepayers who will ultimately pay for the effort.  I&amp;E Exc. at 19.  </w:t>
      </w:r>
    </w:p>
    <w:p w14:paraId="58B3A5F2" w14:textId="77777777" w:rsidR="00534F4F" w:rsidRDefault="00534F4F" w:rsidP="00B24187">
      <w:pPr>
        <w:pStyle w:val="Default"/>
        <w:spacing w:line="360" w:lineRule="auto"/>
        <w:ind w:firstLine="1440"/>
        <w:rPr>
          <w:sz w:val="26"/>
          <w:szCs w:val="26"/>
        </w:rPr>
      </w:pPr>
    </w:p>
    <w:p w14:paraId="7EF21771" w14:textId="77777777" w:rsidR="00534F4F" w:rsidRDefault="00534F4F" w:rsidP="00B24187">
      <w:pPr>
        <w:pStyle w:val="Default"/>
        <w:spacing w:line="360" w:lineRule="auto"/>
        <w:ind w:firstLine="1440"/>
        <w:rPr>
          <w:sz w:val="26"/>
          <w:szCs w:val="26"/>
        </w:rPr>
      </w:pPr>
      <w:r>
        <w:rPr>
          <w:sz w:val="26"/>
          <w:szCs w:val="26"/>
        </w:rPr>
        <w:t xml:space="preserve">In its Exception No. 13, the OSBA provides that it was an error for the ALJ to conclude that increased LTIIP spending is a significant public benefit of the Proposed Transaction.  OSBA Exc. at 21 (citing R.D. at 60).  The OSBA notes that I&amp;E witness Matthew Matse testified that acceleration of LTIIP spending would be “difficult if not </w:t>
      </w:r>
      <w:r>
        <w:rPr>
          <w:sz w:val="26"/>
          <w:szCs w:val="26"/>
        </w:rPr>
        <w:lastRenderedPageBreak/>
        <w:t xml:space="preserve">impossible.”  OSBA Exc. at 21 (citing OSBA M.B. at 19, OSBA R.B. at 16-17, I&amp;E St.  3 at 8-9).  </w:t>
      </w:r>
    </w:p>
    <w:p w14:paraId="287A44C9" w14:textId="77777777" w:rsidR="00534F4F" w:rsidRDefault="00534F4F" w:rsidP="00B24187">
      <w:pPr>
        <w:pStyle w:val="Default"/>
        <w:spacing w:line="360" w:lineRule="auto"/>
        <w:ind w:firstLine="1440"/>
        <w:rPr>
          <w:sz w:val="26"/>
          <w:szCs w:val="26"/>
        </w:rPr>
      </w:pPr>
    </w:p>
    <w:p w14:paraId="75AD9ADF" w14:textId="77777777" w:rsidR="00534F4F" w:rsidRDefault="00534F4F" w:rsidP="00B24187">
      <w:pPr>
        <w:pStyle w:val="Default"/>
        <w:spacing w:line="360" w:lineRule="auto"/>
        <w:ind w:firstLine="1440"/>
        <w:rPr>
          <w:sz w:val="26"/>
          <w:szCs w:val="26"/>
        </w:rPr>
      </w:pPr>
      <w:r>
        <w:rPr>
          <w:sz w:val="26"/>
          <w:szCs w:val="26"/>
        </w:rPr>
        <w:t xml:space="preserve">The OSBA notes that the Joint Applicants did not offer any detailed analysis of the impact the proposed acceleration in LTIIP spending would have on cost efficiency, rate stability, the obsolescence of the </w:t>
      </w:r>
      <w:r w:rsidRPr="00FE0009">
        <w:rPr>
          <w:sz w:val="26"/>
          <w:szCs w:val="26"/>
        </w:rPr>
        <w:t>plan</w:t>
      </w:r>
      <w:r>
        <w:rPr>
          <w:sz w:val="26"/>
          <w:szCs w:val="26"/>
        </w:rPr>
        <w:t xml:space="preserve">t in place, safety concerns, and the number of affected customers.  OSBA Exc. at 21 (citing M.B. at 19).  The OSBA avers that Aqua America did not undertake any systematic evaluation of the high cost of mains replacement in Pennsylvania or the feasibility of accelerating replacement infrastructure given the limited availability of qualified workers.  OSBA Exc. at 21 (citing OSBA M.B. at 20).  </w:t>
      </w:r>
    </w:p>
    <w:p w14:paraId="201B64A2" w14:textId="77777777" w:rsidR="00534F4F" w:rsidRDefault="00534F4F" w:rsidP="00B24187">
      <w:pPr>
        <w:pStyle w:val="Default"/>
        <w:spacing w:line="360" w:lineRule="auto"/>
        <w:ind w:firstLine="1440"/>
        <w:rPr>
          <w:sz w:val="26"/>
          <w:szCs w:val="26"/>
        </w:rPr>
      </w:pPr>
    </w:p>
    <w:p w14:paraId="55F06BFF" w14:textId="13687BE6" w:rsidR="00534F4F" w:rsidRDefault="00534F4F" w:rsidP="00B24187">
      <w:pPr>
        <w:pStyle w:val="Default"/>
        <w:spacing w:line="360" w:lineRule="auto"/>
        <w:ind w:firstLine="1440"/>
        <w:rPr>
          <w:sz w:val="26"/>
          <w:szCs w:val="26"/>
        </w:rPr>
      </w:pPr>
      <w:r>
        <w:rPr>
          <w:sz w:val="26"/>
          <w:szCs w:val="26"/>
        </w:rPr>
        <w:t xml:space="preserve">The OSBA contends that when viewed from a customer perspective, this commitment will impose higher costs on customers in a shorter amount of time, to replace old pipe which </w:t>
      </w:r>
      <w:r w:rsidR="00865E00">
        <w:rPr>
          <w:sz w:val="26"/>
          <w:szCs w:val="26"/>
        </w:rPr>
        <w:t xml:space="preserve">the </w:t>
      </w:r>
      <w:r>
        <w:rPr>
          <w:sz w:val="26"/>
          <w:szCs w:val="26"/>
        </w:rPr>
        <w:t xml:space="preserve">Peoples </w:t>
      </w:r>
      <w:r w:rsidR="003A591D">
        <w:rPr>
          <w:sz w:val="26"/>
          <w:szCs w:val="26"/>
        </w:rPr>
        <w:t>Companies already</w:t>
      </w:r>
      <w:r>
        <w:rPr>
          <w:sz w:val="26"/>
          <w:szCs w:val="26"/>
        </w:rPr>
        <w:t xml:space="preserve"> committed to do and </w:t>
      </w:r>
      <w:r w:rsidR="00865E00">
        <w:rPr>
          <w:sz w:val="26"/>
          <w:szCs w:val="26"/>
        </w:rPr>
        <w:t>are</w:t>
      </w:r>
      <w:r>
        <w:rPr>
          <w:sz w:val="26"/>
          <w:szCs w:val="26"/>
        </w:rPr>
        <w:t xml:space="preserve"> required to do.  The OSBA states that this commitment is a penalty to ratepayers and therefore not a public benefit.  OSBA Exc. at 22 (citing OSBA M.B. at 21).</w:t>
      </w:r>
      <w:r w:rsidR="003A591D">
        <w:rPr>
          <w:sz w:val="26"/>
          <w:szCs w:val="26"/>
        </w:rPr>
        <w:t xml:space="preserve">  </w:t>
      </w:r>
    </w:p>
    <w:p w14:paraId="036C0AFA" w14:textId="77777777" w:rsidR="00534F4F" w:rsidRDefault="00534F4F" w:rsidP="00B24187">
      <w:pPr>
        <w:pStyle w:val="Default"/>
        <w:spacing w:line="360" w:lineRule="auto"/>
        <w:ind w:firstLine="1440"/>
        <w:rPr>
          <w:sz w:val="26"/>
          <w:szCs w:val="26"/>
        </w:rPr>
      </w:pPr>
    </w:p>
    <w:p w14:paraId="62EDDD87" w14:textId="77777777" w:rsidR="00534F4F" w:rsidRDefault="00534F4F" w:rsidP="00B24187">
      <w:pPr>
        <w:pStyle w:val="Default"/>
        <w:spacing w:line="360" w:lineRule="auto"/>
        <w:ind w:firstLine="1440"/>
        <w:rPr>
          <w:sz w:val="26"/>
          <w:szCs w:val="26"/>
        </w:rPr>
      </w:pPr>
      <w:r>
        <w:rPr>
          <w:sz w:val="26"/>
          <w:szCs w:val="26"/>
        </w:rPr>
        <w:t xml:space="preserve">In their Replies, the Joint Applicants disagree with I&amp;E’s argument that the commitment to accelerate the replacement of at-risk pipelines does not constitute a benefit “unless and until” the pipeline is replaced.  Joint Applicants R. Exc. at 15 (citing I&amp;E Exc. at 5).  The Joint Applicants state that the ALJ concluded correctly that making this commitment is sufficient to satisfy the affirmative public benefit standard as the filing of a modified LTIIP is required to implement this commitment and the Commission has never rejected an LTIIP filing proposing further acceleration.  Joint Applicants R. Exc. at 15 (citing R.D. at 58-59; Joint Applicants R.B. at 29-30).  </w:t>
      </w:r>
    </w:p>
    <w:p w14:paraId="5A587389" w14:textId="77777777" w:rsidR="00534F4F" w:rsidRDefault="00534F4F" w:rsidP="00B24187">
      <w:pPr>
        <w:pStyle w:val="Default"/>
        <w:spacing w:line="360" w:lineRule="auto"/>
        <w:ind w:firstLine="1440"/>
        <w:rPr>
          <w:sz w:val="26"/>
          <w:szCs w:val="26"/>
        </w:rPr>
      </w:pPr>
    </w:p>
    <w:p w14:paraId="0E553367" w14:textId="77777777" w:rsidR="00534F4F" w:rsidRDefault="00534F4F" w:rsidP="00B24187">
      <w:pPr>
        <w:pStyle w:val="Default"/>
        <w:spacing w:line="360" w:lineRule="auto"/>
        <w:ind w:firstLine="1440"/>
        <w:rPr>
          <w:sz w:val="26"/>
          <w:szCs w:val="26"/>
        </w:rPr>
      </w:pPr>
      <w:r>
        <w:rPr>
          <w:sz w:val="26"/>
          <w:szCs w:val="26"/>
        </w:rPr>
        <w:t xml:space="preserve">The Joint Applicants note that I&amp;E’s assertion that the Peoples Companies only met their LTIIP goals for two years between 2013 and 2018 “misstates its own </w:t>
      </w:r>
      <w:r>
        <w:rPr>
          <w:sz w:val="26"/>
          <w:szCs w:val="26"/>
        </w:rPr>
        <w:lastRenderedPageBreak/>
        <w:t xml:space="preserve">testimony.”  According to the Joint Applicants, the actual evidence shows that the Peoples Companies have exceeded their LTIIP replacements in four of six years and are thirteen years ahead of the LTIIP.  Joint Applicants R. Exc. at 15 (citing I&amp;E St. 3 at 6-7; I&amp;E St. 3 at 7).  </w:t>
      </w:r>
    </w:p>
    <w:p w14:paraId="75A1A7B8" w14:textId="77777777" w:rsidR="00534F4F" w:rsidRDefault="00534F4F" w:rsidP="00B24187">
      <w:pPr>
        <w:pStyle w:val="Default"/>
        <w:spacing w:line="360" w:lineRule="auto"/>
        <w:ind w:firstLine="1440"/>
        <w:rPr>
          <w:sz w:val="26"/>
          <w:szCs w:val="26"/>
        </w:rPr>
      </w:pPr>
    </w:p>
    <w:p w14:paraId="55AC2B9D" w14:textId="096939A2" w:rsidR="00534F4F" w:rsidRDefault="00534F4F" w:rsidP="00B24187">
      <w:pPr>
        <w:pStyle w:val="Default"/>
        <w:spacing w:line="360" w:lineRule="auto"/>
        <w:ind w:firstLine="1440"/>
        <w:rPr>
          <w:sz w:val="26"/>
          <w:szCs w:val="26"/>
        </w:rPr>
      </w:pPr>
      <w:r>
        <w:rPr>
          <w:sz w:val="26"/>
          <w:szCs w:val="26"/>
        </w:rPr>
        <w:t xml:space="preserve">The Joint Applicants aver that the OSBA’s assertion that the acceleration is a detriment is in direct opposition to the Legislature’s efforts to encourage accelerated pipeline replacement.  Joint Applicants R. Exc. at 16 (citing I&amp;E Exc. at 18-19; OSBA Exc. at 20-22, </w:t>
      </w:r>
      <w:r w:rsidRPr="00D70BD6">
        <w:rPr>
          <w:i/>
          <w:iCs/>
          <w:sz w:val="26"/>
          <w:szCs w:val="26"/>
        </w:rPr>
        <w:t>Act 11 of 2012</w:t>
      </w:r>
      <w:r>
        <w:rPr>
          <w:sz w:val="26"/>
          <w:szCs w:val="26"/>
        </w:rPr>
        <w:t xml:space="preserve">, P.L. 72, No. 11).  The Joint Applicants also note that these assertions ignore two considerations identified in the R.D.: (1) the $30 million of additional investment was chosen to balance cost to ratepayers with improvements to safety and reliability; and (2) </w:t>
      </w:r>
      <w:r w:rsidR="00557927">
        <w:rPr>
          <w:sz w:val="26"/>
          <w:szCs w:val="26"/>
        </w:rPr>
        <w:t xml:space="preserve">the </w:t>
      </w:r>
      <w:r>
        <w:rPr>
          <w:sz w:val="26"/>
          <w:szCs w:val="26"/>
        </w:rPr>
        <w:t xml:space="preserve">cost-recovery for these investments remains subject to Commission review.  Joint Applicants R. Exc. at 16 (citing Tr. at 177-78; R.D. at 59-60).  </w:t>
      </w:r>
    </w:p>
    <w:p w14:paraId="491203EC" w14:textId="77777777" w:rsidR="00534F4F" w:rsidRDefault="00534F4F" w:rsidP="00B24187">
      <w:pPr>
        <w:pStyle w:val="Default"/>
        <w:spacing w:line="360" w:lineRule="auto"/>
        <w:ind w:firstLine="1440"/>
        <w:rPr>
          <w:sz w:val="26"/>
          <w:szCs w:val="26"/>
        </w:rPr>
      </w:pPr>
    </w:p>
    <w:p w14:paraId="532D3F10" w14:textId="77777777" w:rsidR="00534F4F" w:rsidRDefault="00534F4F" w:rsidP="005B0616">
      <w:pPr>
        <w:pStyle w:val="Heading4"/>
        <w:widowControl/>
        <w:ind w:left="2160" w:hanging="720"/>
      </w:pPr>
      <w:bookmarkStart w:id="87" w:name="_Toc29278208"/>
      <w:r w:rsidRPr="00C42347">
        <w:t>Disposition</w:t>
      </w:r>
      <w:bookmarkEnd w:id="87"/>
    </w:p>
    <w:p w14:paraId="09D929D9" w14:textId="77777777" w:rsidR="00534F4F" w:rsidRPr="002303AC" w:rsidRDefault="00534F4F" w:rsidP="005B0616">
      <w:pPr>
        <w:keepNext/>
        <w:widowControl/>
        <w:spacing w:line="360" w:lineRule="auto"/>
      </w:pPr>
    </w:p>
    <w:p w14:paraId="6B2725EC" w14:textId="00C0BD8A" w:rsidR="00534F4F" w:rsidRDefault="00534F4F" w:rsidP="005B0616">
      <w:pPr>
        <w:pStyle w:val="Default"/>
        <w:keepNext/>
        <w:spacing w:line="360" w:lineRule="auto"/>
        <w:ind w:firstLine="1440"/>
        <w:rPr>
          <w:sz w:val="26"/>
          <w:szCs w:val="26"/>
        </w:rPr>
      </w:pPr>
      <w:r>
        <w:rPr>
          <w:sz w:val="26"/>
          <w:szCs w:val="26"/>
        </w:rPr>
        <w:t>Upon review, we will deny I&amp;E</w:t>
      </w:r>
      <w:r w:rsidR="00557927">
        <w:rPr>
          <w:sz w:val="26"/>
          <w:szCs w:val="26"/>
        </w:rPr>
        <w:t>’s</w:t>
      </w:r>
      <w:r>
        <w:rPr>
          <w:sz w:val="26"/>
          <w:szCs w:val="26"/>
        </w:rPr>
        <w:t xml:space="preserve"> and the OSBA’s Exceptions regarding the acceleration of at-risk pipe, conditioned upon the submittal by the Joint Applicants of a modified LTIIP within six months of the closing of the Proposed Transaction.  While I&amp;E contends that the accelerated LTIIP is not a benefit until the new pipe is actually in place, we find that the Joint Applicants’ commitment to file an accelerated LTIIP is sufficient to constitute a substantial public benefit.  We disagree with I&amp;E’s argument that the accelerated LTIIP is not a benefit as it could have occurred absent the Proposed Transaction.  A modified LTIIP was not required by the Commission and was not planned at this time.  We note that SteelRiver had not filed an accelerated LTIIP filing with additional capital investment of $30 million per year starting in 2021 at the time of the </w:t>
      </w:r>
      <w:r w:rsidR="00865E00">
        <w:rPr>
          <w:sz w:val="26"/>
          <w:szCs w:val="26"/>
        </w:rPr>
        <w:t xml:space="preserve">Joint </w:t>
      </w:r>
      <w:r>
        <w:rPr>
          <w:sz w:val="26"/>
          <w:szCs w:val="26"/>
        </w:rPr>
        <w:t xml:space="preserve">Application.  </w:t>
      </w:r>
    </w:p>
    <w:p w14:paraId="57E6C27F" w14:textId="77777777" w:rsidR="00534F4F" w:rsidRDefault="00534F4F" w:rsidP="00B24187">
      <w:pPr>
        <w:pStyle w:val="Default"/>
        <w:spacing w:line="360" w:lineRule="auto"/>
        <w:ind w:firstLine="1440"/>
        <w:rPr>
          <w:sz w:val="26"/>
          <w:szCs w:val="26"/>
        </w:rPr>
      </w:pPr>
    </w:p>
    <w:p w14:paraId="4AC07467" w14:textId="521D221C" w:rsidR="00534F4F" w:rsidRDefault="00534F4F" w:rsidP="00B24187">
      <w:pPr>
        <w:pStyle w:val="Default"/>
        <w:spacing w:line="360" w:lineRule="auto"/>
        <w:ind w:firstLine="1440"/>
        <w:rPr>
          <w:sz w:val="26"/>
          <w:szCs w:val="26"/>
        </w:rPr>
      </w:pPr>
      <w:r>
        <w:rPr>
          <w:sz w:val="26"/>
          <w:szCs w:val="26"/>
        </w:rPr>
        <w:lastRenderedPageBreak/>
        <w:t>We also disagree with I&amp;E</w:t>
      </w:r>
      <w:r w:rsidR="00557927">
        <w:rPr>
          <w:sz w:val="26"/>
          <w:szCs w:val="26"/>
        </w:rPr>
        <w:t>’s</w:t>
      </w:r>
      <w:r>
        <w:rPr>
          <w:sz w:val="26"/>
          <w:szCs w:val="26"/>
        </w:rPr>
        <w:t xml:space="preserve"> and the OSBA’s argument that since the proposed LTIIP must be approved by the Commission, it should be considered “speculative.”  The evidence before us supports a finding of an affirmative benefit, and the benefit is not required to be quantified or realized at this point in the transaction.  </w:t>
      </w:r>
      <w:r w:rsidRPr="00310974">
        <w:rPr>
          <w:i/>
          <w:iCs/>
          <w:sz w:val="26"/>
          <w:szCs w:val="26"/>
        </w:rPr>
        <w:t>Popowsky</w:t>
      </w:r>
      <w:r>
        <w:rPr>
          <w:sz w:val="26"/>
          <w:szCs w:val="26"/>
        </w:rPr>
        <w:t>, 937 A.2d at 1057.  Moreover, as the ALJ provided, there is no evidence that the Commission has ever rejected an LTIIP filing proposing a further acceleration.</w:t>
      </w:r>
      <w:r w:rsidRPr="00B51371">
        <w:rPr>
          <w:rStyle w:val="FootnoteReference"/>
          <w:sz w:val="26"/>
          <w:szCs w:val="26"/>
        </w:rPr>
        <w:t xml:space="preserve"> </w:t>
      </w:r>
      <w:r>
        <w:rPr>
          <w:sz w:val="26"/>
          <w:szCs w:val="26"/>
        </w:rPr>
        <w:t xml:space="preserve"> </w:t>
      </w:r>
      <w:r>
        <w:rPr>
          <w:i/>
          <w:iCs/>
          <w:sz w:val="26"/>
          <w:szCs w:val="26"/>
        </w:rPr>
        <w:t xml:space="preserve">See </w:t>
      </w:r>
      <w:r w:rsidRPr="000848E6">
        <w:rPr>
          <w:i/>
          <w:iCs/>
          <w:sz w:val="26"/>
          <w:szCs w:val="26"/>
        </w:rPr>
        <w:t>Joint Application of Peoples Natural Gas Co LLC, Peoples TWP LLC and Equitable Gas Company LLC</w:t>
      </w:r>
      <w:r w:rsidRPr="00F106DC">
        <w:rPr>
          <w:sz w:val="26"/>
          <w:szCs w:val="26"/>
        </w:rPr>
        <w:t>, Docket No. A-2013-2353647</w:t>
      </w:r>
      <w:r>
        <w:rPr>
          <w:sz w:val="26"/>
          <w:szCs w:val="26"/>
        </w:rPr>
        <w:t>,</w:t>
      </w:r>
      <w:r w:rsidRPr="00F106DC">
        <w:rPr>
          <w:sz w:val="26"/>
          <w:szCs w:val="26"/>
        </w:rPr>
        <w:t xml:space="preserve"> at 15</w:t>
      </w:r>
      <w:r>
        <w:rPr>
          <w:sz w:val="26"/>
          <w:szCs w:val="26"/>
        </w:rPr>
        <w:t>, 67</w:t>
      </w:r>
      <w:r w:rsidRPr="00F106DC">
        <w:rPr>
          <w:sz w:val="26"/>
          <w:szCs w:val="26"/>
        </w:rPr>
        <w:t xml:space="preserve"> (Initial Decision </w:t>
      </w:r>
      <w:r>
        <w:rPr>
          <w:sz w:val="26"/>
          <w:szCs w:val="26"/>
        </w:rPr>
        <w:t>issued</w:t>
      </w:r>
      <w:r w:rsidRPr="00F106DC">
        <w:rPr>
          <w:sz w:val="26"/>
          <w:szCs w:val="26"/>
        </w:rPr>
        <w:t xml:space="preserve"> Nov</w:t>
      </w:r>
      <w:r>
        <w:rPr>
          <w:sz w:val="26"/>
          <w:szCs w:val="26"/>
        </w:rPr>
        <w:t>ember</w:t>
      </w:r>
      <w:r w:rsidRPr="00F106DC">
        <w:rPr>
          <w:sz w:val="26"/>
          <w:szCs w:val="26"/>
        </w:rPr>
        <w:t xml:space="preserve"> 6, 2013) (</w:t>
      </w:r>
      <w:r>
        <w:rPr>
          <w:sz w:val="26"/>
          <w:szCs w:val="26"/>
        </w:rPr>
        <w:t>Final</w:t>
      </w:r>
      <w:r w:rsidRPr="00F106DC">
        <w:rPr>
          <w:sz w:val="26"/>
          <w:szCs w:val="26"/>
        </w:rPr>
        <w:t xml:space="preserve"> Order entered November 14, 2013)</w:t>
      </w:r>
      <w:r>
        <w:rPr>
          <w:sz w:val="26"/>
          <w:szCs w:val="26"/>
        </w:rPr>
        <w:t xml:space="preserve"> (finding Peoples commitment to continue its acceleration of replacing higher risk pipe to be an affirmative public benefit)</w:t>
      </w:r>
      <w:r w:rsidRPr="00F106DC">
        <w:rPr>
          <w:sz w:val="26"/>
          <w:szCs w:val="26"/>
        </w:rPr>
        <w:t>.</w:t>
      </w:r>
      <w:r>
        <w:rPr>
          <w:sz w:val="26"/>
          <w:szCs w:val="26"/>
        </w:rPr>
        <w:t xml:space="preserve">  This is a sound proposal to increase </w:t>
      </w:r>
      <w:r w:rsidR="00557927">
        <w:rPr>
          <w:sz w:val="26"/>
          <w:szCs w:val="26"/>
        </w:rPr>
        <w:t xml:space="preserve">the </w:t>
      </w:r>
      <w:r>
        <w:rPr>
          <w:sz w:val="26"/>
          <w:szCs w:val="26"/>
        </w:rPr>
        <w:t xml:space="preserve">miles </w:t>
      </w:r>
      <w:r w:rsidR="00557927">
        <w:rPr>
          <w:sz w:val="26"/>
          <w:szCs w:val="26"/>
        </w:rPr>
        <w:t xml:space="preserve">of pipe </w:t>
      </w:r>
      <w:r>
        <w:rPr>
          <w:sz w:val="26"/>
          <w:szCs w:val="26"/>
        </w:rPr>
        <w:t xml:space="preserve">replaced and dollars spent by about 18% annually.  Joint Applicants St. 5-R at 18.  </w:t>
      </w:r>
    </w:p>
    <w:p w14:paraId="543E6D55" w14:textId="77777777" w:rsidR="003D471F" w:rsidRDefault="003D471F" w:rsidP="00B24187">
      <w:pPr>
        <w:pStyle w:val="Default"/>
        <w:spacing w:line="360" w:lineRule="auto"/>
        <w:ind w:firstLine="1440"/>
        <w:rPr>
          <w:sz w:val="26"/>
          <w:szCs w:val="26"/>
        </w:rPr>
      </w:pPr>
    </w:p>
    <w:p w14:paraId="79F52E84" w14:textId="6515EFF5" w:rsidR="00534F4F" w:rsidRDefault="00534F4F" w:rsidP="00B24187">
      <w:pPr>
        <w:pStyle w:val="Default"/>
        <w:spacing w:line="360" w:lineRule="auto"/>
        <w:ind w:firstLine="1440"/>
        <w:rPr>
          <w:sz w:val="26"/>
          <w:szCs w:val="26"/>
        </w:rPr>
      </w:pPr>
      <w:r>
        <w:rPr>
          <w:sz w:val="26"/>
          <w:szCs w:val="26"/>
        </w:rPr>
        <w:t xml:space="preserve">We note that the ALJ’s determination that the accelerated LTIIP is a substantial benefit was based on several factors: (1) </w:t>
      </w:r>
      <w:r w:rsidR="00557927">
        <w:rPr>
          <w:sz w:val="26"/>
          <w:szCs w:val="26"/>
        </w:rPr>
        <w:t xml:space="preserve">the </w:t>
      </w:r>
      <w:r>
        <w:rPr>
          <w:sz w:val="26"/>
          <w:szCs w:val="26"/>
        </w:rPr>
        <w:t xml:space="preserve">increased spending of $30 million per year to allow for an increase of approximately twenty-five additional miles of at-risk pipe; (2) levelizing the at-risk pipe replacement as suggested by I&amp;E to address more higher risk pipe sooner; and (3) the potential hiring of 100 additional employees, inclusive of contracted labor and Peoples Companies’ employees.  As stated in </w:t>
      </w:r>
      <w:r w:rsidRPr="00DE69B9">
        <w:rPr>
          <w:i/>
          <w:iCs/>
          <w:sz w:val="26"/>
          <w:szCs w:val="26"/>
        </w:rPr>
        <w:t>Popowsky</w:t>
      </w:r>
      <w:r>
        <w:rPr>
          <w:sz w:val="26"/>
          <w:szCs w:val="26"/>
        </w:rPr>
        <w:t xml:space="preserve">, the Commission “properly applies a preponderance of the evidence standard to make factually-based determinations (including predictive ones informed by expert judgment) concerning certification matters.”  </w:t>
      </w:r>
      <w:r w:rsidRPr="001373A0">
        <w:rPr>
          <w:i/>
          <w:iCs/>
          <w:sz w:val="26"/>
          <w:szCs w:val="26"/>
        </w:rPr>
        <w:t>Popowsky</w:t>
      </w:r>
      <w:r>
        <w:rPr>
          <w:sz w:val="26"/>
          <w:szCs w:val="26"/>
        </w:rPr>
        <w:t xml:space="preserve">, 937 A.2d at 1057.  The evidence in this case demonstrates that the acceleration of the replacement of at-risk pipe, as agreed to by the Settling Parties in the context of this Proposed Transaction, would improve the safety of the system for customers and the public.  The Peoples Companies provided that the number of customers remaining on at-risk pipe will be 62% of the original number served off at-risk pipe at the end of 2021.  The current LTIIP will reduce that number by 25% by 2026, and the modified LTIIP will reduce that number even further with the accelerated replacement of twenty-five miles of at-risk pipe annually.  </w:t>
      </w:r>
      <w:r>
        <w:rPr>
          <w:sz w:val="26"/>
          <w:szCs w:val="26"/>
        </w:rPr>
        <w:lastRenderedPageBreak/>
        <w:t>The initial acceleration will occur in urban areas with a higher concentration of customers per mile of pipe, with the result of less customers being served off of high-risk pipe.  Joint Applicants St. 3 at 8.</w:t>
      </w:r>
    </w:p>
    <w:p w14:paraId="4E067996" w14:textId="77777777" w:rsidR="00534F4F" w:rsidRDefault="00534F4F" w:rsidP="00B24187">
      <w:pPr>
        <w:pStyle w:val="Default"/>
        <w:spacing w:line="360" w:lineRule="auto"/>
        <w:ind w:firstLine="1440"/>
        <w:rPr>
          <w:sz w:val="26"/>
          <w:szCs w:val="26"/>
        </w:rPr>
      </w:pPr>
    </w:p>
    <w:p w14:paraId="69733E3D" w14:textId="77777777" w:rsidR="00534F4F" w:rsidRPr="00AF7970" w:rsidRDefault="00534F4F" w:rsidP="00B24187">
      <w:pPr>
        <w:pStyle w:val="FootnoteText"/>
        <w:spacing w:line="360" w:lineRule="auto"/>
        <w:rPr>
          <w:sz w:val="26"/>
          <w:szCs w:val="26"/>
        </w:rPr>
      </w:pPr>
      <w:r>
        <w:rPr>
          <w:sz w:val="26"/>
          <w:szCs w:val="26"/>
        </w:rPr>
        <w:tab/>
      </w:r>
      <w:r>
        <w:rPr>
          <w:sz w:val="26"/>
          <w:szCs w:val="26"/>
        </w:rPr>
        <w:tab/>
      </w:r>
      <w:r w:rsidRPr="00AF7970">
        <w:rPr>
          <w:sz w:val="26"/>
          <w:szCs w:val="26"/>
        </w:rPr>
        <w:t xml:space="preserve">We disagree with the OSBA’s contention that the modified LTIIP spending is a “penalty” to ratepayers.  The ALJ pointed out that the Joint Applicants arrived at the figure of $30 million of LTIIP acceleration spending to move the replacement program forward faster at a pace that would not drive rates to a higher level.  R.D. at 59 (citing Tr. at 177-78).  The Joint Applicants will be required to show that the LTIIP spending is cost effective and in accordance with the Code.  See 66 Pa. C.S. §§ 1350-1360.  In addition, the approval of spending in an LTIIP is not an approval of cost recovery in the DSIC, and the Joint Applicants will be required to make a showing that the costs should be recovered.  OCA R.B. at 16.  The DSIC is a ratemaking mechanism that allows for the recovery of prudently incurred costs related to the repair, improvement and replacement of eligible utility infrastructure through a surcharge that is subject to reconciliation, audit and other consumer protections.  A precondition to obtaining approval of a DSIC is the filing and approval of an LTIIP.  </w:t>
      </w:r>
      <w:r w:rsidRPr="00AF7970">
        <w:rPr>
          <w:i/>
          <w:iCs/>
          <w:sz w:val="26"/>
          <w:szCs w:val="26"/>
        </w:rPr>
        <w:t>Review of Long-Term Infrastructure improvement Plan</w:t>
      </w:r>
      <w:r w:rsidRPr="00AF7970">
        <w:rPr>
          <w:sz w:val="26"/>
          <w:szCs w:val="26"/>
        </w:rPr>
        <w:t xml:space="preserve">, </w:t>
      </w:r>
      <w:r w:rsidRPr="00AF7970">
        <w:rPr>
          <w:i/>
          <w:iCs/>
          <w:sz w:val="26"/>
          <w:szCs w:val="26"/>
        </w:rPr>
        <w:t>Final Rulemaking Order</w:t>
      </w:r>
      <w:r w:rsidRPr="00AF7970">
        <w:rPr>
          <w:sz w:val="26"/>
          <w:szCs w:val="26"/>
        </w:rPr>
        <w:t xml:space="preserve">, Docket No. L-2012-2317274 (Order Entered May 23, 2014).  </w:t>
      </w:r>
    </w:p>
    <w:p w14:paraId="0527A6B2" w14:textId="77777777" w:rsidR="00534F4F" w:rsidRDefault="00534F4F" w:rsidP="00B24187">
      <w:pPr>
        <w:pStyle w:val="Default"/>
        <w:spacing w:line="360" w:lineRule="auto"/>
        <w:ind w:firstLine="1440"/>
        <w:rPr>
          <w:sz w:val="26"/>
          <w:szCs w:val="26"/>
        </w:rPr>
      </w:pPr>
    </w:p>
    <w:p w14:paraId="5D32A9CB" w14:textId="77777777" w:rsidR="00534F4F" w:rsidRDefault="00534F4F" w:rsidP="00B24187">
      <w:pPr>
        <w:pStyle w:val="Default"/>
        <w:spacing w:line="360" w:lineRule="auto"/>
        <w:ind w:firstLine="1440"/>
        <w:rPr>
          <w:sz w:val="26"/>
          <w:szCs w:val="26"/>
        </w:rPr>
      </w:pPr>
      <w:r>
        <w:rPr>
          <w:sz w:val="26"/>
          <w:szCs w:val="26"/>
        </w:rPr>
        <w:t xml:space="preserve">We are not persuaded by the OSBA’s argument that Aqua America did not provide a cost analysis or evaluate the high cost of the LTIIP acceleration.  The Peoples Companies have had an LTIIP since 2013.  In that time, the Peoples Companies have gained experience with the cost and feasibility of projects required to carry out an LTIIP.  We note that the Peoples Companies met their LTIIP targets for four out of the six previous years (2013-2018) and were thirteen miles ahead as of December 31, 2018.  </w:t>
      </w:r>
      <w:r w:rsidRPr="00106728">
        <w:rPr>
          <w:sz w:val="26"/>
          <w:szCs w:val="26"/>
        </w:rPr>
        <w:t>I&amp;E St. 3 at 6.</w:t>
      </w:r>
      <w:r>
        <w:rPr>
          <w:sz w:val="26"/>
          <w:szCs w:val="26"/>
        </w:rPr>
        <w:t xml:space="preserve">  Based on this past performance level, it is not inconceivable that the Peoples Companies will meet the accelerated LTIIP levels.  As the ALJ provided, the intervenors representing organized labor testified that there are union personnel available to fill the forecasted need for an additional 100 employees to facilitate the accelerated pipe </w:t>
      </w:r>
      <w:r>
        <w:rPr>
          <w:sz w:val="26"/>
          <w:szCs w:val="26"/>
        </w:rPr>
        <w:lastRenderedPageBreak/>
        <w:t>replacement.  We find that the commitment by the Joint Applicants in the Settlement to an accelerated level of at-risk pipe replacement, with the highest risk pipe replaced at the beginning years of the modified LTIIP, is a substantial benefit to the public.  More customers will be removed from at-risk pipe at a faster rate, making the system safer for customers and the public.</w:t>
      </w:r>
    </w:p>
    <w:p w14:paraId="7BA8B43F" w14:textId="77777777" w:rsidR="00534F4F" w:rsidRPr="003B5D6D" w:rsidRDefault="00534F4F" w:rsidP="00B24187">
      <w:pPr>
        <w:pStyle w:val="Default"/>
        <w:spacing w:line="360" w:lineRule="auto"/>
        <w:ind w:firstLine="1440"/>
        <w:rPr>
          <w:sz w:val="26"/>
          <w:szCs w:val="26"/>
        </w:rPr>
      </w:pPr>
    </w:p>
    <w:p w14:paraId="1217DD7C" w14:textId="53867E0D" w:rsidR="00534F4F" w:rsidRDefault="00534F4F" w:rsidP="00B24187">
      <w:pPr>
        <w:widowControl/>
        <w:spacing w:line="360" w:lineRule="auto"/>
        <w:rPr>
          <w:sz w:val="26"/>
        </w:rPr>
      </w:pPr>
      <w:r w:rsidRPr="003B5D6D">
        <w:rPr>
          <w:sz w:val="26"/>
          <w:szCs w:val="26"/>
        </w:rPr>
        <w:tab/>
      </w:r>
      <w:r w:rsidRPr="003B5D6D">
        <w:rPr>
          <w:sz w:val="26"/>
          <w:szCs w:val="26"/>
        </w:rPr>
        <w:tab/>
        <w:t xml:space="preserve">In addressing this issue, we note that while Paragraph 69 of the Settlement does not specifically state this, the Joint Applicants committed to filing the revised LTIIP within six months of the closing of the Proposed Transaction.  </w:t>
      </w:r>
      <w:r w:rsidRPr="003B5D6D">
        <w:rPr>
          <w:i/>
          <w:iCs/>
          <w:sz w:val="26"/>
          <w:szCs w:val="26"/>
        </w:rPr>
        <w:t>See</w:t>
      </w:r>
      <w:r w:rsidRPr="003B5D6D">
        <w:rPr>
          <w:sz w:val="26"/>
          <w:szCs w:val="26"/>
        </w:rPr>
        <w:t xml:space="preserve"> R.D. at 56; Joint Applicants St. 5-R at 22.  </w:t>
      </w:r>
      <w:r w:rsidRPr="002E671D">
        <w:rPr>
          <w:sz w:val="26"/>
          <w:szCs w:val="26"/>
        </w:rPr>
        <w:t xml:space="preserve">Accordingly, we </w:t>
      </w:r>
      <w:r w:rsidR="002E671D" w:rsidRPr="002E671D">
        <w:rPr>
          <w:sz w:val="26"/>
          <w:szCs w:val="26"/>
        </w:rPr>
        <w:t xml:space="preserve">will modify the Settlement to </w:t>
      </w:r>
      <w:r w:rsidRPr="002E671D">
        <w:rPr>
          <w:sz w:val="26"/>
          <w:szCs w:val="26"/>
        </w:rPr>
        <w:t xml:space="preserve">direct that </w:t>
      </w:r>
      <w:r w:rsidRPr="002E671D">
        <w:rPr>
          <w:sz w:val="26"/>
        </w:rPr>
        <w:t xml:space="preserve">the Peoples Companies shall file a modified </w:t>
      </w:r>
      <w:r w:rsidR="00865E00">
        <w:rPr>
          <w:sz w:val="26"/>
        </w:rPr>
        <w:t>LTIIP</w:t>
      </w:r>
      <w:r w:rsidRPr="002E671D">
        <w:rPr>
          <w:sz w:val="26"/>
        </w:rPr>
        <w:t xml:space="preserve"> within six months of the closing of the Proposed Transaction, consistent with this Opinion and Order.</w:t>
      </w:r>
      <w:r w:rsidR="002E671D">
        <w:rPr>
          <w:sz w:val="26"/>
        </w:rPr>
        <w:t xml:space="preserve">  Paragraph 69 of the Settlement will be modified to read as follows:</w:t>
      </w:r>
      <w:r>
        <w:rPr>
          <w:sz w:val="26"/>
        </w:rPr>
        <w:t xml:space="preserve">  </w:t>
      </w:r>
    </w:p>
    <w:p w14:paraId="3898969E" w14:textId="77777777" w:rsidR="002E671D" w:rsidRDefault="002E671D" w:rsidP="00B24187">
      <w:pPr>
        <w:widowControl/>
        <w:spacing w:line="360" w:lineRule="auto"/>
        <w:rPr>
          <w:sz w:val="26"/>
        </w:rPr>
      </w:pPr>
    </w:p>
    <w:p w14:paraId="50D70A8F" w14:textId="3A740944" w:rsidR="002E671D" w:rsidRPr="003B5D6D" w:rsidRDefault="002E671D" w:rsidP="00222B7C">
      <w:pPr>
        <w:widowControl/>
        <w:ind w:left="1440" w:right="1440"/>
        <w:rPr>
          <w:sz w:val="26"/>
        </w:rPr>
      </w:pPr>
      <w:r w:rsidRPr="009373E2">
        <w:rPr>
          <w:color w:val="000000"/>
          <w:sz w:val="26"/>
          <w:szCs w:val="26"/>
        </w:rPr>
        <w:t>69.</w:t>
      </w:r>
      <w:r w:rsidR="00364103">
        <w:rPr>
          <w:color w:val="000000"/>
          <w:sz w:val="26"/>
          <w:szCs w:val="26"/>
        </w:rPr>
        <w:tab/>
      </w:r>
      <w:r w:rsidRPr="009373E2">
        <w:rPr>
          <w:color w:val="000000"/>
          <w:sz w:val="26"/>
          <w:szCs w:val="26"/>
        </w:rPr>
        <w:t xml:space="preserve">Aqua America commits to continue to meet the Peoples Companies’ Combined Distribution Long Term Infrastructure Improvement Plan (“LTIIP”). </w:t>
      </w:r>
      <w:r>
        <w:rPr>
          <w:color w:val="000000"/>
          <w:sz w:val="26"/>
          <w:szCs w:val="26"/>
        </w:rPr>
        <w:t xml:space="preserve"> </w:t>
      </w:r>
      <w:r w:rsidRPr="009373E2">
        <w:rPr>
          <w:color w:val="000000"/>
          <w:sz w:val="26"/>
          <w:szCs w:val="26"/>
        </w:rPr>
        <w:t xml:space="preserve">In addition, Aqua America </w:t>
      </w:r>
      <w:r w:rsidRPr="009373E2">
        <w:rPr>
          <w:color w:val="000000"/>
          <w:spacing w:val="-1"/>
          <w:sz w:val="26"/>
          <w:szCs w:val="26"/>
        </w:rPr>
        <w:t xml:space="preserve">commits to further accelerate the replacement of higher risk pipe, with a focus on its distribution assets totaling at least $30 million per year and approximately 25 miles per year of distribution pipe. </w:t>
      </w:r>
      <w:r>
        <w:rPr>
          <w:color w:val="000000"/>
          <w:spacing w:val="-1"/>
          <w:sz w:val="26"/>
          <w:szCs w:val="26"/>
        </w:rPr>
        <w:t xml:space="preserve"> </w:t>
      </w:r>
      <w:r w:rsidRPr="009373E2">
        <w:rPr>
          <w:color w:val="000000"/>
          <w:spacing w:val="-1"/>
          <w:sz w:val="26"/>
          <w:szCs w:val="26"/>
        </w:rPr>
        <w:t xml:space="preserve">In order to accomplish this, the Peoples Companies will file a modified LTIIP </w:t>
      </w:r>
      <w:r w:rsidR="00AC1D19" w:rsidRPr="00AC1D19">
        <w:rPr>
          <w:color w:val="000000"/>
          <w:spacing w:val="-1"/>
          <w:sz w:val="26"/>
          <w:szCs w:val="26"/>
          <w:u w:val="single"/>
        </w:rPr>
        <w:t>within six months</w:t>
      </w:r>
      <w:r w:rsidR="00AC1D19">
        <w:rPr>
          <w:color w:val="000000"/>
          <w:spacing w:val="-1"/>
          <w:sz w:val="26"/>
          <w:szCs w:val="26"/>
        </w:rPr>
        <w:t xml:space="preserve"> </w:t>
      </w:r>
      <w:r w:rsidRPr="009373E2">
        <w:rPr>
          <w:color w:val="000000"/>
          <w:spacing w:val="-1"/>
          <w:sz w:val="26"/>
          <w:szCs w:val="26"/>
        </w:rPr>
        <w:t xml:space="preserve">after closing that will propose this further acceleration of the replacement of </w:t>
      </w:r>
      <w:r w:rsidR="003A591D" w:rsidRPr="009373E2">
        <w:rPr>
          <w:color w:val="000000"/>
          <w:spacing w:val="-1"/>
          <w:sz w:val="26"/>
          <w:szCs w:val="26"/>
        </w:rPr>
        <w:t>high</w:t>
      </w:r>
      <w:r w:rsidR="003A591D">
        <w:rPr>
          <w:color w:val="000000"/>
          <w:spacing w:val="-1"/>
          <w:sz w:val="26"/>
          <w:szCs w:val="26"/>
        </w:rPr>
        <w:t>-risk</w:t>
      </w:r>
      <w:r w:rsidRPr="009373E2">
        <w:rPr>
          <w:color w:val="000000"/>
          <w:spacing w:val="-1"/>
          <w:sz w:val="26"/>
          <w:szCs w:val="26"/>
        </w:rPr>
        <w:t xml:space="preserve"> pipe. </w:t>
      </w:r>
      <w:r>
        <w:rPr>
          <w:color w:val="000000"/>
          <w:spacing w:val="-1"/>
          <w:sz w:val="26"/>
          <w:szCs w:val="26"/>
        </w:rPr>
        <w:t xml:space="preserve"> </w:t>
      </w:r>
      <w:r w:rsidRPr="009373E2">
        <w:rPr>
          <w:color w:val="000000"/>
          <w:spacing w:val="-1"/>
          <w:sz w:val="26"/>
          <w:szCs w:val="26"/>
        </w:rPr>
        <w:t xml:space="preserve">The Peoples Companies will plan for pipe replacement needs in connection with the Peoples Companies’ modified LTIIP and associated in-house and sub-contractor staffing. </w:t>
      </w:r>
      <w:r>
        <w:rPr>
          <w:color w:val="000000"/>
          <w:spacing w:val="-1"/>
          <w:sz w:val="26"/>
          <w:szCs w:val="26"/>
        </w:rPr>
        <w:t xml:space="preserve"> </w:t>
      </w:r>
      <w:r w:rsidRPr="009373E2">
        <w:rPr>
          <w:color w:val="000000"/>
          <w:spacing w:val="-1"/>
          <w:sz w:val="26"/>
          <w:szCs w:val="26"/>
        </w:rPr>
        <w:t xml:space="preserve">The Peoples Companies will submit a detailed five-year plan explaining staffing needs matched to projected annual projects and work will commence in 2021 after PUC review and approval of the modified LTIIP. </w:t>
      </w:r>
      <w:r>
        <w:rPr>
          <w:color w:val="000000"/>
          <w:spacing w:val="-1"/>
          <w:sz w:val="26"/>
          <w:szCs w:val="26"/>
        </w:rPr>
        <w:t xml:space="preserve"> </w:t>
      </w:r>
      <w:r w:rsidRPr="009373E2">
        <w:rPr>
          <w:color w:val="000000"/>
          <w:spacing w:val="-1"/>
          <w:sz w:val="26"/>
          <w:szCs w:val="26"/>
        </w:rPr>
        <w:t>This modified LTIIP filing is in addition to the plant replacement discussed under Section III.A</w:t>
      </w:r>
    </w:p>
    <w:p w14:paraId="2D4282D1" w14:textId="77777777" w:rsidR="00F71C4D" w:rsidRPr="00364103" w:rsidRDefault="00F71C4D" w:rsidP="009408DF">
      <w:pPr>
        <w:widowControl/>
        <w:spacing w:line="360" w:lineRule="auto"/>
        <w:rPr>
          <w:rFonts w:eastAsiaTheme="minorHAnsi"/>
          <w:sz w:val="26"/>
          <w:szCs w:val="26"/>
        </w:rPr>
      </w:pPr>
    </w:p>
    <w:p w14:paraId="7DE93C2F" w14:textId="7AA20745" w:rsidR="00534F4F" w:rsidRDefault="00F35970" w:rsidP="009408DF">
      <w:pPr>
        <w:pStyle w:val="Heading3"/>
        <w:keepNext/>
        <w:ind w:left="1440" w:hanging="720"/>
        <w:rPr>
          <w:rFonts w:eastAsiaTheme="minorHAnsi"/>
        </w:rPr>
      </w:pPr>
      <w:bookmarkStart w:id="88" w:name="_Toc29278209"/>
      <w:r>
        <w:rPr>
          <w:rFonts w:eastAsiaTheme="minorHAnsi"/>
        </w:rPr>
        <w:lastRenderedPageBreak/>
        <w:t>Public Ownership</w:t>
      </w:r>
      <w:bookmarkEnd w:id="88"/>
      <w:r>
        <w:rPr>
          <w:rFonts w:eastAsiaTheme="minorHAnsi"/>
        </w:rPr>
        <w:t xml:space="preserve"> </w:t>
      </w:r>
    </w:p>
    <w:p w14:paraId="34FDC905" w14:textId="77777777" w:rsidR="00D66EA5" w:rsidRPr="00D66EA5" w:rsidRDefault="00D66EA5" w:rsidP="009408DF">
      <w:pPr>
        <w:keepNext/>
        <w:widowControl/>
        <w:spacing w:line="360" w:lineRule="auto"/>
        <w:rPr>
          <w:rFonts w:eastAsiaTheme="minorHAnsi"/>
        </w:rPr>
      </w:pPr>
    </w:p>
    <w:p w14:paraId="3D1728FC" w14:textId="77777777" w:rsidR="00F35970" w:rsidRPr="00781160" w:rsidRDefault="00F35970" w:rsidP="009408DF">
      <w:pPr>
        <w:pStyle w:val="Heading4"/>
        <w:widowControl/>
        <w:numPr>
          <w:ilvl w:val="0"/>
          <w:numId w:val="30"/>
        </w:numPr>
        <w:ind w:left="2160" w:hanging="720"/>
        <w:rPr>
          <w:rFonts w:eastAsiaTheme="minorHAnsi"/>
        </w:rPr>
      </w:pPr>
      <w:bookmarkStart w:id="89" w:name="_Toc29278210"/>
      <w:r w:rsidRPr="00781160">
        <w:rPr>
          <w:rFonts w:eastAsiaTheme="minorHAnsi"/>
        </w:rPr>
        <w:t>Background</w:t>
      </w:r>
      <w:bookmarkEnd w:id="89"/>
    </w:p>
    <w:p w14:paraId="3C8C25FC" w14:textId="77777777" w:rsidR="00F35970" w:rsidRPr="00F35970" w:rsidRDefault="00F35970" w:rsidP="009408DF">
      <w:pPr>
        <w:keepNext/>
        <w:keepLines/>
        <w:widowControl/>
        <w:spacing w:line="360" w:lineRule="auto"/>
        <w:contextualSpacing/>
        <w:rPr>
          <w:rFonts w:eastAsiaTheme="minorHAnsi"/>
          <w:sz w:val="26"/>
          <w:szCs w:val="26"/>
        </w:rPr>
      </w:pPr>
    </w:p>
    <w:p w14:paraId="679A179A" w14:textId="77777777" w:rsidR="00F35970" w:rsidRPr="00F35970" w:rsidRDefault="00F35970" w:rsidP="009408DF">
      <w:pPr>
        <w:keepNext/>
        <w:widowControl/>
        <w:spacing w:line="360" w:lineRule="auto"/>
        <w:ind w:firstLine="1440"/>
        <w:contextualSpacing/>
        <w:rPr>
          <w:rFonts w:eastAsiaTheme="minorHAnsi"/>
          <w:sz w:val="26"/>
          <w:szCs w:val="26"/>
        </w:rPr>
      </w:pPr>
      <w:r w:rsidRPr="00F35970">
        <w:rPr>
          <w:rFonts w:eastAsiaTheme="minorHAnsi"/>
          <w:sz w:val="26"/>
          <w:szCs w:val="26"/>
        </w:rPr>
        <w:t>As previously noted, the Peoples Companies are indirectly owned and managed by SteelRiver, a non-Pennsylvania based private investment fund that acquired PNG in 2010.  In contrast, Aqua America, the parent of Aqua PA, is a publicly traded company.  Aqua America, and Aqua PA, are based in Bryn Mawr.  Therefore, under the Proposed Transaction, the Peoples Companies would be returned to Pennsylvania-based, public ownership.  Joint Applicants M.B. at 20.</w:t>
      </w:r>
    </w:p>
    <w:p w14:paraId="1D884DBB" w14:textId="77777777" w:rsidR="00F35970" w:rsidRPr="00F35970" w:rsidRDefault="00F35970" w:rsidP="00B24187">
      <w:pPr>
        <w:widowControl/>
        <w:spacing w:line="360" w:lineRule="auto"/>
        <w:contextualSpacing/>
        <w:rPr>
          <w:rFonts w:eastAsiaTheme="minorHAnsi"/>
          <w:sz w:val="26"/>
          <w:szCs w:val="26"/>
        </w:rPr>
      </w:pPr>
    </w:p>
    <w:p w14:paraId="111AD029" w14:textId="77777777" w:rsidR="00F35970" w:rsidRPr="00F35970" w:rsidRDefault="00F35970" w:rsidP="00B24187">
      <w:pPr>
        <w:pStyle w:val="Heading4"/>
        <w:widowControl/>
        <w:ind w:left="2160" w:hanging="720"/>
        <w:rPr>
          <w:rFonts w:eastAsiaTheme="minorHAnsi"/>
        </w:rPr>
      </w:pPr>
      <w:bookmarkStart w:id="90" w:name="_Toc29278211"/>
      <w:r w:rsidRPr="00F35970">
        <w:rPr>
          <w:rFonts w:eastAsiaTheme="minorHAnsi"/>
        </w:rPr>
        <w:t>Positions of the Parties</w:t>
      </w:r>
      <w:bookmarkEnd w:id="90"/>
    </w:p>
    <w:p w14:paraId="4CB06479" w14:textId="77777777" w:rsidR="00F35970" w:rsidRPr="00F35970" w:rsidRDefault="00F35970" w:rsidP="00B24187">
      <w:pPr>
        <w:keepNext/>
        <w:keepLines/>
        <w:widowControl/>
        <w:spacing w:after="200" w:line="360" w:lineRule="auto"/>
        <w:contextualSpacing/>
        <w:rPr>
          <w:rFonts w:eastAsiaTheme="minorHAnsi"/>
          <w:sz w:val="26"/>
          <w:szCs w:val="26"/>
        </w:rPr>
      </w:pPr>
    </w:p>
    <w:p w14:paraId="260B5CE9" w14:textId="23242B89"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 xml:space="preserve">The Joint Applicants argued that the Commission has recognized that there are unique concerns associated with the ownership of utilities by private equity funds.  Therefore, the Joint Applicants explained that in </w:t>
      </w:r>
      <w:r w:rsidRPr="00F35970">
        <w:rPr>
          <w:rFonts w:eastAsiaTheme="minorHAnsi"/>
          <w:i/>
          <w:iCs/>
          <w:sz w:val="26"/>
          <w:szCs w:val="26"/>
        </w:rPr>
        <w:t>Application of Penn Estates Utilities, Inc.</w:t>
      </w:r>
      <w:r w:rsidR="00390DE4">
        <w:rPr>
          <w:rFonts w:eastAsiaTheme="minorHAnsi"/>
          <w:sz w:val="26"/>
          <w:szCs w:val="26"/>
        </w:rPr>
        <w:t>,</w:t>
      </w:r>
      <w:r w:rsidRPr="00F35970">
        <w:rPr>
          <w:rFonts w:eastAsiaTheme="minorHAnsi"/>
          <w:i/>
          <w:iCs/>
          <w:sz w:val="26"/>
          <w:szCs w:val="26"/>
        </w:rPr>
        <w:t xml:space="preserve"> </w:t>
      </w:r>
      <w:r w:rsidRPr="00F35970">
        <w:rPr>
          <w:rFonts w:eastAsiaTheme="minorHAnsi"/>
          <w:sz w:val="26"/>
          <w:szCs w:val="26"/>
        </w:rPr>
        <w:t>Docket No. A</w:t>
      </w:r>
      <w:r w:rsidRPr="00F35970">
        <w:rPr>
          <w:rFonts w:eastAsiaTheme="minorHAnsi"/>
          <w:sz w:val="26"/>
          <w:szCs w:val="26"/>
        </w:rPr>
        <w:noBreakHyphen/>
        <w:t xml:space="preserve">21007210003 (Order </w:t>
      </w:r>
      <w:r w:rsidR="00390DE4">
        <w:rPr>
          <w:rFonts w:eastAsiaTheme="minorHAnsi"/>
          <w:sz w:val="26"/>
          <w:szCs w:val="26"/>
        </w:rPr>
        <w:t>e</w:t>
      </w:r>
      <w:r w:rsidRPr="00F35970">
        <w:rPr>
          <w:rFonts w:eastAsiaTheme="minorHAnsi"/>
          <w:sz w:val="26"/>
          <w:szCs w:val="26"/>
        </w:rPr>
        <w:t>ntered March 31, 2006), the Commission adopted criteria (</w:t>
      </w:r>
      <w:r w:rsidRPr="00F35970">
        <w:rPr>
          <w:rFonts w:eastAsiaTheme="minorHAnsi"/>
          <w:i/>
          <w:iCs/>
          <w:sz w:val="26"/>
          <w:szCs w:val="26"/>
        </w:rPr>
        <w:t>Penn Estates Criteria</w:t>
      </w:r>
      <w:r w:rsidRPr="00F35970">
        <w:rPr>
          <w:rFonts w:eastAsiaTheme="minorHAnsi"/>
          <w:sz w:val="26"/>
          <w:szCs w:val="26"/>
        </w:rPr>
        <w:t>) to be examined in cases where the acquiring entity is a private equity fund.  Applying this to the instant proceeding, the Joint Applicants submitted that although both SteelRiver and SRIFNA, in previously acquiring the Peoples Companies, made commitments to address the concerns raised regarding the ownership of a public utility by an equity fund, Aqua America’s ownership of the Peoples Companies will provide various affirmative benefits.  Joint Applicants M.B. at</w:t>
      </w:r>
      <w:r w:rsidR="00364103">
        <w:rPr>
          <w:rFonts w:eastAsiaTheme="minorHAnsi"/>
          <w:sz w:val="26"/>
          <w:szCs w:val="26"/>
        </w:rPr>
        <w:t> </w:t>
      </w:r>
      <w:r w:rsidRPr="00F35970">
        <w:rPr>
          <w:rFonts w:eastAsiaTheme="minorHAnsi"/>
          <w:sz w:val="26"/>
          <w:szCs w:val="26"/>
        </w:rPr>
        <w:t>21.</w:t>
      </w:r>
    </w:p>
    <w:p w14:paraId="1CF82027" w14:textId="77777777" w:rsidR="00F35970" w:rsidRPr="00F35970" w:rsidRDefault="00F35970" w:rsidP="00B24187">
      <w:pPr>
        <w:widowControl/>
        <w:spacing w:after="200" w:line="360" w:lineRule="auto"/>
        <w:contextualSpacing/>
        <w:rPr>
          <w:rFonts w:eastAsiaTheme="minorHAnsi"/>
          <w:sz w:val="26"/>
          <w:szCs w:val="26"/>
        </w:rPr>
      </w:pPr>
    </w:p>
    <w:p w14:paraId="75F632E9" w14:textId="77777777"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 xml:space="preserve">First, the Joint Applicants argued that one of the </w:t>
      </w:r>
      <w:r w:rsidRPr="00F35970">
        <w:rPr>
          <w:rFonts w:eastAsiaTheme="minorHAnsi"/>
          <w:i/>
          <w:iCs/>
          <w:sz w:val="26"/>
          <w:szCs w:val="26"/>
        </w:rPr>
        <w:t xml:space="preserve">Penn Estates Criteria </w:t>
      </w:r>
      <w:r w:rsidRPr="00F35970">
        <w:rPr>
          <w:rFonts w:eastAsiaTheme="minorHAnsi"/>
          <w:sz w:val="26"/>
          <w:szCs w:val="26"/>
        </w:rPr>
        <w:t xml:space="preserve">is the expected term of ownership.  According to Aqua America, the stability of ownership leads to greater willingness to make long-term capital investments to provide continued safe and reliable utility service.  The Joint Applicants explained that although SteelRiver </w:t>
      </w:r>
      <w:r w:rsidRPr="00F35970">
        <w:rPr>
          <w:rFonts w:eastAsiaTheme="minorHAnsi"/>
          <w:sz w:val="26"/>
          <w:szCs w:val="26"/>
        </w:rPr>
        <w:lastRenderedPageBreak/>
        <w:t>has been an adequate owner, it is nonetheless a private equity fund, with a finite life.  In contrast, the Joint Applicants emphasized that Aqua America has demonstrated a track record of long-term utility asset ownership, including owning and operating water systems in Pennsylvania for over 130 years.  As such, the Joint Applicants argued that Aqua America’s acquisition of the Peoples Companies will bring the stability of long</w:t>
      </w:r>
      <w:r w:rsidRPr="00F35970">
        <w:rPr>
          <w:rFonts w:eastAsiaTheme="minorHAnsi"/>
          <w:sz w:val="26"/>
          <w:szCs w:val="26"/>
        </w:rPr>
        <w:noBreakHyphen/>
        <w:t>term ownership, which will benefit the Peoples Companies’ customers.  Joint Applicants M.B. at 21-24.</w:t>
      </w:r>
    </w:p>
    <w:p w14:paraId="010BFE13" w14:textId="77777777" w:rsidR="00F35970" w:rsidRPr="00F35970" w:rsidRDefault="00F35970" w:rsidP="00B24187">
      <w:pPr>
        <w:widowControl/>
        <w:spacing w:after="200" w:line="360" w:lineRule="auto"/>
        <w:ind w:firstLine="1440"/>
        <w:contextualSpacing/>
        <w:rPr>
          <w:rFonts w:eastAsiaTheme="minorHAnsi"/>
          <w:sz w:val="26"/>
          <w:szCs w:val="26"/>
        </w:rPr>
      </w:pPr>
    </w:p>
    <w:p w14:paraId="441EC1E5" w14:textId="77777777"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 xml:space="preserve">Second, the Joint Applicants asserted that because the Peoples Companies currently only have access to equity from the finite number of investors in the SteelRiver equity funds and from debt issuances from private placements to debt-buying life insurance companies, Aqua America’s status as a publicly-owned company will provide expanded access to capital.  The Joint Applicants argued that Aqua America’s demonstrated ability to access substantial capital from diverse sources will be important in carrying out the various infrastructure commitments outlined, </w:t>
      </w:r>
      <w:r w:rsidRPr="00F35970">
        <w:rPr>
          <w:rFonts w:eastAsiaTheme="minorHAnsi"/>
          <w:i/>
          <w:iCs/>
          <w:sz w:val="26"/>
          <w:szCs w:val="26"/>
        </w:rPr>
        <w:t>infra.</w:t>
      </w:r>
      <w:r w:rsidRPr="00F35970">
        <w:rPr>
          <w:rFonts w:eastAsiaTheme="minorHAnsi"/>
          <w:sz w:val="26"/>
          <w:szCs w:val="26"/>
        </w:rPr>
        <w:t xml:space="preserve">  Namely, the Joint Applicants noted that Aqua America raised approximately $2.7 billion in equity capital to finance the Proposed Transaction, with public demand of nearly four times the supply raised publicly.  In addition, the Joint Applicants restated that Aqua America raised $436 million in public market debt to finance the Proposed Transaction, in an offering that was more than four times oversubscribed.  Joint Applicants M.B. at 24.</w:t>
      </w:r>
    </w:p>
    <w:p w14:paraId="6B01415C" w14:textId="77777777" w:rsidR="00F35970" w:rsidRPr="00F35970" w:rsidRDefault="00F35970" w:rsidP="00B24187">
      <w:pPr>
        <w:widowControl/>
        <w:spacing w:after="200" w:line="360" w:lineRule="auto"/>
        <w:ind w:firstLine="1440"/>
        <w:contextualSpacing/>
        <w:rPr>
          <w:rFonts w:eastAsiaTheme="minorHAnsi"/>
          <w:sz w:val="26"/>
          <w:szCs w:val="26"/>
        </w:rPr>
      </w:pPr>
    </w:p>
    <w:p w14:paraId="2A35638E" w14:textId="77777777" w:rsid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 xml:space="preserve">Third, the Joint Applicants submitted that Aqua America’s public ownership of the Peoples Companies will provide public benefits through transparency and information regarding the parent company, Aqua America.  In this regard, the Joint Applicants pointed to the testimony of their witness Mr. Schuller that corporate governance under Aqua America will be even more transparent than the prior commitments that were made in support of SteelRiver’s prior acquisitions of the Peoples Companies.  Joint Applicants M.B. at 25 (citing Joint Applicants St. 2 at 10).  The Joint Applicants argued, </w:t>
      </w:r>
      <w:r w:rsidRPr="00F35970">
        <w:rPr>
          <w:rFonts w:eastAsiaTheme="minorHAnsi"/>
          <w:i/>
          <w:iCs/>
          <w:sz w:val="26"/>
          <w:szCs w:val="26"/>
        </w:rPr>
        <w:t xml:space="preserve">inter alia, </w:t>
      </w:r>
      <w:r w:rsidRPr="00F35970">
        <w:rPr>
          <w:rFonts w:eastAsiaTheme="minorHAnsi"/>
          <w:sz w:val="26"/>
          <w:szCs w:val="26"/>
        </w:rPr>
        <w:t xml:space="preserve">that increased financial information regarding Aqua </w:t>
      </w:r>
      <w:r w:rsidRPr="00F35970">
        <w:rPr>
          <w:rFonts w:eastAsiaTheme="minorHAnsi"/>
          <w:sz w:val="26"/>
          <w:szCs w:val="26"/>
        </w:rPr>
        <w:lastRenderedPageBreak/>
        <w:t xml:space="preserve">America can provide a broader context for the Commission in reviewing the operational information provided by Aqua America’s subsidiaries.  Further, the Joint Applicants claimed that Aqua America’s public ownership status provides insight into future planning, operational risks and opportunities, and financial matters well beyond the information that is reported at the utility level.  Joint Applicants M.B. at 25-27. </w:t>
      </w:r>
    </w:p>
    <w:p w14:paraId="5D38FF3F" w14:textId="77777777" w:rsidR="00781160" w:rsidRPr="00F35970" w:rsidRDefault="00781160" w:rsidP="00B24187">
      <w:pPr>
        <w:widowControl/>
        <w:spacing w:after="200" w:line="360" w:lineRule="auto"/>
        <w:ind w:firstLine="1440"/>
        <w:contextualSpacing/>
        <w:rPr>
          <w:rFonts w:eastAsiaTheme="minorHAnsi"/>
          <w:sz w:val="26"/>
          <w:szCs w:val="26"/>
        </w:rPr>
      </w:pPr>
    </w:p>
    <w:p w14:paraId="6EA50AB8" w14:textId="77777777"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Fourth, the Joint Applicants submitted that Aqua America’s position as a Pennsylvania-based company indicates that it understands, and is responsive to, issues of concern to all Pennsylvanians.  The Joint Applicants pointed to various commitments outlined in the Settlement and discussed elsewhere in this Opinion and Order regarding jobs, community concerns, and infrastructure improvement.  The Joint Applicants averred that these commitments confirm Aqua America’s intention to maintain an active presence in western Pennsylvania.  Joint Applicants M.B. at 27-29.</w:t>
      </w:r>
    </w:p>
    <w:p w14:paraId="4C993831" w14:textId="77777777" w:rsidR="00F35970" w:rsidRPr="00F35970" w:rsidRDefault="00F35970" w:rsidP="00B24187">
      <w:pPr>
        <w:widowControl/>
        <w:spacing w:after="200" w:line="360" w:lineRule="auto"/>
        <w:ind w:firstLine="1440"/>
        <w:contextualSpacing/>
        <w:rPr>
          <w:rFonts w:eastAsiaTheme="minorHAnsi"/>
          <w:sz w:val="26"/>
          <w:szCs w:val="26"/>
        </w:rPr>
      </w:pPr>
    </w:p>
    <w:p w14:paraId="2D0D99AD" w14:textId="77777777"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The OCA proffered that Paragraphs 73 through 82 of the Settlement, discussed elsewhere in this Opinion and Order, outline provisions that alleviate concerns related to governance and management.  In the OCA’s view, this will ensure that Aqua America continues to be responsive to the needs of the Pennsylvania utility service area of the Peoples Companies.  OCA R.B. at 11</w:t>
      </w:r>
      <w:r w:rsidRPr="00F35970">
        <w:rPr>
          <w:rFonts w:eastAsiaTheme="minorHAnsi"/>
          <w:sz w:val="26"/>
          <w:szCs w:val="26"/>
        </w:rPr>
        <w:noBreakHyphen/>
        <w:t>13.</w:t>
      </w:r>
    </w:p>
    <w:p w14:paraId="7DCD4E92" w14:textId="77777777" w:rsidR="00F35970" w:rsidRPr="00F35970" w:rsidRDefault="00F35970" w:rsidP="00B24187">
      <w:pPr>
        <w:widowControl/>
        <w:spacing w:after="200" w:line="360" w:lineRule="auto"/>
        <w:contextualSpacing/>
        <w:rPr>
          <w:rFonts w:eastAsiaTheme="minorHAnsi"/>
          <w:sz w:val="26"/>
          <w:szCs w:val="26"/>
        </w:rPr>
      </w:pPr>
    </w:p>
    <w:p w14:paraId="484C373E" w14:textId="77777777"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 xml:space="preserve">I&amp;E submitted that neither the public ownership of the Peoples Companies under Aqua America, nor the fact that Aqua America is a Pennsylvania-based company, </w:t>
      </w:r>
      <w:r w:rsidRPr="00F35970">
        <w:rPr>
          <w:rFonts w:eastAsiaTheme="minorHAnsi"/>
          <w:bCs/>
          <w:sz w:val="26"/>
          <w:szCs w:val="26"/>
        </w:rPr>
        <w:t xml:space="preserve">creates the affirmative public benefits necessary to approve this transaction.  I&amp;E asserted that there is no formal guarantee that Aqua America will hold the Peoples Companies long-term.  I&amp;E also pointed out that because Aqua America is a publicly owned and traded company, it is automatically subject to additional reporting requirements that the Peoples Companies are not beholden to.  However, I&amp;E submitted that approval of the Proposed Transaction would not impact the information that the Peoples Companies must report to the Commission and that Pennsylvania regulated </w:t>
      </w:r>
      <w:r w:rsidRPr="00F35970">
        <w:rPr>
          <w:rFonts w:eastAsiaTheme="minorHAnsi"/>
          <w:bCs/>
          <w:sz w:val="26"/>
          <w:szCs w:val="26"/>
        </w:rPr>
        <w:lastRenderedPageBreak/>
        <w:t>public utilities are very open to the public and to regulators.  As such, I&amp;E took the position that given the industry-specific information that utilities must provide to the Commission,</w:t>
      </w:r>
      <w:r w:rsidRPr="00F35970">
        <w:rPr>
          <w:rFonts w:eastAsiaTheme="minorHAnsi"/>
          <w:sz w:val="26"/>
          <w:szCs w:val="26"/>
        </w:rPr>
        <w:t xml:space="preserve"> it does not appear that greater transparency is an affirmative benefit.  In addition, I&amp;E asserted that there is no transparency issue under the current ownership of the Peoples Companies, nor do the Peoples Companies have any issue raising capital.  Further, I&amp;E argued that </w:t>
      </w:r>
      <w:r w:rsidRPr="00F35970">
        <w:rPr>
          <w:rFonts w:eastAsiaTheme="minorHAnsi"/>
          <w:bCs/>
          <w:sz w:val="26"/>
          <w:szCs w:val="26"/>
        </w:rPr>
        <w:t xml:space="preserve">the Peoples Companies already have a strong commitment to Pennsylvania and, specifically, to the communities to which they provide natural gas service.  I&amp;E </w:t>
      </w:r>
      <w:r w:rsidRPr="00F35970">
        <w:rPr>
          <w:rFonts w:eastAsiaTheme="minorHAnsi"/>
          <w:sz w:val="26"/>
          <w:szCs w:val="26"/>
        </w:rPr>
        <w:t>M.B. at 17-21; I&amp;E R.B. at 8-12.</w:t>
      </w:r>
    </w:p>
    <w:p w14:paraId="2EF01746" w14:textId="77777777" w:rsidR="00F35970" w:rsidRPr="00F35970" w:rsidRDefault="00F35970" w:rsidP="00B24187">
      <w:pPr>
        <w:widowControl/>
        <w:spacing w:after="200" w:line="360" w:lineRule="auto"/>
        <w:contextualSpacing/>
        <w:rPr>
          <w:rFonts w:eastAsiaTheme="minorHAnsi"/>
          <w:sz w:val="26"/>
          <w:szCs w:val="26"/>
        </w:rPr>
      </w:pPr>
    </w:p>
    <w:p w14:paraId="4BB9926C" w14:textId="77777777"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Like I&amp;E, the OSBA took the position that returning the Peoples Companies to public ownership does not, in and of itself, rise to the level of an affirmative public benefit of the Proposed Transaction.  The OSBA asserted that the Joint Applicants have not set forth any evidence that SteelRiver has experienced difficulty in raising capital, nor have they provided any quantification for such benefits.  Similarly, the OSBA submitted that in arguing that Aqua America will have better access to capital because it is publicly traded, the Joint Applicants erroneously assume that investors are unable or unwilling to invest in private equity.  The OSBA contended that because they are subject to less regulatory scrutiny than publicly owned companies, privately owned firms are more attractive to certain investors.  Further, the OSBA asserted that private equity has certain financing advantages over public ownership.  In the OSBA’s view, the fact that there is an observable trend to more private equity and less public ownership negates the Joint Applicants’ argument that there is any affirmative public benefit to public ownership of the Peoples Companies.  OSBA M.B. at 16-17; OSBA R.B. at 13.</w:t>
      </w:r>
    </w:p>
    <w:p w14:paraId="293329B4" w14:textId="77777777" w:rsidR="00F35970" w:rsidRPr="00F35970" w:rsidRDefault="00F35970" w:rsidP="00B24187">
      <w:pPr>
        <w:widowControl/>
        <w:spacing w:after="200" w:line="360" w:lineRule="auto"/>
        <w:ind w:firstLine="1440"/>
        <w:contextualSpacing/>
        <w:rPr>
          <w:rFonts w:eastAsiaTheme="minorHAnsi"/>
          <w:sz w:val="26"/>
          <w:szCs w:val="26"/>
        </w:rPr>
      </w:pPr>
    </w:p>
    <w:p w14:paraId="2AD3AA85" w14:textId="77777777"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 xml:space="preserve">The OSBA also refuted the Joint Applicants’ arguments regarding increased transparency.  Namely, the OSBA mirrored the arguments of I&amp;E that all regulated public utilities are already required to share significant information with their regulators and are essentially an “open-book” to regulators.  Therefore, the OSBA submitted that the Joint Applicants have failed to show that any additional information </w:t>
      </w:r>
      <w:r w:rsidRPr="00F35970">
        <w:rPr>
          <w:rFonts w:eastAsiaTheme="minorHAnsi"/>
          <w:sz w:val="26"/>
          <w:szCs w:val="26"/>
        </w:rPr>
        <w:lastRenderedPageBreak/>
        <w:t>regarding the Peoples Companies will be provided under Aqua America’s ownership that is not already provided currently by the Peoples Companies.  OSBA M.B. at 17-18.</w:t>
      </w:r>
    </w:p>
    <w:p w14:paraId="154178C6" w14:textId="77777777" w:rsidR="00F35970" w:rsidRPr="00F35970" w:rsidRDefault="00F35970" w:rsidP="00B24187">
      <w:pPr>
        <w:widowControl/>
        <w:spacing w:line="360" w:lineRule="auto"/>
        <w:ind w:firstLine="1440"/>
        <w:contextualSpacing/>
        <w:rPr>
          <w:rFonts w:eastAsiaTheme="minorHAnsi"/>
          <w:sz w:val="26"/>
          <w:szCs w:val="26"/>
        </w:rPr>
      </w:pPr>
    </w:p>
    <w:p w14:paraId="0BC31036" w14:textId="77777777" w:rsidR="00F35970" w:rsidRPr="00F35970" w:rsidRDefault="00F35970" w:rsidP="005B0616">
      <w:pPr>
        <w:pStyle w:val="Heading4"/>
        <w:widowControl/>
        <w:ind w:left="2160" w:hanging="720"/>
        <w:rPr>
          <w:rFonts w:eastAsiaTheme="minorHAnsi"/>
        </w:rPr>
      </w:pPr>
      <w:bookmarkStart w:id="91" w:name="_Toc29278212"/>
      <w:r w:rsidRPr="00F35970">
        <w:rPr>
          <w:rFonts w:eastAsiaTheme="minorHAnsi"/>
        </w:rPr>
        <w:t>Recommended Decision</w:t>
      </w:r>
      <w:bookmarkEnd w:id="91"/>
    </w:p>
    <w:p w14:paraId="555197A5" w14:textId="77777777" w:rsidR="00F35970" w:rsidRPr="00F35970" w:rsidRDefault="00F35970" w:rsidP="005B0616">
      <w:pPr>
        <w:keepNext/>
        <w:keepLines/>
        <w:widowControl/>
        <w:spacing w:after="200" w:line="360" w:lineRule="auto"/>
        <w:ind w:firstLine="1440"/>
        <w:contextualSpacing/>
        <w:rPr>
          <w:rFonts w:eastAsiaTheme="minorHAnsi"/>
          <w:sz w:val="26"/>
          <w:szCs w:val="26"/>
        </w:rPr>
      </w:pPr>
    </w:p>
    <w:p w14:paraId="36337F57" w14:textId="77777777" w:rsidR="00F35970" w:rsidRPr="00F35970" w:rsidRDefault="00F35970" w:rsidP="005B0616">
      <w:pPr>
        <w:keepNext/>
        <w:widowControl/>
        <w:spacing w:after="200" w:line="360" w:lineRule="auto"/>
        <w:ind w:firstLine="1440"/>
        <w:contextualSpacing/>
        <w:rPr>
          <w:rFonts w:eastAsiaTheme="minorHAnsi"/>
          <w:sz w:val="26"/>
          <w:szCs w:val="26"/>
        </w:rPr>
      </w:pPr>
      <w:r w:rsidRPr="00F35970">
        <w:rPr>
          <w:rFonts w:eastAsiaTheme="minorHAnsi"/>
          <w:sz w:val="26"/>
          <w:szCs w:val="26"/>
        </w:rPr>
        <w:t>The ALJ found that neither I&amp;E nor the OSBA offered any evidence to rebut Aqua America’s characterization of its track record for holding acquired assets.  Therefore, the ALJ concluded that Aqua America is not likely to change its investment strategy and divest itself of the Peoples Companies within a short time period.  The ALJ opined that the lack of a guarantee regarding a specific term of Aqua America’s ownership of the Peoples Companies does not offset the evidence of its track record.  According to the ALJ, it is not unusual in acquisitions for commitments to be modest in duration.  R.D. at 62.</w:t>
      </w:r>
    </w:p>
    <w:p w14:paraId="70A903BF" w14:textId="77777777" w:rsidR="00F35970" w:rsidRPr="00F35970" w:rsidRDefault="00F35970" w:rsidP="00B24187">
      <w:pPr>
        <w:widowControl/>
        <w:spacing w:after="200" w:line="360" w:lineRule="auto"/>
        <w:ind w:firstLine="1440"/>
        <w:contextualSpacing/>
        <w:rPr>
          <w:rFonts w:eastAsiaTheme="minorHAnsi"/>
          <w:sz w:val="26"/>
          <w:szCs w:val="26"/>
        </w:rPr>
      </w:pPr>
    </w:p>
    <w:p w14:paraId="1F0199BE" w14:textId="77777777"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The ALJ also found that the OSBA’s assertion that private equity has certain financing advantages over public ownership does not successfully rebut the evidence Aqua America provided regarding its investment experience.  The ALJ agreed with the Joint Applicants that the broader sources of capital available to Aqua America creates an enhanced ability to finance infrastructure improvement and to meet the commitments for more ambitious infrastructure replacement as set forth in the Settlement.  R.D. at 63</w:t>
      </w:r>
      <w:r w:rsidR="00865E00">
        <w:rPr>
          <w:rFonts w:eastAsiaTheme="minorHAnsi"/>
          <w:sz w:val="26"/>
          <w:szCs w:val="26"/>
        </w:rPr>
        <w:t>.</w:t>
      </w:r>
    </w:p>
    <w:p w14:paraId="1B73E278" w14:textId="77777777" w:rsidR="00F35970" w:rsidRPr="00F35970" w:rsidRDefault="00F35970" w:rsidP="00B24187">
      <w:pPr>
        <w:widowControl/>
        <w:spacing w:after="200" w:line="360" w:lineRule="auto"/>
        <w:ind w:firstLine="1440"/>
        <w:contextualSpacing/>
        <w:rPr>
          <w:rFonts w:eastAsiaTheme="minorHAnsi"/>
          <w:sz w:val="26"/>
          <w:szCs w:val="26"/>
        </w:rPr>
      </w:pPr>
    </w:p>
    <w:p w14:paraId="47C3E445" w14:textId="77777777"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Additionally, the ALJ agreed with I&amp;E and the OSBA that the additional transparency is not the most substantial benefit offered by the Proposed Transaction.  Nonetheless, the ALJ concluded that such transparency is a positive characteristic of Aqua America that will enhance the Commission’s ability to evaluate the operations of the regulated utility subsidiaries.  R.D. at 64.</w:t>
      </w:r>
    </w:p>
    <w:p w14:paraId="4118FA44" w14:textId="77777777" w:rsidR="00F35970" w:rsidRPr="00F35970" w:rsidRDefault="00F35970" w:rsidP="00B24187">
      <w:pPr>
        <w:widowControl/>
        <w:spacing w:after="200" w:line="360" w:lineRule="auto"/>
        <w:ind w:firstLine="1440"/>
        <w:contextualSpacing/>
        <w:rPr>
          <w:rFonts w:eastAsiaTheme="minorHAnsi"/>
          <w:sz w:val="26"/>
          <w:szCs w:val="26"/>
        </w:rPr>
      </w:pPr>
    </w:p>
    <w:p w14:paraId="7645DC50" w14:textId="77777777"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lastRenderedPageBreak/>
        <w:t>Finally, the ALJ explained that it is not necessary for the Joint Applicants to demonstrate that SteelRiver is not making adequate investments or is not adequately stewarding the utility service rendered by the Peoples Companies.  Rather, the ALJ found that the Joint Applicants must show that the characteristics of Aqua America create additional benefits to the public in addition to the competent management by SteelRiver.  In the ALJ’s view, the fact that SteelRiver has not had difficulty accessing capital, does not erode the Joint Applicants’ argument that Aqua America has access to a broader range of financing resources.  Therefore, the ALJ concluded that, overall, the characteristics of Aqua America in contrast to SteelRiver, translate into a public benefit which supports the approval of the Proposed Transaction.  R.D. at 65-66</w:t>
      </w:r>
      <w:r w:rsidR="00865E00">
        <w:rPr>
          <w:rFonts w:eastAsiaTheme="minorHAnsi"/>
          <w:sz w:val="26"/>
          <w:szCs w:val="26"/>
        </w:rPr>
        <w:t>.</w:t>
      </w:r>
    </w:p>
    <w:p w14:paraId="7121F28E" w14:textId="77777777" w:rsidR="00F35970" w:rsidRPr="00F35970" w:rsidRDefault="00F35970" w:rsidP="00B24187">
      <w:pPr>
        <w:widowControl/>
        <w:spacing w:line="360" w:lineRule="auto"/>
        <w:ind w:firstLine="1440"/>
        <w:contextualSpacing/>
        <w:rPr>
          <w:rFonts w:eastAsiaTheme="minorHAnsi"/>
          <w:sz w:val="26"/>
          <w:szCs w:val="26"/>
        </w:rPr>
      </w:pPr>
    </w:p>
    <w:p w14:paraId="3E63176A" w14:textId="77777777" w:rsidR="00F35970" w:rsidRDefault="004F7445" w:rsidP="005B0616">
      <w:pPr>
        <w:pStyle w:val="Heading4"/>
        <w:widowControl/>
        <w:ind w:left="2160" w:hanging="720"/>
        <w:rPr>
          <w:rFonts w:eastAsiaTheme="minorHAnsi"/>
        </w:rPr>
      </w:pPr>
      <w:bookmarkStart w:id="92" w:name="_Toc29278213"/>
      <w:bookmarkStart w:id="93" w:name="_Hlk28530352"/>
      <w:r>
        <w:rPr>
          <w:rFonts w:eastAsiaTheme="minorHAnsi"/>
        </w:rPr>
        <w:t>Exceptions and Replies</w:t>
      </w:r>
      <w:bookmarkEnd w:id="92"/>
      <w:r>
        <w:rPr>
          <w:rFonts w:eastAsiaTheme="minorHAnsi"/>
        </w:rPr>
        <w:t xml:space="preserve"> </w:t>
      </w:r>
      <w:bookmarkEnd w:id="93"/>
    </w:p>
    <w:p w14:paraId="7A8611A6" w14:textId="77777777" w:rsidR="004F7445" w:rsidRPr="00F35970" w:rsidRDefault="004F7445" w:rsidP="005B0616">
      <w:pPr>
        <w:keepNext/>
        <w:keepLines/>
        <w:widowControl/>
        <w:spacing w:line="360" w:lineRule="auto"/>
        <w:contextualSpacing/>
        <w:rPr>
          <w:rFonts w:eastAsiaTheme="minorHAnsi"/>
          <w:sz w:val="26"/>
          <w:szCs w:val="26"/>
        </w:rPr>
      </w:pPr>
    </w:p>
    <w:p w14:paraId="04600CD6" w14:textId="77777777" w:rsidR="00F35970" w:rsidRPr="00F35970" w:rsidRDefault="00F35970" w:rsidP="005B0616">
      <w:pPr>
        <w:keepNext/>
        <w:widowControl/>
        <w:spacing w:line="360" w:lineRule="auto"/>
        <w:ind w:firstLine="1440"/>
        <w:contextualSpacing/>
        <w:rPr>
          <w:rFonts w:eastAsia="MS Mincho"/>
          <w:sz w:val="26"/>
          <w:szCs w:val="26"/>
        </w:rPr>
      </w:pPr>
      <w:r w:rsidRPr="00F35970">
        <w:rPr>
          <w:rFonts w:eastAsiaTheme="minorHAnsi"/>
          <w:sz w:val="26"/>
          <w:szCs w:val="26"/>
        </w:rPr>
        <w:t xml:space="preserve">In its Exception No. 6, I&amp;E claims that the ALJ erred in finding that Pennsylvania-based public ownership of the Peoples Companies by Aqua America provides substantial public benefits.  According to I&amp;E, the Joint Applicants failed to provide substantive facts that show that public ownership will </w:t>
      </w:r>
      <w:r w:rsidRPr="00F35970">
        <w:rPr>
          <w:rFonts w:eastAsia="MS Mincho"/>
          <w:sz w:val="26"/>
          <w:szCs w:val="26"/>
        </w:rPr>
        <w:t>result in any additional benefit to ratepayers beyond what they currently receive from the Peoples Companies’ current ownership.  I&amp;E Exc. at 19-20.</w:t>
      </w:r>
    </w:p>
    <w:p w14:paraId="73D92736" w14:textId="77777777" w:rsidR="00F35970" w:rsidRPr="00F35970" w:rsidRDefault="00F35970" w:rsidP="00B24187">
      <w:pPr>
        <w:widowControl/>
        <w:spacing w:line="360" w:lineRule="auto"/>
        <w:ind w:firstLine="720"/>
        <w:contextualSpacing/>
        <w:rPr>
          <w:rFonts w:eastAsia="MS Mincho"/>
          <w:sz w:val="26"/>
          <w:szCs w:val="26"/>
        </w:rPr>
      </w:pPr>
    </w:p>
    <w:p w14:paraId="6CC228AB" w14:textId="170274F4" w:rsidR="00F35970" w:rsidRPr="00F35970" w:rsidRDefault="00F35970" w:rsidP="00B24187">
      <w:pPr>
        <w:widowControl/>
        <w:spacing w:after="200" w:line="360" w:lineRule="auto"/>
        <w:ind w:firstLine="1440"/>
        <w:contextualSpacing/>
        <w:rPr>
          <w:rFonts w:eastAsia="MS Mincho"/>
          <w:sz w:val="26"/>
          <w:szCs w:val="26"/>
        </w:rPr>
      </w:pPr>
      <w:r w:rsidRPr="00F35970">
        <w:rPr>
          <w:rFonts w:eastAsia="MS Mincho"/>
          <w:sz w:val="26"/>
          <w:szCs w:val="26"/>
        </w:rPr>
        <w:t xml:space="preserve">I&amp;E objects to the ALJ’s finding that it is not unusual in acquisitions for commitments to be modest in duration and that the commitments made by Aqua in the Settlement do not signal that Aqua will not be a long-term owner.  I&amp;E claims that although the Joint Applicants committed to a </w:t>
      </w:r>
      <w:r w:rsidR="003A591D" w:rsidRPr="00F35970">
        <w:rPr>
          <w:rFonts w:eastAsia="MS Mincho"/>
          <w:sz w:val="26"/>
          <w:szCs w:val="26"/>
        </w:rPr>
        <w:t>seven-year</w:t>
      </w:r>
      <w:r w:rsidRPr="00F35970">
        <w:rPr>
          <w:rFonts w:eastAsia="MS Mincho"/>
          <w:sz w:val="26"/>
          <w:szCs w:val="26"/>
        </w:rPr>
        <w:t xml:space="preserve"> infrastructure replacement project in the Settlement, Aqua America failed to commit to any time frame in which its ownership would be certain.  I&amp;E Exc. at 20.</w:t>
      </w:r>
    </w:p>
    <w:p w14:paraId="6F9F113E" w14:textId="77777777" w:rsidR="00F35970" w:rsidRPr="00F35970" w:rsidRDefault="00F35970" w:rsidP="00B24187">
      <w:pPr>
        <w:widowControl/>
        <w:spacing w:after="200" w:line="360" w:lineRule="auto"/>
        <w:ind w:firstLine="1440"/>
        <w:contextualSpacing/>
        <w:rPr>
          <w:rFonts w:eastAsia="MS Mincho"/>
          <w:sz w:val="26"/>
          <w:szCs w:val="26"/>
        </w:rPr>
      </w:pPr>
    </w:p>
    <w:p w14:paraId="446571BB" w14:textId="77777777"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MS Mincho"/>
          <w:sz w:val="26"/>
          <w:szCs w:val="26"/>
        </w:rPr>
        <w:t xml:space="preserve">I&amp;E also finds fault with the ALJ’s finding that the Joint Applicants’ commitment to maintain the Peoples Companies’ presence in the Pittsburgh area </w:t>
      </w:r>
      <w:r w:rsidRPr="00F35970">
        <w:rPr>
          <w:rFonts w:eastAsia="MS Mincho"/>
          <w:sz w:val="26"/>
          <w:szCs w:val="26"/>
        </w:rPr>
        <w:lastRenderedPageBreak/>
        <w:t xml:space="preserve">constitutes a public benefit.  In I&amp;E’s view, this commitment is not a benefit to ratepayers because had this transaction never been contemplated, the Peoples Companies’ headquarters would have still remained in the Pittsburgh area.  I&amp;E </w:t>
      </w:r>
      <w:r w:rsidRPr="00F35970">
        <w:rPr>
          <w:rFonts w:eastAsiaTheme="minorHAnsi"/>
          <w:sz w:val="26"/>
          <w:szCs w:val="26"/>
        </w:rPr>
        <w:t>Exc. at 21.</w:t>
      </w:r>
    </w:p>
    <w:p w14:paraId="02C8F6AB" w14:textId="77777777" w:rsidR="00F35970" w:rsidRPr="00F35970" w:rsidRDefault="00F35970" w:rsidP="00B24187">
      <w:pPr>
        <w:widowControl/>
        <w:spacing w:after="200" w:line="360" w:lineRule="auto"/>
        <w:ind w:firstLine="1440"/>
        <w:contextualSpacing/>
        <w:rPr>
          <w:rFonts w:eastAsiaTheme="minorHAnsi"/>
          <w:sz w:val="26"/>
          <w:szCs w:val="26"/>
        </w:rPr>
      </w:pPr>
    </w:p>
    <w:p w14:paraId="72ABA887" w14:textId="77777777"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In its Exception No.1, the OSBA opposes the ALJ’s Finding of Fact No. 15,</w:t>
      </w:r>
      <w:r w:rsidRPr="00F35970">
        <w:rPr>
          <w:rFonts w:eastAsiaTheme="minorHAnsi"/>
          <w:sz w:val="26"/>
          <w:szCs w:val="26"/>
          <w:vertAlign w:val="superscript"/>
        </w:rPr>
        <w:footnoteReference w:id="33"/>
      </w:r>
      <w:r w:rsidRPr="00F35970">
        <w:rPr>
          <w:rFonts w:eastAsiaTheme="minorHAnsi"/>
          <w:sz w:val="26"/>
          <w:szCs w:val="26"/>
        </w:rPr>
        <w:t xml:space="preserve"> in which the ALJ stated that “[a]ccess to equity will be even greater in the future after Aqua America becomes a larger public utility.”  The OSBA insists that there is no evidence that the SteelRiver entities ever experienced difficulty raising capital.</w:t>
      </w:r>
      <w:r w:rsidRPr="00F35970">
        <w:rPr>
          <w:rFonts w:eastAsiaTheme="minorHAnsi"/>
          <w:color w:val="C00000"/>
          <w:sz w:val="26"/>
          <w:szCs w:val="26"/>
        </w:rPr>
        <w:t xml:space="preserve">  </w:t>
      </w:r>
      <w:r w:rsidRPr="00F35970">
        <w:rPr>
          <w:rFonts w:eastAsiaTheme="minorHAnsi"/>
          <w:sz w:val="26"/>
          <w:szCs w:val="26"/>
        </w:rPr>
        <w:t xml:space="preserve">Therefore, the OSBA remains of the opinion that the Proposed Transaction will not result in any significant benefit to the Peoples Companies in seeking capital.  </w:t>
      </w:r>
      <w:bookmarkStart w:id="94" w:name="_Hlk27560056"/>
      <w:r w:rsidRPr="00F35970">
        <w:rPr>
          <w:rFonts w:eastAsiaTheme="minorHAnsi"/>
          <w:sz w:val="26"/>
          <w:szCs w:val="26"/>
        </w:rPr>
        <w:t xml:space="preserve">The OSBA also restates its belief that the negative influence the Proposed Transaction had on the market price for Aqua America's equity indicates that the equity markets do not consider the Proposed Transaction to be financially beneficial. </w:t>
      </w:r>
      <w:bookmarkEnd w:id="94"/>
      <w:r w:rsidRPr="00F35970">
        <w:rPr>
          <w:rFonts w:eastAsiaTheme="minorHAnsi"/>
          <w:sz w:val="26"/>
          <w:szCs w:val="26"/>
        </w:rPr>
        <w:t xml:space="preserve"> OSBA Exc. at 2-3.</w:t>
      </w:r>
    </w:p>
    <w:p w14:paraId="3E6D3BE8" w14:textId="77777777" w:rsidR="00F35970" w:rsidRPr="00F35970" w:rsidRDefault="00F35970" w:rsidP="00B24187">
      <w:pPr>
        <w:widowControl/>
        <w:spacing w:after="200" w:line="360" w:lineRule="auto"/>
        <w:ind w:firstLine="1440"/>
        <w:contextualSpacing/>
        <w:rPr>
          <w:rFonts w:eastAsiaTheme="minorHAnsi"/>
          <w:sz w:val="26"/>
          <w:szCs w:val="26"/>
        </w:rPr>
      </w:pPr>
    </w:p>
    <w:p w14:paraId="7F9FFD3B" w14:textId="77777777"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 xml:space="preserve">In its Exception No. 14, the OSBA finds fault with the ALJ’s conclusion that public ownership provides Aqua America with an enhanced ability to meet its </w:t>
      </w:r>
      <w:r w:rsidRPr="00F35970">
        <w:rPr>
          <w:rFonts w:eastAsiaTheme="minorHAnsi"/>
          <w:iCs/>
          <w:sz w:val="26"/>
          <w:szCs w:val="26"/>
        </w:rPr>
        <w:t>Settlement</w:t>
      </w:r>
      <w:r w:rsidRPr="00F35970">
        <w:rPr>
          <w:rFonts w:eastAsiaTheme="minorHAnsi"/>
          <w:i/>
          <w:sz w:val="26"/>
          <w:szCs w:val="26"/>
        </w:rPr>
        <w:t xml:space="preserve"> </w:t>
      </w:r>
      <w:r w:rsidRPr="00F35970">
        <w:rPr>
          <w:rFonts w:eastAsiaTheme="minorHAnsi"/>
          <w:sz w:val="26"/>
          <w:szCs w:val="26"/>
        </w:rPr>
        <w:t>commitments.  The OSBA restates its assertion that the Joint Applicants did not offer any evidence that SteelRiver experienced any difficulty raising capital needed by the Peoples Companies or that demonstrate</w:t>
      </w:r>
      <w:r w:rsidR="008F4AF1">
        <w:rPr>
          <w:rFonts w:eastAsiaTheme="minorHAnsi"/>
          <w:sz w:val="26"/>
          <w:szCs w:val="26"/>
        </w:rPr>
        <w:t>d</w:t>
      </w:r>
      <w:r w:rsidRPr="00F35970">
        <w:rPr>
          <w:rFonts w:eastAsiaTheme="minorHAnsi"/>
          <w:sz w:val="26"/>
          <w:szCs w:val="26"/>
        </w:rPr>
        <w:t xml:space="preserve"> Aqua America’s enhanced ability to do so.  The OSBA avers that there is no evidence that investors are unwilling or unable to invest in private equity.  OSBA Exc. at 22.</w:t>
      </w:r>
    </w:p>
    <w:p w14:paraId="37C2CB5A" w14:textId="77777777" w:rsidR="00F35970" w:rsidRPr="00F35970" w:rsidRDefault="00F35970" w:rsidP="00B24187">
      <w:pPr>
        <w:widowControl/>
        <w:spacing w:after="200" w:line="360" w:lineRule="auto"/>
        <w:ind w:firstLine="1440"/>
        <w:contextualSpacing/>
        <w:rPr>
          <w:rFonts w:eastAsiaTheme="minorHAnsi"/>
          <w:sz w:val="26"/>
          <w:szCs w:val="26"/>
        </w:rPr>
      </w:pPr>
    </w:p>
    <w:p w14:paraId="47000C8B" w14:textId="3CC1E8FB"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 xml:space="preserve">In its Exception No. 15, the OSBA claims that while the ALJ acknowledged that additional transparency is not the most substantial benefit of the Proposed Transaction, the ALJ erred in concluding that there is any benefit due to additional transparency.  The OSBA reiterates that given the information they must file </w:t>
      </w:r>
      <w:r w:rsidRPr="00F35970">
        <w:rPr>
          <w:rFonts w:eastAsiaTheme="minorHAnsi"/>
          <w:sz w:val="26"/>
          <w:szCs w:val="26"/>
        </w:rPr>
        <w:lastRenderedPageBreak/>
        <w:t xml:space="preserve">with the Commission, all public utilities are an </w:t>
      </w:r>
      <w:r w:rsidR="008F4AF1">
        <w:rPr>
          <w:rFonts w:eastAsiaTheme="minorHAnsi"/>
          <w:sz w:val="26"/>
          <w:szCs w:val="26"/>
        </w:rPr>
        <w:t>“</w:t>
      </w:r>
      <w:r w:rsidRPr="00F35970">
        <w:rPr>
          <w:rFonts w:eastAsiaTheme="minorHAnsi"/>
          <w:sz w:val="26"/>
          <w:szCs w:val="26"/>
        </w:rPr>
        <w:t>open book</w:t>
      </w:r>
      <w:r w:rsidR="008F4AF1">
        <w:rPr>
          <w:rFonts w:eastAsiaTheme="minorHAnsi"/>
          <w:sz w:val="26"/>
          <w:szCs w:val="26"/>
        </w:rPr>
        <w:t>”</w:t>
      </w:r>
      <w:r w:rsidRPr="00F35970">
        <w:rPr>
          <w:rFonts w:eastAsiaTheme="minorHAnsi"/>
          <w:sz w:val="26"/>
          <w:szCs w:val="26"/>
        </w:rPr>
        <w:t xml:space="preserve"> to regulators.  OSBA Exc. at</w:t>
      </w:r>
      <w:r w:rsidR="003A591D">
        <w:rPr>
          <w:rFonts w:eastAsiaTheme="minorHAnsi"/>
          <w:sz w:val="26"/>
          <w:szCs w:val="26"/>
        </w:rPr>
        <w:t> </w:t>
      </w:r>
      <w:r w:rsidRPr="00F35970">
        <w:rPr>
          <w:rFonts w:eastAsiaTheme="minorHAnsi"/>
          <w:sz w:val="26"/>
          <w:szCs w:val="26"/>
        </w:rPr>
        <w:t>23.</w:t>
      </w:r>
    </w:p>
    <w:p w14:paraId="67EE09F5" w14:textId="77777777"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 xml:space="preserve"> </w:t>
      </w:r>
    </w:p>
    <w:p w14:paraId="3200F790" w14:textId="77777777"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In reply to the OSBA’s Exception</w:t>
      </w:r>
      <w:r w:rsidR="008F4AF1">
        <w:rPr>
          <w:rFonts w:eastAsiaTheme="minorHAnsi"/>
          <w:sz w:val="26"/>
          <w:szCs w:val="26"/>
        </w:rPr>
        <w:t>s</w:t>
      </w:r>
      <w:r w:rsidRPr="00F35970">
        <w:rPr>
          <w:rFonts w:eastAsiaTheme="minorHAnsi"/>
          <w:sz w:val="26"/>
          <w:szCs w:val="26"/>
        </w:rPr>
        <w:t xml:space="preserve"> Nos. 1 and 14, the Joint Applicants assert that the ALJ properly concluded that the Peoples Companies’ access to equity will increase because the types of markets and investors to which the Peoples Companies’ will have access will increase.  The Joint Applicants note that in making Finding of Fact No. 15, the ALJ cited to a portion of OSBA Exhibit IEc-3.  The Joint Applicants also reemphasize that this ability to access substantial amounts of equity is demonstrated by the fact that demand for equity raised to finance the purchase price of the Proposed Transaction was four times the amount sought.  Joint Applicants R. Exc. at 8-9.  </w:t>
      </w:r>
    </w:p>
    <w:p w14:paraId="6A2616F1" w14:textId="77777777" w:rsidR="00F35970" w:rsidRPr="00F35970" w:rsidRDefault="00F35970" w:rsidP="00B24187">
      <w:pPr>
        <w:widowControl/>
        <w:spacing w:after="200" w:line="360" w:lineRule="auto"/>
        <w:ind w:firstLine="1440"/>
        <w:contextualSpacing/>
        <w:rPr>
          <w:rFonts w:eastAsiaTheme="minorHAnsi"/>
          <w:sz w:val="26"/>
          <w:szCs w:val="26"/>
        </w:rPr>
      </w:pPr>
    </w:p>
    <w:p w14:paraId="524B0E44" w14:textId="77777777"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In response to I&amp;E’s Exception No. 6 and the OSBA’s Exception No. 15, the Joint Applicants contend that both I&amp;E and the OSBA misinterpret the Joint Applicants’ arguments and the associated findings of the ALJ.  The Joint Applicants stress that they did not claim that the Commission will have access to more information about public utility subsidiaries.  Rather, the Joint Applicants restate that there is a benefit to having more transparency and information regarding Aqua America.  The Joint Applicants contend that they demonstrated that the Proposed Transaction will expand the information available to the public, resulting in an affirmative benefit.  Joint Applicants R. Exc. at 16.  In addition, the Joint Applicants assert that contrary to the assertions of I&amp;E, the ALJ correctly recognized that Aqua America’s overall investment and management philosophy is based on long-term ownership.  Further, the Joint Applicants argue that I&amp;E’s Exception No. 6 fails to recognize that Aqua America has always been a Pennsylvania-based company and that it will continue to be responsive to issues of concern to Pennsylvania customers.  Joint Applicants R. Exc. at 16-17.</w:t>
      </w:r>
    </w:p>
    <w:p w14:paraId="246F2411" w14:textId="77777777" w:rsidR="00F35970" w:rsidRPr="00F35970" w:rsidRDefault="00F35970" w:rsidP="00B24187">
      <w:pPr>
        <w:widowControl/>
        <w:spacing w:after="200" w:line="360" w:lineRule="auto"/>
        <w:ind w:firstLine="1440"/>
        <w:contextualSpacing/>
        <w:rPr>
          <w:rFonts w:eastAsiaTheme="minorHAnsi"/>
          <w:sz w:val="26"/>
          <w:szCs w:val="26"/>
        </w:rPr>
      </w:pPr>
    </w:p>
    <w:p w14:paraId="56C76017" w14:textId="77777777"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 xml:space="preserve">In its Replies to Exceptions, the OCA asserts that the ALJ correctly determined that improved transparency and greater access to capital markets are benefits </w:t>
      </w:r>
      <w:r w:rsidRPr="00F35970">
        <w:rPr>
          <w:rFonts w:eastAsiaTheme="minorHAnsi"/>
          <w:sz w:val="26"/>
          <w:szCs w:val="26"/>
        </w:rPr>
        <w:lastRenderedPageBreak/>
        <w:t>of the Proposed Transaction and are important components of the infrastructure improvements as set forth in the Settlement.  Therefore, the OCA submits that I&amp;E’s Exception No. 6 and the OSBA’s Exception</w:t>
      </w:r>
      <w:r w:rsidR="00865E00">
        <w:rPr>
          <w:rFonts w:eastAsiaTheme="minorHAnsi"/>
          <w:sz w:val="26"/>
          <w:szCs w:val="26"/>
        </w:rPr>
        <w:t>s</w:t>
      </w:r>
      <w:r w:rsidRPr="00F35970">
        <w:rPr>
          <w:rFonts w:eastAsiaTheme="minorHAnsi"/>
          <w:sz w:val="26"/>
          <w:szCs w:val="26"/>
        </w:rPr>
        <w:t xml:space="preserve"> Nos. 1, 14, and 15 should be denied.  OCA R. Exc. at 13-14.</w:t>
      </w:r>
    </w:p>
    <w:p w14:paraId="39BE29DF" w14:textId="77777777" w:rsidR="00F35970" w:rsidRPr="00F35970" w:rsidRDefault="00F35970" w:rsidP="00B24187">
      <w:pPr>
        <w:widowControl/>
        <w:spacing w:line="360" w:lineRule="auto"/>
        <w:ind w:firstLine="1440"/>
        <w:contextualSpacing/>
        <w:rPr>
          <w:rFonts w:eastAsiaTheme="minorHAnsi"/>
          <w:sz w:val="26"/>
          <w:szCs w:val="26"/>
        </w:rPr>
      </w:pPr>
    </w:p>
    <w:p w14:paraId="4F592FD8" w14:textId="77777777" w:rsidR="00F35970" w:rsidRPr="00F35970" w:rsidRDefault="00F35970" w:rsidP="005B0616">
      <w:pPr>
        <w:pStyle w:val="Heading4"/>
        <w:widowControl/>
        <w:ind w:left="2160" w:hanging="720"/>
        <w:rPr>
          <w:rFonts w:eastAsiaTheme="minorHAnsi"/>
        </w:rPr>
      </w:pPr>
      <w:bookmarkStart w:id="95" w:name="_Toc29278214"/>
      <w:r w:rsidRPr="00F35970">
        <w:rPr>
          <w:rFonts w:eastAsiaTheme="minorHAnsi"/>
        </w:rPr>
        <w:t>Disposition</w:t>
      </w:r>
      <w:bookmarkEnd w:id="95"/>
    </w:p>
    <w:p w14:paraId="2B8D5786" w14:textId="77777777" w:rsidR="00F35970" w:rsidRPr="00F35970" w:rsidRDefault="00F35970" w:rsidP="005B0616">
      <w:pPr>
        <w:keepNext/>
        <w:keepLines/>
        <w:widowControl/>
        <w:spacing w:after="200" w:line="360" w:lineRule="auto"/>
        <w:ind w:right="-1440" w:firstLine="1440"/>
        <w:contextualSpacing/>
        <w:rPr>
          <w:rFonts w:eastAsiaTheme="minorHAnsi"/>
          <w:sz w:val="26"/>
          <w:szCs w:val="26"/>
        </w:rPr>
      </w:pPr>
    </w:p>
    <w:p w14:paraId="6863724A" w14:textId="77777777" w:rsidR="00F35970" w:rsidRPr="00F35970" w:rsidRDefault="00F35970" w:rsidP="005B0616">
      <w:pPr>
        <w:keepNext/>
        <w:widowControl/>
        <w:spacing w:after="200" w:line="360" w:lineRule="auto"/>
        <w:ind w:firstLine="1440"/>
        <w:contextualSpacing/>
        <w:rPr>
          <w:rFonts w:eastAsiaTheme="minorHAnsi"/>
          <w:sz w:val="26"/>
          <w:szCs w:val="26"/>
        </w:rPr>
      </w:pPr>
      <w:r w:rsidRPr="00F35970">
        <w:rPr>
          <w:rFonts w:eastAsiaTheme="minorHAnsi"/>
          <w:sz w:val="26"/>
          <w:szCs w:val="26"/>
        </w:rPr>
        <w:t xml:space="preserve">On consideration of the record developed in this proceeding, we are of the opinion that the return of the Peoples Companies to public ownership via the Proposed Transaction constitutes an affirmative public benefit.  </w:t>
      </w:r>
    </w:p>
    <w:p w14:paraId="4A246D14" w14:textId="77777777" w:rsidR="00F35970" w:rsidRPr="00F35970" w:rsidRDefault="00F35970" w:rsidP="00B24187">
      <w:pPr>
        <w:widowControl/>
        <w:spacing w:after="200" w:line="360" w:lineRule="auto"/>
        <w:ind w:right="-1440" w:firstLine="1440"/>
        <w:contextualSpacing/>
        <w:rPr>
          <w:rFonts w:eastAsiaTheme="minorHAnsi"/>
          <w:sz w:val="26"/>
          <w:szCs w:val="26"/>
        </w:rPr>
      </w:pPr>
    </w:p>
    <w:p w14:paraId="72797D31" w14:textId="0A9D37F9"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 xml:space="preserve">Initially, with regard to the Joint Applicants’ assertion that the Proposed Transaction will provide stability of ownership, we concur with the ALJ that I&amp;E and the OSBA did not proffer any evidence to the contrary.  The question to consider is not whether SteelRiver’s ownership of the Peoples Companies is adequate, but rather, whether Aqua America’s ownership would be more beneficial.  Although Aqua America did not commit to a specific term of ownership of the Peoples Companies, the record indicates that while the Peoples Companies are currently owned by a private equity fund with a finite life, Aqua America intends to own the Peoples Companies for the long-term as it has its other assets.  Namely, Aqua America has traditionally held utility systems for multiple decades or even for over a century.  Joint Applicants St. 1-R at 10; Joint Applicants St. 2 at 9.  As ALJ Long observed, there is nothing in the record to suggest that Aqua America will alter its long-standing investment strategy.  We are of the opinion that long-term ownership can result in decisions that are better for customers, employees, and the surrounding communities.  Additionally, long-term ownership generally leads to a willingness to make capital investments to renew and expand infrastructure to provide continued safe, reliable utility service.  For example, the record depicts that Aqua America’s subsidiaries have replaced a substantial amount of infrastructure.  The Joint Applicants’ </w:t>
      </w:r>
      <w:r w:rsidR="008C3610">
        <w:rPr>
          <w:rFonts w:eastAsiaTheme="minorHAnsi"/>
          <w:sz w:val="26"/>
          <w:szCs w:val="26"/>
        </w:rPr>
        <w:t>w</w:t>
      </w:r>
      <w:r w:rsidRPr="00F35970">
        <w:rPr>
          <w:rFonts w:eastAsiaTheme="minorHAnsi"/>
          <w:sz w:val="26"/>
          <w:szCs w:val="26"/>
        </w:rPr>
        <w:t xml:space="preserve">itness Mr. Franklin testified that over the past ten years, Aqua America </w:t>
      </w:r>
      <w:r w:rsidRPr="00F35970">
        <w:rPr>
          <w:rFonts w:eastAsiaTheme="minorHAnsi"/>
          <w:sz w:val="26"/>
          <w:szCs w:val="26"/>
        </w:rPr>
        <w:lastRenderedPageBreak/>
        <w:t>water subsidiaries have invested approximately $3.5 billion in infrastructure improvements which includes replacement of approximately 1,600 miles of mains.  Mr. Franklin further testified that it is Aqua America’s plan to continue the current pace of infrastructure replacement at the Peoples Companies.  Joint Applicants St. 1 (Revised) at 11.  Therefore, we find that stability of ownership is an affirmative public benefit.</w:t>
      </w:r>
    </w:p>
    <w:p w14:paraId="39C4B457" w14:textId="77777777" w:rsidR="00F35970" w:rsidRPr="00F35970" w:rsidRDefault="00F35970" w:rsidP="00B24187">
      <w:pPr>
        <w:widowControl/>
        <w:spacing w:after="200" w:line="360" w:lineRule="auto"/>
        <w:ind w:firstLine="1440"/>
        <w:contextualSpacing/>
        <w:rPr>
          <w:rFonts w:eastAsiaTheme="minorHAnsi"/>
          <w:sz w:val="26"/>
          <w:szCs w:val="26"/>
        </w:rPr>
      </w:pPr>
    </w:p>
    <w:p w14:paraId="4A474B0A" w14:textId="77777777" w:rsidR="00F35970" w:rsidRPr="00F35970" w:rsidRDefault="00F35970" w:rsidP="00B24187">
      <w:pPr>
        <w:widowControl/>
        <w:spacing w:after="200" w:line="360" w:lineRule="auto"/>
        <w:ind w:firstLine="1440"/>
        <w:contextualSpacing/>
        <w:rPr>
          <w:rFonts w:eastAsiaTheme="minorHAnsi"/>
          <w:bCs/>
          <w:sz w:val="26"/>
          <w:szCs w:val="26"/>
        </w:rPr>
      </w:pPr>
      <w:r w:rsidRPr="00F35970">
        <w:rPr>
          <w:rFonts w:eastAsiaTheme="minorHAnsi"/>
          <w:sz w:val="26"/>
          <w:szCs w:val="26"/>
        </w:rPr>
        <w:t xml:space="preserve">Next, we find no merit in the OSBA’s assertion under its Exception No. 1 that the ALJ erred in finding </w:t>
      </w:r>
      <w:r w:rsidRPr="00F35970">
        <w:rPr>
          <w:bCs/>
          <w:color w:val="000000"/>
          <w:sz w:val="26"/>
          <w:szCs w:val="26"/>
        </w:rPr>
        <w:t>that access to equity will be even greater in the future after Aqua America becomes a larger public utility</w:t>
      </w:r>
      <w:r w:rsidRPr="00F35970">
        <w:rPr>
          <w:rFonts w:eastAsiaTheme="minorHAnsi"/>
          <w:bCs/>
          <w:sz w:val="26"/>
          <w:szCs w:val="26"/>
        </w:rPr>
        <w:t>.  As the Joint Applicants pointed out, in making finding of Fact No. 15, to which the OSBA excepts, the ALJ cited to a portion of the OSBA’s own Exhibit IEc-3, which was a response by the Joint Applicants to an interrogatory of the OSBA.  This interrogatory and response thereto stated, in pertinent part, as follows (emphasis added):</w:t>
      </w:r>
    </w:p>
    <w:p w14:paraId="2C16ABE1" w14:textId="77777777" w:rsidR="00F35970" w:rsidRPr="00F35970" w:rsidRDefault="00F35970" w:rsidP="00B24187">
      <w:pPr>
        <w:widowControl/>
        <w:spacing w:after="200" w:line="360" w:lineRule="auto"/>
        <w:ind w:firstLine="1440"/>
        <w:contextualSpacing/>
        <w:rPr>
          <w:rFonts w:eastAsiaTheme="minorHAnsi"/>
          <w:bCs/>
          <w:sz w:val="26"/>
          <w:szCs w:val="26"/>
        </w:rPr>
      </w:pPr>
    </w:p>
    <w:p w14:paraId="7CCCAA21" w14:textId="77777777" w:rsidR="00F35970" w:rsidRPr="00F35970" w:rsidRDefault="00F35970" w:rsidP="00B24187">
      <w:pPr>
        <w:widowControl/>
        <w:spacing w:after="200"/>
        <w:ind w:left="1440" w:right="1440"/>
        <w:contextualSpacing/>
        <w:rPr>
          <w:rFonts w:eastAsiaTheme="minorHAnsi"/>
          <w:sz w:val="26"/>
          <w:szCs w:val="26"/>
        </w:rPr>
      </w:pPr>
      <w:r w:rsidRPr="00F35970">
        <w:rPr>
          <w:rFonts w:eastAsiaTheme="minorHAnsi"/>
          <w:sz w:val="26"/>
          <w:szCs w:val="26"/>
        </w:rPr>
        <w:t>a.</w:t>
      </w:r>
      <w:r w:rsidRPr="00F35970">
        <w:rPr>
          <w:rFonts w:eastAsiaTheme="minorHAnsi"/>
          <w:sz w:val="26"/>
          <w:szCs w:val="26"/>
        </w:rPr>
        <w:tab/>
        <w:t>Please explain why access to equity capital is expanded.</w:t>
      </w:r>
    </w:p>
    <w:p w14:paraId="52A7BA8F" w14:textId="77777777" w:rsidR="00F35970" w:rsidRPr="00F35970" w:rsidRDefault="00F35970" w:rsidP="00B24187">
      <w:pPr>
        <w:widowControl/>
        <w:spacing w:after="200"/>
        <w:ind w:left="1440" w:right="1440"/>
        <w:contextualSpacing/>
        <w:rPr>
          <w:rFonts w:eastAsiaTheme="minorHAnsi"/>
          <w:sz w:val="26"/>
          <w:szCs w:val="26"/>
        </w:rPr>
      </w:pPr>
    </w:p>
    <w:p w14:paraId="07ACE27C" w14:textId="77777777" w:rsidR="00F35970" w:rsidRPr="00F35970" w:rsidRDefault="00F35970" w:rsidP="00B24187">
      <w:pPr>
        <w:widowControl/>
        <w:ind w:left="1440" w:right="1440"/>
        <w:contextualSpacing/>
        <w:jc w:val="center"/>
        <w:rPr>
          <w:sz w:val="26"/>
          <w:szCs w:val="26"/>
        </w:rPr>
      </w:pPr>
      <w:r w:rsidRPr="00F35970">
        <w:rPr>
          <w:sz w:val="26"/>
          <w:szCs w:val="26"/>
        </w:rPr>
        <w:t>*</w:t>
      </w:r>
      <w:r w:rsidRPr="00F35970">
        <w:rPr>
          <w:sz w:val="26"/>
          <w:szCs w:val="26"/>
        </w:rPr>
        <w:tab/>
        <w:t>*</w:t>
      </w:r>
      <w:r w:rsidRPr="00F35970">
        <w:rPr>
          <w:sz w:val="26"/>
          <w:szCs w:val="26"/>
        </w:rPr>
        <w:tab/>
        <w:t>*</w:t>
      </w:r>
    </w:p>
    <w:p w14:paraId="0E795D0E" w14:textId="77777777" w:rsidR="00F35970" w:rsidRPr="00F35970" w:rsidRDefault="00F35970" w:rsidP="00B24187">
      <w:pPr>
        <w:widowControl/>
        <w:spacing w:after="200"/>
        <w:ind w:left="1440" w:right="1440"/>
        <w:contextualSpacing/>
        <w:rPr>
          <w:rFonts w:eastAsiaTheme="minorHAnsi"/>
          <w:sz w:val="26"/>
          <w:szCs w:val="26"/>
        </w:rPr>
      </w:pPr>
    </w:p>
    <w:p w14:paraId="60F3A9CA" w14:textId="77777777" w:rsidR="00F35970" w:rsidRPr="00F35970" w:rsidRDefault="00F35970" w:rsidP="00B24187">
      <w:pPr>
        <w:widowControl/>
        <w:spacing w:before="484"/>
        <w:ind w:left="1440" w:right="1440"/>
        <w:contextualSpacing/>
        <w:textAlignment w:val="baseline"/>
        <w:rPr>
          <w:color w:val="000000"/>
          <w:spacing w:val="-9"/>
          <w:sz w:val="26"/>
          <w:szCs w:val="26"/>
        </w:rPr>
      </w:pPr>
      <w:r w:rsidRPr="00F35970">
        <w:rPr>
          <w:color w:val="000000"/>
          <w:spacing w:val="-9"/>
          <w:sz w:val="26"/>
          <w:szCs w:val="26"/>
        </w:rPr>
        <w:t>RESPONSE</w:t>
      </w:r>
    </w:p>
    <w:p w14:paraId="7EC5A410" w14:textId="77777777" w:rsidR="00F35970" w:rsidRPr="00F35970" w:rsidRDefault="00F35970" w:rsidP="00B24187">
      <w:pPr>
        <w:widowControl/>
        <w:spacing w:before="484"/>
        <w:ind w:left="1440" w:right="1440"/>
        <w:contextualSpacing/>
        <w:textAlignment w:val="baseline"/>
        <w:rPr>
          <w:color w:val="000000"/>
          <w:spacing w:val="-9"/>
          <w:sz w:val="26"/>
          <w:szCs w:val="26"/>
        </w:rPr>
      </w:pPr>
    </w:p>
    <w:p w14:paraId="7F33F969" w14:textId="77777777" w:rsidR="00F35970" w:rsidRPr="00F35970" w:rsidRDefault="00F35970" w:rsidP="00B24187">
      <w:pPr>
        <w:widowControl/>
        <w:spacing w:after="200"/>
        <w:ind w:left="1440" w:right="1440"/>
        <w:contextualSpacing/>
        <w:rPr>
          <w:rFonts w:eastAsiaTheme="minorHAnsi"/>
          <w:sz w:val="26"/>
          <w:szCs w:val="26"/>
        </w:rPr>
      </w:pPr>
      <w:r w:rsidRPr="00F35970">
        <w:rPr>
          <w:rFonts w:eastAsiaTheme="minorHAnsi"/>
          <w:sz w:val="26"/>
          <w:szCs w:val="26"/>
        </w:rPr>
        <w:t>a.</w:t>
      </w:r>
      <w:r w:rsidRPr="00F35970">
        <w:rPr>
          <w:rFonts w:eastAsiaTheme="minorHAnsi"/>
          <w:sz w:val="26"/>
          <w:szCs w:val="26"/>
        </w:rPr>
        <w:tab/>
        <w:t xml:space="preserve">Due to the acquisition, </w:t>
      </w:r>
      <w:r w:rsidRPr="00F35970">
        <w:rPr>
          <w:rFonts w:eastAsiaTheme="minorHAnsi"/>
          <w:b/>
          <w:bCs/>
          <w:sz w:val="26"/>
          <w:szCs w:val="26"/>
          <w:u w:val="single"/>
        </w:rPr>
        <w:t>the Peoples Companies, through Aqua America, would have access to equity capital</w:t>
      </w:r>
      <w:r w:rsidRPr="00F35970">
        <w:rPr>
          <w:rFonts w:eastAsiaTheme="minorHAnsi"/>
          <w:sz w:val="26"/>
          <w:szCs w:val="26"/>
        </w:rPr>
        <w:t xml:space="preserve"> that can be raised in all market environments from a large, diverse pool of U.S. and international investors </w:t>
      </w:r>
      <w:r w:rsidRPr="00F35970">
        <w:rPr>
          <w:rFonts w:eastAsiaTheme="minorHAnsi"/>
          <w:b/>
          <w:bCs/>
          <w:sz w:val="26"/>
          <w:szCs w:val="26"/>
          <w:u w:val="single"/>
        </w:rPr>
        <w:t>through both public and private markets.</w:t>
      </w:r>
      <w:r w:rsidRPr="00F35970">
        <w:rPr>
          <w:rFonts w:eastAsiaTheme="minorHAnsi"/>
          <w:sz w:val="26"/>
          <w:szCs w:val="26"/>
        </w:rPr>
        <w:t xml:space="preserve"> The increased scale provided by the acquisition will result in even greater access to equity capital than Aqua America enjoys today, as some investors limit investments to larger public companies with higher market capitalizations, greater daily trading volumes, and coverage by numerous equity research analysts.</w:t>
      </w:r>
    </w:p>
    <w:p w14:paraId="07F43E3D" w14:textId="77777777" w:rsidR="00F35970" w:rsidRPr="00F35970" w:rsidRDefault="00F35970" w:rsidP="00B24187">
      <w:pPr>
        <w:widowControl/>
        <w:spacing w:after="200" w:line="360" w:lineRule="auto"/>
        <w:ind w:firstLine="1440"/>
        <w:contextualSpacing/>
        <w:rPr>
          <w:rFonts w:eastAsiaTheme="minorHAnsi"/>
          <w:bCs/>
          <w:sz w:val="26"/>
          <w:szCs w:val="26"/>
        </w:rPr>
      </w:pPr>
    </w:p>
    <w:p w14:paraId="40045ED6" w14:textId="77777777" w:rsidR="00F35970" w:rsidRPr="00F35970" w:rsidRDefault="00F35970" w:rsidP="00B24187">
      <w:pPr>
        <w:widowControl/>
        <w:spacing w:after="200" w:line="360" w:lineRule="auto"/>
        <w:contextualSpacing/>
        <w:rPr>
          <w:rFonts w:eastAsiaTheme="minorHAnsi"/>
          <w:sz w:val="26"/>
          <w:szCs w:val="26"/>
        </w:rPr>
      </w:pPr>
      <w:r w:rsidRPr="00F35970">
        <w:rPr>
          <w:rFonts w:eastAsiaTheme="minorHAnsi"/>
          <w:bCs/>
          <w:sz w:val="26"/>
          <w:szCs w:val="26"/>
        </w:rPr>
        <w:t xml:space="preserve">Thus, while there is no evidence that the SteelRiver entities have ever experienced difficulty in raising capital, Aqua America can more-easily raise equity capital because of </w:t>
      </w:r>
      <w:r w:rsidRPr="00F35970">
        <w:rPr>
          <w:rFonts w:eastAsiaTheme="minorHAnsi"/>
          <w:bCs/>
          <w:sz w:val="26"/>
          <w:szCs w:val="26"/>
        </w:rPr>
        <w:lastRenderedPageBreak/>
        <w:t>the availability of public stock issuances and the wider availability of debt issuances that were not previously available to the Peoples Companies.  The record illustrates the benefits of this, as it relates to the Proposed Transaction.  Namely, as previously noted, Aqua America raised approximately $2.7 billion in equity capital to finance the Proposed Transaction, with public demand of nearly four times the supply raised publicly.  In addition, Aqua America raised $436 million in debt to finance the Proposed Transaction, in an offering that was more than four times oversubscribed.  Joint Applicants St. 2-R at 9, 12, 22.  We concur with the Joint Applicants that this demonstrated ability to access substantial capital from diverse sources will aid in the various infrastructure investment commitments outlined in the Settlement.  Further, we are not persuaded by the OSBA’s argument regarding the negative influence the Proposed Transaction had on the market price for Aqua America</w:t>
      </w:r>
      <w:r w:rsidR="0030774A">
        <w:rPr>
          <w:rFonts w:eastAsiaTheme="minorHAnsi"/>
          <w:bCs/>
          <w:sz w:val="26"/>
          <w:szCs w:val="26"/>
        </w:rPr>
        <w:t>’</w:t>
      </w:r>
      <w:r w:rsidRPr="00F35970">
        <w:rPr>
          <w:rFonts w:eastAsiaTheme="minorHAnsi"/>
          <w:bCs/>
          <w:sz w:val="26"/>
          <w:szCs w:val="26"/>
        </w:rPr>
        <w:t xml:space="preserve">s equity.  As noted under our discussion of the financial fitness of Aqua America, </w:t>
      </w:r>
      <w:r w:rsidRPr="00F35970">
        <w:rPr>
          <w:rFonts w:eastAsiaTheme="minorHAnsi"/>
          <w:bCs/>
          <w:i/>
          <w:iCs/>
          <w:sz w:val="26"/>
          <w:szCs w:val="26"/>
        </w:rPr>
        <w:t xml:space="preserve">supra, </w:t>
      </w:r>
      <w:r w:rsidRPr="00F35970">
        <w:rPr>
          <w:rFonts w:eastAsiaTheme="minorHAnsi"/>
          <w:bCs/>
          <w:sz w:val="26"/>
          <w:szCs w:val="26"/>
        </w:rPr>
        <w:t>this ignores that the stock price for Aqua America subsequently rebounded.  Accordingly</w:t>
      </w:r>
      <w:r w:rsidRPr="00F35970">
        <w:rPr>
          <w:rFonts w:eastAsiaTheme="minorHAnsi"/>
          <w:sz w:val="26"/>
          <w:szCs w:val="26"/>
        </w:rPr>
        <w:t>, we find that the Peoples Companies expanded access to capital under the Proposed Transaction is an affirmative public benefit.</w:t>
      </w:r>
    </w:p>
    <w:p w14:paraId="02B705D2" w14:textId="77777777" w:rsidR="00F35970" w:rsidRPr="00F35970" w:rsidRDefault="00F35970" w:rsidP="00B24187">
      <w:pPr>
        <w:widowControl/>
        <w:spacing w:after="200" w:line="360" w:lineRule="auto"/>
        <w:ind w:firstLine="1440"/>
        <w:contextualSpacing/>
        <w:rPr>
          <w:rFonts w:eastAsiaTheme="minorHAnsi"/>
          <w:sz w:val="26"/>
          <w:szCs w:val="26"/>
        </w:rPr>
      </w:pPr>
    </w:p>
    <w:p w14:paraId="4267071B" w14:textId="77777777" w:rsidR="00F35970" w:rsidRPr="00F35970" w:rsidRDefault="00F35970" w:rsidP="00B24187">
      <w:pPr>
        <w:widowControl/>
        <w:spacing w:after="200" w:line="360" w:lineRule="auto"/>
        <w:ind w:firstLine="1440"/>
        <w:contextualSpacing/>
        <w:rPr>
          <w:rFonts w:eastAsiaTheme="minorHAnsi"/>
          <w:sz w:val="26"/>
          <w:szCs w:val="26"/>
        </w:rPr>
      </w:pPr>
      <w:r w:rsidRPr="00F35970">
        <w:rPr>
          <w:rFonts w:eastAsiaTheme="minorHAnsi"/>
          <w:sz w:val="26"/>
          <w:szCs w:val="26"/>
        </w:rPr>
        <w:t>Additionally, the record corroborates the Joint Applicants’ assertion regarding its commitment to communities in Pennsylvania.  As will be discussed in greater detail</w:t>
      </w:r>
      <w:r w:rsidR="0030774A">
        <w:rPr>
          <w:rFonts w:eastAsiaTheme="minorHAnsi"/>
          <w:sz w:val="26"/>
          <w:szCs w:val="26"/>
        </w:rPr>
        <w:t xml:space="preserve"> herein</w:t>
      </w:r>
      <w:r w:rsidRPr="00F35970">
        <w:rPr>
          <w:rFonts w:eastAsiaTheme="minorHAnsi"/>
          <w:i/>
          <w:iCs/>
          <w:sz w:val="26"/>
          <w:szCs w:val="26"/>
        </w:rPr>
        <w:t xml:space="preserve">, </w:t>
      </w:r>
      <w:r w:rsidRPr="00F35970">
        <w:rPr>
          <w:rFonts w:eastAsiaTheme="minorHAnsi"/>
          <w:sz w:val="26"/>
          <w:szCs w:val="26"/>
        </w:rPr>
        <w:t>there are several provisions in the Settlement that reaffirm Aqua America’s intent to maintain the Peoples Companies presence in the Pittsburgh area and which demonstrate Aqua America’s support for the retention and growth of Pennsylvania jobs.  Further, as previously discussed, Aqua America has committed to infrastructure investment in the territories of the Peoples Companies.  As such, we find that Pennsylvania-based ownership constitutes an affirmative public benefit.</w:t>
      </w:r>
    </w:p>
    <w:p w14:paraId="05886B09" w14:textId="77777777" w:rsidR="00F35970" w:rsidRPr="00F35970" w:rsidRDefault="00F35970" w:rsidP="00B24187">
      <w:pPr>
        <w:widowControl/>
        <w:spacing w:after="200" w:line="360" w:lineRule="auto"/>
        <w:ind w:firstLine="1440"/>
        <w:contextualSpacing/>
        <w:rPr>
          <w:rFonts w:eastAsiaTheme="minorHAnsi"/>
          <w:sz w:val="26"/>
          <w:szCs w:val="26"/>
        </w:rPr>
      </w:pPr>
    </w:p>
    <w:p w14:paraId="5D7EE2AD" w14:textId="77777777" w:rsidR="00F35970" w:rsidRPr="00F35970" w:rsidRDefault="00F35970" w:rsidP="00467189">
      <w:pPr>
        <w:widowControl/>
        <w:spacing w:line="360" w:lineRule="auto"/>
        <w:ind w:firstLine="1440"/>
        <w:contextualSpacing/>
        <w:rPr>
          <w:rFonts w:eastAsiaTheme="minorHAnsi"/>
          <w:sz w:val="26"/>
          <w:szCs w:val="26"/>
        </w:rPr>
      </w:pPr>
      <w:r w:rsidRPr="00F35970">
        <w:rPr>
          <w:rFonts w:eastAsiaTheme="minorHAnsi"/>
          <w:sz w:val="26"/>
          <w:szCs w:val="26"/>
        </w:rPr>
        <w:t xml:space="preserve">Finally, with regard to the Joint Applicants’ assertion that the Proposed Transaction will result in more transparency and information regarding Aqua America, we find this to be a more neutral benefit.  As the OSBA and I&amp;E both noted, public utilities are already fairly open with the information they must provide to the </w:t>
      </w:r>
      <w:r w:rsidRPr="00F35970">
        <w:rPr>
          <w:rFonts w:eastAsiaTheme="minorHAnsi"/>
          <w:sz w:val="26"/>
          <w:szCs w:val="26"/>
        </w:rPr>
        <w:lastRenderedPageBreak/>
        <w:t>Commission.  Nonetheless, for the reasons discussed above, we find that, overall, the return of the Peoples Companies to public ownership via the Proposed Transaction will result in substantial affirmative public benefits.  Therefore, the Exceptions of I&amp;E and the OSBA to the contrary are denied.</w:t>
      </w:r>
    </w:p>
    <w:p w14:paraId="67CAFFB4" w14:textId="77777777" w:rsidR="00F35970" w:rsidRPr="00F35970" w:rsidRDefault="00F35970" w:rsidP="00467189">
      <w:pPr>
        <w:widowControl/>
        <w:spacing w:line="360" w:lineRule="auto"/>
        <w:contextualSpacing/>
        <w:rPr>
          <w:rFonts w:eastAsiaTheme="minorHAnsi"/>
          <w:sz w:val="26"/>
          <w:szCs w:val="26"/>
        </w:rPr>
      </w:pPr>
    </w:p>
    <w:p w14:paraId="71C09C11" w14:textId="77777777" w:rsidR="00534F4F" w:rsidRDefault="006F4323" w:rsidP="00467189">
      <w:pPr>
        <w:pStyle w:val="Heading3"/>
        <w:ind w:left="1440" w:hanging="720"/>
        <w:rPr>
          <w:rFonts w:eastAsiaTheme="minorHAnsi"/>
        </w:rPr>
      </w:pPr>
      <w:bookmarkStart w:id="96" w:name="_Toc29278215"/>
      <w:r>
        <w:rPr>
          <w:rFonts w:eastAsiaTheme="minorHAnsi"/>
        </w:rPr>
        <w:t>Workforce Benefits</w:t>
      </w:r>
      <w:bookmarkEnd w:id="96"/>
      <w:r>
        <w:rPr>
          <w:rFonts w:eastAsiaTheme="minorHAnsi"/>
        </w:rPr>
        <w:t xml:space="preserve"> </w:t>
      </w:r>
    </w:p>
    <w:p w14:paraId="053025CD" w14:textId="77777777" w:rsidR="0078013F" w:rsidRPr="0078013F" w:rsidRDefault="0078013F" w:rsidP="00467189">
      <w:pPr>
        <w:keepNext/>
        <w:keepLines/>
        <w:widowControl/>
        <w:spacing w:line="360" w:lineRule="auto"/>
        <w:contextualSpacing/>
        <w:rPr>
          <w:rFonts w:eastAsiaTheme="minorHAnsi"/>
          <w:sz w:val="26"/>
          <w:szCs w:val="26"/>
        </w:rPr>
      </w:pPr>
    </w:p>
    <w:p w14:paraId="2326D30F" w14:textId="77777777" w:rsidR="0078013F" w:rsidRPr="00781160" w:rsidRDefault="0078013F" w:rsidP="00467189">
      <w:pPr>
        <w:pStyle w:val="Heading4"/>
        <w:widowControl/>
        <w:numPr>
          <w:ilvl w:val="0"/>
          <w:numId w:val="31"/>
        </w:numPr>
        <w:ind w:left="2160" w:hanging="720"/>
        <w:rPr>
          <w:rFonts w:eastAsiaTheme="minorHAnsi"/>
        </w:rPr>
      </w:pPr>
      <w:bookmarkStart w:id="97" w:name="_Toc29278216"/>
      <w:r w:rsidRPr="00781160">
        <w:rPr>
          <w:rFonts w:eastAsiaTheme="minorHAnsi"/>
        </w:rPr>
        <w:t>Settlement Terms</w:t>
      </w:r>
      <w:bookmarkEnd w:id="97"/>
    </w:p>
    <w:p w14:paraId="237BB906" w14:textId="77777777" w:rsidR="0078013F" w:rsidRPr="0078013F" w:rsidRDefault="0078013F" w:rsidP="00467189">
      <w:pPr>
        <w:keepNext/>
        <w:keepLines/>
        <w:widowControl/>
        <w:spacing w:line="360" w:lineRule="auto"/>
        <w:contextualSpacing/>
        <w:rPr>
          <w:rFonts w:eastAsiaTheme="minorHAnsi"/>
          <w:sz w:val="26"/>
          <w:szCs w:val="26"/>
        </w:rPr>
      </w:pPr>
    </w:p>
    <w:p w14:paraId="5C75D519" w14:textId="77777777" w:rsidR="0078013F" w:rsidRPr="0078013F" w:rsidRDefault="0078013F" w:rsidP="00467189">
      <w:pPr>
        <w:keepNext/>
        <w:widowControl/>
        <w:spacing w:line="360" w:lineRule="auto"/>
        <w:ind w:firstLine="1440"/>
        <w:contextualSpacing/>
        <w:rPr>
          <w:rFonts w:eastAsiaTheme="minorHAnsi"/>
          <w:sz w:val="26"/>
          <w:szCs w:val="26"/>
        </w:rPr>
      </w:pPr>
      <w:r w:rsidRPr="0078013F">
        <w:rPr>
          <w:rFonts w:eastAsiaTheme="minorHAnsi"/>
          <w:sz w:val="26"/>
          <w:szCs w:val="26"/>
        </w:rPr>
        <w:t>With regard to workforce benefits, the Settlement provides as follows:</w:t>
      </w:r>
    </w:p>
    <w:p w14:paraId="2F7D0995" w14:textId="77777777" w:rsidR="0078013F" w:rsidRPr="0078013F" w:rsidRDefault="0078013F" w:rsidP="005B0616">
      <w:pPr>
        <w:keepNext/>
        <w:widowControl/>
        <w:spacing w:after="200" w:line="360" w:lineRule="auto"/>
        <w:ind w:left="1530" w:hanging="90"/>
        <w:contextualSpacing/>
        <w:rPr>
          <w:rFonts w:eastAsiaTheme="minorHAnsi"/>
          <w:sz w:val="26"/>
          <w:szCs w:val="26"/>
        </w:rPr>
      </w:pPr>
    </w:p>
    <w:p w14:paraId="6AE56960" w14:textId="77777777" w:rsidR="0078013F" w:rsidRPr="0078013F" w:rsidRDefault="0078013F" w:rsidP="005B0616">
      <w:pPr>
        <w:keepNext/>
        <w:widowControl/>
        <w:spacing w:after="200"/>
        <w:ind w:left="1440" w:right="1440"/>
        <w:contextualSpacing/>
        <w:rPr>
          <w:rFonts w:eastAsiaTheme="minorHAnsi"/>
          <w:sz w:val="26"/>
          <w:szCs w:val="26"/>
        </w:rPr>
      </w:pPr>
      <w:r w:rsidRPr="0078013F">
        <w:rPr>
          <w:rFonts w:eastAsiaTheme="minorHAnsi"/>
          <w:sz w:val="26"/>
          <w:szCs w:val="26"/>
        </w:rPr>
        <w:t>76.</w:t>
      </w:r>
      <w:r w:rsidRPr="0078013F">
        <w:rPr>
          <w:rFonts w:eastAsiaTheme="minorHAnsi"/>
          <w:sz w:val="26"/>
          <w:szCs w:val="26"/>
        </w:rPr>
        <w:tab/>
        <w:t>The Peoples Companies commit to maintain at least the field staffing level for the next five years, with the baseline staffing numbers established at closing; providing however that the baseline number shall be no less than 825 employees, of which no less than 720 shall be members of UWUA, which are the actual number of field employees and union-represented field employees working in Pennsylvania field locations on October 31, 2018.  The Peoples Companies agree to provide annual reports to the Commission, I&amp;E, OSBA, OCA, and UWUA regarding field offices and staffing levels in its service territory for a period of five years.</w:t>
      </w:r>
    </w:p>
    <w:p w14:paraId="7E087651" w14:textId="77777777" w:rsidR="0078013F" w:rsidRPr="0078013F" w:rsidRDefault="0078013F" w:rsidP="00B24187">
      <w:pPr>
        <w:widowControl/>
        <w:spacing w:after="200"/>
        <w:ind w:left="1530" w:right="1440" w:hanging="90"/>
        <w:contextualSpacing/>
        <w:rPr>
          <w:rFonts w:eastAsiaTheme="minorHAnsi"/>
          <w:sz w:val="26"/>
          <w:szCs w:val="26"/>
        </w:rPr>
      </w:pPr>
    </w:p>
    <w:p w14:paraId="25AFF7BD" w14:textId="77777777" w:rsidR="0078013F" w:rsidRPr="0078013F" w:rsidRDefault="0078013F" w:rsidP="00B24187">
      <w:pPr>
        <w:widowControl/>
        <w:spacing w:after="200"/>
        <w:ind w:left="1440" w:right="1440"/>
        <w:contextualSpacing/>
        <w:rPr>
          <w:rFonts w:eastAsiaTheme="minorHAnsi"/>
          <w:sz w:val="26"/>
          <w:szCs w:val="26"/>
        </w:rPr>
      </w:pPr>
      <w:r w:rsidRPr="0078013F">
        <w:rPr>
          <w:rFonts w:eastAsiaTheme="minorHAnsi"/>
          <w:sz w:val="26"/>
          <w:szCs w:val="26"/>
        </w:rPr>
        <w:t>77.</w:t>
      </w:r>
      <w:r w:rsidRPr="0078013F">
        <w:rPr>
          <w:rFonts w:eastAsiaTheme="minorHAnsi"/>
          <w:sz w:val="26"/>
          <w:szCs w:val="26"/>
        </w:rPr>
        <w:tab/>
        <w:t>Aqua PA and the Peoples Companies commit to adhere to the collective bargaining agreements in effect as of closing of the transaction.</w:t>
      </w:r>
    </w:p>
    <w:p w14:paraId="6ABFE04E" w14:textId="77777777" w:rsidR="0078013F" w:rsidRPr="0078013F" w:rsidRDefault="0078013F" w:rsidP="00B24187">
      <w:pPr>
        <w:widowControl/>
        <w:ind w:left="1530" w:hanging="90"/>
        <w:contextualSpacing/>
        <w:rPr>
          <w:rFonts w:eastAsia="Calibri"/>
          <w:sz w:val="26"/>
          <w:szCs w:val="26"/>
        </w:rPr>
      </w:pPr>
    </w:p>
    <w:p w14:paraId="5E0CF796" w14:textId="77777777" w:rsidR="0078013F" w:rsidRPr="0078013F" w:rsidRDefault="0078013F" w:rsidP="00B24187">
      <w:pPr>
        <w:widowControl/>
        <w:ind w:left="1530" w:right="1440" w:hanging="90"/>
        <w:contextualSpacing/>
        <w:jc w:val="center"/>
        <w:rPr>
          <w:sz w:val="26"/>
          <w:szCs w:val="26"/>
        </w:rPr>
      </w:pPr>
      <w:r w:rsidRPr="0078013F">
        <w:rPr>
          <w:b/>
          <w:sz w:val="26"/>
          <w:szCs w:val="26"/>
        </w:rPr>
        <w:t>*</w:t>
      </w:r>
      <w:r w:rsidRPr="0078013F">
        <w:rPr>
          <w:sz w:val="26"/>
          <w:szCs w:val="26"/>
        </w:rPr>
        <w:tab/>
        <w:t>*</w:t>
      </w:r>
      <w:r w:rsidRPr="0078013F">
        <w:rPr>
          <w:sz w:val="26"/>
          <w:szCs w:val="26"/>
        </w:rPr>
        <w:tab/>
        <w:t>*</w:t>
      </w:r>
    </w:p>
    <w:p w14:paraId="32831ADF" w14:textId="77777777" w:rsidR="0078013F" w:rsidRPr="0078013F" w:rsidRDefault="0078013F" w:rsidP="00B24187">
      <w:pPr>
        <w:widowControl/>
        <w:ind w:left="1530" w:right="1440" w:hanging="90"/>
        <w:contextualSpacing/>
        <w:rPr>
          <w:sz w:val="26"/>
          <w:szCs w:val="26"/>
        </w:rPr>
      </w:pPr>
    </w:p>
    <w:p w14:paraId="6AAAADA2" w14:textId="77777777" w:rsidR="0078013F" w:rsidRPr="0078013F" w:rsidRDefault="0078013F" w:rsidP="00B24187">
      <w:pPr>
        <w:widowControl/>
        <w:spacing w:after="200"/>
        <w:ind w:left="1440" w:right="1440"/>
        <w:contextualSpacing/>
        <w:rPr>
          <w:rFonts w:eastAsiaTheme="minorHAnsi"/>
          <w:sz w:val="26"/>
          <w:szCs w:val="26"/>
        </w:rPr>
      </w:pPr>
      <w:r w:rsidRPr="0078013F">
        <w:rPr>
          <w:rFonts w:eastAsiaTheme="minorHAnsi"/>
          <w:sz w:val="26"/>
          <w:szCs w:val="26"/>
        </w:rPr>
        <w:t>94.</w:t>
      </w:r>
      <w:r w:rsidRPr="0078013F">
        <w:rPr>
          <w:rFonts w:eastAsiaTheme="minorHAnsi"/>
          <w:sz w:val="26"/>
          <w:szCs w:val="26"/>
        </w:rPr>
        <w:tab/>
        <w:t xml:space="preserve">Aqua America and the Peoples Companies will maintain or increase the location and staffing of call center employees in PA.  Aqua America will further commit to maintain the Peoples Companies’ call center within Peoples service territory and in or near Pittsburgh.  If it becomes apparent that the Pittsburgh call center performance lags the results of the other call centers, Aqua America reserves the </w:t>
      </w:r>
      <w:r w:rsidRPr="0078013F">
        <w:rPr>
          <w:rFonts w:eastAsiaTheme="minorHAnsi"/>
          <w:sz w:val="26"/>
          <w:szCs w:val="26"/>
        </w:rPr>
        <w:lastRenderedPageBreak/>
        <w:t>right to initiate discussion with the Commission and interested parties to explore mitigation alternatives.</w:t>
      </w:r>
    </w:p>
    <w:p w14:paraId="30D40AC7" w14:textId="77777777" w:rsidR="0078013F" w:rsidRPr="0078013F" w:rsidRDefault="0078013F" w:rsidP="00B24187">
      <w:pPr>
        <w:widowControl/>
        <w:spacing w:after="200"/>
        <w:ind w:left="1530" w:right="1440" w:hanging="90"/>
        <w:contextualSpacing/>
        <w:rPr>
          <w:rFonts w:eastAsiaTheme="minorHAnsi"/>
          <w:sz w:val="26"/>
          <w:szCs w:val="26"/>
        </w:rPr>
      </w:pPr>
    </w:p>
    <w:p w14:paraId="51AE2F7C" w14:textId="77777777" w:rsidR="0078013F" w:rsidRPr="0078013F" w:rsidRDefault="0078013F" w:rsidP="00B24187">
      <w:pPr>
        <w:widowControl/>
        <w:spacing w:after="200"/>
        <w:ind w:left="1440" w:right="1440"/>
        <w:contextualSpacing/>
        <w:rPr>
          <w:rFonts w:eastAsiaTheme="minorHAnsi"/>
          <w:sz w:val="26"/>
          <w:szCs w:val="26"/>
        </w:rPr>
      </w:pPr>
      <w:r w:rsidRPr="0078013F">
        <w:rPr>
          <w:rFonts w:eastAsiaTheme="minorHAnsi"/>
          <w:sz w:val="26"/>
          <w:szCs w:val="26"/>
        </w:rPr>
        <w:t>95.</w:t>
      </w:r>
      <w:r w:rsidRPr="0078013F">
        <w:rPr>
          <w:rFonts w:eastAsiaTheme="minorHAnsi"/>
          <w:sz w:val="26"/>
          <w:szCs w:val="26"/>
        </w:rPr>
        <w:tab/>
        <w:t>Any significant reductions in Pennsylvania call center staffing or transfer of call center employment outside of Pennsylvania will be subject to Commission approval.</w:t>
      </w:r>
    </w:p>
    <w:p w14:paraId="226094EB" w14:textId="77777777" w:rsidR="0078013F" w:rsidRPr="0078013F" w:rsidRDefault="0078013F" w:rsidP="00B24187">
      <w:pPr>
        <w:widowControl/>
        <w:spacing w:after="200" w:line="360" w:lineRule="auto"/>
        <w:ind w:firstLine="1440"/>
        <w:contextualSpacing/>
        <w:rPr>
          <w:rFonts w:eastAsiaTheme="minorHAnsi"/>
          <w:sz w:val="26"/>
          <w:szCs w:val="26"/>
        </w:rPr>
      </w:pPr>
    </w:p>
    <w:p w14:paraId="6E3DD249" w14:textId="77777777" w:rsidR="0078013F" w:rsidRDefault="0078013F" w:rsidP="00B24187">
      <w:pPr>
        <w:widowControl/>
        <w:spacing w:after="200" w:line="360" w:lineRule="auto"/>
        <w:contextualSpacing/>
        <w:rPr>
          <w:rFonts w:eastAsiaTheme="minorHAnsi"/>
          <w:sz w:val="26"/>
          <w:szCs w:val="26"/>
        </w:rPr>
      </w:pPr>
      <w:r w:rsidRPr="0078013F">
        <w:rPr>
          <w:rFonts w:eastAsiaTheme="minorHAnsi"/>
          <w:sz w:val="26"/>
          <w:szCs w:val="26"/>
        </w:rPr>
        <w:t>Settlement at ¶¶ 76-77, 94-95.</w:t>
      </w:r>
    </w:p>
    <w:p w14:paraId="54B92F55" w14:textId="77777777" w:rsidR="004F7445" w:rsidRPr="0078013F" w:rsidRDefault="004F7445" w:rsidP="00B24187">
      <w:pPr>
        <w:widowControl/>
        <w:spacing w:line="360" w:lineRule="auto"/>
        <w:contextualSpacing/>
        <w:rPr>
          <w:rFonts w:eastAsiaTheme="minorHAnsi"/>
          <w:sz w:val="26"/>
          <w:szCs w:val="26"/>
        </w:rPr>
      </w:pPr>
    </w:p>
    <w:p w14:paraId="5F59B09C" w14:textId="77777777" w:rsidR="0078013F" w:rsidRPr="0078013F" w:rsidRDefault="0078013F" w:rsidP="005B0616">
      <w:pPr>
        <w:pStyle w:val="Heading4"/>
        <w:widowControl/>
        <w:ind w:left="2160" w:hanging="720"/>
        <w:rPr>
          <w:rFonts w:eastAsiaTheme="minorHAnsi"/>
        </w:rPr>
      </w:pPr>
      <w:bookmarkStart w:id="98" w:name="_Toc29278217"/>
      <w:r w:rsidRPr="0078013F">
        <w:rPr>
          <w:rFonts w:eastAsiaTheme="minorHAnsi"/>
        </w:rPr>
        <w:t>Positions of the Parties</w:t>
      </w:r>
      <w:bookmarkEnd w:id="98"/>
    </w:p>
    <w:p w14:paraId="0ED93D9F" w14:textId="77777777" w:rsidR="0078013F" w:rsidRPr="0078013F" w:rsidRDefault="0078013F" w:rsidP="005B0616">
      <w:pPr>
        <w:keepNext/>
        <w:keepLines/>
        <w:widowControl/>
        <w:spacing w:after="200" w:line="360" w:lineRule="auto"/>
        <w:contextualSpacing/>
        <w:rPr>
          <w:rFonts w:eastAsiaTheme="minorHAnsi"/>
          <w:sz w:val="26"/>
          <w:szCs w:val="26"/>
        </w:rPr>
      </w:pPr>
    </w:p>
    <w:p w14:paraId="3F1DB449" w14:textId="4673E486" w:rsidR="0078013F" w:rsidRPr="0078013F" w:rsidRDefault="0078013F" w:rsidP="005B0616">
      <w:pPr>
        <w:keepNext/>
        <w:widowControl/>
        <w:spacing w:after="200" w:line="360" w:lineRule="auto"/>
        <w:ind w:firstLine="1440"/>
        <w:contextualSpacing/>
        <w:rPr>
          <w:rFonts w:eastAsiaTheme="minorHAnsi"/>
          <w:sz w:val="26"/>
          <w:szCs w:val="26"/>
        </w:rPr>
      </w:pPr>
      <w:r w:rsidRPr="0078013F">
        <w:rPr>
          <w:rFonts w:eastAsiaTheme="minorHAnsi"/>
          <w:sz w:val="26"/>
          <w:szCs w:val="26"/>
        </w:rPr>
        <w:t>The Joint Applicants stated that the Proposed Transaction does not involve the creation of synergies via reductions in the workforces of either Aqua PA or the Peoples Companies.  The Joint Applicants explained that the primary reason for this is that the Proposed Transaction involves the acquisition of a natural gas utility by a water/wastewater utility holding company.  According to the Joint Applicants, the retention of jobs in Pennsylvania constitutes an affirmative public benefit of the Proposed Transaction.  The Joint Applicants reasoned that if the Peoples Companies were instead acquired by another gas utility, potentially located outside of Pennsylvania, that utility might eliminate Pennsylvania jobs to achieve synergy-savings or might relocate these jobs outside of Pennsylvania.  Joint Applicants M.B. at 29-31; Joint Applicants R.B. at</w:t>
      </w:r>
      <w:r w:rsidR="00364103">
        <w:rPr>
          <w:rFonts w:eastAsiaTheme="minorHAnsi"/>
          <w:sz w:val="26"/>
          <w:szCs w:val="26"/>
        </w:rPr>
        <w:t> </w:t>
      </w:r>
      <w:r w:rsidRPr="0078013F">
        <w:rPr>
          <w:rFonts w:eastAsiaTheme="minorHAnsi"/>
          <w:sz w:val="26"/>
          <w:szCs w:val="26"/>
        </w:rPr>
        <w:t xml:space="preserve">26.  </w:t>
      </w:r>
    </w:p>
    <w:p w14:paraId="719A1ED8" w14:textId="77777777" w:rsidR="0078013F" w:rsidRPr="0078013F" w:rsidRDefault="0078013F" w:rsidP="00B24187">
      <w:pPr>
        <w:widowControl/>
        <w:spacing w:after="200" w:line="360" w:lineRule="auto"/>
        <w:ind w:right="-1440" w:firstLine="1440"/>
        <w:contextualSpacing/>
        <w:rPr>
          <w:rFonts w:eastAsiaTheme="minorHAnsi"/>
          <w:sz w:val="26"/>
          <w:szCs w:val="26"/>
        </w:rPr>
      </w:pPr>
    </w:p>
    <w:p w14:paraId="409E4BDD" w14:textId="77777777" w:rsidR="0078013F" w:rsidRPr="0078013F" w:rsidRDefault="0078013F" w:rsidP="00B24187">
      <w:pPr>
        <w:widowControl/>
        <w:spacing w:after="200" w:line="360" w:lineRule="auto"/>
        <w:ind w:firstLine="1440"/>
        <w:contextualSpacing/>
        <w:rPr>
          <w:rFonts w:eastAsiaTheme="minorHAnsi"/>
          <w:sz w:val="26"/>
          <w:szCs w:val="26"/>
        </w:rPr>
      </w:pPr>
      <w:r w:rsidRPr="0078013F">
        <w:rPr>
          <w:rFonts w:eastAsiaTheme="minorHAnsi"/>
          <w:sz w:val="26"/>
          <w:szCs w:val="26"/>
        </w:rPr>
        <w:t xml:space="preserve">The Joint Applicants also pointed to their specific commitments, outlined in the above terms of the Settlement, to retain jobs at the call centers of the Peoples Companies and Aqua PA and to retain the Peoples Companies’ field operations center jobs.  The Joint Applicants argued that these commitments provide guarantees of job retention in Pennsylvania that do not currently exist.  In the Joint Applicants’ view, these commitments will benefit customers by ensuring that they enjoy the same services provided by Pennsylvania-based employees.  In addition, the Joint Applicants submitted that preserving jobs in the Joint Applicants’ service territories will benefit local </w:t>
      </w:r>
      <w:r w:rsidRPr="0078013F">
        <w:rPr>
          <w:rFonts w:eastAsiaTheme="minorHAnsi"/>
          <w:sz w:val="26"/>
          <w:szCs w:val="26"/>
        </w:rPr>
        <w:lastRenderedPageBreak/>
        <w:t xml:space="preserve">Pennsylvania economies.  Similarly, the Joint Applicants argued that the expanded employment opportunities for both gas and water/wastewater employees in Western Pennsylvania represents a substantial public benefit.  For example, the Joint Applicants claimed that </w:t>
      </w:r>
      <w:bookmarkStart w:id="99" w:name="_Hlk27349757"/>
      <w:r w:rsidRPr="0078013F">
        <w:rPr>
          <w:rFonts w:eastAsiaTheme="minorHAnsi"/>
          <w:sz w:val="26"/>
          <w:szCs w:val="26"/>
        </w:rPr>
        <w:t xml:space="preserve">their commitment to accelerate the replacement of risky pipe, discussed, </w:t>
      </w:r>
      <w:r w:rsidRPr="0078013F">
        <w:rPr>
          <w:rFonts w:eastAsiaTheme="minorHAnsi"/>
          <w:i/>
          <w:iCs/>
          <w:sz w:val="26"/>
          <w:szCs w:val="26"/>
        </w:rPr>
        <w:t>supra</w:t>
      </w:r>
      <w:r w:rsidRPr="0078013F">
        <w:rPr>
          <w:rFonts w:eastAsiaTheme="minorHAnsi"/>
          <w:sz w:val="26"/>
          <w:szCs w:val="26"/>
        </w:rPr>
        <w:t>, will result in approximately one-hundred new jobs, inclusive of contracted labor and the Peoples Companies’ employees, being added in Western Pennsylvania</w:t>
      </w:r>
      <w:bookmarkEnd w:id="99"/>
      <w:r w:rsidRPr="0078013F">
        <w:rPr>
          <w:rFonts w:eastAsiaTheme="minorHAnsi"/>
          <w:sz w:val="26"/>
          <w:szCs w:val="26"/>
        </w:rPr>
        <w:t>.  Joint Applicants M.B. at 31-32.</w:t>
      </w:r>
    </w:p>
    <w:p w14:paraId="13D13FD2" w14:textId="77777777" w:rsidR="0078013F" w:rsidRPr="0078013F" w:rsidRDefault="0078013F" w:rsidP="00B24187">
      <w:pPr>
        <w:widowControl/>
        <w:spacing w:after="200" w:line="360" w:lineRule="auto"/>
        <w:ind w:right="-1440"/>
        <w:contextualSpacing/>
        <w:rPr>
          <w:rFonts w:eastAsiaTheme="minorHAnsi"/>
          <w:sz w:val="26"/>
          <w:szCs w:val="26"/>
        </w:rPr>
      </w:pPr>
    </w:p>
    <w:p w14:paraId="5D8A094B" w14:textId="77777777" w:rsidR="0078013F" w:rsidRPr="0078013F" w:rsidRDefault="0078013F" w:rsidP="00B24187">
      <w:pPr>
        <w:widowControl/>
        <w:spacing w:after="200" w:line="360" w:lineRule="auto"/>
        <w:ind w:firstLine="1440"/>
        <w:contextualSpacing/>
        <w:rPr>
          <w:rFonts w:eastAsiaTheme="minorHAnsi"/>
          <w:sz w:val="26"/>
          <w:szCs w:val="26"/>
        </w:rPr>
      </w:pPr>
      <w:r w:rsidRPr="0078013F">
        <w:rPr>
          <w:rFonts w:eastAsiaTheme="minorHAnsi"/>
          <w:sz w:val="26"/>
          <w:szCs w:val="26"/>
        </w:rPr>
        <w:t xml:space="preserve">The OCA asserted that the above Settlement terms that represent the </w:t>
      </w:r>
      <w:bookmarkStart w:id="100" w:name="_Hlk27347382"/>
      <w:r w:rsidRPr="0078013F">
        <w:rPr>
          <w:rFonts w:eastAsiaTheme="minorHAnsi"/>
          <w:sz w:val="26"/>
          <w:szCs w:val="26"/>
        </w:rPr>
        <w:t xml:space="preserve">Joint Applicants’ commitment to maintain field office staffing at the Peoples Companies </w:t>
      </w:r>
      <w:bookmarkEnd w:id="100"/>
      <w:r w:rsidRPr="0078013F">
        <w:rPr>
          <w:rFonts w:eastAsiaTheme="minorHAnsi"/>
          <w:sz w:val="26"/>
          <w:szCs w:val="26"/>
        </w:rPr>
        <w:t>satisfy the OCA’s safety concerns regarding the operating of an NGDC.  Like the Joint Applicants, the OCA highlighted that the Proposed Transaction, as modified by the Settlement, does not involve reductions in the workforces of either Aqua PA or the Peoples Companies and involves specific commitments by the Joint Applicants to keep and grow jobs in Pennsylvania.  The OCA submitted that these commitments are especially important given the concerns expressed by I&amp;E and the OSBA regarding the technical fitness of the combined companies post-acquisition.  The OCA also reasoned that the labor union parties are signatories to the Settlement and that the Settlement as a whole produces a favorable outcome that may not have been obtained through litigation.  OCA R.B. at 13-16.</w:t>
      </w:r>
    </w:p>
    <w:p w14:paraId="13937052" w14:textId="77777777" w:rsidR="0078013F" w:rsidRPr="0078013F" w:rsidRDefault="0078013F" w:rsidP="00B24187">
      <w:pPr>
        <w:widowControl/>
        <w:spacing w:after="200" w:line="360" w:lineRule="auto"/>
        <w:ind w:right="-1440"/>
        <w:contextualSpacing/>
        <w:rPr>
          <w:rFonts w:eastAsiaTheme="minorHAnsi"/>
          <w:sz w:val="26"/>
          <w:szCs w:val="26"/>
        </w:rPr>
      </w:pPr>
    </w:p>
    <w:p w14:paraId="1A48A6C0" w14:textId="77777777" w:rsidR="0078013F" w:rsidRPr="0078013F" w:rsidRDefault="0078013F" w:rsidP="00B24187">
      <w:pPr>
        <w:widowControl/>
        <w:spacing w:after="200" w:line="360" w:lineRule="auto"/>
        <w:ind w:firstLine="1440"/>
        <w:contextualSpacing/>
        <w:rPr>
          <w:rFonts w:eastAsiaTheme="minorHAnsi"/>
          <w:sz w:val="26"/>
          <w:szCs w:val="26"/>
        </w:rPr>
      </w:pPr>
      <w:r w:rsidRPr="0078013F">
        <w:rPr>
          <w:rFonts w:eastAsiaTheme="minorHAnsi"/>
          <w:sz w:val="26"/>
          <w:szCs w:val="26"/>
        </w:rPr>
        <w:t xml:space="preserve">I&amp;E asserted that any alleged benefits of the Proposed Transaction must be measured against the alternative scenario wherein the Proposed Transaction was never contemplated.  In conducting this evaluation, I&amp;E claimed that the above Settlement terms merely maintain the status quo, as there is no indication that jobs would be eliminated if the Proposed Transaction did not occur.  As such, I&amp;E took the position that job-related commitments contained in the Settlement fail to constitute a substantial public benefit.  I&amp;E refuted the Joint Applicants’ argument that their commitment to accelerate risky pipe replacement will result in the creation of approximately one-hundred jobs.  In </w:t>
      </w:r>
      <w:r w:rsidRPr="0078013F">
        <w:rPr>
          <w:rFonts w:eastAsiaTheme="minorHAnsi"/>
          <w:sz w:val="26"/>
          <w:szCs w:val="26"/>
        </w:rPr>
        <w:lastRenderedPageBreak/>
        <w:t>this regard, I&amp;E claimed that there is nothing in the record or the Settlement that highlights the Joint Applicants’ firm commitment to create these jobs.  I&amp;E M.B. at 21</w:t>
      </w:r>
      <w:r w:rsidRPr="0078013F">
        <w:rPr>
          <w:rFonts w:eastAsiaTheme="minorHAnsi"/>
          <w:sz w:val="26"/>
          <w:szCs w:val="26"/>
        </w:rPr>
        <w:noBreakHyphen/>
        <w:t>23; I&amp;E R.B. at 12-14.</w:t>
      </w:r>
    </w:p>
    <w:p w14:paraId="7031C6A0" w14:textId="77777777" w:rsidR="0078013F" w:rsidRPr="0078013F" w:rsidRDefault="0078013F" w:rsidP="00B24187">
      <w:pPr>
        <w:widowControl/>
        <w:spacing w:after="200" w:line="360" w:lineRule="auto"/>
        <w:ind w:right="-1440"/>
        <w:contextualSpacing/>
        <w:rPr>
          <w:rFonts w:eastAsiaTheme="minorHAnsi"/>
          <w:sz w:val="26"/>
          <w:szCs w:val="26"/>
        </w:rPr>
      </w:pPr>
    </w:p>
    <w:p w14:paraId="409DCEC7" w14:textId="39A0E916" w:rsidR="0078013F" w:rsidRPr="0078013F" w:rsidRDefault="0078013F" w:rsidP="00B24187">
      <w:pPr>
        <w:widowControl/>
        <w:spacing w:after="200" w:line="360" w:lineRule="auto"/>
        <w:ind w:firstLine="1440"/>
        <w:contextualSpacing/>
        <w:rPr>
          <w:rFonts w:eastAsiaTheme="minorHAnsi"/>
          <w:sz w:val="26"/>
          <w:szCs w:val="26"/>
        </w:rPr>
      </w:pPr>
      <w:r w:rsidRPr="0078013F">
        <w:rPr>
          <w:rFonts w:eastAsiaTheme="minorHAnsi"/>
          <w:sz w:val="26"/>
          <w:szCs w:val="26"/>
        </w:rPr>
        <w:t>The OSBA echoed I&amp;E’s assertion that the fact that existing jobs will be maintained fails to demonstrate any affirmative public benefit from the Proposed Transaction.  Rather, the OSBA argued that over time, it is plausible that the Proposed Transaction will increase the risk that redundancies may develop in the combined entity, which could actually lead to increased job losses.  In addition, the OSBA characterized</w:t>
      </w:r>
      <w:r w:rsidR="004F3578">
        <w:rPr>
          <w:rFonts w:eastAsiaTheme="minorHAnsi"/>
          <w:sz w:val="26"/>
          <w:szCs w:val="26"/>
        </w:rPr>
        <w:t>,</w:t>
      </w:r>
      <w:r w:rsidRPr="0078013F">
        <w:rPr>
          <w:rFonts w:eastAsiaTheme="minorHAnsi"/>
          <w:sz w:val="26"/>
          <w:szCs w:val="26"/>
        </w:rPr>
        <w:t xml:space="preserve"> as speculative</w:t>
      </w:r>
      <w:r w:rsidR="004F3578">
        <w:rPr>
          <w:rFonts w:eastAsiaTheme="minorHAnsi"/>
          <w:sz w:val="26"/>
          <w:szCs w:val="26"/>
        </w:rPr>
        <w:t>,</w:t>
      </w:r>
      <w:r w:rsidRPr="0078013F">
        <w:rPr>
          <w:rFonts w:eastAsiaTheme="minorHAnsi"/>
          <w:sz w:val="26"/>
          <w:szCs w:val="26"/>
        </w:rPr>
        <w:t xml:space="preserve"> the Joint Applicants’ argument contrasting the Proposed Transaction with a typical acquisition of the Peoples Companies by a gas utility that might seek to eliminate or relocate jobs</w:t>
      </w:r>
      <w:r w:rsidR="00D66EA5">
        <w:rPr>
          <w:rFonts w:eastAsiaTheme="minorHAnsi"/>
          <w:sz w:val="26"/>
          <w:szCs w:val="26"/>
        </w:rPr>
        <w:t xml:space="preserve"> </w:t>
      </w:r>
      <w:r w:rsidR="005812AB">
        <w:rPr>
          <w:rFonts w:eastAsiaTheme="minorHAnsi"/>
          <w:sz w:val="26"/>
          <w:szCs w:val="26"/>
        </w:rPr>
        <w:t xml:space="preserve">if </w:t>
      </w:r>
      <w:r w:rsidRPr="0078013F">
        <w:rPr>
          <w:rFonts w:eastAsiaTheme="minorHAnsi"/>
          <w:sz w:val="26"/>
          <w:szCs w:val="26"/>
        </w:rPr>
        <w:t xml:space="preserve">the Peoples Companies were publicly up for sale.  Further, the OSBA refuted the Joint Applicants’ assertion regarding the expanded job opportunities that would result from the Proposed Transaction.  Namely, the OSBA submitted that the Joint Applicants did not do a thorough evaluation of the cost of creating an additional workforce or whether there will be a sufficient amount of qualified workers available to achieve the accelerated replacement of risky pipe.  OSBA M.B. at 18; OSBA R.B. at 13-16.  </w:t>
      </w:r>
    </w:p>
    <w:p w14:paraId="01127C71" w14:textId="77777777" w:rsidR="0078013F" w:rsidRPr="0078013F" w:rsidRDefault="0078013F" w:rsidP="00B24187">
      <w:pPr>
        <w:widowControl/>
        <w:spacing w:line="360" w:lineRule="auto"/>
        <w:ind w:right="-1440"/>
        <w:contextualSpacing/>
        <w:rPr>
          <w:rFonts w:eastAsiaTheme="minorHAnsi"/>
          <w:sz w:val="26"/>
          <w:szCs w:val="26"/>
        </w:rPr>
      </w:pPr>
    </w:p>
    <w:p w14:paraId="3D3CADDA" w14:textId="77777777" w:rsidR="0078013F" w:rsidRPr="0078013F" w:rsidRDefault="0078013F" w:rsidP="00956864">
      <w:pPr>
        <w:pStyle w:val="Heading4"/>
        <w:widowControl/>
        <w:ind w:left="2160" w:hanging="720"/>
        <w:rPr>
          <w:rFonts w:eastAsiaTheme="minorHAnsi"/>
        </w:rPr>
      </w:pPr>
      <w:bookmarkStart w:id="101" w:name="_Toc29278218"/>
      <w:r w:rsidRPr="0078013F">
        <w:rPr>
          <w:rFonts w:eastAsiaTheme="minorHAnsi"/>
        </w:rPr>
        <w:t>Recommended Decision</w:t>
      </w:r>
      <w:bookmarkEnd w:id="101"/>
    </w:p>
    <w:p w14:paraId="5BE663E1" w14:textId="77777777" w:rsidR="0078013F" w:rsidRPr="0078013F" w:rsidRDefault="0078013F" w:rsidP="00956864">
      <w:pPr>
        <w:keepNext/>
        <w:keepLines/>
        <w:widowControl/>
        <w:spacing w:after="200" w:line="360" w:lineRule="auto"/>
        <w:ind w:right="-1440" w:firstLine="1440"/>
        <w:contextualSpacing/>
        <w:rPr>
          <w:rFonts w:eastAsiaTheme="minorHAnsi"/>
          <w:sz w:val="26"/>
          <w:szCs w:val="26"/>
        </w:rPr>
      </w:pPr>
    </w:p>
    <w:p w14:paraId="30929252" w14:textId="77777777" w:rsidR="0078013F" w:rsidRPr="0078013F" w:rsidRDefault="0078013F" w:rsidP="00956864">
      <w:pPr>
        <w:keepNext/>
        <w:widowControl/>
        <w:spacing w:after="200" w:line="360" w:lineRule="auto"/>
        <w:ind w:firstLine="1440"/>
        <w:contextualSpacing/>
        <w:rPr>
          <w:rFonts w:eastAsiaTheme="minorHAnsi"/>
          <w:sz w:val="26"/>
          <w:szCs w:val="26"/>
        </w:rPr>
      </w:pPr>
      <w:r w:rsidRPr="0078013F">
        <w:rPr>
          <w:rFonts w:eastAsiaTheme="minorHAnsi"/>
          <w:sz w:val="26"/>
          <w:szCs w:val="26"/>
        </w:rPr>
        <w:t xml:space="preserve">In her Recommended Decision, the ALJ agreed with I&amp;E and the OSBA that it is inappropriate to weigh the value of a proposed public benefit against a hypothetical change of circumstance, such as the acquisition of a utility by an entity other than the proposed new owner.  Therefore, the ALJ rejected the arguments of the Joint Applicants that the Peoples Companies might be acquired by a company that would reduce the workforce or shift the workforce outside of Pennsylvania.  Nonetheless, the ALJ agreed with the Joint Applicants that the Proposed Transaction is atypical.  R.D. at 69.  In this regard, the ALJ pointed out that Aqua America intends to operate the Peoples </w:t>
      </w:r>
      <w:r w:rsidRPr="0078013F">
        <w:rPr>
          <w:rFonts w:eastAsiaTheme="minorHAnsi"/>
          <w:sz w:val="26"/>
          <w:szCs w:val="26"/>
        </w:rPr>
        <w:lastRenderedPageBreak/>
        <w:t xml:space="preserve">Companies and Aqua PA as independent subsidiaries.  </w:t>
      </w:r>
      <w:r w:rsidRPr="0078013F">
        <w:rPr>
          <w:rFonts w:eastAsiaTheme="minorHAnsi"/>
          <w:i/>
          <w:iCs/>
          <w:sz w:val="26"/>
          <w:szCs w:val="26"/>
        </w:rPr>
        <w:t>Id</w:t>
      </w:r>
      <w:r w:rsidRPr="0078013F">
        <w:rPr>
          <w:rFonts w:eastAsiaTheme="minorHAnsi"/>
          <w:sz w:val="26"/>
          <w:szCs w:val="26"/>
        </w:rPr>
        <w:t xml:space="preserve">. at 69-70.  As such, the ALJ found that the Proposed Transaction will not result in the duplication of jobs that would be expected if the operations of the two subsidiaries were combined.  Rather, the ALJ stated that it is likely that Aqua America’s vision for improved customer service, reliability improvements, and overall corporate growth will require additional personnel to achieve.  The ALJ noted that given that these will be long-term opportunities that will develop over time, the extent of the expanded employment opportunities, with the exception of the one-hundred jobs related to pipeline replacement, cannot be quantified or measured.  </w:t>
      </w:r>
      <w:r w:rsidRPr="0078013F">
        <w:rPr>
          <w:rFonts w:eastAsiaTheme="minorHAnsi"/>
          <w:i/>
          <w:iCs/>
          <w:sz w:val="26"/>
          <w:szCs w:val="26"/>
        </w:rPr>
        <w:t>Id</w:t>
      </w:r>
      <w:r w:rsidRPr="0078013F">
        <w:rPr>
          <w:rFonts w:eastAsiaTheme="minorHAnsi"/>
          <w:sz w:val="26"/>
          <w:szCs w:val="26"/>
        </w:rPr>
        <w:t>. at 70.</w:t>
      </w:r>
    </w:p>
    <w:p w14:paraId="020416A1" w14:textId="77777777" w:rsidR="0078013F" w:rsidRPr="0078013F" w:rsidRDefault="0078013F" w:rsidP="00B24187">
      <w:pPr>
        <w:widowControl/>
        <w:spacing w:after="200" w:line="360" w:lineRule="auto"/>
        <w:ind w:right="-1440" w:firstLine="1440"/>
        <w:contextualSpacing/>
        <w:rPr>
          <w:rFonts w:eastAsiaTheme="minorHAnsi"/>
          <w:sz w:val="26"/>
          <w:szCs w:val="26"/>
        </w:rPr>
      </w:pPr>
    </w:p>
    <w:p w14:paraId="71E4D2DC" w14:textId="1289AB20" w:rsidR="0078013F" w:rsidRPr="0078013F" w:rsidRDefault="0078013F" w:rsidP="00B24187">
      <w:pPr>
        <w:widowControl/>
        <w:spacing w:after="200" w:line="360" w:lineRule="auto"/>
        <w:ind w:firstLine="1440"/>
        <w:contextualSpacing/>
        <w:rPr>
          <w:rFonts w:eastAsiaTheme="minorHAnsi"/>
          <w:sz w:val="26"/>
          <w:szCs w:val="26"/>
        </w:rPr>
      </w:pPr>
      <w:r w:rsidRPr="0078013F">
        <w:rPr>
          <w:rFonts w:eastAsiaTheme="minorHAnsi"/>
          <w:sz w:val="26"/>
          <w:szCs w:val="26"/>
        </w:rPr>
        <w:t xml:space="preserve">The ALJ further concluded that under </w:t>
      </w:r>
      <w:r w:rsidRPr="0078013F">
        <w:rPr>
          <w:rFonts w:eastAsiaTheme="minorHAnsi"/>
          <w:i/>
          <w:iCs/>
          <w:sz w:val="26"/>
          <w:szCs w:val="26"/>
        </w:rPr>
        <w:t>City of York</w:t>
      </w:r>
      <w:r w:rsidRPr="0078013F">
        <w:rPr>
          <w:rFonts w:eastAsiaTheme="minorHAnsi"/>
          <w:sz w:val="26"/>
          <w:szCs w:val="26"/>
        </w:rPr>
        <w:t>, there is nothing that mandates benefits, such as job growth, be “guaranteed.”  The ALJ opined that the fact that there is no firm commitment to add one</w:t>
      </w:r>
      <w:r w:rsidRPr="0078013F">
        <w:rPr>
          <w:rFonts w:eastAsiaTheme="minorHAnsi"/>
          <w:sz w:val="26"/>
          <w:szCs w:val="26"/>
        </w:rPr>
        <w:noBreakHyphen/>
        <w:t xml:space="preserve">hundred jobs in the Settlement or that the Joint Applicants may face challenges in filling those jobs, does not mean that there is no benefit from the Proposed Transaction as it relates to workforce increases.  </w:t>
      </w:r>
      <w:r w:rsidRPr="0078013F">
        <w:rPr>
          <w:rFonts w:eastAsiaTheme="minorHAnsi"/>
          <w:i/>
          <w:iCs/>
          <w:sz w:val="26"/>
          <w:szCs w:val="26"/>
        </w:rPr>
        <w:t>Id</w:t>
      </w:r>
      <w:r w:rsidRPr="0078013F">
        <w:rPr>
          <w:rFonts w:eastAsiaTheme="minorHAnsi"/>
          <w:sz w:val="26"/>
          <w:szCs w:val="26"/>
        </w:rPr>
        <w:t xml:space="preserve">.  The ALJ noted the testimony of the OSBA’s witness, Mr. Knecht, that the Joint Applicants have based their understanding of labor availability on conversations with the local unions associated with the necessary workforce.  </w:t>
      </w:r>
      <w:r w:rsidRPr="0078013F">
        <w:rPr>
          <w:rFonts w:eastAsiaTheme="minorHAnsi"/>
          <w:i/>
          <w:iCs/>
          <w:sz w:val="26"/>
          <w:szCs w:val="26"/>
        </w:rPr>
        <w:t>Id.</w:t>
      </w:r>
      <w:r w:rsidRPr="0078013F">
        <w:rPr>
          <w:rFonts w:eastAsiaTheme="minorHAnsi"/>
          <w:sz w:val="26"/>
          <w:szCs w:val="26"/>
        </w:rPr>
        <w:t xml:space="preserve"> at 70-71 (</w:t>
      </w:r>
      <w:r w:rsidR="00865E00">
        <w:rPr>
          <w:rFonts w:eastAsiaTheme="minorHAnsi"/>
          <w:sz w:val="26"/>
          <w:szCs w:val="26"/>
        </w:rPr>
        <w:t>c</w:t>
      </w:r>
      <w:r w:rsidRPr="0078013F">
        <w:rPr>
          <w:rFonts w:eastAsiaTheme="minorHAnsi"/>
          <w:sz w:val="26"/>
          <w:szCs w:val="26"/>
        </w:rPr>
        <w:t>iting OSBA St. 1-SR at 15).  Therefore, the ALJ found that coupled with the concrete estimate of additional pipeline jobs and the overall commitments outlined in the Settlement, the Proposed Transaction offers workforce benefits as a substantial public benefit.  R.D. at 71.</w:t>
      </w:r>
    </w:p>
    <w:p w14:paraId="727A40DA" w14:textId="77777777" w:rsidR="0078013F" w:rsidRPr="0078013F" w:rsidRDefault="0078013F" w:rsidP="00B24187">
      <w:pPr>
        <w:widowControl/>
        <w:spacing w:line="360" w:lineRule="auto"/>
        <w:ind w:right="-1440" w:firstLine="1440"/>
        <w:contextualSpacing/>
        <w:rPr>
          <w:rFonts w:eastAsiaTheme="minorHAnsi"/>
          <w:sz w:val="26"/>
          <w:szCs w:val="26"/>
        </w:rPr>
      </w:pPr>
    </w:p>
    <w:p w14:paraId="5716D092" w14:textId="77777777" w:rsidR="0078013F" w:rsidRPr="0078013F" w:rsidRDefault="004F7445" w:rsidP="00956864">
      <w:pPr>
        <w:pStyle w:val="Heading4"/>
        <w:widowControl/>
        <w:ind w:left="2160" w:hanging="720"/>
        <w:rPr>
          <w:rFonts w:eastAsiaTheme="minorHAnsi"/>
        </w:rPr>
      </w:pPr>
      <w:bookmarkStart w:id="102" w:name="_Toc29278219"/>
      <w:r>
        <w:rPr>
          <w:rFonts w:eastAsiaTheme="minorHAnsi"/>
        </w:rPr>
        <w:t>Exceptions and Replies</w:t>
      </w:r>
      <w:bookmarkEnd w:id="102"/>
      <w:r>
        <w:rPr>
          <w:rFonts w:eastAsiaTheme="minorHAnsi"/>
        </w:rPr>
        <w:t xml:space="preserve"> </w:t>
      </w:r>
    </w:p>
    <w:p w14:paraId="214C681A" w14:textId="77777777" w:rsidR="0078013F" w:rsidRPr="0078013F" w:rsidRDefault="0078013F" w:rsidP="00956864">
      <w:pPr>
        <w:keepNext/>
        <w:keepLines/>
        <w:widowControl/>
        <w:spacing w:after="200" w:line="360" w:lineRule="auto"/>
        <w:ind w:right="-1440" w:firstLine="1440"/>
        <w:contextualSpacing/>
        <w:rPr>
          <w:rFonts w:eastAsiaTheme="minorHAnsi"/>
          <w:sz w:val="26"/>
          <w:szCs w:val="26"/>
        </w:rPr>
      </w:pPr>
    </w:p>
    <w:p w14:paraId="0B4278FA" w14:textId="77777777" w:rsidR="0078013F" w:rsidRPr="0078013F" w:rsidRDefault="0078013F" w:rsidP="00956864">
      <w:pPr>
        <w:keepNext/>
        <w:widowControl/>
        <w:spacing w:after="200" w:line="360" w:lineRule="auto"/>
        <w:ind w:firstLine="1440"/>
        <w:contextualSpacing/>
        <w:rPr>
          <w:rFonts w:eastAsiaTheme="minorHAnsi"/>
          <w:sz w:val="26"/>
          <w:szCs w:val="26"/>
        </w:rPr>
      </w:pPr>
      <w:r w:rsidRPr="0078013F">
        <w:rPr>
          <w:rFonts w:eastAsiaTheme="minorHAnsi"/>
          <w:sz w:val="26"/>
          <w:szCs w:val="26"/>
        </w:rPr>
        <w:t xml:space="preserve">In its Exception No. 16, the OSBA claims that the ALJ erred in concluding that the Proposed Transaction will result in the creation of new jobs.  In this regard, the OSBA argues that while the Joint Applicants committed in the Settlement to file a modified LTIIP, discussed, </w:t>
      </w:r>
      <w:r w:rsidRPr="0078013F">
        <w:rPr>
          <w:rFonts w:eastAsiaTheme="minorHAnsi"/>
          <w:i/>
          <w:iCs/>
          <w:sz w:val="26"/>
          <w:szCs w:val="26"/>
        </w:rPr>
        <w:t xml:space="preserve">supra, </w:t>
      </w:r>
      <w:r w:rsidRPr="0078013F">
        <w:rPr>
          <w:rFonts w:eastAsiaTheme="minorHAnsi"/>
          <w:sz w:val="26"/>
          <w:szCs w:val="26"/>
        </w:rPr>
        <w:t xml:space="preserve">they made no commitment to create new jobs or to hire additional employees related to that LTIIP.  The OSBA contends that the Joint </w:t>
      </w:r>
      <w:r w:rsidRPr="0078013F">
        <w:rPr>
          <w:rFonts w:eastAsiaTheme="minorHAnsi"/>
          <w:sz w:val="26"/>
          <w:szCs w:val="26"/>
        </w:rPr>
        <w:lastRenderedPageBreak/>
        <w:t>Applicants have not undertaken a systematic evaluation of the feasibility of accelerating infrastructure.  Further, the OSBA asserts that the Joint Applicants’ discussions with local labor unions regarding the availability of a work force does not ensure that jobs will actually be added.  OSBA Exc. at 23-24.</w:t>
      </w:r>
    </w:p>
    <w:p w14:paraId="1027C5E5" w14:textId="77777777" w:rsidR="0078013F" w:rsidRPr="0078013F" w:rsidRDefault="0078013F" w:rsidP="00B24187">
      <w:pPr>
        <w:widowControl/>
        <w:spacing w:after="200" w:line="360" w:lineRule="auto"/>
        <w:ind w:right="-1440" w:firstLine="1440"/>
        <w:contextualSpacing/>
        <w:rPr>
          <w:rFonts w:eastAsiaTheme="minorHAnsi"/>
          <w:sz w:val="26"/>
          <w:szCs w:val="26"/>
        </w:rPr>
      </w:pPr>
    </w:p>
    <w:p w14:paraId="60DFA912" w14:textId="77777777" w:rsidR="0078013F" w:rsidRPr="0078013F" w:rsidRDefault="0078013F" w:rsidP="00B24187">
      <w:pPr>
        <w:widowControl/>
        <w:spacing w:after="200" w:line="360" w:lineRule="auto"/>
        <w:ind w:firstLine="1440"/>
        <w:contextualSpacing/>
        <w:rPr>
          <w:rFonts w:eastAsiaTheme="minorHAnsi"/>
          <w:sz w:val="26"/>
          <w:szCs w:val="26"/>
        </w:rPr>
      </w:pPr>
      <w:r w:rsidRPr="0078013F">
        <w:rPr>
          <w:rFonts w:eastAsiaTheme="minorHAnsi"/>
          <w:sz w:val="26"/>
          <w:szCs w:val="26"/>
        </w:rPr>
        <w:t xml:space="preserve">In its Replies to Exceptions, the Joint Applicants argue that the OSBA’s Exception No. 16 misinterprets the findings of ALJ Long.  The Joint Applicants note the ALJ’s finding that because the Proposed Transaction is not typical and does not involve combining the operations of Aqua PA and the Peoples Companies, </w:t>
      </w:r>
      <w:bookmarkStart w:id="103" w:name="_Hlk26535674"/>
      <w:r w:rsidRPr="0078013F">
        <w:rPr>
          <w:rFonts w:eastAsiaTheme="minorHAnsi"/>
          <w:sz w:val="26"/>
          <w:szCs w:val="26"/>
        </w:rPr>
        <w:t>it is likely that Aqua America’s vision for improved customer service, reliability improvements, and overall corporate growth will require additional personnel to achieve.</w:t>
      </w:r>
      <w:bookmarkEnd w:id="103"/>
      <w:r w:rsidRPr="0078013F">
        <w:rPr>
          <w:rFonts w:eastAsiaTheme="minorHAnsi"/>
          <w:sz w:val="26"/>
          <w:szCs w:val="26"/>
        </w:rPr>
        <w:t xml:space="preserve">  The Joint Applicants assert that the ALJ conducted a thorough evaluation of the workforce benefits associated with the Proposed Transaction and properly concluded that they constitute an affirmative public benefit.  Joint Applicants R. Exc. at 17.</w:t>
      </w:r>
    </w:p>
    <w:p w14:paraId="7F66114B" w14:textId="77777777" w:rsidR="0078013F" w:rsidRPr="0078013F" w:rsidRDefault="0078013F" w:rsidP="00B24187">
      <w:pPr>
        <w:widowControl/>
        <w:spacing w:after="200" w:line="360" w:lineRule="auto"/>
        <w:ind w:right="-1440" w:firstLine="1440"/>
        <w:contextualSpacing/>
        <w:rPr>
          <w:rFonts w:eastAsiaTheme="minorHAnsi"/>
          <w:sz w:val="26"/>
          <w:szCs w:val="26"/>
        </w:rPr>
      </w:pPr>
    </w:p>
    <w:p w14:paraId="09B270D2" w14:textId="77777777" w:rsidR="0078013F" w:rsidRPr="0078013F" w:rsidRDefault="0078013F" w:rsidP="00B24187">
      <w:pPr>
        <w:widowControl/>
        <w:spacing w:after="200" w:line="360" w:lineRule="auto"/>
        <w:ind w:firstLine="1440"/>
        <w:contextualSpacing/>
        <w:rPr>
          <w:rFonts w:eastAsiaTheme="minorHAnsi"/>
          <w:sz w:val="26"/>
          <w:szCs w:val="26"/>
        </w:rPr>
      </w:pPr>
      <w:r w:rsidRPr="0078013F">
        <w:rPr>
          <w:rFonts w:eastAsiaTheme="minorHAnsi"/>
          <w:sz w:val="26"/>
          <w:szCs w:val="26"/>
        </w:rPr>
        <w:t>In its Replies to Exceptions, the OCA emphasizes that the Proposed Transaction, as modified by the Settlement, does not involve reductions in workforces for either company.  Further, the OCA argues that the labor union parties are signatories to the Settlement and that the Settlement as a whole produces favorable workforce outcomes that may not have been obtained through litigation.  Therefore, the OCA asserts that the OSBA’s Exception No. 16 should be denied.  OCA R. Exc. at 15-16.</w:t>
      </w:r>
    </w:p>
    <w:p w14:paraId="1D9EE475" w14:textId="77777777" w:rsidR="0078013F" w:rsidRPr="0078013F" w:rsidRDefault="0078013F" w:rsidP="00B24187">
      <w:pPr>
        <w:widowControl/>
        <w:spacing w:line="360" w:lineRule="auto"/>
        <w:ind w:right="-1440" w:firstLine="1440"/>
        <w:contextualSpacing/>
        <w:rPr>
          <w:rFonts w:eastAsiaTheme="minorHAnsi"/>
          <w:sz w:val="26"/>
          <w:szCs w:val="26"/>
        </w:rPr>
      </w:pPr>
    </w:p>
    <w:p w14:paraId="73AF30DF" w14:textId="77777777" w:rsidR="0078013F" w:rsidRPr="0078013F" w:rsidRDefault="0078013F" w:rsidP="00956864">
      <w:pPr>
        <w:pStyle w:val="Heading4"/>
        <w:widowControl/>
        <w:ind w:left="2160" w:hanging="720"/>
        <w:rPr>
          <w:rFonts w:eastAsiaTheme="minorHAnsi"/>
        </w:rPr>
      </w:pPr>
      <w:bookmarkStart w:id="104" w:name="_Toc29278220"/>
      <w:r w:rsidRPr="0078013F">
        <w:rPr>
          <w:rFonts w:eastAsiaTheme="minorHAnsi"/>
        </w:rPr>
        <w:t>Disposition</w:t>
      </w:r>
      <w:bookmarkEnd w:id="104"/>
    </w:p>
    <w:p w14:paraId="22F2C915" w14:textId="77777777" w:rsidR="0078013F" w:rsidRPr="0078013F" w:rsidRDefault="0078013F" w:rsidP="00956864">
      <w:pPr>
        <w:keepNext/>
        <w:keepLines/>
        <w:widowControl/>
        <w:spacing w:after="200" w:line="360" w:lineRule="auto"/>
        <w:ind w:right="-1440" w:firstLine="1440"/>
        <w:contextualSpacing/>
        <w:rPr>
          <w:rFonts w:eastAsiaTheme="minorHAnsi"/>
          <w:sz w:val="26"/>
          <w:szCs w:val="26"/>
        </w:rPr>
      </w:pPr>
    </w:p>
    <w:p w14:paraId="5718FE06" w14:textId="4676AEA9" w:rsidR="0078013F" w:rsidRPr="0078013F" w:rsidRDefault="0078013F" w:rsidP="00956864">
      <w:pPr>
        <w:keepNext/>
        <w:widowControl/>
        <w:spacing w:after="200" w:line="360" w:lineRule="auto"/>
        <w:ind w:firstLine="1440"/>
        <w:contextualSpacing/>
        <w:rPr>
          <w:rFonts w:eastAsiaTheme="minorHAnsi"/>
          <w:sz w:val="26"/>
          <w:szCs w:val="26"/>
        </w:rPr>
      </w:pPr>
      <w:r w:rsidRPr="0078013F">
        <w:rPr>
          <w:rFonts w:eastAsiaTheme="minorHAnsi"/>
          <w:sz w:val="26"/>
          <w:szCs w:val="26"/>
        </w:rPr>
        <w:t xml:space="preserve">We find that there is substantial evidence in the record and the Settlement that the Proposed Transaction will result in the preservation of Pennsylvania-based jobs and the expansion of job opportunities in Western Pennsylvania such that there are affirmative public benefits.  First, we agree with the </w:t>
      </w:r>
      <w:r w:rsidR="005812AB">
        <w:rPr>
          <w:rFonts w:eastAsiaTheme="minorHAnsi"/>
          <w:sz w:val="26"/>
          <w:szCs w:val="26"/>
        </w:rPr>
        <w:t xml:space="preserve">OCA’s </w:t>
      </w:r>
      <w:r w:rsidRPr="0078013F">
        <w:rPr>
          <w:rFonts w:eastAsiaTheme="minorHAnsi"/>
          <w:sz w:val="26"/>
          <w:szCs w:val="26"/>
        </w:rPr>
        <w:t xml:space="preserve">assertion that the Joint Applicants’ commitment to maintain field office staffing at the Peoples Companies, set </w:t>
      </w:r>
      <w:r w:rsidRPr="0078013F">
        <w:rPr>
          <w:rFonts w:eastAsiaTheme="minorHAnsi"/>
          <w:sz w:val="26"/>
          <w:szCs w:val="26"/>
        </w:rPr>
        <w:lastRenderedPageBreak/>
        <w:t xml:space="preserve">forth in Paragraph 76 of the Settlement, represents an important public safety benefit.  In this regard, because Aqua America does not have prior experience owning and operating natural gas utilities, this provision of the settlement ensures that there will be field office staffing that has extensive experience with natural gas utility operations, pipeline safety issues, and gas utility pipeline integrity management.  </w:t>
      </w:r>
      <w:r w:rsidRPr="0078013F">
        <w:rPr>
          <w:rFonts w:eastAsiaTheme="minorHAnsi"/>
          <w:i/>
          <w:iCs/>
          <w:sz w:val="26"/>
          <w:szCs w:val="26"/>
        </w:rPr>
        <w:t xml:space="preserve">See </w:t>
      </w:r>
      <w:r w:rsidRPr="0078013F">
        <w:rPr>
          <w:rFonts w:eastAsiaTheme="minorHAnsi"/>
          <w:sz w:val="26"/>
          <w:szCs w:val="26"/>
        </w:rPr>
        <w:t>OCA St. 2 at 66.  Additionally, we agree with the Joint Applicants that this commitment, along with their commitments set forth in Paragraphs 94 and 95 of the Settlement to maintain or increase the location and staffing of call center employees in Pennsylvania, will benefit both customers and the local economy.  More specifically, these provisions provide guarantees of job retention in Pennsylvania that do not currently exist and benefit customers by ensuring that they enjoy the same services currently provided by Pennsylvania-based employees.</w:t>
      </w:r>
    </w:p>
    <w:p w14:paraId="74D60C62" w14:textId="77777777" w:rsidR="0078013F" w:rsidRPr="0078013F" w:rsidRDefault="0078013F" w:rsidP="00B24187">
      <w:pPr>
        <w:widowControl/>
        <w:spacing w:after="200" w:line="360" w:lineRule="auto"/>
        <w:ind w:firstLine="1440"/>
        <w:contextualSpacing/>
        <w:rPr>
          <w:rFonts w:eastAsiaTheme="minorHAnsi"/>
          <w:sz w:val="26"/>
          <w:szCs w:val="26"/>
        </w:rPr>
      </w:pPr>
    </w:p>
    <w:p w14:paraId="52A6147F" w14:textId="77777777" w:rsidR="0078013F" w:rsidRPr="0078013F" w:rsidRDefault="0078013F" w:rsidP="00B24187">
      <w:pPr>
        <w:widowControl/>
        <w:spacing w:after="200" w:line="360" w:lineRule="auto"/>
        <w:ind w:firstLine="1440"/>
        <w:contextualSpacing/>
        <w:rPr>
          <w:rFonts w:eastAsiaTheme="minorHAnsi"/>
          <w:sz w:val="26"/>
          <w:szCs w:val="26"/>
        </w:rPr>
      </w:pPr>
      <w:r w:rsidRPr="0078013F">
        <w:rPr>
          <w:rFonts w:eastAsiaTheme="minorHAnsi"/>
          <w:sz w:val="26"/>
          <w:szCs w:val="26"/>
        </w:rPr>
        <w:t xml:space="preserve">Second, we agree with ALJ Long’s finding that given that Aqua America has committed to improving customer service, enhancing reliability, and overall corporate growth, it is probable that such goals will require additional personnel.  The record indicates that the combined entity will provide additional advancement opportunities for employees, as employees of Aqua PA will be able to bid on job openings at the Peoples Companies, and vice versa.  Joint Applicants Exh. DJS-1 at 31.  Further, we note that the Settlement contains several provisions, discussed in detail elsewhere in this Opinion and Order, that may enhance employment opportunities.  These include the rehabilitation of the G/T </w:t>
      </w:r>
      <w:r w:rsidR="00725BA7">
        <w:rPr>
          <w:rFonts w:eastAsiaTheme="minorHAnsi"/>
          <w:sz w:val="26"/>
          <w:szCs w:val="26"/>
        </w:rPr>
        <w:t>S</w:t>
      </w:r>
      <w:r w:rsidRPr="0078013F">
        <w:rPr>
          <w:rFonts w:eastAsiaTheme="minorHAnsi"/>
          <w:sz w:val="26"/>
          <w:szCs w:val="26"/>
        </w:rPr>
        <w:t xml:space="preserve">ystems </w:t>
      </w:r>
      <w:r w:rsidRPr="0078013F">
        <w:rPr>
          <w:rFonts w:eastAsiaTheme="minorHAnsi"/>
          <w:b/>
          <w:bCs/>
          <w:sz w:val="26"/>
          <w:szCs w:val="26"/>
        </w:rPr>
        <w:t>(</w:t>
      </w:r>
      <w:r w:rsidRPr="0078013F">
        <w:rPr>
          <w:rFonts w:eastAsiaTheme="minorHAnsi"/>
          <w:sz w:val="26"/>
          <w:szCs w:val="26"/>
        </w:rPr>
        <w:t>Settlement at ¶¶</w:t>
      </w:r>
      <w:r w:rsidRPr="0078013F">
        <w:rPr>
          <w:rFonts w:eastAsiaTheme="minorHAnsi"/>
          <w:b/>
          <w:bCs/>
          <w:sz w:val="26"/>
          <w:szCs w:val="26"/>
        </w:rPr>
        <w:t> </w:t>
      </w:r>
      <w:r w:rsidRPr="0078013F">
        <w:rPr>
          <w:rFonts w:eastAsiaTheme="minorHAnsi"/>
          <w:sz w:val="26"/>
          <w:szCs w:val="26"/>
        </w:rPr>
        <w:t>29</w:t>
      </w:r>
      <w:r w:rsidRPr="0078013F">
        <w:rPr>
          <w:rFonts w:eastAsiaTheme="minorHAnsi"/>
          <w:sz w:val="26"/>
          <w:szCs w:val="26"/>
        </w:rPr>
        <w:noBreakHyphen/>
        <w:t>40), the continuation of Peoples’ programs to reduce unaccounted for gas (</w:t>
      </w:r>
      <w:r w:rsidRPr="0078013F">
        <w:rPr>
          <w:rFonts w:eastAsiaTheme="minorHAnsi"/>
          <w:i/>
          <w:iCs/>
          <w:sz w:val="26"/>
          <w:szCs w:val="26"/>
        </w:rPr>
        <w:t xml:space="preserve">Id. </w:t>
      </w:r>
      <w:r w:rsidRPr="0078013F">
        <w:rPr>
          <w:rFonts w:eastAsiaTheme="minorHAnsi"/>
          <w:sz w:val="26"/>
          <w:szCs w:val="26"/>
        </w:rPr>
        <w:t>at ¶ 68), the continuation and enhancement of the Peoples Companies’ LTIIPs (</w:t>
      </w:r>
      <w:r w:rsidRPr="0078013F">
        <w:rPr>
          <w:rFonts w:eastAsiaTheme="minorHAnsi"/>
          <w:i/>
          <w:iCs/>
          <w:sz w:val="26"/>
          <w:szCs w:val="26"/>
        </w:rPr>
        <w:t xml:space="preserve">Id. </w:t>
      </w:r>
      <w:r w:rsidRPr="0078013F">
        <w:rPr>
          <w:rFonts w:eastAsiaTheme="minorHAnsi"/>
          <w:sz w:val="26"/>
          <w:szCs w:val="26"/>
        </w:rPr>
        <w:t>at ¶¶ 69 and 72), the creation of a new program to reduce line hit damages (</w:t>
      </w:r>
      <w:r w:rsidRPr="0078013F">
        <w:rPr>
          <w:rFonts w:eastAsiaTheme="minorHAnsi"/>
          <w:i/>
          <w:iCs/>
          <w:sz w:val="26"/>
          <w:szCs w:val="26"/>
        </w:rPr>
        <w:t xml:space="preserve">Id. </w:t>
      </w:r>
      <w:r w:rsidRPr="0078013F">
        <w:rPr>
          <w:rFonts w:eastAsiaTheme="minorHAnsi"/>
          <w:sz w:val="26"/>
          <w:szCs w:val="26"/>
        </w:rPr>
        <w:t>at ¶ 70), and the continuation of the field appointments performance standard (</w:t>
      </w:r>
      <w:r w:rsidRPr="0078013F">
        <w:rPr>
          <w:rFonts w:eastAsiaTheme="minorHAnsi"/>
          <w:i/>
          <w:iCs/>
          <w:sz w:val="26"/>
          <w:szCs w:val="26"/>
        </w:rPr>
        <w:t>Id.</w:t>
      </w:r>
      <w:r w:rsidRPr="0078013F">
        <w:rPr>
          <w:rFonts w:eastAsiaTheme="minorHAnsi"/>
          <w:sz w:val="26"/>
          <w:szCs w:val="26"/>
        </w:rPr>
        <w:t xml:space="preserve"> at ¶92).  </w:t>
      </w:r>
    </w:p>
    <w:p w14:paraId="486D2095" w14:textId="77777777" w:rsidR="0078013F" w:rsidRPr="0078013F" w:rsidRDefault="0078013F" w:rsidP="00B24187">
      <w:pPr>
        <w:widowControl/>
        <w:spacing w:after="200" w:line="360" w:lineRule="auto"/>
        <w:ind w:firstLine="1440"/>
        <w:contextualSpacing/>
        <w:rPr>
          <w:rFonts w:eastAsiaTheme="minorHAnsi"/>
          <w:sz w:val="26"/>
          <w:szCs w:val="26"/>
        </w:rPr>
      </w:pPr>
    </w:p>
    <w:p w14:paraId="1D87C2CE" w14:textId="52176089" w:rsidR="0078013F" w:rsidRPr="0078013F" w:rsidRDefault="0078013F" w:rsidP="00B24187">
      <w:pPr>
        <w:widowControl/>
        <w:spacing w:after="200" w:line="360" w:lineRule="auto"/>
        <w:ind w:firstLine="1440"/>
        <w:contextualSpacing/>
        <w:rPr>
          <w:rFonts w:eastAsiaTheme="minorHAnsi"/>
          <w:sz w:val="26"/>
          <w:szCs w:val="26"/>
        </w:rPr>
      </w:pPr>
      <w:r w:rsidRPr="0078013F">
        <w:rPr>
          <w:rFonts w:eastAsiaTheme="minorHAnsi"/>
          <w:sz w:val="26"/>
          <w:szCs w:val="26"/>
        </w:rPr>
        <w:t>Third, we find it compelling that, as the OCA points out, the labor union parties (</w:t>
      </w:r>
      <w:r w:rsidRPr="0078013F">
        <w:rPr>
          <w:rFonts w:eastAsiaTheme="minorHAnsi"/>
          <w:i/>
          <w:iCs/>
          <w:sz w:val="26"/>
          <w:szCs w:val="26"/>
        </w:rPr>
        <w:t xml:space="preserve">i.e. </w:t>
      </w:r>
      <w:r w:rsidRPr="0078013F">
        <w:rPr>
          <w:rFonts w:eastAsiaTheme="minorHAnsi"/>
          <w:sz w:val="26"/>
          <w:szCs w:val="26"/>
        </w:rPr>
        <w:t xml:space="preserve">UWUA and </w:t>
      </w:r>
      <w:r w:rsidR="00736E12">
        <w:rPr>
          <w:rFonts w:eastAsiaTheme="minorHAnsi"/>
          <w:sz w:val="26"/>
          <w:szCs w:val="26"/>
        </w:rPr>
        <w:t xml:space="preserve">the </w:t>
      </w:r>
      <w:r w:rsidRPr="00C226E2">
        <w:rPr>
          <w:rFonts w:eastAsiaTheme="minorHAnsi"/>
          <w:sz w:val="26"/>
          <w:szCs w:val="26"/>
        </w:rPr>
        <w:t>L</w:t>
      </w:r>
      <w:r w:rsidR="00725BA7" w:rsidRPr="00C226E2">
        <w:rPr>
          <w:rFonts w:eastAsiaTheme="minorHAnsi"/>
          <w:sz w:val="26"/>
          <w:szCs w:val="26"/>
        </w:rPr>
        <w:t>aborer</w:t>
      </w:r>
      <w:r w:rsidR="00736E12" w:rsidRPr="00C226E2">
        <w:rPr>
          <w:rFonts w:eastAsiaTheme="minorHAnsi"/>
          <w:sz w:val="26"/>
          <w:szCs w:val="26"/>
        </w:rPr>
        <w:t>s</w:t>
      </w:r>
      <w:r w:rsidR="00725BA7" w:rsidRPr="00C226E2">
        <w:rPr>
          <w:rFonts w:eastAsiaTheme="minorHAnsi"/>
          <w:sz w:val="26"/>
          <w:szCs w:val="26"/>
        </w:rPr>
        <w:t>’ District Council</w:t>
      </w:r>
      <w:r w:rsidRPr="0078013F">
        <w:rPr>
          <w:rFonts w:eastAsiaTheme="minorHAnsi"/>
          <w:sz w:val="26"/>
          <w:szCs w:val="26"/>
        </w:rPr>
        <w:t xml:space="preserve">) are signatories to the Settlement.  We find this to be indicative of the workforce benefits provided by the Proposed </w:t>
      </w:r>
      <w:r w:rsidRPr="0078013F">
        <w:rPr>
          <w:rFonts w:eastAsiaTheme="minorHAnsi"/>
          <w:sz w:val="26"/>
          <w:szCs w:val="26"/>
        </w:rPr>
        <w:lastRenderedPageBreak/>
        <w:t xml:space="preserve">Transaction.  For this reason, we also find that contrary to the claims of I&amp;E and the OSBA, the Joint Applicants’ assertion that the acceleration of the replacement of risky pipe will result in approximately one-hundred new jobs, inclusive of contracted labor and Peoples Companies’ employees being added in Western Pennsylvania, is not merely speculative.  As </w:t>
      </w:r>
      <w:r w:rsidR="00725BA7">
        <w:rPr>
          <w:rFonts w:eastAsiaTheme="minorHAnsi"/>
          <w:sz w:val="26"/>
          <w:szCs w:val="26"/>
        </w:rPr>
        <w:t xml:space="preserve">the </w:t>
      </w:r>
      <w:r w:rsidR="00725BA7" w:rsidRPr="00C226E2">
        <w:rPr>
          <w:rFonts w:eastAsiaTheme="minorHAnsi"/>
          <w:sz w:val="26"/>
          <w:szCs w:val="26"/>
        </w:rPr>
        <w:t>Laborers’ District Council</w:t>
      </w:r>
      <w:r w:rsidRPr="0078013F">
        <w:rPr>
          <w:rFonts w:eastAsiaTheme="minorHAnsi"/>
          <w:sz w:val="26"/>
          <w:szCs w:val="26"/>
        </w:rPr>
        <w:t xml:space="preserve"> notes in its Statement in Support, the use of local contractors will ensure the continued availability of qualified, trained workers as the pipeline replacement and restoration projects accelerate.  </w:t>
      </w:r>
      <w:r w:rsidR="00736E12">
        <w:rPr>
          <w:rFonts w:eastAsiaTheme="minorHAnsi"/>
          <w:sz w:val="26"/>
          <w:szCs w:val="26"/>
        </w:rPr>
        <w:t xml:space="preserve">The </w:t>
      </w:r>
      <w:r w:rsidRPr="00C226E2">
        <w:rPr>
          <w:rFonts w:eastAsiaTheme="minorHAnsi"/>
          <w:sz w:val="26"/>
          <w:szCs w:val="26"/>
        </w:rPr>
        <w:t>L</w:t>
      </w:r>
      <w:r w:rsidR="00725BA7" w:rsidRPr="00C226E2">
        <w:rPr>
          <w:rFonts w:eastAsiaTheme="minorHAnsi"/>
          <w:sz w:val="26"/>
          <w:szCs w:val="26"/>
        </w:rPr>
        <w:t>aborers’ District Council</w:t>
      </w:r>
      <w:r w:rsidRPr="0078013F">
        <w:rPr>
          <w:rFonts w:eastAsiaTheme="minorHAnsi"/>
          <w:sz w:val="26"/>
          <w:szCs w:val="26"/>
        </w:rPr>
        <w:t xml:space="preserve"> Statement in Support at 2.  Accordingly, we concur with the </w:t>
      </w:r>
      <w:r w:rsidR="005812AB">
        <w:rPr>
          <w:rFonts w:eastAsiaTheme="minorHAnsi"/>
          <w:sz w:val="26"/>
          <w:szCs w:val="26"/>
        </w:rPr>
        <w:t xml:space="preserve">ALJ Long’s </w:t>
      </w:r>
      <w:r w:rsidRPr="0078013F">
        <w:rPr>
          <w:rFonts w:eastAsiaTheme="minorHAnsi"/>
          <w:sz w:val="26"/>
          <w:szCs w:val="26"/>
        </w:rPr>
        <w:t>finding that the Joint Applicants’ concrete estimate of the additional pipeline jobs to execute the planned infrastructure replacement is a substantial public benefit.  Based on the forgoing, we shall deny the OSBA’s Exception No. 16.</w:t>
      </w:r>
    </w:p>
    <w:p w14:paraId="7C492808" w14:textId="77777777" w:rsidR="0078013F" w:rsidRPr="0078013F" w:rsidRDefault="0078013F" w:rsidP="00B24187">
      <w:pPr>
        <w:widowControl/>
        <w:spacing w:line="360" w:lineRule="auto"/>
        <w:ind w:firstLine="1440"/>
        <w:contextualSpacing/>
        <w:rPr>
          <w:rFonts w:eastAsiaTheme="minorHAnsi"/>
          <w:sz w:val="26"/>
          <w:szCs w:val="26"/>
        </w:rPr>
      </w:pPr>
    </w:p>
    <w:p w14:paraId="1D91BAE3" w14:textId="77777777" w:rsidR="0078013F" w:rsidRPr="0078013F" w:rsidRDefault="0078013F" w:rsidP="00467189">
      <w:pPr>
        <w:pStyle w:val="Heading3"/>
        <w:keepNext/>
        <w:ind w:left="1440" w:hanging="720"/>
        <w:rPr>
          <w:rFonts w:eastAsiaTheme="minorHAnsi"/>
        </w:rPr>
      </w:pPr>
      <w:bookmarkStart w:id="105" w:name="_Toc29278221"/>
      <w:bookmarkStart w:id="106" w:name="_Hlk25223721"/>
      <w:bookmarkStart w:id="107" w:name="_Toc25233047"/>
      <w:r w:rsidRPr="004F7445">
        <w:rPr>
          <w:rFonts w:eastAsiaTheme="minorHAnsi"/>
        </w:rPr>
        <w:t>Implementation of SAP at Aqua PA</w:t>
      </w:r>
      <w:bookmarkEnd w:id="105"/>
      <w:r w:rsidRPr="004F7445">
        <w:rPr>
          <w:rFonts w:eastAsiaTheme="minorHAnsi"/>
        </w:rPr>
        <w:t xml:space="preserve"> </w:t>
      </w:r>
      <w:bookmarkEnd w:id="106"/>
      <w:bookmarkEnd w:id="107"/>
    </w:p>
    <w:p w14:paraId="7ABB533A" w14:textId="77777777" w:rsidR="0078013F" w:rsidRPr="0078013F" w:rsidRDefault="0078013F" w:rsidP="00467189">
      <w:pPr>
        <w:keepNext/>
        <w:keepLines/>
        <w:widowControl/>
        <w:spacing w:line="360" w:lineRule="auto"/>
        <w:contextualSpacing/>
        <w:rPr>
          <w:rFonts w:eastAsiaTheme="minorHAnsi"/>
          <w:sz w:val="26"/>
          <w:szCs w:val="26"/>
        </w:rPr>
      </w:pPr>
    </w:p>
    <w:p w14:paraId="7F74E42F" w14:textId="77777777" w:rsidR="0078013F" w:rsidRPr="00781160" w:rsidRDefault="0078013F" w:rsidP="00467189">
      <w:pPr>
        <w:pStyle w:val="Heading4"/>
        <w:widowControl/>
        <w:numPr>
          <w:ilvl w:val="0"/>
          <w:numId w:val="32"/>
        </w:numPr>
        <w:ind w:left="2160" w:hanging="720"/>
        <w:rPr>
          <w:rFonts w:eastAsiaTheme="minorHAnsi"/>
        </w:rPr>
      </w:pPr>
      <w:bookmarkStart w:id="108" w:name="_Toc29278222"/>
      <w:r w:rsidRPr="00781160">
        <w:rPr>
          <w:rFonts w:eastAsiaTheme="minorHAnsi"/>
        </w:rPr>
        <w:t>Settlement Terms</w:t>
      </w:r>
      <w:bookmarkEnd w:id="108"/>
    </w:p>
    <w:p w14:paraId="4262D2B0" w14:textId="77777777" w:rsidR="0078013F" w:rsidRPr="0078013F" w:rsidRDefault="0078013F" w:rsidP="00467189">
      <w:pPr>
        <w:keepNext/>
        <w:keepLines/>
        <w:widowControl/>
        <w:spacing w:after="200" w:line="360" w:lineRule="auto"/>
        <w:contextualSpacing/>
        <w:rPr>
          <w:rFonts w:eastAsiaTheme="minorHAnsi"/>
          <w:sz w:val="26"/>
          <w:szCs w:val="26"/>
        </w:rPr>
      </w:pPr>
    </w:p>
    <w:p w14:paraId="64398E44" w14:textId="77777777" w:rsidR="0078013F" w:rsidRPr="0078013F" w:rsidRDefault="0078013F" w:rsidP="00467189">
      <w:pPr>
        <w:keepNext/>
        <w:widowControl/>
        <w:spacing w:after="200" w:line="360" w:lineRule="auto"/>
        <w:ind w:firstLine="1440"/>
        <w:contextualSpacing/>
        <w:rPr>
          <w:rFonts w:eastAsiaTheme="minorHAnsi"/>
          <w:sz w:val="26"/>
          <w:szCs w:val="26"/>
        </w:rPr>
      </w:pPr>
      <w:r w:rsidRPr="0078013F">
        <w:rPr>
          <w:rFonts w:eastAsiaTheme="minorHAnsi"/>
          <w:sz w:val="26"/>
          <w:szCs w:val="26"/>
        </w:rPr>
        <w:t>With regard to Aqua PA’s planned implementation of the SAP platform, the Settlement provides as follows:</w:t>
      </w:r>
    </w:p>
    <w:p w14:paraId="0F13A8DD" w14:textId="77777777" w:rsidR="0078013F" w:rsidRPr="0078013F" w:rsidRDefault="0078013F" w:rsidP="00C61865">
      <w:pPr>
        <w:keepNext/>
        <w:widowControl/>
        <w:spacing w:after="200" w:line="360" w:lineRule="auto"/>
        <w:ind w:firstLine="1530"/>
        <w:contextualSpacing/>
        <w:rPr>
          <w:rFonts w:eastAsiaTheme="minorHAnsi"/>
          <w:sz w:val="26"/>
          <w:szCs w:val="26"/>
        </w:rPr>
      </w:pPr>
    </w:p>
    <w:p w14:paraId="0041D7D1" w14:textId="77777777" w:rsidR="0078013F" w:rsidRPr="0078013F" w:rsidRDefault="0078013F" w:rsidP="00C61865">
      <w:pPr>
        <w:keepNext/>
        <w:widowControl/>
        <w:spacing w:after="200"/>
        <w:ind w:left="1440" w:right="1440" w:firstLine="720"/>
        <w:contextualSpacing/>
        <w:rPr>
          <w:rFonts w:eastAsiaTheme="minorHAnsi"/>
          <w:sz w:val="26"/>
          <w:szCs w:val="26"/>
        </w:rPr>
      </w:pPr>
      <w:r w:rsidRPr="0078013F">
        <w:rPr>
          <w:rFonts w:eastAsiaTheme="minorHAnsi"/>
          <w:sz w:val="26"/>
          <w:szCs w:val="26"/>
        </w:rPr>
        <w:t>96.</w:t>
      </w:r>
      <w:r w:rsidRPr="0078013F">
        <w:rPr>
          <w:rFonts w:eastAsiaTheme="minorHAnsi"/>
          <w:sz w:val="26"/>
          <w:szCs w:val="26"/>
        </w:rPr>
        <w:tab/>
        <w:t>Aqua PA will conduct a cost, benefit, timetable and rate impact analysis for implementation of the Peoples Companies’ SAP system and submit the analysis and report to the OCA, I&amp;E, &amp; OSBA prior to any implementation of such SAP system to Aqua PA.  Aqua PA’s future implementation of the SAP system will not be considered a transition cost.</w:t>
      </w:r>
    </w:p>
    <w:p w14:paraId="790122DF" w14:textId="77777777" w:rsidR="0078013F" w:rsidRPr="0078013F" w:rsidRDefault="0078013F" w:rsidP="00B24187">
      <w:pPr>
        <w:widowControl/>
        <w:spacing w:after="200" w:line="360" w:lineRule="auto"/>
        <w:ind w:right="1440" w:firstLine="1530"/>
        <w:contextualSpacing/>
        <w:rPr>
          <w:rFonts w:eastAsiaTheme="minorHAnsi"/>
          <w:sz w:val="26"/>
          <w:szCs w:val="26"/>
        </w:rPr>
      </w:pPr>
    </w:p>
    <w:p w14:paraId="3BA3BCD3" w14:textId="77777777" w:rsidR="0078013F" w:rsidRPr="0078013F" w:rsidRDefault="0078013F" w:rsidP="00B24187">
      <w:pPr>
        <w:widowControl/>
        <w:spacing w:after="200" w:line="360" w:lineRule="auto"/>
        <w:ind w:right="-1440"/>
        <w:contextualSpacing/>
        <w:rPr>
          <w:rFonts w:eastAsiaTheme="minorHAnsi"/>
          <w:sz w:val="26"/>
          <w:szCs w:val="26"/>
        </w:rPr>
      </w:pPr>
      <w:r w:rsidRPr="0078013F">
        <w:rPr>
          <w:rFonts w:eastAsiaTheme="minorHAnsi"/>
          <w:sz w:val="26"/>
          <w:szCs w:val="26"/>
        </w:rPr>
        <w:t>Settlement at ¶ 96.</w:t>
      </w:r>
    </w:p>
    <w:p w14:paraId="138FBD9A" w14:textId="77777777" w:rsidR="0078013F" w:rsidRPr="0078013F" w:rsidRDefault="0078013F" w:rsidP="00B24187">
      <w:pPr>
        <w:widowControl/>
        <w:spacing w:line="360" w:lineRule="auto"/>
        <w:ind w:firstLine="1526"/>
        <w:contextualSpacing/>
        <w:rPr>
          <w:rFonts w:eastAsiaTheme="minorHAnsi"/>
          <w:sz w:val="26"/>
          <w:szCs w:val="26"/>
        </w:rPr>
      </w:pPr>
    </w:p>
    <w:p w14:paraId="0C697359" w14:textId="77777777" w:rsidR="0078013F" w:rsidRPr="0078013F" w:rsidRDefault="0078013F" w:rsidP="00B24187">
      <w:pPr>
        <w:pStyle w:val="Heading4"/>
        <w:widowControl/>
        <w:ind w:left="2160" w:hanging="720"/>
        <w:rPr>
          <w:rFonts w:eastAsiaTheme="minorHAnsi"/>
        </w:rPr>
      </w:pPr>
      <w:bookmarkStart w:id="109" w:name="_Toc29278223"/>
      <w:bookmarkStart w:id="110" w:name="_Hlk26189380"/>
      <w:r w:rsidRPr="0078013F">
        <w:rPr>
          <w:rFonts w:eastAsiaTheme="minorHAnsi"/>
        </w:rPr>
        <w:lastRenderedPageBreak/>
        <w:t>Positions of the Parties</w:t>
      </w:r>
      <w:bookmarkEnd w:id="109"/>
    </w:p>
    <w:p w14:paraId="447ACBDD" w14:textId="77777777" w:rsidR="0078013F" w:rsidRPr="0078013F" w:rsidRDefault="0078013F" w:rsidP="00B24187">
      <w:pPr>
        <w:keepNext/>
        <w:keepLines/>
        <w:widowControl/>
        <w:spacing w:after="200" w:line="360" w:lineRule="auto"/>
        <w:ind w:right="-1440"/>
        <w:contextualSpacing/>
        <w:rPr>
          <w:rFonts w:eastAsiaTheme="minorHAnsi"/>
          <w:sz w:val="26"/>
          <w:szCs w:val="26"/>
        </w:rPr>
      </w:pPr>
    </w:p>
    <w:p w14:paraId="35EBAF68" w14:textId="77777777" w:rsidR="0078013F" w:rsidRPr="0078013F" w:rsidRDefault="0078013F" w:rsidP="00B24187">
      <w:pPr>
        <w:widowControl/>
        <w:spacing w:after="200" w:line="360" w:lineRule="auto"/>
        <w:ind w:firstLine="1440"/>
        <w:contextualSpacing/>
        <w:rPr>
          <w:rFonts w:eastAsiaTheme="minorHAnsi"/>
          <w:sz w:val="26"/>
          <w:szCs w:val="26"/>
        </w:rPr>
      </w:pPr>
      <w:r w:rsidRPr="0078013F">
        <w:rPr>
          <w:sz w:val="26"/>
          <w:szCs w:val="26"/>
        </w:rPr>
        <w:t>The Joint Applicants insisted that customers prefer to have access to a number of different communications channels and demand that utilities provide information promptly and accurately.  Therefore, t</w:t>
      </w:r>
      <w:r w:rsidRPr="0078013F">
        <w:rPr>
          <w:rFonts w:eastAsiaTheme="minorHAnsi"/>
          <w:sz w:val="26"/>
          <w:szCs w:val="26"/>
        </w:rPr>
        <w:t xml:space="preserve">he Joint Applicants argued that implementing SAP would improve customer service by permitting Aqua PA to </w:t>
      </w:r>
      <w:r w:rsidRPr="0078013F">
        <w:rPr>
          <w:sz w:val="26"/>
          <w:szCs w:val="26"/>
        </w:rPr>
        <w:t xml:space="preserve">run a fully integrated contact center system that allows an Aqua PA customer service representative to have immediate access to SAP customer information through automated screen pops, similar to what is already in place at the Peoples Companies.  </w:t>
      </w:r>
      <w:r w:rsidRPr="0078013F">
        <w:rPr>
          <w:rFonts w:eastAsiaTheme="minorHAnsi"/>
          <w:sz w:val="26"/>
          <w:szCs w:val="26"/>
        </w:rPr>
        <w:t xml:space="preserve">The Joint Applicants claimed that as a result of implementing the Peoples Companies’ SAP system at Aqua PA, cost savings will be realized, both in the form of the mitigation of implementation risk and in savings in consulting costs.  According to the Joint Applicants, such savings would not occur but for the Proposed Transaction because these benefits are specifically attributable to Aqua America’s acquisition of an entity that has already successfully implemented SAP.  The Joint Applicants emphasized that the team that implemented SAP at the Peoples Companies is still in place and will be able to aid in the implementation of SAP at Aqua PA.  Joint Applicants M.B. at 48-50; Joint Applicants R.B. at 49-50.  </w:t>
      </w:r>
    </w:p>
    <w:p w14:paraId="2DB5059E" w14:textId="77777777" w:rsidR="0078013F" w:rsidRPr="0078013F" w:rsidRDefault="0078013F" w:rsidP="00B24187">
      <w:pPr>
        <w:widowControl/>
        <w:spacing w:after="200" w:line="360" w:lineRule="auto"/>
        <w:ind w:right="-1440" w:firstLine="1440"/>
        <w:contextualSpacing/>
        <w:rPr>
          <w:rFonts w:eastAsiaTheme="minorHAnsi"/>
          <w:sz w:val="26"/>
          <w:szCs w:val="26"/>
        </w:rPr>
      </w:pPr>
    </w:p>
    <w:p w14:paraId="14A55A43" w14:textId="6B74FECD" w:rsidR="0078013F" w:rsidRPr="0078013F" w:rsidRDefault="0078013F" w:rsidP="00B24187">
      <w:pPr>
        <w:widowControl/>
        <w:spacing w:after="200" w:line="360" w:lineRule="auto"/>
        <w:ind w:firstLine="1440"/>
        <w:contextualSpacing/>
        <w:rPr>
          <w:rFonts w:eastAsiaTheme="minorHAnsi"/>
          <w:sz w:val="26"/>
          <w:szCs w:val="26"/>
        </w:rPr>
      </w:pPr>
      <w:r w:rsidRPr="0078013F">
        <w:rPr>
          <w:rFonts w:eastAsiaTheme="minorHAnsi"/>
          <w:sz w:val="26"/>
          <w:szCs w:val="26"/>
        </w:rPr>
        <w:t xml:space="preserve">The OCA concurred with the Joint Applicants that SAP implementation would enhance Aqua PA’s ability to serve its customers.  The OCA explained that it filed testimony in this proceeding that there was a substantial difference between the customer service metrics of the Peoples’ Companies and Aqua PA, such that Aqua PA should make efforts to meet the metrics currently being achieved by the Peoples Companies.  Further, the OCA submitted </w:t>
      </w:r>
      <w:r w:rsidR="003A591D" w:rsidRPr="0078013F">
        <w:rPr>
          <w:rFonts w:eastAsiaTheme="minorHAnsi"/>
          <w:sz w:val="26"/>
          <w:szCs w:val="26"/>
        </w:rPr>
        <w:t>that Paragraph</w:t>
      </w:r>
      <w:r w:rsidRPr="0078013F">
        <w:rPr>
          <w:rFonts w:eastAsiaTheme="minorHAnsi"/>
          <w:sz w:val="26"/>
          <w:szCs w:val="26"/>
        </w:rPr>
        <w:t xml:space="preserve"> 96 of the Settlement satisfies any concerns related to the cost of implementing SAP at Aqua PA.  OCA. R.B. at 29-30.</w:t>
      </w:r>
    </w:p>
    <w:p w14:paraId="26848A58" w14:textId="77777777" w:rsidR="0078013F" w:rsidRPr="0078013F" w:rsidRDefault="0078013F" w:rsidP="00B24187">
      <w:pPr>
        <w:widowControl/>
        <w:spacing w:after="200" w:line="360" w:lineRule="auto"/>
        <w:ind w:right="-1440" w:firstLine="1440"/>
        <w:contextualSpacing/>
        <w:rPr>
          <w:rFonts w:eastAsiaTheme="minorHAnsi"/>
          <w:sz w:val="26"/>
          <w:szCs w:val="26"/>
        </w:rPr>
      </w:pPr>
    </w:p>
    <w:p w14:paraId="45BC08D1" w14:textId="77777777" w:rsidR="0078013F" w:rsidRDefault="0078013F" w:rsidP="00B24187">
      <w:pPr>
        <w:widowControl/>
        <w:spacing w:after="200" w:line="360" w:lineRule="auto"/>
        <w:ind w:firstLine="1440"/>
        <w:contextualSpacing/>
        <w:rPr>
          <w:rFonts w:eastAsiaTheme="minorHAnsi"/>
          <w:sz w:val="26"/>
          <w:szCs w:val="26"/>
        </w:rPr>
      </w:pPr>
      <w:r w:rsidRPr="0078013F">
        <w:rPr>
          <w:rFonts w:eastAsiaTheme="minorHAnsi"/>
          <w:sz w:val="26"/>
          <w:szCs w:val="26"/>
        </w:rPr>
        <w:t xml:space="preserve">I&amp;E countered that Aqua PA is more than capable of implementing SAP software on its own.  In I&amp;E’s view, any benefit derived from spending $4 billion to </w:t>
      </w:r>
      <w:r w:rsidRPr="0078013F">
        <w:rPr>
          <w:rFonts w:eastAsiaTheme="minorHAnsi"/>
          <w:sz w:val="26"/>
          <w:szCs w:val="26"/>
        </w:rPr>
        <w:lastRenderedPageBreak/>
        <w:t xml:space="preserve">acquire the Peoples Companies in order to implement SAP is minimal, at best, and does not warrant the approval of the Proposed Transaction.  I&amp;E averred that Aqua PA has not provided estimates regarding costs or savings, nor has it provided a time frame in which it intends to implement the SAP platform.  I&amp;E M.B. at 36; I&amp;E R.B. at 33. </w:t>
      </w:r>
    </w:p>
    <w:p w14:paraId="59AB1244" w14:textId="77777777" w:rsidR="004936F4" w:rsidRPr="0078013F" w:rsidRDefault="004936F4" w:rsidP="00B24187">
      <w:pPr>
        <w:widowControl/>
        <w:spacing w:after="200" w:line="360" w:lineRule="auto"/>
        <w:ind w:firstLine="1440"/>
        <w:contextualSpacing/>
        <w:rPr>
          <w:rFonts w:eastAsiaTheme="minorHAnsi"/>
          <w:sz w:val="26"/>
          <w:szCs w:val="26"/>
        </w:rPr>
      </w:pPr>
    </w:p>
    <w:p w14:paraId="12E89A77" w14:textId="77777777" w:rsidR="0078013F" w:rsidRPr="0078013F" w:rsidRDefault="0078013F" w:rsidP="00B24187">
      <w:pPr>
        <w:widowControl/>
        <w:spacing w:after="200" w:line="360" w:lineRule="auto"/>
        <w:ind w:firstLine="1440"/>
        <w:contextualSpacing/>
        <w:rPr>
          <w:rFonts w:eastAsiaTheme="minorHAnsi"/>
          <w:sz w:val="26"/>
          <w:szCs w:val="26"/>
        </w:rPr>
      </w:pPr>
      <w:r w:rsidRPr="0078013F">
        <w:rPr>
          <w:rFonts w:eastAsiaTheme="minorHAnsi"/>
          <w:sz w:val="26"/>
          <w:szCs w:val="26"/>
        </w:rPr>
        <w:t xml:space="preserve">Similar to I&amp;E, the OSBA characterized any savings achieved by Aqua PA’s implementation of SAP as hypothetical.  Accordingly, the OSBA claimed that it is not an affirmative public benefit for Aqua PA to use this proceeding to upgrade its computer system.  The OSBA pointed to the testimony of the Joint Applicants’ witness Mr. Franklin that Aqua PA’s computer system is not currently in need of an upgrade.  OSBA M.B. at 26 (citing Tr. at 84).  Additionally, the OSBA reasoned, </w:t>
      </w:r>
      <w:r w:rsidRPr="0078013F">
        <w:rPr>
          <w:rFonts w:eastAsiaTheme="minorHAnsi"/>
          <w:i/>
          <w:iCs/>
          <w:sz w:val="26"/>
          <w:szCs w:val="26"/>
        </w:rPr>
        <w:t>inter alia,</w:t>
      </w:r>
      <w:r w:rsidRPr="0078013F">
        <w:rPr>
          <w:rFonts w:eastAsiaTheme="minorHAnsi"/>
          <w:sz w:val="26"/>
          <w:szCs w:val="26"/>
        </w:rPr>
        <w:t xml:space="preserve"> that given the superiority of the SAP system, it is plausible that Aqua PA would eventually implement the SAP platform even in the absence of the Proposed Transaction.  OSBA M.B. at 26-27; OSBA R.B. at 24.</w:t>
      </w:r>
    </w:p>
    <w:p w14:paraId="007A7FF5" w14:textId="77777777" w:rsidR="0078013F" w:rsidRPr="0078013F" w:rsidRDefault="0078013F" w:rsidP="00B24187">
      <w:pPr>
        <w:widowControl/>
        <w:spacing w:line="360" w:lineRule="auto"/>
        <w:ind w:right="-1440" w:firstLine="1440"/>
        <w:contextualSpacing/>
        <w:rPr>
          <w:rFonts w:eastAsiaTheme="minorHAnsi"/>
          <w:sz w:val="26"/>
          <w:szCs w:val="26"/>
        </w:rPr>
      </w:pPr>
    </w:p>
    <w:p w14:paraId="768B7A5F" w14:textId="77777777" w:rsidR="0078013F" w:rsidRPr="0078013F" w:rsidRDefault="0078013F" w:rsidP="00C61865">
      <w:pPr>
        <w:pStyle w:val="Heading4"/>
        <w:widowControl/>
        <w:ind w:left="2160" w:hanging="720"/>
        <w:rPr>
          <w:rFonts w:eastAsiaTheme="minorHAnsi"/>
        </w:rPr>
      </w:pPr>
      <w:bookmarkStart w:id="111" w:name="_Toc29278224"/>
      <w:r w:rsidRPr="0078013F">
        <w:rPr>
          <w:rFonts w:eastAsiaTheme="minorHAnsi"/>
        </w:rPr>
        <w:t>Recommended Decision</w:t>
      </w:r>
      <w:bookmarkEnd w:id="111"/>
    </w:p>
    <w:p w14:paraId="5FE27A55" w14:textId="77777777" w:rsidR="0078013F" w:rsidRPr="0078013F" w:rsidRDefault="0078013F" w:rsidP="00C61865">
      <w:pPr>
        <w:keepNext/>
        <w:keepLines/>
        <w:widowControl/>
        <w:spacing w:line="360" w:lineRule="auto"/>
        <w:ind w:firstLine="1440"/>
        <w:contextualSpacing/>
        <w:rPr>
          <w:rFonts w:eastAsiaTheme="minorHAnsi"/>
          <w:sz w:val="26"/>
          <w:szCs w:val="26"/>
        </w:rPr>
      </w:pPr>
    </w:p>
    <w:p w14:paraId="0E7C02F2" w14:textId="77777777" w:rsidR="0078013F" w:rsidRPr="0078013F" w:rsidRDefault="0078013F" w:rsidP="00C61865">
      <w:pPr>
        <w:keepNext/>
        <w:widowControl/>
        <w:spacing w:after="200" w:line="360" w:lineRule="auto"/>
        <w:ind w:firstLine="1440"/>
        <w:contextualSpacing/>
        <w:rPr>
          <w:rFonts w:eastAsiaTheme="minorHAnsi"/>
          <w:sz w:val="26"/>
          <w:szCs w:val="26"/>
        </w:rPr>
      </w:pPr>
      <w:r w:rsidRPr="0078013F">
        <w:rPr>
          <w:rFonts w:eastAsiaTheme="minorHAnsi"/>
          <w:sz w:val="26"/>
          <w:szCs w:val="26"/>
        </w:rPr>
        <w:t>In her Recommended Decision, the ALJ found that the implementation of SAP at Aqua PA is a clear public benefit that will result from the Proposed Transaction.  The ALJ reasoned that Aqua PA’s customers will benefit from the enhanced customer service features provided by SAP, as well as from the risk mitigation and resulting cost savings provided by the expertise of the Peoples Companies’ employees.  According to the ALJ, I&amp;E and the OSBA both failed to provide convincing arguments for why Aqua PA’s implementation of SAP is not an affirmative public benefit.  The ALJ pointed out that each conceded that the Peoples Companies’ SAP system is superior to Aqua PA’s current computer system and that neither disputed the Joint Applicants’ testimony that the expertise that the Peoples Companies’ teams have in implementing SAP will mitigate risk and reduce costs.  R.D. at 73, 74.</w:t>
      </w:r>
    </w:p>
    <w:p w14:paraId="4689BF40" w14:textId="77777777" w:rsidR="0078013F" w:rsidRPr="0078013F" w:rsidRDefault="0078013F" w:rsidP="00B24187">
      <w:pPr>
        <w:widowControl/>
        <w:spacing w:after="200" w:line="360" w:lineRule="auto"/>
        <w:ind w:right="-1440" w:firstLine="1440"/>
        <w:contextualSpacing/>
        <w:rPr>
          <w:rFonts w:eastAsiaTheme="minorHAnsi"/>
          <w:sz w:val="26"/>
          <w:szCs w:val="26"/>
        </w:rPr>
      </w:pPr>
    </w:p>
    <w:p w14:paraId="2D7AE313" w14:textId="77777777" w:rsidR="0078013F" w:rsidRPr="0078013F" w:rsidRDefault="0078013F" w:rsidP="00B24187">
      <w:pPr>
        <w:widowControl/>
        <w:spacing w:after="200" w:line="360" w:lineRule="auto"/>
        <w:ind w:firstLine="1440"/>
        <w:contextualSpacing/>
        <w:rPr>
          <w:rFonts w:eastAsiaTheme="minorHAnsi"/>
          <w:sz w:val="26"/>
          <w:szCs w:val="26"/>
        </w:rPr>
      </w:pPr>
      <w:r w:rsidRPr="0078013F">
        <w:rPr>
          <w:rFonts w:eastAsiaTheme="minorHAnsi"/>
          <w:sz w:val="26"/>
          <w:szCs w:val="26"/>
        </w:rPr>
        <w:lastRenderedPageBreak/>
        <w:t xml:space="preserve">The ALJ also found that the OSBA mischaracterized the testimony of the Joint Applicants’ witness Mr. Franklin.  In this regard, the ALJ explained that Mr. Franklin testified that Aqua PA’s current computer system operates and meets every market standard, and not that Aqua PA’s computer system is not in need of an upgrade.  The ALJ also noted Mr. Franklin’s testimony that Aqua PA’s current computer system is approaching the end of its useful life.  R.D. at 74 (citing Tr. at 235).  The ALJ reasoned </w:t>
      </w:r>
      <w:bookmarkStart w:id="112" w:name="_Hlk26361557"/>
      <w:r w:rsidRPr="0078013F">
        <w:rPr>
          <w:rFonts w:eastAsiaTheme="minorHAnsi"/>
          <w:sz w:val="26"/>
          <w:szCs w:val="26"/>
        </w:rPr>
        <w:t xml:space="preserve">that given the enhanced customer service that Aqua PA’s implementation of SAP will provide, it is not necessary for the Joint Applicants to wait until Aqua PA’s current computer system reaches the end of its useful life before the implementation of SAP can be considered a public benefit.  </w:t>
      </w:r>
      <w:bookmarkEnd w:id="112"/>
      <w:r w:rsidRPr="0078013F">
        <w:rPr>
          <w:rFonts w:eastAsiaTheme="minorHAnsi"/>
          <w:sz w:val="26"/>
          <w:szCs w:val="26"/>
        </w:rPr>
        <w:t>Finally, the ALJ concluded that although the Joint Applicants have not fully developed the timeline for the project and the projected cost savings, the reporting requirements included in the Settlement will provide the Commission and the statutory advocates with a tool to ensure that the project is executed in a reasonable and cost effective manner.  R.D. at 74.</w:t>
      </w:r>
    </w:p>
    <w:p w14:paraId="5E662E29" w14:textId="77777777" w:rsidR="0078013F" w:rsidRPr="0078013F" w:rsidRDefault="0078013F" w:rsidP="00B24187">
      <w:pPr>
        <w:widowControl/>
        <w:spacing w:line="360" w:lineRule="auto"/>
        <w:ind w:right="-1440" w:firstLine="1440"/>
        <w:contextualSpacing/>
        <w:rPr>
          <w:rFonts w:eastAsiaTheme="minorHAnsi"/>
          <w:sz w:val="26"/>
          <w:szCs w:val="26"/>
        </w:rPr>
      </w:pPr>
    </w:p>
    <w:p w14:paraId="1105C811" w14:textId="77777777" w:rsidR="00B159B5" w:rsidRDefault="004F7445" w:rsidP="00C61865">
      <w:pPr>
        <w:pStyle w:val="Heading4"/>
        <w:widowControl/>
        <w:ind w:left="2160" w:hanging="720"/>
        <w:rPr>
          <w:rFonts w:eastAsiaTheme="minorHAnsi"/>
        </w:rPr>
      </w:pPr>
      <w:bookmarkStart w:id="113" w:name="_Toc29278225"/>
      <w:bookmarkStart w:id="114" w:name="_Hlk28531326"/>
      <w:r>
        <w:rPr>
          <w:rFonts w:eastAsiaTheme="minorHAnsi"/>
        </w:rPr>
        <w:t>Exceptions and Replies</w:t>
      </w:r>
      <w:bookmarkEnd w:id="113"/>
      <w:r>
        <w:rPr>
          <w:rFonts w:eastAsiaTheme="minorHAnsi"/>
        </w:rPr>
        <w:t xml:space="preserve"> </w:t>
      </w:r>
      <w:bookmarkEnd w:id="114"/>
    </w:p>
    <w:p w14:paraId="25D9009B" w14:textId="77777777" w:rsidR="00B159B5" w:rsidRDefault="00B159B5" w:rsidP="00C61865">
      <w:pPr>
        <w:keepNext/>
        <w:widowControl/>
        <w:spacing w:after="200" w:line="360" w:lineRule="auto"/>
        <w:ind w:firstLine="1440"/>
        <w:contextualSpacing/>
        <w:rPr>
          <w:rFonts w:eastAsiaTheme="minorHAnsi"/>
          <w:sz w:val="26"/>
          <w:szCs w:val="26"/>
        </w:rPr>
      </w:pPr>
    </w:p>
    <w:p w14:paraId="10F8F847" w14:textId="3967ABE4" w:rsidR="0078013F" w:rsidRPr="0078013F" w:rsidRDefault="0078013F" w:rsidP="00C61865">
      <w:pPr>
        <w:keepNext/>
        <w:widowControl/>
        <w:spacing w:after="200" w:line="360" w:lineRule="auto"/>
        <w:ind w:firstLine="1440"/>
        <w:contextualSpacing/>
        <w:rPr>
          <w:rFonts w:eastAsiaTheme="minorHAnsi"/>
          <w:sz w:val="26"/>
          <w:szCs w:val="26"/>
        </w:rPr>
      </w:pPr>
      <w:r w:rsidRPr="0078013F">
        <w:rPr>
          <w:rFonts w:eastAsiaTheme="minorHAnsi"/>
          <w:sz w:val="26"/>
          <w:szCs w:val="26"/>
        </w:rPr>
        <w:t>In its Exception No. 7, I&amp;E objects to the ALJ’s conclusion that Aqua PA’s implementation of SAP constitutes a substantial affirmative public benefit.  I&amp;E remains of the opinion that given the $4 billion acquisition price of this Proposed Transaction, any benefits of Aqua PA’s implementation of SAP are minimal, at best, and will only benefit Aqua PA’s customers.  I&amp;E claims that in reaching her conclusion, the ALJ overlooked that there is no specific timeline or projection of savings for the implementation of SAP.  I&amp;E asserts that absent concrete projections for a timeline or savings, it is impossible to determine whether Aqua PA’s implementation of SAP constitutes a benefit.  Further, I&amp;E takes issue with the above Settlement provision, given that the implementation of SAP would already be approved regardless of the reporting requirements</w:t>
      </w:r>
      <w:r w:rsidR="00736E12">
        <w:rPr>
          <w:rFonts w:eastAsiaTheme="minorHAnsi"/>
          <w:sz w:val="26"/>
          <w:szCs w:val="26"/>
        </w:rPr>
        <w:t xml:space="preserve"> in the </w:t>
      </w:r>
      <w:r w:rsidR="003A591D">
        <w:rPr>
          <w:rFonts w:eastAsiaTheme="minorHAnsi"/>
          <w:sz w:val="26"/>
          <w:szCs w:val="26"/>
        </w:rPr>
        <w:t>Settlement</w:t>
      </w:r>
      <w:r w:rsidR="003A591D" w:rsidRPr="0078013F">
        <w:rPr>
          <w:rFonts w:eastAsiaTheme="minorHAnsi"/>
          <w:sz w:val="26"/>
          <w:szCs w:val="26"/>
        </w:rPr>
        <w:t>.</w:t>
      </w:r>
      <w:r w:rsidRPr="0078013F">
        <w:rPr>
          <w:rFonts w:eastAsiaTheme="minorHAnsi"/>
          <w:sz w:val="26"/>
          <w:szCs w:val="26"/>
        </w:rPr>
        <w:t xml:space="preserve">  I&amp;E Exc. at 21-22.</w:t>
      </w:r>
    </w:p>
    <w:p w14:paraId="3A597796" w14:textId="77777777" w:rsidR="0078013F" w:rsidRPr="0078013F" w:rsidRDefault="0078013F" w:rsidP="00B24187">
      <w:pPr>
        <w:widowControl/>
        <w:spacing w:after="200" w:line="360" w:lineRule="auto"/>
        <w:ind w:right="-1440" w:firstLine="1440"/>
        <w:contextualSpacing/>
        <w:rPr>
          <w:rFonts w:eastAsiaTheme="minorHAnsi"/>
          <w:sz w:val="26"/>
          <w:szCs w:val="26"/>
        </w:rPr>
      </w:pPr>
    </w:p>
    <w:p w14:paraId="154D8D63" w14:textId="77777777" w:rsidR="0078013F" w:rsidRPr="0078013F" w:rsidRDefault="0078013F" w:rsidP="00B24187">
      <w:pPr>
        <w:widowControl/>
        <w:spacing w:after="200" w:line="360" w:lineRule="auto"/>
        <w:ind w:firstLine="1440"/>
        <w:contextualSpacing/>
        <w:rPr>
          <w:rFonts w:eastAsiaTheme="minorHAnsi"/>
          <w:sz w:val="26"/>
          <w:szCs w:val="26"/>
        </w:rPr>
      </w:pPr>
      <w:r w:rsidRPr="0078013F">
        <w:rPr>
          <w:rFonts w:eastAsiaTheme="minorHAnsi"/>
          <w:sz w:val="26"/>
          <w:szCs w:val="26"/>
        </w:rPr>
        <w:lastRenderedPageBreak/>
        <w:t>In its Exception No. 17, the OSBA, likewise, submits that the ALJ erred in concluding that Aqua PA’s implementation of SAP is an affirmative public benefit of the Proposed Transaction.  In the OSBA’s view, the implementation of SAP has nothing to do with the Proposed Transaction.  The OSBA restates that given that the SAP platform is considered superior to Aqua PA’s existing computer system, Aqua PA would likely implement SAP regardless of whether or not it engaged in the Proposed Transaction.  Therefore, the OSBA insists that Aqua America does not need to spend $4 billion to acquire Peoples, simply to upgrade its computer system to the SAP platform.  OSBA Exc. at 24.</w:t>
      </w:r>
    </w:p>
    <w:p w14:paraId="5B35C4E9" w14:textId="77777777" w:rsidR="0078013F" w:rsidRPr="0078013F" w:rsidRDefault="0078013F" w:rsidP="00B24187">
      <w:pPr>
        <w:widowControl/>
        <w:spacing w:after="200" w:line="360" w:lineRule="auto"/>
        <w:ind w:right="-1440" w:firstLine="1440"/>
        <w:contextualSpacing/>
        <w:rPr>
          <w:rFonts w:eastAsiaTheme="minorHAnsi"/>
          <w:sz w:val="26"/>
          <w:szCs w:val="26"/>
        </w:rPr>
      </w:pPr>
    </w:p>
    <w:p w14:paraId="38D01675" w14:textId="77777777" w:rsidR="0078013F" w:rsidRPr="0078013F" w:rsidRDefault="0078013F" w:rsidP="00B24187">
      <w:pPr>
        <w:widowControl/>
        <w:spacing w:after="200" w:line="360" w:lineRule="auto"/>
        <w:ind w:firstLine="1440"/>
        <w:contextualSpacing/>
        <w:rPr>
          <w:rFonts w:eastAsiaTheme="minorHAnsi"/>
          <w:sz w:val="26"/>
          <w:szCs w:val="26"/>
        </w:rPr>
      </w:pPr>
      <w:r w:rsidRPr="0078013F">
        <w:rPr>
          <w:rFonts w:eastAsiaTheme="minorHAnsi"/>
          <w:sz w:val="26"/>
          <w:szCs w:val="26"/>
        </w:rPr>
        <w:t>In its Replies to Exceptions, the Joint Applicants aver that the ALJ correctly concluded that Aqua PA’s implementation of SAP, resulting in a combined, unified platform, constitutes an affirmative public benefit.  The Joint Applicants argue that the ALJs properly cited to unrebutted evidence in the record that savings associated with the mitigation of risk and savings associated with consulting costs are expected to occur.  The Joint Applicants restate that these savings are expected to occur because the Peoples Companies have already successfully implemented SAP.  Additionally, the Joint Applicants submit that I&amp;E</w:t>
      </w:r>
      <w:r w:rsidR="005812AB">
        <w:rPr>
          <w:rFonts w:eastAsiaTheme="minorHAnsi"/>
          <w:sz w:val="26"/>
          <w:szCs w:val="26"/>
        </w:rPr>
        <w:t>’s</w:t>
      </w:r>
      <w:r w:rsidRPr="0078013F">
        <w:rPr>
          <w:rFonts w:eastAsiaTheme="minorHAnsi"/>
          <w:sz w:val="26"/>
          <w:szCs w:val="26"/>
        </w:rPr>
        <w:t xml:space="preserve"> and the OSBA’s attempted comparison of the benefits of SAP implementation to the purchase price of the entire transaction is irrelevant.  The Joint Applicants restate that because customers will not be responsible for the premium to be paid in the Proposed Transaction, the premium is not a detriment to be offset against the benefits of SAP.  Joint Applicants R. Exc. at 17-18.</w:t>
      </w:r>
    </w:p>
    <w:p w14:paraId="21FA4AFE" w14:textId="77777777" w:rsidR="0078013F" w:rsidRPr="0078013F" w:rsidRDefault="0078013F" w:rsidP="00B24187">
      <w:pPr>
        <w:widowControl/>
        <w:spacing w:after="200" w:line="360" w:lineRule="auto"/>
        <w:ind w:right="-1440" w:firstLine="1440"/>
        <w:contextualSpacing/>
        <w:rPr>
          <w:rFonts w:eastAsiaTheme="minorHAnsi"/>
          <w:sz w:val="26"/>
          <w:szCs w:val="26"/>
        </w:rPr>
      </w:pPr>
    </w:p>
    <w:p w14:paraId="1A1BA680" w14:textId="657F594A" w:rsidR="0078013F" w:rsidRDefault="0078013F" w:rsidP="00467189">
      <w:pPr>
        <w:widowControl/>
        <w:spacing w:line="360" w:lineRule="auto"/>
        <w:ind w:firstLine="1440"/>
        <w:contextualSpacing/>
        <w:rPr>
          <w:rFonts w:eastAsiaTheme="minorHAnsi"/>
          <w:sz w:val="26"/>
          <w:szCs w:val="26"/>
        </w:rPr>
      </w:pPr>
      <w:r w:rsidRPr="0078013F">
        <w:rPr>
          <w:rFonts w:eastAsiaTheme="minorHAnsi"/>
          <w:sz w:val="26"/>
          <w:szCs w:val="26"/>
        </w:rPr>
        <w:t xml:space="preserve">In its Replies to Exceptions, the OCA contends that the Exceptions of I&amp;E and the OSBA are unfounded.  The OCA argues that any concerns that I&amp;E may have regarding the cost and the timetable for implementing SAP are addressed by the requirement under the Settlement that Aqua America must provide the Commission and the Statutory Advocates with a cost, benefit, and timetable analysis of implementing SAP before Aqua America implements the SAP system.  Additionally, as to the Exceptions of </w:t>
      </w:r>
      <w:r w:rsidRPr="0078013F">
        <w:rPr>
          <w:rFonts w:eastAsiaTheme="minorHAnsi"/>
          <w:sz w:val="26"/>
          <w:szCs w:val="26"/>
        </w:rPr>
        <w:lastRenderedPageBreak/>
        <w:t>the OSBA, the OCA asserts that the ALJ correctly opined that given the enhanced customer service that Aqua PA’s implementation of SAP will provide, it is not necessary for the Joint Applicants to wait until Aqua PA’s current computer system reaches the end of its useful life before the implementation of SAP can be considered a public benefit.  OCA R. Exc. at 16-17.</w:t>
      </w:r>
    </w:p>
    <w:p w14:paraId="61915DFF" w14:textId="77777777" w:rsidR="00467189" w:rsidRPr="0078013F" w:rsidRDefault="00467189" w:rsidP="00467189">
      <w:pPr>
        <w:widowControl/>
        <w:spacing w:line="360" w:lineRule="auto"/>
        <w:ind w:firstLine="1440"/>
        <w:contextualSpacing/>
        <w:rPr>
          <w:rFonts w:eastAsiaTheme="minorHAnsi"/>
          <w:sz w:val="26"/>
          <w:szCs w:val="26"/>
        </w:rPr>
      </w:pPr>
    </w:p>
    <w:p w14:paraId="31CF4721" w14:textId="77777777" w:rsidR="0078013F" w:rsidRPr="0078013F" w:rsidRDefault="0078013F" w:rsidP="00467189">
      <w:pPr>
        <w:pStyle w:val="Heading4"/>
        <w:widowControl/>
        <w:ind w:left="2160" w:hanging="720"/>
        <w:rPr>
          <w:rFonts w:eastAsiaTheme="minorHAnsi"/>
        </w:rPr>
      </w:pPr>
      <w:bookmarkStart w:id="115" w:name="_Toc29278226"/>
      <w:r w:rsidRPr="0078013F">
        <w:rPr>
          <w:rFonts w:eastAsiaTheme="minorHAnsi"/>
        </w:rPr>
        <w:t>Disposition</w:t>
      </w:r>
      <w:bookmarkEnd w:id="115"/>
    </w:p>
    <w:p w14:paraId="77E89387" w14:textId="77777777" w:rsidR="0078013F" w:rsidRPr="0078013F" w:rsidRDefault="0078013F" w:rsidP="00467189">
      <w:pPr>
        <w:keepNext/>
        <w:keepLines/>
        <w:widowControl/>
        <w:spacing w:line="360" w:lineRule="auto"/>
        <w:ind w:right="-1440" w:firstLine="1440"/>
        <w:contextualSpacing/>
        <w:rPr>
          <w:rFonts w:eastAsiaTheme="minorHAnsi"/>
          <w:sz w:val="26"/>
          <w:szCs w:val="26"/>
        </w:rPr>
      </w:pPr>
    </w:p>
    <w:p w14:paraId="30709A61" w14:textId="5B1BD8EE" w:rsidR="0078013F" w:rsidRPr="0078013F" w:rsidRDefault="0078013F" w:rsidP="00467189">
      <w:pPr>
        <w:keepNext/>
        <w:widowControl/>
        <w:spacing w:line="360" w:lineRule="auto"/>
        <w:ind w:firstLine="1440"/>
        <w:contextualSpacing/>
        <w:rPr>
          <w:rFonts w:eastAsiaTheme="minorHAnsi"/>
          <w:sz w:val="26"/>
          <w:szCs w:val="26"/>
        </w:rPr>
      </w:pPr>
      <w:r w:rsidRPr="0078013F">
        <w:rPr>
          <w:rFonts w:eastAsiaTheme="minorHAnsi"/>
          <w:sz w:val="26"/>
          <w:szCs w:val="26"/>
        </w:rPr>
        <w:t xml:space="preserve">On consideration of the </w:t>
      </w:r>
      <w:r w:rsidR="005812AB">
        <w:rPr>
          <w:rFonts w:eastAsiaTheme="minorHAnsi"/>
          <w:sz w:val="26"/>
          <w:szCs w:val="26"/>
        </w:rPr>
        <w:t xml:space="preserve">Parties’ </w:t>
      </w:r>
      <w:r w:rsidR="003A591D" w:rsidRPr="0078013F">
        <w:rPr>
          <w:rFonts w:eastAsiaTheme="minorHAnsi"/>
          <w:sz w:val="26"/>
          <w:szCs w:val="26"/>
        </w:rPr>
        <w:t>positions and</w:t>
      </w:r>
      <w:r w:rsidRPr="0078013F">
        <w:rPr>
          <w:rFonts w:eastAsiaTheme="minorHAnsi"/>
          <w:sz w:val="26"/>
          <w:szCs w:val="26"/>
        </w:rPr>
        <w:t xml:space="preserve"> the record evidence in this proceeding, we shall </w:t>
      </w:r>
      <w:r w:rsidR="003A591D" w:rsidRPr="0078013F">
        <w:rPr>
          <w:rFonts w:eastAsiaTheme="minorHAnsi"/>
          <w:sz w:val="26"/>
          <w:szCs w:val="26"/>
        </w:rPr>
        <w:t xml:space="preserve">deny </w:t>
      </w:r>
      <w:r w:rsidR="003A591D">
        <w:rPr>
          <w:rFonts w:eastAsiaTheme="minorHAnsi"/>
          <w:sz w:val="26"/>
          <w:szCs w:val="26"/>
        </w:rPr>
        <w:t>I</w:t>
      </w:r>
      <w:r w:rsidR="005812AB">
        <w:rPr>
          <w:rFonts w:eastAsiaTheme="minorHAnsi"/>
          <w:sz w:val="26"/>
          <w:szCs w:val="26"/>
        </w:rPr>
        <w:t>&amp;E’s and OSBA’s</w:t>
      </w:r>
      <w:r w:rsidRPr="0078013F">
        <w:rPr>
          <w:rFonts w:eastAsiaTheme="minorHAnsi"/>
          <w:sz w:val="26"/>
          <w:szCs w:val="26"/>
        </w:rPr>
        <w:t xml:space="preserve"> </w:t>
      </w:r>
      <w:r w:rsidR="003A591D" w:rsidRPr="0078013F">
        <w:rPr>
          <w:rFonts w:eastAsiaTheme="minorHAnsi"/>
          <w:sz w:val="26"/>
          <w:szCs w:val="26"/>
        </w:rPr>
        <w:t>Exceptions as</w:t>
      </w:r>
      <w:r w:rsidRPr="0078013F">
        <w:rPr>
          <w:rFonts w:eastAsiaTheme="minorHAnsi"/>
          <w:sz w:val="26"/>
          <w:szCs w:val="26"/>
        </w:rPr>
        <w:t xml:space="preserve"> they relate to the implementation of SAP at Aqua PA.  We find no merit in their arguments that the ALJ erred in finding that Aqua PA’s adoption and implementation of the SAP platform constitutes an affirmative public benefit.  The record indicates that Aqua America is not seeking to replace a recently installed customer service platform.  Rather, its existing system, while operative, is approaching the end of its useful life, such that a new system will be needed.  Joint Applicants St. 4-R at 9.  Therefore, we concur with the ALJ that it is not necessary for Aqua PA to wait for the end of the useful life of its current computer system before the implementation of SAP can be considered a public benefit.  As the ALJ pointed out, the SAP system will result in enhanced customer service to Aqua PA’s customers by, </w:t>
      </w:r>
      <w:r w:rsidRPr="0078013F">
        <w:rPr>
          <w:rFonts w:eastAsiaTheme="minorHAnsi"/>
          <w:i/>
          <w:iCs/>
          <w:sz w:val="26"/>
          <w:szCs w:val="26"/>
        </w:rPr>
        <w:t xml:space="preserve">inter alia, </w:t>
      </w:r>
      <w:r w:rsidRPr="0078013F">
        <w:rPr>
          <w:rFonts w:eastAsiaTheme="minorHAnsi"/>
          <w:sz w:val="26"/>
          <w:szCs w:val="26"/>
        </w:rPr>
        <w:t xml:space="preserve">creating more personalized customer interactions through additional communications channels and an online customer portal.  </w:t>
      </w:r>
      <w:r w:rsidRPr="0078013F">
        <w:rPr>
          <w:rFonts w:eastAsiaTheme="minorHAnsi"/>
          <w:i/>
          <w:iCs/>
          <w:sz w:val="26"/>
          <w:szCs w:val="26"/>
        </w:rPr>
        <w:t xml:space="preserve">See </w:t>
      </w:r>
      <w:r w:rsidRPr="0078013F">
        <w:rPr>
          <w:rFonts w:eastAsiaTheme="minorHAnsi"/>
          <w:sz w:val="26"/>
          <w:szCs w:val="26"/>
        </w:rPr>
        <w:t>Joint Applicants Statement in Support at 27.</w:t>
      </w:r>
    </w:p>
    <w:p w14:paraId="6ADF4A49" w14:textId="77777777" w:rsidR="0078013F" w:rsidRPr="0078013F" w:rsidRDefault="0078013F" w:rsidP="00B24187">
      <w:pPr>
        <w:widowControl/>
        <w:spacing w:after="200" w:line="360" w:lineRule="auto"/>
        <w:ind w:right="-1440" w:firstLine="1440"/>
        <w:contextualSpacing/>
        <w:rPr>
          <w:rFonts w:eastAsiaTheme="minorHAnsi"/>
          <w:sz w:val="26"/>
          <w:szCs w:val="26"/>
        </w:rPr>
      </w:pPr>
    </w:p>
    <w:p w14:paraId="1331C490" w14:textId="77777777" w:rsidR="0078013F" w:rsidRPr="0078013F" w:rsidRDefault="0078013F" w:rsidP="00B24187">
      <w:pPr>
        <w:widowControl/>
        <w:spacing w:after="200" w:line="360" w:lineRule="auto"/>
        <w:ind w:firstLine="1440"/>
        <w:contextualSpacing/>
        <w:rPr>
          <w:rFonts w:eastAsiaTheme="minorHAnsi"/>
          <w:sz w:val="26"/>
          <w:szCs w:val="26"/>
        </w:rPr>
      </w:pPr>
      <w:r w:rsidRPr="0078013F">
        <w:rPr>
          <w:rFonts w:eastAsiaTheme="minorHAnsi"/>
          <w:sz w:val="26"/>
          <w:szCs w:val="26"/>
        </w:rPr>
        <w:t xml:space="preserve">Additionally, as both the ALJ and the Joint Applicants noted, the Joint Applicants provided unrebutted evidence regarding mitigated risks and cost savings.  Namely, the Joint Applicants provided evidence that it is beneficial for Aqua PA to adopt and implement the SAP platform while interfacing with personnel from the Peoples Companies, because working with an experienced utility team who has continually implemented SAP and surrounding technology will minimize risks associated with the </w:t>
      </w:r>
      <w:r w:rsidRPr="0078013F">
        <w:rPr>
          <w:rFonts w:eastAsiaTheme="minorHAnsi"/>
          <w:sz w:val="26"/>
          <w:szCs w:val="26"/>
        </w:rPr>
        <w:lastRenderedPageBreak/>
        <w:t xml:space="preserve">timing, budget and planning associated with adopting a new information technology platform to replace Aqua PA’s current, aged system.  Joint Applicants Statement in Support at 28 (citing Joint Applicants St. 4-R at 10-11).  Additionally, the Joint Applicants’ witness Mr. Franklin testified that the majority of the costs associated with implementing a new computer system are not with the software itself, but rather with the associated consulting.  Therefore, the consulting costs that would be incurred if Aqua PA were to implement SAP absent the Proposed Transaction will be averted because the Peoples Companies already have the SAP system in place.  Tr. at 85.  </w:t>
      </w:r>
    </w:p>
    <w:p w14:paraId="774E8D78" w14:textId="77777777" w:rsidR="0078013F" w:rsidRPr="0078013F" w:rsidRDefault="0078013F" w:rsidP="00B24187">
      <w:pPr>
        <w:widowControl/>
        <w:spacing w:after="200" w:line="360" w:lineRule="auto"/>
        <w:ind w:right="-1440" w:firstLine="1440"/>
        <w:contextualSpacing/>
        <w:rPr>
          <w:rFonts w:eastAsiaTheme="minorHAnsi"/>
          <w:sz w:val="26"/>
          <w:szCs w:val="26"/>
        </w:rPr>
      </w:pPr>
    </w:p>
    <w:p w14:paraId="1B962789" w14:textId="77777777" w:rsidR="0078013F" w:rsidRPr="0078013F" w:rsidRDefault="0078013F" w:rsidP="00B24187">
      <w:pPr>
        <w:widowControl/>
        <w:spacing w:after="200" w:line="360" w:lineRule="auto"/>
        <w:ind w:firstLine="1440"/>
        <w:contextualSpacing/>
        <w:rPr>
          <w:rFonts w:eastAsiaTheme="minorHAnsi"/>
          <w:sz w:val="26"/>
          <w:szCs w:val="26"/>
        </w:rPr>
      </w:pPr>
      <w:r w:rsidRPr="0078013F">
        <w:rPr>
          <w:rFonts w:eastAsiaTheme="minorHAnsi"/>
          <w:sz w:val="26"/>
          <w:szCs w:val="26"/>
        </w:rPr>
        <w:t xml:space="preserve">Next, as noted, </w:t>
      </w:r>
      <w:r w:rsidRPr="0078013F">
        <w:rPr>
          <w:rFonts w:eastAsiaTheme="minorHAnsi"/>
          <w:i/>
          <w:iCs/>
          <w:sz w:val="26"/>
          <w:szCs w:val="26"/>
        </w:rPr>
        <w:t>supra,</w:t>
      </w:r>
      <w:r w:rsidRPr="0078013F">
        <w:rPr>
          <w:rFonts w:eastAsiaTheme="minorHAnsi"/>
          <w:sz w:val="26"/>
          <w:szCs w:val="26"/>
        </w:rPr>
        <w:t xml:space="preserve"> the Settlement provides that Aqua PA will conduct a cost, benefit, timetable and rate impact analysis for implementation of the Peoples Companies’ SAP system and submit the analysis and report to the OCA, I&amp;E, and the OSBA prior to any implementation of a SAP system to Aqua PA.  Settlement at ¶ 96.  This process recognizes the benefits associated with the implementation of SAP at Aqua PA and provides the statutory advocates with the information necessary to validate the benefits the Joint Applicants claimed in this proceeding.  Joint Applicants Statement in Support at 28.  We are of the opinion that providing an analysis and report regarding the costs and benefits of SAP implementation is in the public interest because customers will be paying for the costs of the implementation.  </w:t>
      </w:r>
      <w:r w:rsidRPr="0078013F">
        <w:rPr>
          <w:rFonts w:eastAsiaTheme="minorHAnsi"/>
          <w:i/>
          <w:iCs/>
          <w:sz w:val="26"/>
          <w:szCs w:val="26"/>
        </w:rPr>
        <w:t xml:space="preserve">See </w:t>
      </w:r>
      <w:r w:rsidRPr="0078013F">
        <w:rPr>
          <w:rFonts w:eastAsiaTheme="minorHAnsi"/>
          <w:sz w:val="26"/>
          <w:szCs w:val="26"/>
        </w:rPr>
        <w:t>OCA Statement in Support at 31.  For this reason, we find that I&amp;E’s argument in its Exceptions that Aqua America’s implementation of the SAP system has no timeline for completion or project cost savings is without merit.  As the OCA notes in its Replies to Exceptions, I&amp;E will have the opportunity to address any concerns regarding the cost and timetable for implementing the SAP system once the Joint Applicants fulfill the reporting requirements set forth in the Settlement.</w:t>
      </w:r>
    </w:p>
    <w:p w14:paraId="6A777ED2" w14:textId="77777777" w:rsidR="0078013F" w:rsidRPr="0078013F" w:rsidRDefault="0078013F" w:rsidP="00B24187">
      <w:pPr>
        <w:widowControl/>
        <w:spacing w:after="200" w:line="360" w:lineRule="auto"/>
        <w:ind w:right="-1440" w:firstLine="1440"/>
        <w:contextualSpacing/>
        <w:rPr>
          <w:rFonts w:eastAsiaTheme="minorHAnsi"/>
          <w:sz w:val="26"/>
          <w:szCs w:val="26"/>
        </w:rPr>
      </w:pPr>
    </w:p>
    <w:p w14:paraId="05492625" w14:textId="77777777" w:rsidR="0078013F" w:rsidRDefault="0078013F" w:rsidP="00364103">
      <w:pPr>
        <w:widowControl/>
        <w:spacing w:line="360" w:lineRule="auto"/>
        <w:ind w:firstLine="1440"/>
        <w:contextualSpacing/>
        <w:rPr>
          <w:rFonts w:eastAsiaTheme="minorHAnsi"/>
          <w:sz w:val="26"/>
          <w:szCs w:val="26"/>
        </w:rPr>
      </w:pPr>
      <w:r w:rsidRPr="0078013F">
        <w:rPr>
          <w:rFonts w:eastAsiaTheme="minorHAnsi"/>
          <w:sz w:val="26"/>
          <w:szCs w:val="26"/>
        </w:rPr>
        <w:t xml:space="preserve">We likewise find no merit in the arguments of I&amp;E and the OSBA in their Exceptions, in which they tie the implementation of SAP to the purchase price of the Proposed Transaction.  As we discussed at length earlier in this Opinion and Order, </w:t>
      </w:r>
      <w:r w:rsidRPr="0078013F">
        <w:rPr>
          <w:rFonts w:eastAsiaTheme="minorHAnsi"/>
          <w:sz w:val="26"/>
          <w:szCs w:val="26"/>
        </w:rPr>
        <w:lastRenderedPageBreak/>
        <w:t xml:space="preserve">ratepayers will not be responsible for the premium associated with the purchase price of the Proposed Transaction.  Therefore, we concur with the Joint Applicants that any comparison of the benefits of SAP implementation to the purchase price of the entire transaction is irrelevant.  In light of the above, we find that the planned implementation of the SAP platform by Aqua PA, as modified by the above provisions of the Settlement, provides a substantial, affirmative public benefit.  </w:t>
      </w:r>
    </w:p>
    <w:p w14:paraId="62490379" w14:textId="77777777" w:rsidR="004936F4" w:rsidRPr="0078013F" w:rsidRDefault="004936F4" w:rsidP="00364103">
      <w:pPr>
        <w:widowControl/>
        <w:spacing w:line="360" w:lineRule="auto"/>
        <w:ind w:firstLine="1440"/>
        <w:contextualSpacing/>
        <w:rPr>
          <w:rFonts w:eastAsiaTheme="minorHAnsi"/>
          <w:sz w:val="26"/>
          <w:szCs w:val="26"/>
        </w:rPr>
      </w:pPr>
    </w:p>
    <w:p w14:paraId="26173557" w14:textId="77777777" w:rsidR="00580CEC" w:rsidRPr="00580CEC" w:rsidRDefault="00580CEC" w:rsidP="00C61865">
      <w:pPr>
        <w:pStyle w:val="Heading3"/>
        <w:keepNext/>
        <w:ind w:left="1440" w:hanging="720"/>
      </w:pPr>
      <w:bookmarkStart w:id="116" w:name="_Toc29278227"/>
      <w:bookmarkEnd w:id="110"/>
      <w:r w:rsidRPr="00580CEC">
        <w:t>Universal Service and Low-Income Commitments</w:t>
      </w:r>
      <w:bookmarkEnd w:id="116"/>
    </w:p>
    <w:p w14:paraId="63661229" w14:textId="77777777" w:rsidR="00580CEC" w:rsidRPr="00580CEC" w:rsidRDefault="00580CEC" w:rsidP="00C61865">
      <w:pPr>
        <w:pStyle w:val="Default"/>
        <w:keepNext/>
        <w:spacing w:line="360" w:lineRule="auto"/>
        <w:ind w:firstLine="1440"/>
        <w:rPr>
          <w:b/>
          <w:bCs/>
          <w:sz w:val="26"/>
          <w:szCs w:val="26"/>
        </w:rPr>
      </w:pPr>
    </w:p>
    <w:p w14:paraId="5DD39AA4" w14:textId="77777777" w:rsidR="00580CEC" w:rsidRDefault="00580CEC" w:rsidP="00C61865">
      <w:pPr>
        <w:pStyle w:val="Heading4"/>
        <w:widowControl/>
        <w:numPr>
          <w:ilvl w:val="0"/>
          <w:numId w:val="33"/>
        </w:numPr>
        <w:ind w:left="2160" w:hanging="720"/>
      </w:pPr>
      <w:bookmarkStart w:id="117" w:name="_Toc29278228"/>
      <w:r w:rsidRPr="00C42347">
        <w:t>Settlement Terms</w:t>
      </w:r>
      <w:bookmarkEnd w:id="117"/>
      <w:r>
        <w:t xml:space="preserve"> </w:t>
      </w:r>
    </w:p>
    <w:p w14:paraId="19E06710" w14:textId="77777777" w:rsidR="00580CEC" w:rsidRDefault="00580CEC" w:rsidP="00C61865">
      <w:pPr>
        <w:keepNext/>
        <w:widowControl/>
        <w:spacing w:line="360" w:lineRule="auto"/>
      </w:pPr>
    </w:p>
    <w:p w14:paraId="50DE905A" w14:textId="77777777" w:rsidR="00580CEC" w:rsidRPr="0082706A" w:rsidRDefault="00580CEC" w:rsidP="00C61865">
      <w:pPr>
        <w:keepNext/>
        <w:widowControl/>
        <w:spacing w:line="360" w:lineRule="auto"/>
        <w:rPr>
          <w:sz w:val="26"/>
        </w:rPr>
      </w:pPr>
      <w:r>
        <w:tab/>
      </w:r>
      <w:r>
        <w:tab/>
      </w:r>
      <w:r>
        <w:rPr>
          <w:sz w:val="26"/>
        </w:rPr>
        <w:t>Consistent with the terms of the Settlement concerning Universal Service Programs and commitments to low-income customers, the Settling Parties agreed to the following:</w:t>
      </w:r>
    </w:p>
    <w:p w14:paraId="0554A7BD" w14:textId="77777777" w:rsidR="00580CEC" w:rsidRPr="0082706A" w:rsidRDefault="00580CEC" w:rsidP="00B24187">
      <w:pPr>
        <w:widowControl/>
        <w:spacing w:line="360" w:lineRule="auto"/>
      </w:pPr>
    </w:p>
    <w:p w14:paraId="1BB3A560" w14:textId="6D1AB626" w:rsidR="00580CEC" w:rsidRDefault="00580CEC" w:rsidP="00B24187">
      <w:pPr>
        <w:pStyle w:val="Default"/>
        <w:ind w:left="1440" w:right="1440"/>
        <w:rPr>
          <w:sz w:val="26"/>
          <w:szCs w:val="26"/>
        </w:rPr>
      </w:pPr>
      <w:r>
        <w:rPr>
          <w:sz w:val="26"/>
          <w:szCs w:val="26"/>
        </w:rPr>
        <w:t>98.</w:t>
      </w:r>
      <w:r>
        <w:rPr>
          <w:sz w:val="26"/>
          <w:szCs w:val="26"/>
        </w:rPr>
        <w:tab/>
      </w:r>
      <w:r w:rsidRPr="00DA188D">
        <w:rPr>
          <w:sz w:val="26"/>
          <w:szCs w:val="26"/>
        </w:rPr>
        <w:t xml:space="preserve">The Peoples Companies shall continue to fund the Companies’ Universal Service Programs, including its Customer Assistance Program (“CAP”), Low Income Usage Reduction Program (“LIURP”), CARES, and hardship fund at levels that, at a minimum, are not less than the funding levels proposed in its most recent Universal Service and Energy Conservation Plan for 2019-2021 at Docket No. M-2018-3003177, plus the increased funding outlined in this settlement. </w:t>
      </w:r>
      <w:r>
        <w:rPr>
          <w:sz w:val="26"/>
          <w:szCs w:val="26"/>
        </w:rPr>
        <w:t xml:space="preserve"> </w:t>
      </w:r>
      <w:r w:rsidRPr="00DA188D">
        <w:rPr>
          <w:sz w:val="26"/>
          <w:szCs w:val="26"/>
        </w:rPr>
        <w:t>Within 90 days of approval of the settlement in this case, the Peoples Companies</w:t>
      </w:r>
      <w:r>
        <w:rPr>
          <w:sz w:val="26"/>
          <w:szCs w:val="26"/>
        </w:rPr>
        <w:t xml:space="preserve"> </w:t>
      </w:r>
      <w:r w:rsidRPr="00DA188D">
        <w:rPr>
          <w:sz w:val="26"/>
          <w:szCs w:val="26"/>
        </w:rPr>
        <w:t>will file an amended Universal Service Plan for 2019-2021 with the Commission to reflect the changes adopted in the proceeding.</w:t>
      </w:r>
    </w:p>
    <w:p w14:paraId="34CAC2BF" w14:textId="77777777" w:rsidR="00D66EA5" w:rsidRDefault="00D66EA5" w:rsidP="00B24187">
      <w:pPr>
        <w:pStyle w:val="Default"/>
        <w:ind w:left="1440" w:right="1440"/>
        <w:rPr>
          <w:sz w:val="26"/>
          <w:szCs w:val="26"/>
        </w:rPr>
      </w:pPr>
    </w:p>
    <w:p w14:paraId="55DC11B1" w14:textId="44C1DC8F" w:rsidR="00580CEC" w:rsidRDefault="00580CEC" w:rsidP="00B24187">
      <w:pPr>
        <w:pStyle w:val="Default"/>
        <w:tabs>
          <w:tab w:val="left" w:pos="1440"/>
        </w:tabs>
        <w:ind w:left="1440" w:right="1440"/>
        <w:rPr>
          <w:sz w:val="26"/>
          <w:szCs w:val="26"/>
        </w:rPr>
      </w:pPr>
      <w:r>
        <w:rPr>
          <w:sz w:val="26"/>
          <w:szCs w:val="26"/>
        </w:rPr>
        <w:t>99.</w:t>
      </w:r>
      <w:r>
        <w:rPr>
          <w:sz w:val="26"/>
          <w:szCs w:val="26"/>
        </w:rPr>
        <w:tab/>
      </w:r>
      <w:r w:rsidRPr="00DA188D">
        <w:rPr>
          <w:sz w:val="26"/>
          <w:szCs w:val="26"/>
        </w:rPr>
        <w:t xml:space="preserve">Aqua America shareholders will contribute historical universal service program contribution levels for the Peoples Companies’ LIURP for four years after the date of closing. </w:t>
      </w:r>
      <w:r>
        <w:rPr>
          <w:sz w:val="26"/>
          <w:szCs w:val="26"/>
        </w:rPr>
        <w:t xml:space="preserve"> </w:t>
      </w:r>
      <w:r w:rsidRPr="00DA188D">
        <w:rPr>
          <w:sz w:val="26"/>
          <w:szCs w:val="26"/>
        </w:rPr>
        <w:t xml:space="preserve">Funding for LIURP will not be reduced after this </w:t>
      </w:r>
      <w:r w:rsidR="003A591D" w:rsidRPr="00DA188D">
        <w:rPr>
          <w:sz w:val="26"/>
          <w:szCs w:val="26"/>
        </w:rPr>
        <w:t>four-year</w:t>
      </w:r>
      <w:r w:rsidRPr="00DA188D">
        <w:rPr>
          <w:sz w:val="26"/>
          <w:szCs w:val="26"/>
        </w:rPr>
        <w:t xml:space="preserve"> period, but just and reasonable costs will be recovered by the approved universal service cost recovery mechanism in effect at the time.</w:t>
      </w:r>
    </w:p>
    <w:p w14:paraId="769F8784" w14:textId="77777777" w:rsidR="00580CEC" w:rsidRPr="00DA188D" w:rsidRDefault="00580CEC" w:rsidP="00B24187">
      <w:pPr>
        <w:pStyle w:val="Default"/>
        <w:tabs>
          <w:tab w:val="left" w:pos="1440"/>
        </w:tabs>
        <w:ind w:left="1440" w:right="1440"/>
        <w:rPr>
          <w:sz w:val="26"/>
          <w:szCs w:val="26"/>
        </w:rPr>
      </w:pPr>
    </w:p>
    <w:p w14:paraId="611ED973" w14:textId="77777777" w:rsidR="00580CEC" w:rsidRDefault="00580CEC" w:rsidP="00B24187">
      <w:pPr>
        <w:pStyle w:val="Default"/>
        <w:tabs>
          <w:tab w:val="left" w:pos="1440"/>
        </w:tabs>
        <w:ind w:left="1440" w:right="1440"/>
        <w:rPr>
          <w:sz w:val="26"/>
          <w:szCs w:val="26"/>
        </w:rPr>
      </w:pPr>
      <w:r>
        <w:rPr>
          <w:sz w:val="26"/>
          <w:szCs w:val="26"/>
        </w:rPr>
        <w:lastRenderedPageBreak/>
        <w:t>100.</w:t>
      </w:r>
      <w:r>
        <w:rPr>
          <w:sz w:val="26"/>
          <w:szCs w:val="26"/>
        </w:rPr>
        <w:tab/>
      </w:r>
      <w:r w:rsidRPr="00DA188D">
        <w:rPr>
          <w:sz w:val="26"/>
          <w:szCs w:val="26"/>
        </w:rPr>
        <w:t>Aqua America shareholders will contribute an additional $100,000 each year for four years after closing to Dollar Energy. This increase will be over and above the funding levels that are currently in place, and will be allocated proportionately based on the needs assessments across both divisions of Peoples Natural Gas and Peoples Gas.</w:t>
      </w:r>
    </w:p>
    <w:p w14:paraId="7788EC69" w14:textId="77777777" w:rsidR="00580CEC" w:rsidRPr="00DA188D" w:rsidRDefault="00580CEC" w:rsidP="00B24187">
      <w:pPr>
        <w:pStyle w:val="Default"/>
        <w:tabs>
          <w:tab w:val="left" w:pos="1440"/>
        </w:tabs>
        <w:ind w:left="1440" w:right="1440"/>
        <w:rPr>
          <w:sz w:val="26"/>
          <w:szCs w:val="26"/>
        </w:rPr>
      </w:pPr>
    </w:p>
    <w:p w14:paraId="5AE27DF7" w14:textId="5AE2B632" w:rsidR="00580CEC" w:rsidRDefault="00580CEC" w:rsidP="00B24187">
      <w:pPr>
        <w:pStyle w:val="Default"/>
        <w:tabs>
          <w:tab w:val="left" w:pos="648"/>
        </w:tabs>
        <w:ind w:left="1440" w:right="1440"/>
        <w:rPr>
          <w:sz w:val="26"/>
          <w:szCs w:val="26"/>
        </w:rPr>
      </w:pPr>
      <w:r>
        <w:rPr>
          <w:sz w:val="26"/>
          <w:szCs w:val="26"/>
        </w:rPr>
        <w:t>101.</w:t>
      </w:r>
      <w:r>
        <w:rPr>
          <w:sz w:val="26"/>
          <w:szCs w:val="26"/>
        </w:rPr>
        <w:tab/>
      </w:r>
      <w:r w:rsidRPr="00DA188D">
        <w:rPr>
          <w:sz w:val="26"/>
          <w:szCs w:val="26"/>
        </w:rPr>
        <w:t xml:space="preserve">Aqua America will increase the Peoples Companies’ LIURP emergency furnace repair by $75,000. </w:t>
      </w:r>
      <w:r>
        <w:rPr>
          <w:sz w:val="26"/>
          <w:szCs w:val="26"/>
        </w:rPr>
        <w:t xml:space="preserve"> </w:t>
      </w:r>
      <w:r w:rsidRPr="00DA188D">
        <w:rPr>
          <w:sz w:val="26"/>
          <w:szCs w:val="26"/>
        </w:rPr>
        <w:t xml:space="preserve">The Peoples Companies will amend eligibility criteria to include renters as well as homeowners. </w:t>
      </w:r>
      <w:r>
        <w:rPr>
          <w:sz w:val="26"/>
          <w:szCs w:val="26"/>
        </w:rPr>
        <w:t xml:space="preserve"> </w:t>
      </w:r>
      <w:r w:rsidRPr="00DA188D">
        <w:rPr>
          <w:sz w:val="26"/>
          <w:szCs w:val="26"/>
        </w:rPr>
        <w:t xml:space="preserve">A maximum of 25% of the annual emergency furnace repair budget will be made available for renters. </w:t>
      </w:r>
      <w:r>
        <w:rPr>
          <w:sz w:val="26"/>
          <w:szCs w:val="26"/>
        </w:rPr>
        <w:t xml:space="preserve"> </w:t>
      </w:r>
      <w:r w:rsidRPr="00DA188D">
        <w:rPr>
          <w:sz w:val="26"/>
          <w:szCs w:val="26"/>
        </w:rPr>
        <w:t xml:space="preserve">The Peoples Companies will include in their 2022-2024 USECP filing a breakdown of dollars spent annually on renters versus homeowners and will make a recommendation about whether the 25% cap should be raised or eliminated. Funds not used will rollover to subsequent years. </w:t>
      </w:r>
      <w:r>
        <w:rPr>
          <w:sz w:val="26"/>
          <w:szCs w:val="26"/>
        </w:rPr>
        <w:t xml:space="preserve"> </w:t>
      </w:r>
      <w:r w:rsidRPr="00DA188D">
        <w:rPr>
          <w:sz w:val="26"/>
          <w:szCs w:val="26"/>
        </w:rPr>
        <w:t>This increase will be paid by Aqua America shareholders for a three</w:t>
      </w:r>
      <w:r w:rsidR="003A591D">
        <w:rPr>
          <w:sz w:val="26"/>
          <w:szCs w:val="26"/>
        </w:rPr>
        <w:t>-</w:t>
      </w:r>
      <w:r w:rsidRPr="00DA188D">
        <w:rPr>
          <w:sz w:val="26"/>
          <w:szCs w:val="26"/>
        </w:rPr>
        <w:t xml:space="preserve">year period post-closing. </w:t>
      </w:r>
      <w:r>
        <w:rPr>
          <w:sz w:val="26"/>
          <w:szCs w:val="26"/>
        </w:rPr>
        <w:t xml:space="preserve"> </w:t>
      </w:r>
      <w:r w:rsidRPr="00DA188D">
        <w:rPr>
          <w:sz w:val="26"/>
          <w:szCs w:val="26"/>
        </w:rPr>
        <w:t xml:space="preserve">After that </w:t>
      </w:r>
      <w:r w:rsidR="003A591D" w:rsidRPr="00DA188D">
        <w:rPr>
          <w:sz w:val="26"/>
          <w:szCs w:val="26"/>
        </w:rPr>
        <w:t>three-year</w:t>
      </w:r>
      <w:r w:rsidRPr="00DA188D">
        <w:rPr>
          <w:sz w:val="26"/>
          <w:szCs w:val="26"/>
        </w:rPr>
        <w:t xml:space="preserve"> period, the Peoples Companies’ LIURP will be funded by the approved universal service cost recovery mechanism in place at that time. </w:t>
      </w:r>
      <w:r>
        <w:rPr>
          <w:sz w:val="26"/>
          <w:szCs w:val="26"/>
        </w:rPr>
        <w:t xml:space="preserve"> </w:t>
      </w:r>
      <w:r w:rsidRPr="00DA188D">
        <w:rPr>
          <w:sz w:val="26"/>
          <w:szCs w:val="26"/>
        </w:rPr>
        <w:t>This funding will remain at the total proposed levels until a different funding level is approved by the Commission based on needs assessment.</w:t>
      </w:r>
    </w:p>
    <w:p w14:paraId="3E075674" w14:textId="77777777" w:rsidR="00580CEC" w:rsidRPr="00DA188D" w:rsidRDefault="00580CEC" w:rsidP="00B24187">
      <w:pPr>
        <w:pStyle w:val="Default"/>
        <w:tabs>
          <w:tab w:val="left" w:pos="648"/>
        </w:tabs>
        <w:ind w:left="1440" w:right="1440"/>
        <w:rPr>
          <w:sz w:val="26"/>
          <w:szCs w:val="26"/>
        </w:rPr>
      </w:pPr>
    </w:p>
    <w:p w14:paraId="3A8C854B" w14:textId="77777777" w:rsidR="00580CEC" w:rsidRDefault="00580CEC" w:rsidP="00B24187">
      <w:pPr>
        <w:pStyle w:val="Default"/>
        <w:numPr>
          <w:ilvl w:val="0"/>
          <w:numId w:val="15"/>
        </w:numPr>
        <w:tabs>
          <w:tab w:val="clear" w:pos="648"/>
        </w:tabs>
        <w:ind w:left="1440" w:right="1440"/>
        <w:rPr>
          <w:sz w:val="26"/>
          <w:szCs w:val="26"/>
        </w:rPr>
      </w:pPr>
      <w:r w:rsidRPr="00DA188D">
        <w:rPr>
          <w:sz w:val="26"/>
          <w:szCs w:val="26"/>
        </w:rPr>
        <w:t xml:space="preserve">Aqua America commits to continue to use community-based organizations within the Peoples Companies’ service territories for delivery, implementation, and community financial support of Universal Service programs. </w:t>
      </w:r>
      <w:r>
        <w:rPr>
          <w:sz w:val="26"/>
          <w:szCs w:val="26"/>
        </w:rPr>
        <w:t xml:space="preserve"> </w:t>
      </w:r>
      <w:r w:rsidRPr="00DA188D">
        <w:rPr>
          <w:sz w:val="26"/>
          <w:szCs w:val="26"/>
        </w:rPr>
        <w:t>The Peoples Companies will also continue to promote their hardship fund through its public advertising and sponsorship of such activities that bring in additional non-shareholder revenue to the Dollar Energy Fund.</w:t>
      </w:r>
    </w:p>
    <w:p w14:paraId="3BE27054" w14:textId="77777777" w:rsidR="008D7EA5" w:rsidRDefault="008D7EA5" w:rsidP="00B24187">
      <w:pPr>
        <w:pStyle w:val="Default"/>
        <w:ind w:left="1440" w:right="1440"/>
        <w:rPr>
          <w:sz w:val="26"/>
          <w:szCs w:val="26"/>
        </w:rPr>
      </w:pPr>
    </w:p>
    <w:p w14:paraId="78FC176F" w14:textId="77777777" w:rsidR="00580CEC" w:rsidRDefault="00580CEC" w:rsidP="00B24187">
      <w:pPr>
        <w:pStyle w:val="Default"/>
        <w:numPr>
          <w:ilvl w:val="0"/>
          <w:numId w:val="15"/>
        </w:numPr>
        <w:tabs>
          <w:tab w:val="clear" w:pos="648"/>
        </w:tabs>
        <w:ind w:left="1440" w:right="1440"/>
        <w:rPr>
          <w:sz w:val="26"/>
          <w:szCs w:val="26"/>
        </w:rPr>
      </w:pPr>
      <w:r w:rsidRPr="00DA188D">
        <w:rPr>
          <w:sz w:val="26"/>
          <w:szCs w:val="26"/>
        </w:rPr>
        <w:t xml:space="preserve">Regarding the administration of its CAP and hardship fund, the Peoples Companies will continue to partner with an agency that: (a) can increase the number of intake sites; (b) is an administrator of utility CAP programs for the electric distribution companies (“EDCs”) or natural gas distribution companies (“NGDCs”) in its service territory; (c) recruits and partners with multi-service agencies; and, (d) uses a case </w:t>
      </w:r>
      <w:r w:rsidRPr="00DA188D">
        <w:rPr>
          <w:sz w:val="26"/>
          <w:szCs w:val="26"/>
        </w:rPr>
        <w:lastRenderedPageBreak/>
        <w:t>management system to track and monitor referrals and enrollments into utility programs.</w:t>
      </w:r>
    </w:p>
    <w:p w14:paraId="7A1C041E" w14:textId="77777777" w:rsidR="00580CEC" w:rsidRPr="00DA188D" w:rsidRDefault="00580CEC" w:rsidP="00B24187">
      <w:pPr>
        <w:pStyle w:val="Default"/>
        <w:tabs>
          <w:tab w:val="left" w:pos="648"/>
        </w:tabs>
        <w:ind w:left="1440" w:right="1440"/>
        <w:rPr>
          <w:sz w:val="26"/>
          <w:szCs w:val="26"/>
        </w:rPr>
      </w:pPr>
    </w:p>
    <w:p w14:paraId="1FD6EA69" w14:textId="77777777" w:rsidR="00580CEC" w:rsidRDefault="00580CEC" w:rsidP="00B24187">
      <w:pPr>
        <w:pStyle w:val="Default"/>
        <w:numPr>
          <w:ilvl w:val="0"/>
          <w:numId w:val="15"/>
        </w:numPr>
        <w:tabs>
          <w:tab w:val="clear" w:pos="648"/>
        </w:tabs>
        <w:ind w:left="1440" w:right="1440"/>
        <w:rPr>
          <w:sz w:val="26"/>
          <w:szCs w:val="26"/>
        </w:rPr>
      </w:pPr>
      <w:r w:rsidRPr="00DA188D">
        <w:rPr>
          <w:sz w:val="26"/>
          <w:szCs w:val="26"/>
        </w:rPr>
        <w:t xml:space="preserve">The Peoples Companies will continue the Peoples Universal Service Advisory Group. </w:t>
      </w:r>
      <w:r>
        <w:rPr>
          <w:sz w:val="26"/>
          <w:szCs w:val="26"/>
        </w:rPr>
        <w:t xml:space="preserve"> </w:t>
      </w:r>
      <w:r w:rsidRPr="00DA188D">
        <w:rPr>
          <w:sz w:val="26"/>
          <w:szCs w:val="26"/>
        </w:rPr>
        <w:t xml:space="preserve">The Group will invite community-based organizations (“CBOs”), Low-Income Advocates, the OCA and other interested stakeholders. </w:t>
      </w:r>
      <w:r>
        <w:rPr>
          <w:sz w:val="26"/>
          <w:szCs w:val="26"/>
        </w:rPr>
        <w:t xml:space="preserve"> </w:t>
      </w:r>
      <w:r w:rsidRPr="00DA188D">
        <w:rPr>
          <w:sz w:val="26"/>
          <w:szCs w:val="26"/>
        </w:rPr>
        <w:t>The Group will meet quarterly to discuss all universal service issues including, but not limited to, recommendations concerning LIURP, LIURP eligibility, concerns and landlord issues that may present a barrier to customer participation.</w:t>
      </w:r>
    </w:p>
    <w:p w14:paraId="12EB8D32" w14:textId="77777777" w:rsidR="00580CEC" w:rsidRPr="00DA188D" w:rsidRDefault="00580CEC" w:rsidP="00B24187">
      <w:pPr>
        <w:pStyle w:val="Default"/>
        <w:tabs>
          <w:tab w:val="left" w:pos="648"/>
        </w:tabs>
        <w:ind w:left="1440" w:right="1440"/>
        <w:rPr>
          <w:sz w:val="26"/>
          <w:szCs w:val="26"/>
        </w:rPr>
      </w:pPr>
    </w:p>
    <w:p w14:paraId="719482D7" w14:textId="77777777" w:rsidR="00580CEC" w:rsidRDefault="00580CEC" w:rsidP="00B24187">
      <w:pPr>
        <w:pStyle w:val="Default"/>
        <w:numPr>
          <w:ilvl w:val="0"/>
          <w:numId w:val="15"/>
        </w:numPr>
        <w:tabs>
          <w:tab w:val="clear" w:pos="648"/>
        </w:tabs>
        <w:ind w:left="1440" w:right="1440"/>
        <w:rPr>
          <w:sz w:val="26"/>
          <w:szCs w:val="26"/>
        </w:rPr>
      </w:pPr>
      <w:r w:rsidRPr="00DA188D">
        <w:rPr>
          <w:sz w:val="26"/>
          <w:szCs w:val="26"/>
        </w:rPr>
        <w:t>Aqua PA will commit to leverage the Peoples Companies’ experience with programming for low-income customers for the benefit of Aqua PA’s low-income customers.</w:t>
      </w:r>
    </w:p>
    <w:p w14:paraId="696C5D7A" w14:textId="77777777" w:rsidR="00580CEC" w:rsidRPr="00DA188D" w:rsidRDefault="00580CEC" w:rsidP="00B24187">
      <w:pPr>
        <w:pStyle w:val="Default"/>
        <w:tabs>
          <w:tab w:val="left" w:pos="648"/>
        </w:tabs>
        <w:ind w:left="1440" w:right="1440"/>
        <w:rPr>
          <w:sz w:val="26"/>
          <w:szCs w:val="26"/>
        </w:rPr>
      </w:pPr>
    </w:p>
    <w:p w14:paraId="7D4AF665" w14:textId="77777777" w:rsidR="00580CEC" w:rsidRDefault="00580CEC" w:rsidP="00B24187">
      <w:pPr>
        <w:pStyle w:val="Default"/>
        <w:numPr>
          <w:ilvl w:val="0"/>
          <w:numId w:val="15"/>
        </w:numPr>
        <w:tabs>
          <w:tab w:val="clear" w:pos="648"/>
        </w:tabs>
        <w:ind w:left="1440" w:right="1440"/>
        <w:rPr>
          <w:sz w:val="26"/>
          <w:szCs w:val="26"/>
        </w:rPr>
      </w:pPr>
      <w:r w:rsidRPr="00DA188D">
        <w:rPr>
          <w:sz w:val="26"/>
          <w:szCs w:val="26"/>
        </w:rPr>
        <w:t>Aqua PA agrees to invite at least one member of the Peoples Companies’ current Universal Service Staff to its Helping Hand Collaborative meetings and agrees to invite staff in charge of collections to the Peoples Companies’ Universal Service Advisory Committee meetings.</w:t>
      </w:r>
    </w:p>
    <w:p w14:paraId="3FDB822B" w14:textId="77777777" w:rsidR="00580CEC" w:rsidRDefault="00580CEC" w:rsidP="00B24187">
      <w:pPr>
        <w:pStyle w:val="Default"/>
        <w:tabs>
          <w:tab w:val="left" w:pos="648"/>
        </w:tabs>
        <w:ind w:left="1440" w:right="1440"/>
        <w:rPr>
          <w:sz w:val="26"/>
          <w:szCs w:val="26"/>
        </w:rPr>
      </w:pPr>
    </w:p>
    <w:p w14:paraId="631D80AA" w14:textId="77777777" w:rsidR="00580CEC" w:rsidRDefault="00580CEC" w:rsidP="00B24187">
      <w:pPr>
        <w:pStyle w:val="Default"/>
        <w:numPr>
          <w:ilvl w:val="0"/>
          <w:numId w:val="15"/>
        </w:numPr>
        <w:tabs>
          <w:tab w:val="clear" w:pos="648"/>
        </w:tabs>
        <w:ind w:left="1440" w:right="1440"/>
        <w:rPr>
          <w:sz w:val="26"/>
          <w:szCs w:val="26"/>
        </w:rPr>
      </w:pPr>
      <w:r w:rsidRPr="00DA188D">
        <w:rPr>
          <w:sz w:val="26"/>
          <w:szCs w:val="26"/>
        </w:rPr>
        <w:t>For Aqua PA, the company will review the feasibility of collecting the data in accordance with its recent rate case settlement in Docket No. R-2018-3003558; specifically:</w:t>
      </w:r>
    </w:p>
    <w:p w14:paraId="7DDDD9D0" w14:textId="77777777" w:rsidR="00580CEC" w:rsidRPr="00DA188D" w:rsidRDefault="00580CEC" w:rsidP="00B24187">
      <w:pPr>
        <w:pStyle w:val="Default"/>
        <w:tabs>
          <w:tab w:val="left" w:pos="648"/>
        </w:tabs>
        <w:ind w:left="1440" w:right="1440"/>
        <w:rPr>
          <w:sz w:val="26"/>
          <w:szCs w:val="26"/>
        </w:rPr>
      </w:pPr>
    </w:p>
    <w:p w14:paraId="42F9FB85" w14:textId="77777777" w:rsidR="00580CEC" w:rsidRPr="00DA188D" w:rsidRDefault="00580CEC" w:rsidP="005A6E06">
      <w:pPr>
        <w:pStyle w:val="Default"/>
        <w:ind w:left="2880" w:right="1440" w:hanging="720"/>
        <w:rPr>
          <w:sz w:val="26"/>
          <w:szCs w:val="26"/>
        </w:rPr>
      </w:pPr>
      <w:r w:rsidRPr="00DA188D">
        <w:rPr>
          <w:sz w:val="26"/>
          <w:szCs w:val="26"/>
        </w:rPr>
        <w:t>i.</w:t>
      </w:r>
      <w:r w:rsidRPr="00DA188D">
        <w:rPr>
          <w:sz w:val="26"/>
          <w:szCs w:val="26"/>
        </w:rPr>
        <w:tab/>
        <w:t>Number of estimated and confirmed low income customers;</w:t>
      </w:r>
    </w:p>
    <w:p w14:paraId="0B32FA02" w14:textId="77777777" w:rsidR="00580CEC" w:rsidRPr="00DA188D" w:rsidRDefault="00580CEC" w:rsidP="005A6E06">
      <w:pPr>
        <w:pStyle w:val="Default"/>
        <w:ind w:left="2880" w:right="1440" w:hanging="720"/>
        <w:rPr>
          <w:sz w:val="26"/>
          <w:szCs w:val="26"/>
        </w:rPr>
      </w:pPr>
      <w:r w:rsidRPr="00DA188D">
        <w:rPr>
          <w:sz w:val="26"/>
          <w:szCs w:val="26"/>
        </w:rPr>
        <w:t>ii.</w:t>
      </w:r>
      <w:r w:rsidRPr="00DA188D">
        <w:rPr>
          <w:sz w:val="26"/>
          <w:szCs w:val="26"/>
        </w:rPr>
        <w:tab/>
        <w:t>Number of confirmed low income customers with arrears and the average</w:t>
      </w:r>
      <w:r>
        <w:rPr>
          <w:sz w:val="26"/>
          <w:szCs w:val="26"/>
        </w:rPr>
        <w:t xml:space="preserve"> </w:t>
      </w:r>
      <w:r w:rsidRPr="00DA188D">
        <w:rPr>
          <w:sz w:val="26"/>
          <w:szCs w:val="26"/>
        </w:rPr>
        <w:t>arrearage amount;</w:t>
      </w:r>
    </w:p>
    <w:p w14:paraId="3DADC64A" w14:textId="77777777" w:rsidR="00580CEC" w:rsidRPr="00DA188D" w:rsidRDefault="00580CEC" w:rsidP="005A6E06">
      <w:pPr>
        <w:pStyle w:val="Default"/>
        <w:tabs>
          <w:tab w:val="left" w:pos="2160"/>
        </w:tabs>
        <w:ind w:left="2880" w:right="1440" w:hanging="720"/>
        <w:rPr>
          <w:sz w:val="26"/>
          <w:szCs w:val="26"/>
        </w:rPr>
      </w:pPr>
      <w:r w:rsidRPr="00DA188D">
        <w:rPr>
          <w:sz w:val="26"/>
          <w:szCs w:val="26"/>
        </w:rPr>
        <w:t>iii.</w:t>
      </w:r>
      <w:r w:rsidRPr="00DA188D">
        <w:rPr>
          <w:sz w:val="26"/>
          <w:szCs w:val="26"/>
        </w:rPr>
        <w:tab/>
        <w:t>Average monthly bill amount of confirmed low income customers;</w:t>
      </w:r>
    </w:p>
    <w:p w14:paraId="4E9CDB20" w14:textId="77777777" w:rsidR="00580CEC" w:rsidRPr="00DA188D" w:rsidRDefault="00580CEC" w:rsidP="005A6E06">
      <w:pPr>
        <w:pStyle w:val="Default"/>
        <w:ind w:left="2880" w:right="1440" w:hanging="720"/>
        <w:rPr>
          <w:sz w:val="26"/>
          <w:szCs w:val="26"/>
        </w:rPr>
      </w:pPr>
      <w:r w:rsidRPr="00DA188D">
        <w:rPr>
          <w:sz w:val="26"/>
          <w:szCs w:val="26"/>
        </w:rPr>
        <w:t>iv.</w:t>
      </w:r>
      <w:r w:rsidRPr="00DA188D">
        <w:rPr>
          <w:sz w:val="26"/>
          <w:szCs w:val="26"/>
        </w:rPr>
        <w:tab/>
        <w:t>Amount of arrearages for customers entering Helping Hand;</w:t>
      </w:r>
    </w:p>
    <w:p w14:paraId="728F3715" w14:textId="77777777" w:rsidR="00580CEC" w:rsidRPr="00DA188D" w:rsidRDefault="00580CEC" w:rsidP="005A6E06">
      <w:pPr>
        <w:pStyle w:val="Default"/>
        <w:ind w:left="2880" w:right="1440" w:hanging="720"/>
        <w:rPr>
          <w:sz w:val="26"/>
          <w:szCs w:val="26"/>
        </w:rPr>
      </w:pPr>
      <w:r w:rsidRPr="00DA188D">
        <w:rPr>
          <w:sz w:val="26"/>
          <w:szCs w:val="26"/>
        </w:rPr>
        <w:t>v.</w:t>
      </w:r>
      <w:r w:rsidRPr="00DA188D">
        <w:rPr>
          <w:sz w:val="26"/>
          <w:szCs w:val="26"/>
        </w:rPr>
        <w:tab/>
        <w:t>Terminations for nonpayment of confirmed low income customers;</w:t>
      </w:r>
    </w:p>
    <w:p w14:paraId="7B41265F" w14:textId="77777777" w:rsidR="00580CEC" w:rsidRPr="00DA188D" w:rsidRDefault="00580CEC" w:rsidP="005A6E06">
      <w:pPr>
        <w:pStyle w:val="Default"/>
        <w:ind w:left="2880" w:right="1440" w:hanging="720"/>
        <w:rPr>
          <w:sz w:val="26"/>
          <w:szCs w:val="26"/>
        </w:rPr>
      </w:pPr>
      <w:r w:rsidRPr="00DA188D">
        <w:rPr>
          <w:sz w:val="26"/>
          <w:szCs w:val="26"/>
        </w:rPr>
        <w:t>vi.</w:t>
      </w:r>
      <w:r w:rsidRPr="00DA188D">
        <w:rPr>
          <w:sz w:val="26"/>
          <w:szCs w:val="26"/>
        </w:rPr>
        <w:tab/>
        <w:t>Number and amounts of hardship grants dispersed;</w:t>
      </w:r>
    </w:p>
    <w:p w14:paraId="0D6A138F" w14:textId="77777777" w:rsidR="00580CEC" w:rsidRPr="00DA188D" w:rsidRDefault="00580CEC" w:rsidP="005A6E06">
      <w:pPr>
        <w:pStyle w:val="Default"/>
        <w:ind w:left="2880" w:right="1440" w:hanging="720"/>
        <w:rPr>
          <w:sz w:val="26"/>
          <w:szCs w:val="26"/>
        </w:rPr>
      </w:pPr>
      <w:r w:rsidRPr="00DA188D">
        <w:rPr>
          <w:sz w:val="26"/>
          <w:szCs w:val="26"/>
        </w:rPr>
        <w:t>vii.</w:t>
      </w:r>
      <w:r w:rsidRPr="00DA188D">
        <w:rPr>
          <w:sz w:val="26"/>
          <w:szCs w:val="26"/>
        </w:rPr>
        <w:tab/>
        <w:t>The average arrearage of Aqua PA customers receiving an Aqua PA</w:t>
      </w:r>
      <w:r>
        <w:rPr>
          <w:sz w:val="26"/>
          <w:szCs w:val="26"/>
        </w:rPr>
        <w:t xml:space="preserve"> </w:t>
      </w:r>
      <w:r w:rsidRPr="00DA188D">
        <w:rPr>
          <w:sz w:val="26"/>
          <w:szCs w:val="26"/>
        </w:rPr>
        <w:t>hardship grant;</w:t>
      </w:r>
    </w:p>
    <w:p w14:paraId="397D10F8" w14:textId="77777777" w:rsidR="00580CEC" w:rsidRPr="00DA188D" w:rsidRDefault="00580CEC" w:rsidP="005A6E06">
      <w:pPr>
        <w:pStyle w:val="Default"/>
        <w:ind w:left="2880" w:right="1440" w:hanging="720"/>
        <w:rPr>
          <w:sz w:val="26"/>
          <w:szCs w:val="26"/>
        </w:rPr>
      </w:pPr>
      <w:r w:rsidRPr="00DA188D">
        <w:rPr>
          <w:sz w:val="26"/>
          <w:szCs w:val="26"/>
        </w:rPr>
        <w:t>viii.</w:t>
      </w:r>
      <w:r w:rsidRPr="00DA188D">
        <w:rPr>
          <w:sz w:val="26"/>
          <w:szCs w:val="26"/>
        </w:rPr>
        <w:tab/>
        <w:t>The number of accounts receiving a notice of disconnection for nonpayment;</w:t>
      </w:r>
    </w:p>
    <w:p w14:paraId="0E00C088" w14:textId="77777777" w:rsidR="00580CEC" w:rsidRPr="00DA188D" w:rsidRDefault="00580CEC" w:rsidP="005A6E06">
      <w:pPr>
        <w:pStyle w:val="Default"/>
        <w:ind w:left="2880" w:right="1440" w:hanging="720"/>
        <w:rPr>
          <w:sz w:val="26"/>
          <w:szCs w:val="26"/>
        </w:rPr>
      </w:pPr>
      <w:r w:rsidRPr="00DA188D">
        <w:rPr>
          <w:sz w:val="26"/>
          <w:szCs w:val="26"/>
        </w:rPr>
        <w:lastRenderedPageBreak/>
        <w:t>ix.</w:t>
      </w:r>
      <w:r w:rsidRPr="00DA188D">
        <w:rPr>
          <w:sz w:val="26"/>
          <w:szCs w:val="26"/>
        </w:rPr>
        <w:tab/>
        <w:t>The number of Helping Hand participants by five different levels of poverty:</w:t>
      </w:r>
    </w:p>
    <w:p w14:paraId="4DE6CAFE" w14:textId="2C17B451" w:rsidR="00580CEC" w:rsidRPr="00DA188D" w:rsidRDefault="00580CEC" w:rsidP="005A6E06">
      <w:pPr>
        <w:pStyle w:val="Default"/>
        <w:ind w:left="2880" w:right="1440"/>
        <w:rPr>
          <w:sz w:val="26"/>
          <w:szCs w:val="26"/>
        </w:rPr>
      </w:pPr>
      <w:r>
        <w:rPr>
          <w:sz w:val="26"/>
          <w:szCs w:val="26"/>
        </w:rPr>
        <w:t>1.</w:t>
      </w:r>
      <w:r w:rsidR="005A6E06">
        <w:rPr>
          <w:sz w:val="26"/>
          <w:szCs w:val="26"/>
        </w:rPr>
        <w:tab/>
      </w:r>
      <w:r w:rsidRPr="00DA188D">
        <w:rPr>
          <w:sz w:val="26"/>
          <w:szCs w:val="26"/>
        </w:rPr>
        <w:t>0%-49%</w:t>
      </w:r>
    </w:p>
    <w:p w14:paraId="2A0644D9" w14:textId="2FF39CF4" w:rsidR="00580CEC" w:rsidRPr="00DA188D" w:rsidRDefault="00580CEC" w:rsidP="005A6E06">
      <w:pPr>
        <w:pStyle w:val="Default"/>
        <w:ind w:left="2880" w:right="1440"/>
        <w:rPr>
          <w:sz w:val="26"/>
          <w:szCs w:val="26"/>
        </w:rPr>
      </w:pPr>
      <w:r>
        <w:rPr>
          <w:sz w:val="26"/>
          <w:szCs w:val="26"/>
        </w:rPr>
        <w:t>2.</w:t>
      </w:r>
      <w:r w:rsidR="005A6E06">
        <w:rPr>
          <w:sz w:val="26"/>
          <w:szCs w:val="26"/>
        </w:rPr>
        <w:tab/>
      </w:r>
      <w:r w:rsidRPr="00DA188D">
        <w:rPr>
          <w:sz w:val="26"/>
          <w:szCs w:val="26"/>
        </w:rPr>
        <w:t>50%-74%</w:t>
      </w:r>
    </w:p>
    <w:p w14:paraId="4D8BF2C0" w14:textId="157F59D3" w:rsidR="00580CEC" w:rsidRPr="00DA188D" w:rsidRDefault="00580CEC" w:rsidP="005A6E06">
      <w:pPr>
        <w:pStyle w:val="Default"/>
        <w:ind w:left="2880" w:right="1440"/>
        <w:rPr>
          <w:sz w:val="26"/>
          <w:szCs w:val="26"/>
        </w:rPr>
      </w:pPr>
      <w:r>
        <w:rPr>
          <w:sz w:val="26"/>
          <w:szCs w:val="26"/>
        </w:rPr>
        <w:t>3.</w:t>
      </w:r>
      <w:r w:rsidR="005A6E06">
        <w:rPr>
          <w:sz w:val="26"/>
          <w:szCs w:val="26"/>
        </w:rPr>
        <w:tab/>
      </w:r>
      <w:r w:rsidRPr="00DA188D">
        <w:rPr>
          <w:sz w:val="26"/>
          <w:szCs w:val="26"/>
        </w:rPr>
        <w:t>75%-99%</w:t>
      </w:r>
    </w:p>
    <w:p w14:paraId="0CEC9941" w14:textId="3AABA2B4" w:rsidR="00580CEC" w:rsidRPr="00DA188D" w:rsidRDefault="00580CEC" w:rsidP="005A6E06">
      <w:pPr>
        <w:pStyle w:val="Default"/>
        <w:ind w:left="2880" w:right="1440"/>
        <w:rPr>
          <w:sz w:val="26"/>
          <w:szCs w:val="26"/>
        </w:rPr>
      </w:pPr>
      <w:r>
        <w:rPr>
          <w:sz w:val="26"/>
          <w:szCs w:val="26"/>
        </w:rPr>
        <w:t>4.</w:t>
      </w:r>
      <w:r w:rsidR="005A6E06">
        <w:rPr>
          <w:sz w:val="26"/>
          <w:szCs w:val="26"/>
        </w:rPr>
        <w:tab/>
      </w:r>
      <w:r w:rsidRPr="00DA188D">
        <w:rPr>
          <w:sz w:val="26"/>
          <w:szCs w:val="26"/>
        </w:rPr>
        <w:t>100%-125%</w:t>
      </w:r>
    </w:p>
    <w:p w14:paraId="6BBFFC7F" w14:textId="67B429AE" w:rsidR="00580CEC" w:rsidRDefault="00580CEC" w:rsidP="005A6E06">
      <w:pPr>
        <w:pStyle w:val="Default"/>
        <w:ind w:left="2880" w:right="1440"/>
        <w:rPr>
          <w:sz w:val="26"/>
          <w:szCs w:val="26"/>
        </w:rPr>
      </w:pPr>
      <w:r>
        <w:rPr>
          <w:sz w:val="26"/>
          <w:szCs w:val="26"/>
        </w:rPr>
        <w:t>5.</w:t>
      </w:r>
      <w:r w:rsidR="005A6E06">
        <w:rPr>
          <w:sz w:val="26"/>
          <w:szCs w:val="26"/>
        </w:rPr>
        <w:tab/>
      </w:r>
      <w:r w:rsidRPr="00DA188D">
        <w:rPr>
          <w:sz w:val="26"/>
          <w:szCs w:val="26"/>
        </w:rPr>
        <w:t>125%-149%</w:t>
      </w:r>
    </w:p>
    <w:p w14:paraId="3F468295" w14:textId="1EF256DE" w:rsidR="00580CEC" w:rsidRDefault="00580CEC" w:rsidP="005A6E06">
      <w:pPr>
        <w:pStyle w:val="Default"/>
        <w:ind w:left="2160" w:right="1440"/>
        <w:rPr>
          <w:sz w:val="26"/>
          <w:szCs w:val="26"/>
        </w:rPr>
      </w:pPr>
      <w:r w:rsidRPr="00DA188D">
        <w:rPr>
          <w:sz w:val="26"/>
          <w:szCs w:val="26"/>
        </w:rPr>
        <w:t>x.</w:t>
      </w:r>
      <w:r w:rsidRPr="00DA188D">
        <w:rPr>
          <w:sz w:val="26"/>
          <w:szCs w:val="26"/>
        </w:rPr>
        <w:tab/>
        <w:t>Average usage of Helping Hand participants.</w:t>
      </w:r>
    </w:p>
    <w:p w14:paraId="0F0C5E15" w14:textId="77777777" w:rsidR="00580CEC" w:rsidRPr="00DA188D" w:rsidRDefault="00580CEC" w:rsidP="00B24187">
      <w:pPr>
        <w:pStyle w:val="Default"/>
        <w:ind w:left="1440" w:right="1440"/>
        <w:rPr>
          <w:sz w:val="26"/>
          <w:szCs w:val="26"/>
        </w:rPr>
      </w:pPr>
    </w:p>
    <w:p w14:paraId="6881F7D6" w14:textId="692EF7D4" w:rsidR="00580CEC" w:rsidRDefault="00580CEC" w:rsidP="00B24187">
      <w:pPr>
        <w:pStyle w:val="Default"/>
        <w:ind w:left="1440" w:right="1440"/>
        <w:rPr>
          <w:sz w:val="26"/>
          <w:szCs w:val="26"/>
        </w:rPr>
      </w:pPr>
      <w:r w:rsidRPr="00DA188D">
        <w:rPr>
          <w:sz w:val="26"/>
          <w:szCs w:val="26"/>
        </w:rPr>
        <w:t>108.</w:t>
      </w:r>
      <w:r>
        <w:rPr>
          <w:sz w:val="26"/>
          <w:szCs w:val="26"/>
        </w:rPr>
        <w:tab/>
      </w:r>
      <w:r w:rsidRPr="00DA188D">
        <w:rPr>
          <w:sz w:val="26"/>
          <w:szCs w:val="26"/>
        </w:rPr>
        <w:t xml:space="preserve">Aqua PA will include in the Helping Hand collaborative agreed to in its recent rate case settlement at Docket No. R-2018-3003558, discussion of the development of a comprehensive universal service and conservation program that will be proposed by Aqua PA. </w:t>
      </w:r>
      <w:r>
        <w:rPr>
          <w:sz w:val="26"/>
          <w:szCs w:val="26"/>
        </w:rPr>
        <w:t xml:space="preserve"> </w:t>
      </w:r>
      <w:r w:rsidRPr="00DA188D">
        <w:rPr>
          <w:sz w:val="26"/>
          <w:szCs w:val="26"/>
        </w:rPr>
        <w:t xml:space="preserve">The items to be evaluated for inclusion in Aqua PA’s proposal include: (1) a bill payment/customer assistance program; (2) a hardship fund; (3) a water conservation program; (4) a low income service repair line and replacement program; and (5) a comparable funding mechanism that exists for electric and gas utilities in Pennsylvania. </w:t>
      </w:r>
      <w:r>
        <w:rPr>
          <w:sz w:val="26"/>
          <w:szCs w:val="26"/>
        </w:rPr>
        <w:t xml:space="preserve"> </w:t>
      </w:r>
      <w:r w:rsidRPr="00DA188D">
        <w:rPr>
          <w:sz w:val="26"/>
          <w:szCs w:val="26"/>
        </w:rPr>
        <w:t>Aqua PA will submit a rate</w:t>
      </w:r>
      <w:r>
        <w:rPr>
          <w:sz w:val="26"/>
          <w:szCs w:val="26"/>
        </w:rPr>
        <w:t xml:space="preserve"> </w:t>
      </w:r>
      <w:r w:rsidRPr="00DA188D">
        <w:rPr>
          <w:sz w:val="26"/>
          <w:szCs w:val="26"/>
        </w:rPr>
        <w:t>recoverable universal service proposal in Aqua PA’s next base rate case that considers the best practices learned from the Peoples Companies and through conversations from the Helping Hand collaborative.</w:t>
      </w:r>
    </w:p>
    <w:p w14:paraId="49E67547" w14:textId="77777777" w:rsidR="00736E12" w:rsidRDefault="00736E12" w:rsidP="00B24187">
      <w:pPr>
        <w:pStyle w:val="Default"/>
        <w:ind w:left="1440" w:right="1440"/>
        <w:rPr>
          <w:sz w:val="26"/>
          <w:szCs w:val="26"/>
        </w:rPr>
      </w:pPr>
    </w:p>
    <w:p w14:paraId="5D0DAD06" w14:textId="77777777" w:rsidR="00580CEC" w:rsidRDefault="00580CEC" w:rsidP="00B24187">
      <w:pPr>
        <w:pStyle w:val="Default"/>
        <w:numPr>
          <w:ilvl w:val="0"/>
          <w:numId w:val="16"/>
        </w:numPr>
        <w:tabs>
          <w:tab w:val="clear" w:pos="648"/>
        </w:tabs>
        <w:ind w:left="1440" w:right="1440"/>
        <w:rPr>
          <w:sz w:val="26"/>
          <w:szCs w:val="26"/>
        </w:rPr>
      </w:pPr>
      <w:r w:rsidRPr="00DA188D">
        <w:rPr>
          <w:sz w:val="26"/>
          <w:szCs w:val="26"/>
        </w:rPr>
        <w:t xml:space="preserve">Aqua America’s shareholders will contribute an additional $50,000 to the hardship grant component being developed for Aqua PA’s Helping Hand Program annually for four years. </w:t>
      </w:r>
      <w:r>
        <w:rPr>
          <w:sz w:val="26"/>
          <w:szCs w:val="26"/>
        </w:rPr>
        <w:t xml:space="preserve"> </w:t>
      </w:r>
      <w:r w:rsidRPr="00DA188D">
        <w:rPr>
          <w:sz w:val="26"/>
          <w:szCs w:val="26"/>
        </w:rPr>
        <w:t>The Company agrees to evaluate whether to increase this contribution as a part of its next base rate case.</w:t>
      </w:r>
    </w:p>
    <w:p w14:paraId="70B3A8AD" w14:textId="77777777" w:rsidR="00580CEC" w:rsidRPr="00DA188D" w:rsidRDefault="00580CEC" w:rsidP="00B24187">
      <w:pPr>
        <w:pStyle w:val="Default"/>
        <w:tabs>
          <w:tab w:val="left" w:pos="648"/>
        </w:tabs>
        <w:ind w:left="1440" w:right="1440"/>
        <w:rPr>
          <w:sz w:val="26"/>
          <w:szCs w:val="26"/>
        </w:rPr>
      </w:pPr>
    </w:p>
    <w:p w14:paraId="375AEB76" w14:textId="77777777" w:rsidR="00580CEC" w:rsidRDefault="00580CEC" w:rsidP="00B24187">
      <w:pPr>
        <w:pStyle w:val="Default"/>
        <w:numPr>
          <w:ilvl w:val="0"/>
          <w:numId w:val="16"/>
        </w:numPr>
        <w:tabs>
          <w:tab w:val="clear" w:pos="648"/>
        </w:tabs>
        <w:ind w:left="1440" w:right="1440"/>
        <w:rPr>
          <w:sz w:val="26"/>
          <w:szCs w:val="26"/>
        </w:rPr>
      </w:pPr>
      <w:r w:rsidRPr="00DA188D">
        <w:rPr>
          <w:sz w:val="26"/>
          <w:szCs w:val="26"/>
        </w:rPr>
        <w:t xml:space="preserve">The Peoples Companies shall continue the current Universal Service organization structure and staffing levels for its Universal Service Programs as outlined and explained in the Peoples Companies’ Universal Service and Energy Conservation Plan for 2019-2021 at Docket No. M-2018-3003177, for at least five years. </w:t>
      </w:r>
      <w:r>
        <w:rPr>
          <w:sz w:val="26"/>
          <w:szCs w:val="26"/>
        </w:rPr>
        <w:t xml:space="preserve"> </w:t>
      </w:r>
      <w:r w:rsidRPr="00DA188D">
        <w:rPr>
          <w:sz w:val="26"/>
          <w:szCs w:val="26"/>
        </w:rPr>
        <w:t>In addition, Aqua America will ensure that the Peoples Companies’ universal service staff will have the appropriate authority and discretion to continue to operate the Peoples Companies’ Universal Service programs in a manner which is reasonably consistent with the manner in which the programs were operated prior to the acquisition.</w:t>
      </w:r>
    </w:p>
    <w:p w14:paraId="65AA7AF2" w14:textId="77777777" w:rsidR="00580CEC" w:rsidRPr="00DA188D" w:rsidRDefault="00580CEC" w:rsidP="00B24187">
      <w:pPr>
        <w:pStyle w:val="Default"/>
        <w:numPr>
          <w:ilvl w:val="0"/>
          <w:numId w:val="16"/>
        </w:numPr>
        <w:tabs>
          <w:tab w:val="clear" w:pos="648"/>
        </w:tabs>
        <w:ind w:left="1440" w:right="1440"/>
        <w:rPr>
          <w:sz w:val="26"/>
          <w:szCs w:val="26"/>
        </w:rPr>
      </w:pPr>
      <w:r w:rsidRPr="00DA188D">
        <w:rPr>
          <w:sz w:val="26"/>
          <w:szCs w:val="26"/>
        </w:rPr>
        <w:lastRenderedPageBreak/>
        <w:t>The Peoples Companies shall continue the “Help at Peoples Now” program that allows field employee personnel to make referrals to the Peoples Companies for payment and payment arrangements in lieu of termination of service for at least the next five years after closing.</w:t>
      </w:r>
    </w:p>
    <w:p w14:paraId="583B7CCA" w14:textId="77777777" w:rsidR="00580CEC" w:rsidRDefault="00580CEC" w:rsidP="00B24187">
      <w:pPr>
        <w:pStyle w:val="Default"/>
        <w:spacing w:line="360" w:lineRule="auto"/>
        <w:rPr>
          <w:sz w:val="26"/>
          <w:szCs w:val="26"/>
        </w:rPr>
      </w:pPr>
    </w:p>
    <w:p w14:paraId="7D2F3A47" w14:textId="77777777" w:rsidR="00580CEC" w:rsidRDefault="00580CEC" w:rsidP="00B24187">
      <w:pPr>
        <w:pStyle w:val="Default"/>
        <w:spacing w:line="360" w:lineRule="auto"/>
      </w:pPr>
      <w:r>
        <w:rPr>
          <w:sz w:val="26"/>
          <w:szCs w:val="26"/>
        </w:rPr>
        <w:t>Settlement at ¶¶</w:t>
      </w:r>
      <w:r>
        <w:t xml:space="preserve"> 98-111.</w:t>
      </w:r>
    </w:p>
    <w:p w14:paraId="17DBC163" w14:textId="77777777" w:rsidR="00436FB3" w:rsidRDefault="00436FB3" w:rsidP="00B24187">
      <w:pPr>
        <w:pStyle w:val="Default"/>
        <w:spacing w:line="360" w:lineRule="auto"/>
        <w:rPr>
          <w:sz w:val="26"/>
          <w:szCs w:val="26"/>
        </w:rPr>
      </w:pPr>
    </w:p>
    <w:p w14:paraId="04C67458" w14:textId="77777777" w:rsidR="00580CEC" w:rsidRDefault="00580CEC" w:rsidP="00C61865">
      <w:pPr>
        <w:pStyle w:val="Heading4"/>
        <w:widowControl/>
        <w:ind w:left="2160" w:hanging="720"/>
      </w:pPr>
      <w:bookmarkStart w:id="118" w:name="_Toc29278229"/>
      <w:r w:rsidRPr="00C42347">
        <w:t>Positions of the Parties</w:t>
      </w:r>
      <w:bookmarkEnd w:id="118"/>
    </w:p>
    <w:p w14:paraId="4C6A0A4B" w14:textId="77777777" w:rsidR="00580CEC" w:rsidRPr="00C42347" w:rsidRDefault="00580CEC" w:rsidP="00C61865">
      <w:pPr>
        <w:keepNext/>
        <w:widowControl/>
        <w:spacing w:line="360" w:lineRule="auto"/>
      </w:pPr>
    </w:p>
    <w:p w14:paraId="1B19AD2D" w14:textId="77777777" w:rsidR="00580CEC" w:rsidRDefault="00580CEC" w:rsidP="00C61865">
      <w:pPr>
        <w:pStyle w:val="Default"/>
        <w:keepNext/>
        <w:spacing w:line="360" w:lineRule="auto"/>
        <w:rPr>
          <w:sz w:val="26"/>
          <w:szCs w:val="26"/>
        </w:rPr>
      </w:pPr>
      <w:r>
        <w:rPr>
          <w:sz w:val="26"/>
          <w:szCs w:val="26"/>
        </w:rPr>
        <w:tab/>
      </w:r>
      <w:r>
        <w:rPr>
          <w:sz w:val="26"/>
          <w:szCs w:val="26"/>
        </w:rPr>
        <w:tab/>
        <w:t xml:space="preserve">The Joint Applicants provided that the Peoples Companies will continue to fund their existing Universal Service Programs and Aqua shareholders will contribute additional funds to these programs.  The Joint Applicants averred that the contribution of additional funds to low-income programs will provide substantial public benefits by assisting customers to maintain gas service.  Joint Applicants M.B. at 47 (citing Settlement at ¶¶ 98-101).  </w:t>
      </w:r>
    </w:p>
    <w:p w14:paraId="4315473A" w14:textId="77777777" w:rsidR="00580CEC" w:rsidRDefault="00580CEC" w:rsidP="00B24187">
      <w:pPr>
        <w:pStyle w:val="Default"/>
        <w:spacing w:line="360" w:lineRule="auto"/>
        <w:ind w:firstLine="1440"/>
        <w:rPr>
          <w:sz w:val="26"/>
          <w:szCs w:val="26"/>
        </w:rPr>
      </w:pPr>
    </w:p>
    <w:p w14:paraId="225A5889" w14:textId="77777777" w:rsidR="00580CEC" w:rsidRPr="0084052A" w:rsidRDefault="00580CEC" w:rsidP="00B24187">
      <w:pPr>
        <w:pStyle w:val="Default"/>
        <w:spacing w:line="360" w:lineRule="auto"/>
        <w:ind w:firstLine="1440"/>
        <w:rPr>
          <w:sz w:val="26"/>
          <w:szCs w:val="26"/>
        </w:rPr>
      </w:pPr>
      <w:r>
        <w:rPr>
          <w:sz w:val="26"/>
          <w:szCs w:val="26"/>
        </w:rPr>
        <w:t>According to the Joint Applicants, the Peoples Companies will continue their long-standing partnerships with existing Community Based Organizations, other stakeholder agencies, and the Peoples Universal Service Advisory Group to ensure the effective administration of these programs.  In addition, the Joint Applicants provided that the commitments including maintaining current Universal Service organization structure and staffing levels and the field employee referral program and maintaining and improving upon the low-income programs and services currently offered to the Peoples Companies’ customers, evidence Aqua America’s commitment to building upon these programs in the future.  Joint Applicants M.B. at 47 (citing Settlement at ¶¶ 102-104; 110-111).</w:t>
      </w:r>
    </w:p>
    <w:p w14:paraId="7F0338C9" w14:textId="77777777" w:rsidR="00580CEC" w:rsidRDefault="00580CEC" w:rsidP="00B24187">
      <w:pPr>
        <w:pStyle w:val="Default"/>
        <w:spacing w:line="360" w:lineRule="auto"/>
        <w:rPr>
          <w:sz w:val="26"/>
          <w:szCs w:val="26"/>
          <w:u w:val="single"/>
        </w:rPr>
      </w:pPr>
    </w:p>
    <w:p w14:paraId="39A67FFD" w14:textId="11374909" w:rsidR="004936F4" w:rsidRDefault="00580CEC" w:rsidP="00B24187">
      <w:pPr>
        <w:pStyle w:val="Default"/>
        <w:spacing w:line="360" w:lineRule="auto"/>
        <w:ind w:firstLine="1440"/>
        <w:rPr>
          <w:sz w:val="26"/>
          <w:szCs w:val="26"/>
        </w:rPr>
      </w:pPr>
      <w:r w:rsidRPr="001B09AE">
        <w:rPr>
          <w:sz w:val="26"/>
          <w:szCs w:val="26"/>
        </w:rPr>
        <w:t>The Joint Applicants argue</w:t>
      </w:r>
      <w:r>
        <w:rPr>
          <w:sz w:val="26"/>
          <w:szCs w:val="26"/>
        </w:rPr>
        <w:t>d</w:t>
      </w:r>
      <w:r w:rsidRPr="001B09AE">
        <w:rPr>
          <w:sz w:val="26"/>
          <w:szCs w:val="26"/>
        </w:rPr>
        <w:t xml:space="preserve"> that these commitments are specific to the Proposed Transaction</w:t>
      </w:r>
      <w:r>
        <w:rPr>
          <w:sz w:val="26"/>
          <w:szCs w:val="26"/>
        </w:rPr>
        <w:t xml:space="preserve">, are not currently in place and therefore, satisfy the </w:t>
      </w:r>
      <w:r w:rsidRPr="00692EAA">
        <w:rPr>
          <w:i/>
          <w:iCs/>
          <w:sz w:val="26"/>
          <w:szCs w:val="26"/>
        </w:rPr>
        <w:t>City of York</w:t>
      </w:r>
      <w:r>
        <w:rPr>
          <w:sz w:val="26"/>
          <w:szCs w:val="26"/>
        </w:rPr>
        <w:t xml:space="preserve"> standard.  The Joint Applicants contended that I&amp;E’s statement that the financial </w:t>
      </w:r>
      <w:r>
        <w:rPr>
          <w:sz w:val="26"/>
          <w:szCs w:val="26"/>
        </w:rPr>
        <w:lastRenderedPageBreak/>
        <w:t xml:space="preserve">commitments associated with the Proposed Transaction and Settlement could harm low-income ratepayers is incorrect.  The Joint Applicants averred that they have demonstrated that the Proposed Transaction, as conditioned by the Settlement, will increase Aqua America’s financial strength and stability </w:t>
      </w:r>
      <w:r w:rsidR="000A3350">
        <w:rPr>
          <w:sz w:val="26"/>
          <w:szCs w:val="26"/>
        </w:rPr>
        <w:t>along with</w:t>
      </w:r>
      <w:r>
        <w:rPr>
          <w:sz w:val="26"/>
          <w:szCs w:val="26"/>
        </w:rPr>
        <w:t xml:space="preserve"> other commitments that improve safety, convenience and customer service also will benefit low-income customers.  Joint Applicants R.B. at 50 (citing R.B. at 12, 15-21; Joint Applicants M.B. at 14-20). </w:t>
      </w:r>
    </w:p>
    <w:p w14:paraId="4388E83F" w14:textId="17BB1AAA" w:rsidR="00580CEC" w:rsidRDefault="00580CEC" w:rsidP="00B24187">
      <w:pPr>
        <w:pStyle w:val="Default"/>
        <w:spacing w:line="360" w:lineRule="auto"/>
        <w:ind w:firstLine="1440"/>
        <w:rPr>
          <w:sz w:val="26"/>
          <w:szCs w:val="26"/>
        </w:rPr>
      </w:pPr>
    </w:p>
    <w:p w14:paraId="7642A2D5" w14:textId="2303A397" w:rsidR="00580CEC" w:rsidRDefault="00580CEC" w:rsidP="00B24187">
      <w:pPr>
        <w:pStyle w:val="Default"/>
        <w:spacing w:line="360" w:lineRule="auto"/>
        <w:rPr>
          <w:sz w:val="26"/>
          <w:szCs w:val="26"/>
        </w:rPr>
      </w:pPr>
      <w:r>
        <w:rPr>
          <w:b/>
          <w:bCs/>
          <w:sz w:val="26"/>
          <w:szCs w:val="26"/>
        </w:rPr>
        <w:tab/>
      </w:r>
      <w:r>
        <w:rPr>
          <w:b/>
          <w:bCs/>
          <w:sz w:val="26"/>
          <w:szCs w:val="26"/>
        </w:rPr>
        <w:tab/>
      </w:r>
      <w:r>
        <w:rPr>
          <w:sz w:val="26"/>
          <w:szCs w:val="26"/>
        </w:rPr>
        <w:t xml:space="preserve">The OCA provided that its witness, Ms. </w:t>
      </w:r>
      <w:r w:rsidR="00736E12">
        <w:rPr>
          <w:sz w:val="26"/>
          <w:szCs w:val="26"/>
        </w:rPr>
        <w:t xml:space="preserve">Barbara R. </w:t>
      </w:r>
      <w:r>
        <w:rPr>
          <w:sz w:val="26"/>
          <w:szCs w:val="26"/>
        </w:rPr>
        <w:t xml:space="preserve">Alexander, made several recommendations regarding the Joint Applicants’ universal service programs and low-income programs including that the Peoples Companies maintain their obligations to improve universal service programs for an additional five years after the final order in this proceeding, and that the Peoples Companies increase their LIURP funding levels as provided by Aqua America shareholders.  OCA R.B. at 30-31 (citing OCA St. 3 at 6, 23).  The OCA provided that the Settlement addressed the OCA’s concerns regarding whether attention and funds would be diverted from vital universal service programs as a result of the Proposed Transaction.  OCA R.B. at 30 (citing OCA St. 3 at 27-28).  </w:t>
      </w:r>
    </w:p>
    <w:p w14:paraId="756DBF6F" w14:textId="64FD6E92" w:rsidR="00580CEC" w:rsidRPr="009927F8" w:rsidRDefault="00580CEC" w:rsidP="00B24187">
      <w:pPr>
        <w:pStyle w:val="Default"/>
        <w:spacing w:line="360" w:lineRule="auto"/>
        <w:rPr>
          <w:b/>
          <w:bCs/>
          <w:sz w:val="26"/>
          <w:szCs w:val="26"/>
        </w:rPr>
      </w:pPr>
    </w:p>
    <w:p w14:paraId="0E56017C" w14:textId="77777777" w:rsidR="00580CEC" w:rsidRDefault="00580CEC" w:rsidP="00B24187">
      <w:pPr>
        <w:pStyle w:val="Default"/>
        <w:spacing w:line="360" w:lineRule="auto"/>
        <w:ind w:firstLine="1440"/>
        <w:rPr>
          <w:sz w:val="26"/>
          <w:szCs w:val="26"/>
        </w:rPr>
      </w:pPr>
      <w:r>
        <w:rPr>
          <w:sz w:val="26"/>
          <w:szCs w:val="26"/>
        </w:rPr>
        <w:t xml:space="preserve">I&amp;E averred that the commitments contained in the Settlement are commitments that Aqua PA and/or the Peoples Companies could commit to independent of the Proposed Transaction.  I&amp;E contended that overall, the financial commitments the Joint Applicants have made could have a negative impact on low-income ratepayers.  I&amp;E M.B. at 36.  Because of the large cost ratepayers are being asked to contribute related to various commitments contained in the Settlement, I&amp;E stated that the benefits of the low-income commitments are insufficient to meet the </w:t>
      </w:r>
      <w:r w:rsidRPr="00B04C39">
        <w:rPr>
          <w:i/>
          <w:iCs/>
          <w:sz w:val="26"/>
          <w:szCs w:val="26"/>
        </w:rPr>
        <w:t>City of York</w:t>
      </w:r>
      <w:r>
        <w:rPr>
          <w:sz w:val="26"/>
          <w:szCs w:val="26"/>
        </w:rPr>
        <w:t xml:space="preserve"> standard.  I&amp;E R.B. at 31.  </w:t>
      </w:r>
    </w:p>
    <w:p w14:paraId="1483A4C7" w14:textId="77777777" w:rsidR="00580CEC" w:rsidRDefault="00580CEC" w:rsidP="00B24187">
      <w:pPr>
        <w:pStyle w:val="Default"/>
        <w:spacing w:line="360" w:lineRule="auto"/>
        <w:ind w:firstLine="1440"/>
        <w:rPr>
          <w:sz w:val="26"/>
          <w:szCs w:val="26"/>
        </w:rPr>
      </w:pPr>
    </w:p>
    <w:p w14:paraId="195518A6" w14:textId="77777777" w:rsidR="00580CEC" w:rsidRDefault="00580CEC" w:rsidP="00B24187">
      <w:pPr>
        <w:pStyle w:val="Default"/>
        <w:spacing w:line="360" w:lineRule="auto"/>
        <w:rPr>
          <w:sz w:val="26"/>
          <w:szCs w:val="26"/>
        </w:rPr>
      </w:pPr>
      <w:r>
        <w:rPr>
          <w:b/>
          <w:bCs/>
          <w:sz w:val="26"/>
          <w:szCs w:val="26"/>
        </w:rPr>
        <w:tab/>
      </w:r>
      <w:r>
        <w:rPr>
          <w:b/>
          <w:bCs/>
          <w:sz w:val="26"/>
          <w:szCs w:val="26"/>
        </w:rPr>
        <w:tab/>
      </w:r>
      <w:r>
        <w:rPr>
          <w:sz w:val="26"/>
          <w:szCs w:val="26"/>
        </w:rPr>
        <w:t>The OSBA noted the Aqua America shareholder contributions to low-income programs as detailed in the Settlement.  OSBA M.B. at 26 (citing Settlement at</w:t>
      </w:r>
    </w:p>
    <w:p w14:paraId="709F4E2D" w14:textId="77777777" w:rsidR="00580CEC" w:rsidRDefault="00580CEC" w:rsidP="00B24187">
      <w:pPr>
        <w:pStyle w:val="Default"/>
        <w:spacing w:line="360" w:lineRule="auto"/>
        <w:rPr>
          <w:sz w:val="26"/>
          <w:szCs w:val="26"/>
        </w:rPr>
      </w:pPr>
      <w:r>
        <w:rPr>
          <w:sz w:val="26"/>
          <w:szCs w:val="26"/>
        </w:rPr>
        <w:lastRenderedPageBreak/>
        <w:t xml:space="preserve">¶¶ 100, 101, 108, 109).  The OSBA provided that Aqua America does not commit to shareholders continuing these minimal contributions beyond the time periods outlined in the Settlement.  OSBA M.B. at 26-27 (citing Settlement at ¶¶ 98-111).  According to the OSBA, the question of whether ratepayers will pay for the costs of a comprehensive universal service program for Aqua PA remains open.  OSBA M.B. at 27 (citing Tr. at 81-82).  The OSBA contended that targeting a specific customer class with benefits, specifically residential low-income customers, does not satisfy the </w:t>
      </w:r>
      <w:r w:rsidRPr="00692EAA">
        <w:rPr>
          <w:i/>
          <w:iCs/>
          <w:sz w:val="26"/>
          <w:szCs w:val="26"/>
        </w:rPr>
        <w:t>City of York</w:t>
      </w:r>
      <w:r>
        <w:rPr>
          <w:sz w:val="26"/>
          <w:szCs w:val="26"/>
        </w:rPr>
        <w:t xml:space="preserve"> standard, as explained in the </w:t>
      </w:r>
      <w:r w:rsidRPr="00692EAA">
        <w:rPr>
          <w:i/>
          <w:iCs/>
          <w:sz w:val="26"/>
          <w:szCs w:val="26"/>
        </w:rPr>
        <w:t>Middletown Township</w:t>
      </w:r>
      <w:r>
        <w:rPr>
          <w:sz w:val="26"/>
          <w:szCs w:val="26"/>
        </w:rPr>
        <w:t xml:space="preserve"> case.  OSBA M.B. at 27. </w:t>
      </w:r>
    </w:p>
    <w:p w14:paraId="2A870531" w14:textId="77777777" w:rsidR="004936F4" w:rsidRDefault="004936F4" w:rsidP="00B24187">
      <w:pPr>
        <w:pStyle w:val="Default"/>
        <w:spacing w:line="360" w:lineRule="auto"/>
        <w:rPr>
          <w:sz w:val="26"/>
          <w:szCs w:val="26"/>
        </w:rPr>
      </w:pPr>
    </w:p>
    <w:p w14:paraId="18DEF18F" w14:textId="7C4D3CA1" w:rsidR="00580CEC" w:rsidRDefault="00580CEC" w:rsidP="00B24187">
      <w:pPr>
        <w:pStyle w:val="Default"/>
        <w:spacing w:line="360" w:lineRule="auto"/>
        <w:rPr>
          <w:sz w:val="26"/>
          <w:szCs w:val="26"/>
        </w:rPr>
      </w:pPr>
      <w:r>
        <w:rPr>
          <w:b/>
          <w:bCs/>
          <w:sz w:val="26"/>
          <w:szCs w:val="26"/>
        </w:rPr>
        <w:tab/>
      </w:r>
      <w:r>
        <w:rPr>
          <w:b/>
          <w:bCs/>
          <w:sz w:val="26"/>
          <w:szCs w:val="26"/>
        </w:rPr>
        <w:tab/>
      </w:r>
      <w:r>
        <w:rPr>
          <w:sz w:val="26"/>
          <w:szCs w:val="26"/>
        </w:rPr>
        <w:t xml:space="preserve">CAUSE-PA provided that the Joint Applicants commit to both preserve and improve existing low-income programming.  CAUSE-PA provided that the Proposed Settlement contains a multi-year commitment to increase annual voluntary shareholder donations to the Peoples Companies’ and Aqua PA’s respective hardship funds, as well as the Peoples Companies’ LIURP and emergency furnace program, amounting </w:t>
      </w:r>
      <w:r w:rsidR="003A591D">
        <w:rPr>
          <w:sz w:val="26"/>
          <w:szCs w:val="26"/>
        </w:rPr>
        <w:t>to $</w:t>
      </w:r>
      <w:r>
        <w:rPr>
          <w:sz w:val="26"/>
          <w:szCs w:val="26"/>
        </w:rPr>
        <w:t>825,000.  CAUSE-PA noted that in the absence of the Proposed Settlement, the Joint Applicants would not be legally required to make these additional funding commitments, let alone pay with shareholder dollars.  CAUSE-PA R.B. at 11.</w:t>
      </w:r>
    </w:p>
    <w:p w14:paraId="3BE5BCBD" w14:textId="77777777" w:rsidR="00580CEC" w:rsidRDefault="00580CEC" w:rsidP="00B24187">
      <w:pPr>
        <w:pStyle w:val="Default"/>
        <w:spacing w:line="360" w:lineRule="auto"/>
        <w:rPr>
          <w:sz w:val="26"/>
          <w:szCs w:val="26"/>
        </w:rPr>
      </w:pPr>
    </w:p>
    <w:p w14:paraId="77866491" w14:textId="77777777" w:rsidR="00580CEC" w:rsidRDefault="00580CEC" w:rsidP="00B24187">
      <w:pPr>
        <w:pStyle w:val="Heading4"/>
        <w:widowControl/>
        <w:ind w:left="2160" w:hanging="720"/>
      </w:pPr>
      <w:bookmarkStart w:id="119" w:name="_Toc29278230"/>
      <w:r>
        <w:t>Recommended Decision</w:t>
      </w:r>
      <w:bookmarkEnd w:id="119"/>
    </w:p>
    <w:p w14:paraId="79CCFA92" w14:textId="77777777" w:rsidR="00580CEC" w:rsidRDefault="00580CEC" w:rsidP="00B24187">
      <w:pPr>
        <w:pStyle w:val="Default"/>
        <w:spacing w:line="360" w:lineRule="auto"/>
        <w:ind w:firstLine="1440"/>
        <w:rPr>
          <w:sz w:val="26"/>
          <w:szCs w:val="26"/>
        </w:rPr>
      </w:pPr>
    </w:p>
    <w:p w14:paraId="47B5A275" w14:textId="77777777" w:rsidR="00580CEC" w:rsidRDefault="00580CEC" w:rsidP="00B24187">
      <w:pPr>
        <w:pStyle w:val="Default"/>
        <w:spacing w:line="360" w:lineRule="auto"/>
        <w:ind w:firstLine="1440"/>
        <w:rPr>
          <w:sz w:val="26"/>
          <w:szCs w:val="26"/>
        </w:rPr>
      </w:pPr>
      <w:r>
        <w:rPr>
          <w:sz w:val="26"/>
          <w:szCs w:val="26"/>
        </w:rPr>
        <w:t>In evaluating the record evidence and the Settlement terms, the ALJ found that the low-income commitments of the Settlement will materially improve affordability for vulnerable consumers, which, in turn, benefits the system, other ratepayers, and ultimately the entire community.  R.D. at 81.</w:t>
      </w:r>
    </w:p>
    <w:p w14:paraId="1E26403E" w14:textId="77777777" w:rsidR="00580CEC" w:rsidRDefault="00580CEC" w:rsidP="00B24187">
      <w:pPr>
        <w:pStyle w:val="Default"/>
        <w:spacing w:line="360" w:lineRule="auto"/>
        <w:ind w:firstLine="1440"/>
        <w:rPr>
          <w:sz w:val="26"/>
          <w:szCs w:val="26"/>
        </w:rPr>
      </w:pPr>
    </w:p>
    <w:p w14:paraId="3C7B46EB" w14:textId="77777777" w:rsidR="00580CEC" w:rsidRDefault="00580CEC" w:rsidP="00B24187">
      <w:pPr>
        <w:pStyle w:val="Default"/>
        <w:spacing w:line="360" w:lineRule="auto"/>
        <w:ind w:firstLine="1440"/>
        <w:rPr>
          <w:sz w:val="26"/>
          <w:szCs w:val="26"/>
        </w:rPr>
      </w:pPr>
      <w:r>
        <w:rPr>
          <w:sz w:val="26"/>
          <w:szCs w:val="26"/>
        </w:rPr>
        <w:t xml:space="preserve">Initially, the ALJ pointed out that the OCA and CAUSE-PA raised concerns regarding the effect of the Proposed Transaction on low-income customers because the Application did not propose any changes to rates or other programs affecting low-income customers.  The ALJ noted that in response, the Joint Applicants addressed </w:t>
      </w:r>
      <w:r>
        <w:rPr>
          <w:sz w:val="26"/>
          <w:szCs w:val="26"/>
        </w:rPr>
        <w:lastRenderedPageBreak/>
        <w:t xml:space="preserve">many of these concerns and proposed acceptable conditions in the Settlement that would benefit the low-income customers of the Peoples Companies and Aqua PA.  R.D. at 75 (citing OCA St.  3 at 32-34; CAUSE-PA St.  1 at 9-13; Settlement at ¶¶ 98-111).  </w:t>
      </w:r>
    </w:p>
    <w:p w14:paraId="605C6848" w14:textId="77777777" w:rsidR="00580CEC" w:rsidRDefault="00580CEC" w:rsidP="00B24187">
      <w:pPr>
        <w:pStyle w:val="Default"/>
        <w:spacing w:line="360" w:lineRule="auto"/>
        <w:ind w:firstLine="1440"/>
        <w:rPr>
          <w:sz w:val="26"/>
          <w:szCs w:val="26"/>
        </w:rPr>
      </w:pPr>
    </w:p>
    <w:p w14:paraId="541973DD" w14:textId="77777777" w:rsidR="00580CEC" w:rsidRDefault="00580CEC" w:rsidP="00B24187">
      <w:pPr>
        <w:pStyle w:val="Default"/>
        <w:spacing w:line="360" w:lineRule="auto"/>
        <w:ind w:firstLine="1440"/>
        <w:rPr>
          <w:sz w:val="26"/>
          <w:szCs w:val="26"/>
        </w:rPr>
      </w:pPr>
      <w:r>
        <w:rPr>
          <w:sz w:val="26"/>
          <w:szCs w:val="26"/>
        </w:rPr>
        <w:t xml:space="preserve">The ALJ noted that the Peoples Companies will continue to fund their existing Universal Service Programs at levels that are not less than the funding levels proposed in their most recent Universal Service and Energy Conservation Plan for 2019-2021 at Docket No. M-2018-3003177, and Aqua shareholders will contribute additional funds to these programs.  </w:t>
      </w:r>
      <w:bookmarkStart w:id="120" w:name="_Hlk25737514"/>
      <w:r>
        <w:rPr>
          <w:sz w:val="26"/>
          <w:szCs w:val="26"/>
        </w:rPr>
        <w:t xml:space="preserve">R.D. at 75 (citing Settlement at ¶¶ 98-101).  </w:t>
      </w:r>
      <w:bookmarkEnd w:id="120"/>
    </w:p>
    <w:p w14:paraId="6F7EB9BA" w14:textId="77777777" w:rsidR="004936F4" w:rsidRDefault="004936F4" w:rsidP="00B24187">
      <w:pPr>
        <w:pStyle w:val="Default"/>
        <w:spacing w:line="360" w:lineRule="auto"/>
        <w:ind w:firstLine="1440"/>
        <w:rPr>
          <w:sz w:val="26"/>
          <w:szCs w:val="26"/>
        </w:rPr>
      </w:pPr>
    </w:p>
    <w:p w14:paraId="6BA8099B" w14:textId="51D50931" w:rsidR="00580CEC" w:rsidRDefault="00580CEC" w:rsidP="00B24187">
      <w:pPr>
        <w:pStyle w:val="Default"/>
        <w:spacing w:line="360" w:lineRule="auto"/>
        <w:ind w:firstLine="1440"/>
        <w:rPr>
          <w:sz w:val="26"/>
          <w:szCs w:val="26"/>
        </w:rPr>
      </w:pPr>
      <w:r>
        <w:rPr>
          <w:sz w:val="26"/>
          <w:szCs w:val="26"/>
        </w:rPr>
        <w:t>Similarly, the ALJ noted the Peoples Companies will continue their partnerships with Community Based Organizations, other stakeholder agencies, and the Peoples Universal Service Advisory Group to ensure the effective administration of these programs.  R.D. at 75 (citing Settlement at ¶¶ 102-104).</w:t>
      </w:r>
      <w:r w:rsidR="003A591D">
        <w:rPr>
          <w:sz w:val="26"/>
          <w:szCs w:val="26"/>
        </w:rPr>
        <w:t xml:space="preserve">  </w:t>
      </w:r>
      <w:r>
        <w:rPr>
          <w:sz w:val="26"/>
          <w:szCs w:val="26"/>
        </w:rPr>
        <w:t>The ALJ explained that the Peoples Companies’ current Universal Service organizational structure and staffing levels will be maintained along with the existing field employee referral program – Help at Peoples Now.  R.D. at 75 (citing Settlement at ¶¶ 110-111).  The Settlement also requires Aqua America to increase the Peoples Companies’ LIURP emergency furnace repair by $75,000 which will be paid for by shareholders for a three-year period post-closing.  R.D. at 75-76 (citing Settlement at ¶ 101).</w:t>
      </w:r>
    </w:p>
    <w:p w14:paraId="28857506" w14:textId="77777777" w:rsidR="00580CEC" w:rsidRDefault="00580CEC" w:rsidP="00B24187">
      <w:pPr>
        <w:pStyle w:val="Default"/>
        <w:spacing w:line="360" w:lineRule="auto"/>
        <w:ind w:firstLine="1440"/>
        <w:rPr>
          <w:sz w:val="26"/>
          <w:szCs w:val="26"/>
        </w:rPr>
      </w:pPr>
    </w:p>
    <w:p w14:paraId="22E72872" w14:textId="21CEA68B" w:rsidR="00580CEC" w:rsidRDefault="00580CEC" w:rsidP="00B24187">
      <w:pPr>
        <w:pStyle w:val="Default"/>
        <w:spacing w:line="360" w:lineRule="auto"/>
        <w:ind w:firstLine="1440"/>
        <w:rPr>
          <w:sz w:val="26"/>
          <w:szCs w:val="26"/>
        </w:rPr>
      </w:pPr>
      <w:r>
        <w:rPr>
          <w:sz w:val="26"/>
          <w:szCs w:val="26"/>
        </w:rPr>
        <w:t>The ALJ noted that the universal service programs at the Peoples Companies are more robust than those at Aqua PA.  R.D. at 76 (citing CAUSE-PA St. 1 at 13).  The ALJ highlighted the proposed benefits to Aqua PA’s low-income customers in the Settlement, including the following: interfacing of the Peoples Companies’ Universal Service staff and collections staff with Aqua PA’s staff to share practices</w:t>
      </w:r>
      <w:r w:rsidR="00107DCE">
        <w:rPr>
          <w:sz w:val="26"/>
          <w:szCs w:val="26"/>
        </w:rPr>
        <w:t>;</w:t>
      </w:r>
      <w:r>
        <w:rPr>
          <w:sz w:val="26"/>
          <w:szCs w:val="26"/>
        </w:rPr>
        <w:t xml:space="preserve"> Aqua PA’s commitment to review feasibility of collecting additional information regarding low-income customers</w:t>
      </w:r>
      <w:r w:rsidR="00107DCE">
        <w:rPr>
          <w:sz w:val="26"/>
          <w:szCs w:val="26"/>
        </w:rPr>
        <w:t>;</w:t>
      </w:r>
      <w:r>
        <w:rPr>
          <w:sz w:val="26"/>
          <w:szCs w:val="26"/>
        </w:rPr>
        <w:t xml:space="preserve"> Aqua PA’s Helping Hand collaborative as agreed to in its recent rate case settlement at Docket No</w:t>
      </w:r>
      <w:r w:rsidRPr="00AF4298">
        <w:rPr>
          <w:sz w:val="26"/>
          <w:szCs w:val="26"/>
        </w:rPr>
        <w:t>. R-2018-3003558</w:t>
      </w:r>
      <w:r w:rsidR="00107DCE">
        <w:rPr>
          <w:sz w:val="26"/>
          <w:szCs w:val="26"/>
        </w:rPr>
        <w:t>;</w:t>
      </w:r>
      <w:r>
        <w:rPr>
          <w:sz w:val="26"/>
          <w:szCs w:val="26"/>
        </w:rPr>
        <w:t xml:space="preserve"> the discussion of a </w:t>
      </w:r>
      <w:r>
        <w:rPr>
          <w:sz w:val="26"/>
          <w:szCs w:val="26"/>
        </w:rPr>
        <w:lastRenderedPageBreak/>
        <w:t>comprehensive universal service and conservation program</w:t>
      </w:r>
      <w:r w:rsidR="00107DCE">
        <w:rPr>
          <w:sz w:val="26"/>
          <w:szCs w:val="26"/>
        </w:rPr>
        <w:t>;</w:t>
      </w:r>
      <w:r>
        <w:rPr>
          <w:sz w:val="26"/>
          <w:szCs w:val="26"/>
        </w:rPr>
        <w:t xml:space="preserve"> and an additional $50,000 from Aqua America’s shareholders to the Helping Hand program for four years.  R.D. at 76-77 (citing Settlement at ¶¶ 105-109; Joint Applicants St. 7-R at 10-12).</w:t>
      </w:r>
      <w:r w:rsidR="003A591D">
        <w:rPr>
          <w:sz w:val="26"/>
          <w:szCs w:val="26"/>
        </w:rPr>
        <w:t xml:space="preserve">  </w:t>
      </w:r>
    </w:p>
    <w:p w14:paraId="190758E9" w14:textId="77777777" w:rsidR="00580CEC" w:rsidRDefault="00580CEC" w:rsidP="00B24187">
      <w:pPr>
        <w:pStyle w:val="Default"/>
        <w:spacing w:line="360" w:lineRule="auto"/>
        <w:ind w:firstLine="1440"/>
        <w:rPr>
          <w:sz w:val="26"/>
          <w:szCs w:val="26"/>
        </w:rPr>
      </w:pPr>
    </w:p>
    <w:p w14:paraId="49EA9EA9" w14:textId="6A0F96E6" w:rsidR="00580CEC" w:rsidRDefault="00580CEC" w:rsidP="00B24187">
      <w:pPr>
        <w:pStyle w:val="Default"/>
        <w:spacing w:line="360" w:lineRule="auto"/>
        <w:ind w:firstLine="1440"/>
        <w:rPr>
          <w:sz w:val="26"/>
          <w:szCs w:val="26"/>
        </w:rPr>
      </w:pPr>
      <w:r>
        <w:rPr>
          <w:sz w:val="26"/>
          <w:szCs w:val="26"/>
        </w:rPr>
        <w:t>The ALJ provided that I&amp;E maintains that the Settlement terms which benefit low-income ratepayers should not be considered a benefit because these measures could be achieved absent the acquisition and other aspects of the Proposed Transaction could have a substantial negative impact on low-income ratepayers.  The ALJ noted that the OSBA argued that the low-income proposals are of a relatively short duration and should not be considered a benefit.  R.D. at 77.  The OSBA argued further that a benefit to one class of customer cannot support an acquisition as an affirmative public benefit.</w:t>
      </w:r>
      <w:r w:rsidR="003A591D">
        <w:rPr>
          <w:sz w:val="26"/>
          <w:szCs w:val="26"/>
        </w:rPr>
        <w:t xml:space="preserve">  </w:t>
      </w:r>
      <w:r>
        <w:rPr>
          <w:sz w:val="26"/>
          <w:szCs w:val="26"/>
        </w:rPr>
        <w:t xml:space="preserve">R.D. at 77-78 (citing </w:t>
      </w:r>
      <w:r w:rsidRPr="00864340">
        <w:rPr>
          <w:i/>
          <w:iCs/>
          <w:sz w:val="26"/>
          <w:szCs w:val="26"/>
        </w:rPr>
        <w:t>Middletown Township</w:t>
      </w:r>
      <w:r>
        <w:rPr>
          <w:sz w:val="26"/>
          <w:szCs w:val="26"/>
        </w:rPr>
        <w:t>).</w:t>
      </w:r>
    </w:p>
    <w:p w14:paraId="48D5A631" w14:textId="77777777" w:rsidR="00580CEC" w:rsidRDefault="00580CEC" w:rsidP="00B24187">
      <w:pPr>
        <w:pStyle w:val="Default"/>
        <w:spacing w:line="360" w:lineRule="auto"/>
        <w:ind w:firstLine="1440"/>
        <w:rPr>
          <w:sz w:val="26"/>
          <w:szCs w:val="26"/>
        </w:rPr>
      </w:pPr>
    </w:p>
    <w:p w14:paraId="475575C0" w14:textId="77777777" w:rsidR="00580CEC" w:rsidRDefault="00580CEC" w:rsidP="00B24187">
      <w:pPr>
        <w:pStyle w:val="Default"/>
        <w:spacing w:line="360" w:lineRule="auto"/>
        <w:ind w:firstLine="1440"/>
        <w:rPr>
          <w:sz w:val="26"/>
          <w:szCs w:val="26"/>
        </w:rPr>
      </w:pPr>
      <w:r>
        <w:rPr>
          <w:sz w:val="26"/>
          <w:szCs w:val="26"/>
        </w:rPr>
        <w:t xml:space="preserve">The ALJ opined that the standard for evaluating the alleged benefits of an acquisition is not whether the Joint Applicants could have developed the low-income program in the absence of the Proposed Transaction.  Rather, the transaction should be compared to the programs that are in place now, not what might be.  The ALJ concluded that I&amp;E’s argument is rejected because neither of the Joint Applicants made these proposals before the Application was filed.  R.D. at 78.  </w:t>
      </w:r>
    </w:p>
    <w:p w14:paraId="34931952" w14:textId="77777777" w:rsidR="00580CEC" w:rsidRDefault="00580CEC" w:rsidP="00B24187">
      <w:pPr>
        <w:pStyle w:val="Default"/>
        <w:spacing w:line="360" w:lineRule="auto"/>
        <w:ind w:firstLine="1440"/>
        <w:rPr>
          <w:sz w:val="26"/>
          <w:szCs w:val="26"/>
        </w:rPr>
      </w:pPr>
    </w:p>
    <w:p w14:paraId="0A3F3F13" w14:textId="77777777" w:rsidR="00580CEC" w:rsidRDefault="00580CEC" w:rsidP="00B24187">
      <w:pPr>
        <w:pStyle w:val="Default"/>
        <w:spacing w:line="360" w:lineRule="auto"/>
        <w:ind w:firstLine="1440"/>
        <w:rPr>
          <w:sz w:val="26"/>
          <w:szCs w:val="26"/>
        </w:rPr>
      </w:pPr>
      <w:r>
        <w:rPr>
          <w:sz w:val="26"/>
          <w:szCs w:val="26"/>
        </w:rPr>
        <w:t xml:space="preserve">Similarly, the ALJ also rejected </w:t>
      </w:r>
      <w:r w:rsidR="004936F4">
        <w:rPr>
          <w:sz w:val="26"/>
          <w:szCs w:val="26"/>
        </w:rPr>
        <w:t xml:space="preserve">the </w:t>
      </w:r>
      <w:r>
        <w:rPr>
          <w:sz w:val="26"/>
          <w:szCs w:val="26"/>
        </w:rPr>
        <w:t xml:space="preserve">OSBA’s argument.  The ALJ reasoned that </w:t>
      </w:r>
      <w:r w:rsidRPr="00927CC5">
        <w:rPr>
          <w:i/>
          <w:iCs/>
          <w:sz w:val="26"/>
          <w:szCs w:val="26"/>
        </w:rPr>
        <w:t>Middletown Township</w:t>
      </w:r>
      <w:r>
        <w:rPr>
          <w:sz w:val="26"/>
          <w:szCs w:val="26"/>
        </w:rPr>
        <w:t xml:space="preserve"> does not support </w:t>
      </w:r>
      <w:r w:rsidR="004936F4">
        <w:rPr>
          <w:sz w:val="26"/>
          <w:szCs w:val="26"/>
        </w:rPr>
        <w:t xml:space="preserve">the </w:t>
      </w:r>
      <w:r>
        <w:rPr>
          <w:sz w:val="26"/>
          <w:szCs w:val="26"/>
        </w:rPr>
        <w:t xml:space="preserve">OSBA’s position that the commitments for low-income customers and universal service must be rejected as benefits because they only benefit one class of ratepayers.  The ALJ explained that in </w:t>
      </w:r>
      <w:r w:rsidRPr="00927CC5">
        <w:rPr>
          <w:i/>
          <w:iCs/>
          <w:sz w:val="26"/>
          <w:szCs w:val="26"/>
        </w:rPr>
        <w:t>Middletown Township</w:t>
      </w:r>
      <w:r>
        <w:rPr>
          <w:sz w:val="26"/>
          <w:szCs w:val="26"/>
        </w:rPr>
        <w:t xml:space="preserve">, the Commission rejected the proposed acquisition because the acquisition would only benefit residents of </w:t>
      </w:r>
      <w:r w:rsidRPr="00692EAA">
        <w:rPr>
          <w:i/>
          <w:iCs/>
          <w:sz w:val="26"/>
          <w:szCs w:val="26"/>
        </w:rPr>
        <w:t>Middletown Township</w:t>
      </w:r>
      <w:r>
        <w:rPr>
          <w:sz w:val="26"/>
          <w:szCs w:val="26"/>
        </w:rPr>
        <w:t xml:space="preserve"> and “would have adverse effect on the [Newtown Artesian] Water Company’s remaining customers.”  R.D. at 78 (citing </w:t>
      </w:r>
      <w:r w:rsidRPr="00692EAA">
        <w:rPr>
          <w:i/>
          <w:iCs/>
          <w:sz w:val="26"/>
          <w:szCs w:val="26"/>
        </w:rPr>
        <w:t>Middletown Township</w:t>
      </w:r>
      <w:r>
        <w:rPr>
          <w:sz w:val="26"/>
          <w:szCs w:val="26"/>
        </w:rPr>
        <w:t xml:space="preserve">, 482 A.2d at 678-679, 682).  The ALJ concluded that the Supreme Court has rejected the notion that all types of customers must receive specific benefits </w:t>
      </w:r>
      <w:r>
        <w:rPr>
          <w:sz w:val="26"/>
          <w:szCs w:val="26"/>
        </w:rPr>
        <w:lastRenderedPageBreak/>
        <w:t xml:space="preserve">from the transaction, where there is no evidence that other customer classes will suffer harm.  R.D. at 79 (citing </w:t>
      </w:r>
      <w:r w:rsidRPr="00CB4811">
        <w:rPr>
          <w:i/>
          <w:iCs/>
          <w:sz w:val="26"/>
          <w:szCs w:val="26"/>
        </w:rPr>
        <w:t>Popowsky</w:t>
      </w:r>
      <w:r>
        <w:rPr>
          <w:sz w:val="26"/>
          <w:szCs w:val="26"/>
        </w:rPr>
        <w:t xml:space="preserve">, 937 A.2d at 1061).  </w:t>
      </w:r>
    </w:p>
    <w:p w14:paraId="37637F0A" w14:textId="77777777" w:rsidR="00580CEC" w:rsidRDefault="00580CEC" w:rsidP="00B24187">
      <w:pPr>
        <w:pStyle w:val="Default"/>
        <w:spacing w:line="360" w:lineRule="auto"/>
        <w:ind w:firstLine="1440"/>
        <w:rPr>
          <w:sz w:val="26"/>
          <w:szCs w:val="26"/>
        </w:rPr>
      </w:pPr>
    </w:p>
    <w:p w14:paraId="7F0D72E1" w14:textId="77777777" w:rsidR="00580CEC" w:rsidRDefault="00580CEC" w:rsidP="00B24187">
      <w:pPr>
        <w:pStyle w:val="Default"/>
        <w:spacing w:line="360" w:lineRule="auto"/>
        <w:ind w:firstLine="1440"/>
        <w:rPr>
          <w:sz w:val="26"/>
          <w:szCs w:val="26"/>
        </w:rPr>
      </w:pPr>
      <w:r>
        <w:rPr>
          <w:sz w:val="26"/>
          <w:szCs w:val="26"/>
        </w:rPr>
        <w:t xml:space="preserve">The ALJ reasoned that the Joint Applicants’ commitments extend beyond what is legally required and will be largely financed by Aqua America’s shareholders.  R.D. at 80 (citing Settlement ¶¶ 98-11, 104).  According to the ALJ, in the absence of the Settlement, the Joint Applicants would not be legally required to make these additional funding commitments to universal service programs, let alone pay with shareholder dollars.  The ALJ concluded that the record evidence does not support a conclusion that the terms of the proposed Settlement could have a “substantial negative impact” on low-income ratepayers.  R.D. at 81.  </w:t>
      </w:r>
    </w:p>
    <w:p w14:paraId="41FD102F" w14:textId="77777777" w:rsidR="00580CEC" w:rsidRDefault="00580CEC" w:rsidP="00B24187">
      <w:pPr>
        <w:pStyle w:val="Default"/>
        <w:spacing w:line="360" w:lineRule="auto"/>
        <w:ind w:firstLine="1440"/>
        <w:rPr>
          <w:sz w:val="26"/>
          <w:szCs w:val="26"/>
        </w:rPr>
      </w:pPr>
    </w:p>
    <w:p w14:paraId="2462AB06" w14:textId="77777777" w:rsidR="00C1458B" w:rsidRPr="00C1458B" w:rsidRDefault="004F7445" w:rsidP="00C61865">
      <w:pPr>
        <w:pStyle w:val="Heading4"/>
        <w:widowControl/>
        <w:ind w:left="2160" w:hanging="720"/>
      </w:pPr>
      <w:bookmarkStart w:id="121" w:name="_Toc29278231"/>
      <w:bookmarkStart w:id="122" w:name="_Hlk28534611"/>
      <w:r>
        <w:t>Exceptions and Replies</w:t>
      </w:r>
      <w:bookmarkEnd w:id="121"/>
      <w:r>
        <w:t xml:space="preserve">  </w:t>
      </w:r>
      <w:bookmarkEnd w:id="122"/>
    </w:p>
    <w:p w14:paraId="7847D7BF" w14:textId="77777777" w:rsidR="00F639D9" w:rsidRDefault="00F639D9" w:rsidP="00C61865">
      <w:pPr>
        <w:pStyle w:val="Default"/>
        <w:keepNext/>
        <w:spacing w:line="360" w:lineRule="auto"/>
        <w:rPr>
          <w:sz w:val="26"/>
          <w:szCs w:val="26"/>
        </w:rPr>
      </w:pPr>
    </w:p>
    <w:p w14:paraId="772CC108" w14:textId="77777777" w:rsidR="00580CEC" w:rsidRDefault="00580CEC" w:rsidP="00C61865">
      <w:pPr>
        <w:pStyle w:val="Default"/>
        <w:keepNext/>
        <w:spacing w:line="360" w:lineRule="auto"/>
        <w:ind w:firstLine="1440"/>
        <w:rPr>
          <w:sz w:val="26"/>
          <w:szCs w:val="26"/>
        </w:rPr>
      </w:pPr>
      <w:r>
        <w:rPr>
          <w:sz w:val="26"/>
          <w:szCs w:val="26"/>
        </w:rPr>
        <w:t xml:space="preserve">I&amp;E avers that the ALJ erred in finding that the low-income and universal service commitments in the Settlement are substantial affirmative benefits.  I&amp;E notes that the Settlement provided for low-income and universal service commitments by both Aqua PA and the Peoples Companies and the ALJ concluded that these commitments would materially improve affordability for vulnerable consumers, the system, other ratepayers and ultimately the entire community.  I&amp;E Exc. at 22 (citing R.D. at 81).  According to I&amp;E, while these commitments may improve affordability for some consumers, the ALJ fails to take into consideration other commitments in the Settlement that would raise rates for the same consumers.  I&amp;E Exc. at 22 (citing I&amp;E R.B. at 31).  I&amp;E explains that the Settlement calls for major upgrades to the Peoples Companies’ distribution system, and these costs will ultimately be borne by ratepayers.  I&amp;E explains further that the commitment for major upgrades may increase the number of consumers eligible for low-income programs, which would lessen the benefit to those vulnerable consumers.  I&amp;E Exc. at 22.  I&amp;E provides that if the acquisition is approved, then the Commission should require the Joint Applicants to set aside $127 million in a restricted </w:t>
      </w:r>
      <w:r>
        <w:rPr>
          <w:sz w:val="26"/>
          <w:szCs w:val="26"/>
        </w:rPr>
        <w:lastRenderedPageBreak/>
        <w:t xml:space="preserve">fund to cover the uneconomic portion of the cost associated with remediating the G/T Systems.  According to I&amp;E, this condition alone could provide a substantial benefit to all customer rate affordability.  I&amp;E Exc. at 23.  </w:t>
      </w:r>
    </w:p>
    <w:p w14:paraId="0AF6397C" w14:textId="77777777" w:rsidR="00580CEC" w:rsidRDefault="00580CEC" w:rsidP="00B24187">
      <w:pPr>
        <w:pStyle w:val="Default"/>
        <w:spacing w:line="360" w:lineRule="auto"/>
        <w:ind w:firstLine="1440"/>
        <w:rPr>
          <w:sz w:val="26"/>
          <w:szCs w:val="26"/>
        </w:rPr>
      </w:pPr>
    </w:p>
    <w:p w14:paraId="2307FAFA" w14:textId="77777777" w:rsidR="00F639D9" w:rsidRDefault="00F639D9" w:rsidP="00B24187">
      <w:pPr>
        <w:pStyle w:val="Default"/>
        <w:spacing w:line="360" w:lineRule="auto"/>
        <w:ind w:firstLine="1440"/>
        <w:rPr>
          <w:sz w:val="26"/>
          <w:szCs w:val="26"/>
        </w:rPr>
      </w:pPr>
      <w:r>
        <w:rPr>
          <w:sz w:val="26"/>
          <w:szCs w:val="26"/>
        </w:rPr>
        <w:t xml:space="preserve">The Joint Applicants provide, in their Replies, that I&amp;E misrepresents the Recommended Decision by arguing that it did not properly weigh the benefits associated with low-income and universal service commitments against other commitments which may raise rates.  Joint Applicants R. Exc. at 18 (citing I&amp;E Exc. at 22-23).  According to the Joint Applicants, the ALJ properly considered and weighed </w:t>
      </w:r>
      <w:r w:rsidRPr="00F106DC">
        <w:rPr>
          <w:sz w:val="26"/>
          <w:szCs w:val="26"/>
        </w:rPr>
        <w:t>all of the benefits</w:t>
      </w:r>
      <w:r>
        <w:rPr>
          <w:sz w:val="26"/>
          <w:szCs w:val="26"/>
        </w:rPr>
        <w:t xml:space="preserve"> of the Proposed Transaction as conditioned by the Settlement as a whole.  Joint Applicants R. Exc. at 18 (citing R.D. at 41).  </w:t>
      </w:r>
    </w:p>
    <w:p w14:paraId="043413C1" w14:textId="77777777" w:rsidR="00F639D9" w:rsidRDefault="00F639D9" w:rsidP="00B24187">
      <w:pPr>
        <w:pStyle w:val="Default"/>
        <w:spacing w:line="360" w:lineRule="auto"/>
        <w:ind w:firstLine="1440"/>
        <w:rPr>
          <w:sz w:val="26"/>
          <w:szCs w:val="26"/>
        </w:rPr>
      </w:pPr>
    </w:p>
    <w:p w14:paraId="5CE678CD" w14:textId="77777777" w:rsidR="00580CEC" w:rsidRDefault="00580CEC" w:rsidP="00B24187">
      <w:pPr>
        <w:pStyle w:val="Default"/>
        <w:spacing w:line="360" w:lineRule="auto"/>
        <w:ind w:firstLine="1440"/>
        <w:rPr>
          <w:sz w:val="26"/>
          <w:szCs w:val="26"/>
        </w:rPr>
      </w:pPr>
      <w:r>
        <w:rPr>
          <w:sz w:val="26"/>
          <w:szCs w:val="26"/>
        </w:rPr>
        <w:t xml:space="preserve">In Reply, CAUSE-PA disagrees with I&amp;E’s position that the commitments for low-income customers are not significant public benefits.  CAUSE-PA explains that it is concerned with increased costs of service that may result from system upgrades and the potential result of more customers needing assistance.  However, CAUSE-PA notes that at this time we do not know what that potential need is and I&amp;E’s assertion that infrastructure improvements will cause an increase in unaffordability does not mean that increases to low-income programming paid for by Aqua America’s shareholders do not constitute a substantial affirmative public benefit.  CAUSE-PA R.Exc. at 4.  CAUSE-PA provides that if I&amp;E’s predictions about the future are true and more customers need low-income programs, the best way to mitigate that impact would be through the low-income improvements and outreach contained in the Settlement.  CAUSE-PA R.Exc. at 5.  </w:t>
      </w:r>
    </w:p>
    <w:p w14:paraId="10B53854" w14:textId="77777777" w:rsidR="00580CEC" w:rsidRDefault="00580CEC" w:rsidP="00B24187">
      <w:pPr>
        <w:pStyle w:val="Default"/>
        <w:spacing w:line="360" w:lineRule="auto"/>
        <w:ind w:firstLine="1440"/>
        <w:rPr>
          <w:sz w:val="26"/>
          <w:szCs w:val="26"/>
        </w:rPr>
      </w:pPr>
    </w:p>
    <w:p w14:paraId="133E988E" w14:textId="77777777" w:rsidR="00580CEC" w:rsidRDefault="00580CEC" w:rsidP="00B24187">
      <w:pPr>
        <w:pStyle w:val="Default"/>
        <w:spacing w:line="360" w:lineRule="auto"/>
        <w:ind w:firstLine="1440"/>
        <w:rPr>
          <w:sz w:val="26"/>
          <w:szCs w:val="26"/>
        </w:rPr>
      </w:pPr>
      <w:r>
        <w:rPr>
          <w:sz w:val="26"/>
          <w:szCs w:val="26"/>
        </w:rPr>
        <w:t xml:space="preserve">CAUSE-PA reasons that the terms of the Settlement ensure that low-income customers will not be harmed by the Proposed Transaction, but rather the commitments in the Settlement are quantifiable and beneficial to both utilities’ customers, as well as the community at large.  CAUSE-PA notes that the bulk of the increased funding for these commitments comes from contributions from Aqua’s </w:t>
      </w:r>
      <w:r>
        <w:rPr>
          <w:sz w:val="26"/>
          <w:szCs w:val="26"/>
        </w:rPr>
        <w:lastRenderedPageBreak/>
        <w:t xml:space="preserve">shareholders, not ratepayers.  CAUSE-PA R.Exc. at 5 (citing CAUSE-PA Statement in Support at 6).  </w:t>
      </w:r>
    </w:p>
    <w:p w14:paraId="636F2F3D" w14:textId="77777777" w:rsidR="00F639D9" w:rsidRDefault="00F639D9" w:rsidP="00B24187">
      <w:pPr>
        <w:pStyle w:val="Default"/>
        <w:spacing w:line="360" w:lineRule="auto"/>
        <w:ind w:firstLine="1440"/>
        <w:rPr>
          <w:sz w:val="26"/>
          <w:szCs w:val="26"/>
        </w:rPr>
      </w:pPr>
    </w:p>
    <w:p w14:paraId="3B742515" w14:textId="406744E6" w:rsidR="00580CEC" w:rsidRDefault="00F639D9" w:rsidP="00B24187">
      <w:pPr>
        <w:pStyle w:val="Default"/>
        <w:spacing w:line="360" w:lineRule="auto"/>
        <w:ind w:firstLine="1440"/>
        <w:rPr>
          <w:sz w:val="26"/>
          <w:szCs w:val="26"/>
        </w:rPr>
      </w:pPr>
      <w:r>
        <w:rPr>
          <w:sz w:val="26"/>
          <w:szCs w:val="26"/>
        </w:rPr>
        <w:t>In its Exception Number 18, t</w:t>
      </w:r>
      <w:r w:rsidR="00580CEC">
        <w:rPr>
          <w:sz w:val="26"/>
          <w:szCs w:val="26"/>
        </w:rPr>
        <w:t xml:space="preserve">he OSBA avers that many of the provisions for low-income assistance and universal service in the Settlement are mere continuations of the status quo and do not qualify as benefits as the ALJ concludes.  The OSBA notes that others simply represent expansions of the aid to low-income customers that will be paid for by ratepayers.  The OSBA explains that under </w:t>
      </w:r>
      <w:r w:rsidR="00580CEC" w:rsidRPr="008C2153">
        <w:rPr>
          <w:i/>
          <w:iCs/>
          <w:sz w:val="26"/>
          <w:szCs w:val="26"/>
        </w:rPr>
        <w:t>Middletown Township</w:t>
      </w:r>
      <w:r w:rsidR="00580CEC">
        <w:rPr>
          <w:sz w:val="26"/>
          <w:szCs w:val="26"/>
        </w:rPr>
        <w:t xml:space="preserve">, these changes do not represent a benefit because it is a benefit to some customers at the expense of others.  OSBA Exc. at 25 (citing R.D. at 69, Settlement at ¶¶ 98-111).  The OSBA argues that targeting a specific class of customers with benefits does not satisfy the </w:t>
      </w:r>
      <w:r w:rsidR="00580CEC" w:rsidRPr="008C2153">
        <w:rPr>
          <w:i/>
          <w:iCs/>
          <w:sz w:val="26"/>
          <w:szCs w:val="26"/>
        </w:rPr>
        <w:t>City of Yor</w:t>
      </w:r>
      <w:r w:rsidR="00580CEC">
        <w:rPr>
          <w:i/>
          <w:iCs/>
          <w:sz w:val="26"/>
          <w:szCs w:val="26"/>
        </w:rPr>
        <w:t>k</w:t>
      </w:r>
      <w:r w:rsidR="00580CEC">
        <w:rPr>
          <w:sz w:val="26"/>
          <w:szCs w:val="26"/>
        </w:rPr>
        <w:t xml:space="preserve"> standard, as explained in the </w:t>
      </w:r>
      <w:r w:rsidR="00580CEC" w:rsidRPr="008C2153">
        <w:rPr>
          <w:i/>
          <w:iCs/>
          <w:sz w:val="26"/>
          <w:szCs w:val="26"/>
        </w:rPr>
        <w:t>Middletown Township</w:t>
      </w:r>
      <w:r w:rsidR="00580CEC">
        <w:rPr>
          <w:sz w:val="26"/>
          <w:szCs w:val="26"/>
        </w:rPr>
        <w:t xml:space="preserve"> case.  Although the ALJ rejected </w:t>
      </w:r>
      <w:r w:rsidR="004936F4">
        <w:rPr>
          <w:sz w:val="26"/>
          <w:szCs w:val="26"/>
        </w:rPr>
        <w:t xml:space="preserve">the </w:t>
      </w:r>
      <w:r w:rsidR="00580CEC">
        <w:rPr>
          <w:sz w:val="26"/>
          <w:szCs w:val="26"/>
        </w:rPr>
        <w:t xml:space="preserve">OSBA’s argument, the OSBA contends that the </w:t>
      </w:r>
      <w:r w:rsidR="00580CEC" w:rsidRPr="00A83479">
        <w:rPr>
          <w:i/>
          <w:iCs/>
          <w:sz w:val="26"/>
          <w:szCs w:val="26"/>
        </w:rPr>
        <w:t>Middletown Township</w:t>
      </w:r>
      <w:r w:rsidR="00580CEC">
        <w:rPr>
          <w:sz w:val="26"/>
          <w:szCs w:val="26"/>
        </w:rPr>
        <w:t xml:space="preserve"> case is precisely on point and supports the OSBA’s position.  OSBA Exc. at 25 (citing R.D. at 78).  According to the OSBA, the Settlement contains numerous commitments concerning low-income service programs, but also contains numerous provisions that would have an adverse effect on all </w:t>
      </w:r>
      <w:r w:rsidR="00107DCE">
        <w:rPr>
          <w:sz w:val="26"/>
          <w:szCs w:val="26"/>
        </w:rPr>
        <w:t xml:space="preserve">of </w:t>
      </w:r>
      <w:r w:rsidR="00580CEC">
        <w:rPr>
          <w:sz w:val="26"/>
          <w:szCs w:val="26"/>
        </w:rPr>
        <w:t>Aqua America</w:t>
      </w:r>
      <w:r w:rsidR="00107DCE">
        <w:rPr>
          <w:sz w:val="26"/>
          <w:szCs w:val="26"/>
        </w:rPr>
        <w:t xml:space="preserve">’s </w:t>
      </w:r>
      <w:r w:rsidR="00580CEC">
        <w:rPr>
          <w:sz w:val="26"/>
          <w:szCs w:val="26"/>
        </w:rPr>
        <w:t xml:space="preserve">and </w:t>
      </w:r>
      <w:r w:rsidR="00395511">
        <w:rPr>
          <w:sz w:val="26"/>
          <w:szCs w:val="26"/>
        </w:rPr>
        <w:t xml:space="preserve">the </w:t>
      </w:r>
      <w:r w:rsidR="00580CEC">
        <w:rPr>
          <w:sz w:val="26"/>
          <w:szCs w:val="26"/>
        </w:rPr>
        <w:t xml:space="preserve">Peoples </w:t>
      </w:r>
      <w:r w:rsidR="00107DCE">
        <w:rPr>
          <w:sz w:val="26"/>
          <w:szCs w:val="26"/>
        </w:rPr>
        <w:t xml:space="preserve">Companies’ </w:t>
      </w:r>
      <w:r w:rsidR="00580CEC">
        <w:rPr>
          <w:sz w:val="26"/>
          <w:szCs w:val="26"/>
        </w:rPr>
        <w:t xml:space="preserve">ratepayers.  The OSBA explains that the Proposed Transaction will dilute earnings for Aqua America’s shareholders, increase financial risk for the combined entity, and </w:t>
      </w:r>
      <w:r w:rsidR="00107DCE">
        <w:rPr>
          <w:sz w:val="26"/>
          <w:szCs w:val="26"/>
        </w:rPr>
        <w:t xml:space="preserve">will </w:t>
      </w:r>
      <w:r w:rsidR="00580CEC">
        <w:rPr>
          <w:sz w:val="26"/>
          <w:szCs w:val="26"/>
        </w:rPr>
        <w:t xml:space="preserve">likely result in higher interest costs for ratepayers.  OSBA Exc. at 25 (citing OSBA M.B. at 6).  The OSBA explains further that the Settlement results in ratepayers being burdened with significantly more costs than they would be in the absence of the Proposed Transaction.  OSBA Exc. at 26 (citing OSBA M.B. at 19-26, OSBA R.B. at 15-22).  </w:t>
      </w:r>
    </w:p>
    <w:p w14:paraId="71BF5C03" w14:textId="77777777" w:rsidR="00580CEC" w:rsidRDefault="00580CEC" w:rsidP="00B24187">
      <w:pPr>
        <w:pStyle w:val="Default"/>
        <w:spacing w:line="360" w:lineRule="auto"/>
        <w:ind w:firstLine="1440"/>
        <w:rPr>
          <w:sz w:val="26"/>
          <w:szCs w:val="26"/>
        </w:rPr>
      </w:pPr>
    </w:p>
    <w:p w14:paraId="5539C092" w14:textId="77777777" w:rsidR="00580CEC" w:rsidRDefault="00580CEC" w:rsidP="00B24187">
      <w:pPr>
        <w:pStyle w:val="Default"/>
        <w:spacing w:line="360" w:lineRule="auto"/>
        <w:ind w:firstLine="1440"/>
        <w:rPr>
          <w:sz w:val="26"/>
          <w:szCs w:val="26"/>
        </w:rPr>
      </w:pPr>
      <w:r>
        <w:rPr>
          <w:sz w:val="26"/>
          <w:szCs w:val="26"/>
        </w:rPr>
        <w:t>The OSBA provides that the Settlement includes a commitment from Aqua America</w:t>
      </w:r>
      <w:r w:rsidR="00107DCE">
        <w:rPr>
          <w:sz w:val="26"/>
          <w:szCs w:val="26"/>
        </w:rPr>
        <w:t>’s</w:t>
      </w:r>
      <w:r>
        <w:rPr>
          <w:sz w:val="26"/>
          <w:szCs w:val="26"/>
        </w:rPr>
        <w:t xml:space="preserve"> shareholders to contribute an additional $100,000 per year to Dollar Energy (Settlement at ¶ 100) for four years, a commitment from the Peoples Companies to contribute an additional $75,000 per year to the Low Income Usage Reduction Program (LIURP) for three years (Settlement at ¶101), and a commitment from Aqua America</w:t>
      </w:r>
      <w:r w:rsidR="00107DCE">
        <w:rPr>
          <w:sz w:val="26"/>
          <w:szCs w:val="26"/>
        </w:rPr>
        <w:t>’s</w:t>
      </w:r>
      <w:r>
        <w:rPr>
          <w:sz w:val="26"/>
          <w:szCs w:val="26"/>
        </w:rPr>
        <w:t xml:space="preserve"> </w:t>
      </w:r>
      <w:r>
        <w:rPr>
          <w:sz w:val="26"/>
          <w:szCs w:val="26"/>
        </w:rPr>
        <w:lastRenderedPageBreak/>
        <w:t xml:space="preserve">shareholders to contribute $50,000 per year to the Helping Hand program for four years (Settlement at ¶ 109).  The OSBA acknowledges that these are benefits to the residential class but provides that they are </w:t>
      </w:r>
      <w:r w:rsidRPr="003A069B">
        <w:rPr>
          <w:i/>
          <w:iCs/>
          <w:sz w:val="26"/>
          <w:szCs w:val="26"/>
        </w:rPr>
        <w:t>de minimus</w:t>
      </w:r>
      <w:r>
        <w:rPr>
          <w:sz w:val="26"/>
          <w:szCs w:val="26"/>
        </w:rPr>
        <w:t xml:space="preserve"> in the context of the Proposed Transaction.  According to the OSBA, the Proposed Transaction involves a purchase price of $4.275 billion, and SteelRiver is being paid $3 billion for $1 billion in book equity.  The OSBA provides that the incremental commitments to low-income customers comes to less than $1 million total, spread over three to four years.  The OSBA states that such miniscule benefits to the residential class do not offset the substantial negative impacts of the Proposed Transaction on ratepayers, including the increased financial risk and the G/T System requirements.  OSBA Exc. at 26 (citing OSBA M.B. at 12-13, OSBA St. 1 at 3).  </w:t>
      </w:r>
    </w:p>
    <w:p w14:paraId="239D8705" w14:textId="77777777" w:rsidR="00580CEC" w:rsidRDefault="00580CEC" w:rsidP="00B24187">
      <w:pPr>
        <w:pStyle w:val="Default"/>
        <w:spacing w:line="360" w:lineRule="auto"/>
        <w:ind w:firstLine="1440"/>
        <w:rPr>
          <w:sz w:val="26"/>
          <w:szCs w:val="26"/>
        </w:rPr>
      </w:pPr>
    </w:p>
    <w:p w14:paraId="6D518675" w14:textId="77777777" w:rsidR="00F639D9" w:rsidRDefault="00F639D9" w:rsidP="00B24187">
      <w:pPr>
        <w:pStyle w:val="Default"/>
        <w:spacing w:line="360" w:lineRule="auto"/>
        <w:ind w:firstLine="1440"/>
        <w:rPr>
          <w:sz w:val="26"/>
          <w:szCs w:val="26"/>
        </w:rPr>
      </w:pPr>
      <w:r>
        <w:rPr>
          <w:sz w:val="26"/>
          <w:szCs w:val="26"/>
        </w:rPr>
        <w:t xml:space="preserve">The Joint Applicants provide, in their Replies, that the OSBA’s attempt to single out the commitments to low-income customers and universal service programs actually violates </w:t>
      </w:r>
      <w:r w:rsidRPr="00692EAA">
        <w:rPr>
          <w:i/>
          <w:iCs/>
          <w:sz w:val="26"/>
          <w:szCs w:val="26"/>
        </w:rPr>
        <w:t>Middletown Township</w:t>
      </w:r>
      <w:r>
        <w:rPr>
          <w:sz w:val="26"/>
          <w:szCs w:val="26"/>
        </w:rPr>
        <w:t xml:space="preserve"> because it is attempting to analyze the low-income and universal service commitments in isolation.  The Joint Applicants aver that the irrelevant comparisons made by the OSBA of the financial contributions to low-income and universal service programs of Aqua Pa and the Peoples Companies to the purchase price were properly rejected by the ALJ.  Joint Applicants R. Exc. at 18-19 (citing Joint Applicants R.B. at 52; R.D. at 51-55, 75-81).</w:t>
      </w:r>
    </w:p>
    <w:p w14:paraId="6BA026D2" w14:textId="77777777" w:rsidR="00F639D9" w:rsidRDefault="00F639D9" w:rsidP="00B24187">
      <w:pPr>
        <w:pStyle w:val="Default"/>
        <w:spacing w:line="360" w:lineRule="auto"/>
        <w:rPr>
          <w:sz w:val="26"/>
          <w:szCs w:val="26"/>
        </w:rPr>
      </w:pPr>
    </w:p>
    <w:p w14:paraId="79FE2AEA" w14:textId="6987C721" w:rsidR="00580CEC" w:rsidRDefault="00580CEC" w:rsidP="00B24187">
      <w:pPr>
        <w:pStyle w:val="Default"/>
        <w:spacing w:line="360" w:lineRule="auto"/>
        <w:ind w:firstLine="1440"/>
        <w:rPr>
          <w:sz w:val="26"/>
          <w:szCs w:val="26"/>
        </w:rPr>
      </w:pPr>
      <w:r>
        <w:rPr>
          <w:sz w:val="26"/>
          <w:szCs w:val="26"/>
        </w:rPr>
        <w:t>In its Replies, the OCA provides that it agrees with ALJ Long that in the absence of the Settlement, the Joint Applicants would not be legally required to make the additional funding commitments to low-income and universal service programs with shareholder dollars.  OCA R.</w:t>
      </w:r>
      <w:r w:rsidR="00CF4CD2">
        <w:rPr>
          <w:sz w:val="26"/>
          <w:szCs w:val="26"/>
        </w:rPr>
        <w:t xml:space="preserve"> </w:t>
      </w:r>
      <w:r>
        <w:rPr>
          <w:sz w:val="26"/>
          <w:szCs w:val="26"/>
        </w:rPr>
        <w:t xml:space="preserve">Exc. at 23 (citing R.D. at 80).  The OCA notes that the Settlement contains multiple and significant commitments to low-income issues which address the OCA’s concern regarding the merger’s effect on low-income and universal service programs in order to ensure that attention will not be diverted away from these programs as a result of the Proposed Transaction.  OCA R. Exc. at 23 (citing OCA R.B. at 30-33).  </w:t>
      </w:r>
    </w:p>
    <w:p w14:paraId="18EF3301" w14:textId="77777777" w:rsidR="000568DA" w:rsidRDefault="000568DA" w:rsidP="00B24187">
      <w:pPr>
        <w:pStyle w:val="Default"/>
        <w:spacing w:line="360" w:lineRule="auto"/>
        <w:ind w:firstLine="1440"/>
        <w:rPr>
          <w:sz w:val="26"/>
          <w:szCs w:val="26"/>
        </w:rPr>
      </w:pPr>
    </w:p>
    <w:p w14:paraId="615193FC" w14:textId="77777777" w:rsidR="00580CEC" w:rsidRDefault="00580CEC" w:rsidP="00B24187">
      <w:pPr>
        <w:pStyle w:val="Default"/>
        <w:spacing w:line="360" w:lineRule="auto"/>
        <w:ind w:firstLine="1440"/>
        <w:rPr>
          <w:sz w:val="26"/>
          <w:szCs w:val="26"/>
        </w:rPr>
      </w:pPr>
      <w:r>
        <w:rPr>
          <w:sz w:val="26"/>
          <w:szCs w:val="26"/>
        </w:rPr>
        <w:t xml:space="preserve">In Reply, CAUSE-PA avers that the OSBA erroneously interprets the Commonwealth Court’s decision in </w:t>
      </w:r>
      <w:r w:rsidRPr="00692EAA">
        <w:rPr>
          <w:i/>
          <w:iCs/>
          <w:sz w:val="26"/>
          <w:szCs w:val="26"/>
        </w:rPr>
        <w:t>Middletown Township</w:t>
      </w:r>
      <w:r>
        <w:rPr>
          <w:sz w:val="26"/>
          <w:szCs w:val="26"/>
        </w:rPr>
        <w:t xml:space="preserve"> as holding that class-specific benefits cannot constitute affirmative public benefits.  </w:t>
      </w:r>
      <w:bookmarkStart w:id="123" w:name="_Hlk26191648"/>
      <w:r>
        <w:rPr>
          <w:sz w:val="26"/>
          <w:szCs w:val="26"/>
        </w:rPr>
        <w:t xml:space="preserve">CAUSE-PA R. Exc. at 8 (citing OSBA Exc. at 25-26).  </w:t>
      </w:r>
      <w:bookmarkEnd w:id="123"/>
      <w:r>
        <w:rPr>
          <w:sz w:val="26"/>
          <w:szCs w:val="26"/>
        </w:rPr>
        <w:t xml:space="preserve">From CAUSE-PA’s perspective, </w:t>
      </w:r>
      <w:r w:rsidRPr="00692EAA">
        <w:rPr>
          <w:i/>
          <w:iCs/>
          <w:sz w:val="26"/>
          <w:szCs w:val="26"/>
        </w:rPr>
        <w:t>Middletown Township</w:t>
      </w:r>
      <w:r>
        <w:rPr>
          <w:sz w:val="26"/>
          <w:szCs w:val="26"/>
        </w:rPr>
        <w:t xml:space="preserve"> holds that in order to determine an affirmative public benefit, the benefits and detriments of the acquisition must be measured as they impact all affected parties, not merely on one particular group.  CAUSE-PA R. Exc. at 9 (citing </w:t>
      </w:r>
      <w:r w:rsidRPr="00692EAA">
        <w:rPr>
          <w:i/>
          <w:iCs/>
          <w:sz w:val="26"/>
          <w:szCs w:val="26"/>
        </w:rPr>
        <w:t>Middletown Township</w:t>
      </w:r>
      <w:r>
        <w:rPr>
          <w:sz w:val="26"/>
          <w:szCs w:val="26"/>
        </w:rPr>
        <w:t xml:space="preserve">, 482 A.2d at 682).  CAUSE-PA asserts that the low-income commitments in the Settlement satisfy this standard because they provide affirmative benefits to all customers of both the acquiring and acquired utilities, as well as the community at large.  CAUSE-PA avers that the low-income program commitments contained in the Settlement are specific and quantifiable and will provide both direct and indirect benefits to the customers of both </w:t>
      </w:r>
      <w:r w:rsidRPr="00CA473B">
        <w:rPr>
          <w:sz w:val="26"/>
          <w:szCs w:val="26"/>
        </w:rPr>
        <w:t>Aqua</w:t>
      </w:r>
      <w:r>
        <w:rPr>
          <w:sz w:val="26"/>
          <w:szCs w:val="26"/>
        </w:rPr>
        <w:t xml:space="preserve"> PA and the Peoples Companies.  CAUSE-PA R.</w:t>
      </w:r>
      <w:r w:rsidR="00CF4CD2">
        <w:rPr>
          <w:sz w:val="26"/>
          <w:szCs w:val="26"/>
        </w:rPr>
        <w:t xml:space="preserve"> </w:t>
      </w:r>
      <w:r>
        <w:rPr>
          <w:sz w:val="26"/>
          <w:szCs w:val="26"/>
        </w:rPr>
        <w:t xml:space="preserve">Exc. at 9 (citing CAUSE-PA Statement in Support, Joint Pet., App. C at 6-14).  </w:t>
      </w:r>
    </w:p>
    <w:p w14:paraId="11A70B35" w14:textId="77777777" w:rsidR="00580CEC" w:rsidRDefault="00580CEC" w:rsidP="00B24187">
      <w:pPr>
        <w:pStyle w:val="Default"/>
        <w:spacing w:line="360" w:lineRule="auto"/>
        <w:ind w:firstLine="1440"/>
        <w:rPr>
          <w:sz w:val="26"/>
          <w:szCs w:val="26"/>
        </w:rPr>
      </w:pPr>
    </w:p>
    <w:p w14:paraId="5065AFDE" w14:textId="77777777" w:rsidR="00580CEC" w:rsidRDefault="00580CEC" w:rsidP="00B24187">
      <w:pPr>
        <w:pStyle w:val="Default"/>
        <w:spacing w:line="360" w:lineRule="auto"/>
        <w:ind w:firstLine="1440"/>
        <w:rPr>
          <w:sz w:val="26"/>
          <w:szCs w:val="26"/>
        </w:rPr>
      </w:pPr>
      <w:r>
        <w:rPr>
          <w:sz w:val="26"/>
          <w:szCs w:val="26"/>
        </w:rPr>
        <w:t xml:space="preserve">CAUSE-PA explains that the low-income commitments in the Settlement will help protect the customers and communities served by the Peoples Companies and Aqua America by improving affordability, reducing terminations, controlling uncollectible expenses, helping maintain a strong customer base, and helping increase the utilization of energy efficiency measures.  CAUSE-PA R. Exc. at 10 (citing CAUSE-PA R.B. at 7; CAUSE-PA Statement in Support at 6-14).  </w:t>
      </w:r>
    </w:p>
    <w:p w14:paraId="6818B9A7" w14:textId="77777777" w:rsidR="00580CEC" w:rsidRDefault="00580CEC" w:rsidP="00B24187">
      <w:pPr>
        <w:pStyle w:val="Default"/>
        <w:spacing w:line="360" w:lineRule="auto"/>
        <w:ind w:firstLine="1440"/>
        <w:rPr>
          <w:sz w:val="26"/>
          <w:szCs w:val="26"/>
        </w:rPr>
      </w:pPr>
    </w:p>
    <w:p w14:paraId="17972BFD" w14:textId="77777777" w:rsidR="00580CEC" w:rsidRPr="00C42347" w:rsidRDefault="00580CEC" w:rsidP="00B24187">
      <w:pPr>
        <w:pStyle w:val="Heading4"/>
        <w:widowControl/>
        <w:ind w:left="2160" w:hanging="720"/>
      </w:pPr>
      <w:bookmarkStart w:id="124" w:name="_Toc29278232"/>
      <w:r w:rsidRPr="00C42347">
        <w:t>Disposition</w:t>
      </w:r>
      <w:bookmarkEnd w:id="124"/>
    </w:p>
    <w:p w14:paraId="1D7F471A" w14:textId="77777777" w:rsidR="00580CEC" w:rsidRDefault="00580CEC" w:rsidP="00B24187">
      <w:pPr>
        <w:pStyle w:val="Default"/>
        <w:spacing w:line="360" w:lineRule="auto"/>
        <w:ind w:firstLine="1440"/>
        <w:rPr>
          <w:sz w:val="26"/>
          <w:szCs w:val="26"/>
        </w:rPr>
      </w:pPr>
    </w:p>
    <w:p w14:paraId="36D78125" w14:textId="0C781B69" w:rsidR="00580CEC" w:rsidRDefault="00580CEC" w:rsidP="00B24187">
      <w:pPr>
        <w:pStyle w:val="Default"/>
        <w:spacing w:line="360" w:lineRule="auto"/>
        <w:ind w:firstLine="1440"/>
        <w:rPr>
          <w:sz w:val="26"/>
          <w:szCs w:val="26"/>
        </w:rPr>
      </w:pPr>
      <w:r>
        <w:rPr>
          <w:sz w:val="26"/>
          <w:szCs w:val="26"/>
        </w:rPr>
        <w:t xml:space="preserve">We will deny the Exceptions of I&amp;E and the OSBA regarding the low-income and universal service commitments of the Joint Applicants.  We agree with the ALJ’s conclusion that the Joint Applicants’ commitments will improve affordability for vulnerable customers which will result in benefits </w:t>
      </w:r>
      <w:r w:rsidR="00CF4CD2">
        <w:rPr>
          <w:sz w:val="26"/>
          <w:szCs w:val="26"/>
        </w:rPr>
        <w:t>to low</w:t>
      </w:r>
      <w:r>
        <w:rPr>
          <w:sz w:val="26"/>
          <w:szCs w:val="26"/>
        </w:rPr>
        <w:t xml:space="preserve">-income customers, other </w:t>
      </w:r>
      <w:r>
        <w:rPr>
          <w:sz w:val="26"/>
          <w:szCs w:val="26"/>
        </w:rPr>
        <w:lastRenderedPageBreak/>
        <w:t xml:space="preserve">ratepayers and the entire community.  We disagree with I&amp;E’s argument that the low-income and universal service commitments should not be considered a benefit, as they might be outweighed by other commitments that raise rates for the low-income customers.  We agree with CAUSE-PA that the potential impact of other commitments in the Settlement on low-income customers are unknown at this time, </w:t>
      </w:r>
      <w:r w:rsidR="00CF4CD2">
        <w:rPr>
          <w:sz w:val="26"/>
          <w:szCs w:val="26"/>
        </w:rPr>
        <w:t>but the</w:t>
      </w:r>
      <w:r>
        <w:rPr>
          <w:sz w:val="26"/>
          <w:szCs w:val="26"/>
        </w:rPr>
        <w:t xml:space="preserve"> terms of the Settlement provide quantifiable benefits to the low-income customers.  As CAUSE-PA pointed out, the bulk of these benefits will be paid for by shareholders and these benefits will be the resources needed if more low-income customers require services in the future.  If more customers need services, the Peoples Companies could increase their universal service budgets to ensure that needs are addressed within its territories.  CAUSE-PA R.</w:t>
      </w:r>
      <w:r w:rsidR="00CF4CD2">
        <w:rPr>
          <w:sz w:val="26"/>
          <w:szCs w:val="26"/>
        </w:rPr>
        <w:t xml:space="preserve"> </w:t>
      </w:r>
      <w:r>
        <w:rPr>
          <w:sz w:val="26"/>
          <w:szCs w:val="26"/>
        </w:rPr>
        <w:t xml:space="preserve">Exc. at 5-6.  We disagree with </w:t>
      </w:r>
      <w:r w:rsidR="00107DCE">
        <w:rPr>
          <w:sz w:val="26"/>
          <w:szCs w:val="26"/>
        </w:rPr>
        <w:t xml:space="preserve">the </w:t>
      </w:r>
      <w:r>
        <w:rPr>
          <w:sz w:val="26"/>
          <w:szCs w:val="26"/>
        </w:rPr>
        <w:t xml:space="preserve">OSBA’s argument that the low-income and universal service commitments are </w:t>
      </w:r>
      <w:r w:rsidRPr="00F106DC">
        <w:rPr>
          <w:i/>
          <w:iCs/>
          <w:sz w:val="26"/>
          <w:szCs w:val="26"/>
        </w:rPr>
        <w:t>de minimus</w:t>
      </w:r>
      <w:r>
        <w:rPr>
          <w:sz w:val="26"/>
          <w:szCs w:val="26"/>
        </w:rPr>
        <w:t xml:space="preserve"> in comparison to the purchase price.  In comparison to the existing programs and what was proposed in the Application, we note the substantial commitments in the Settlement to low-income and universal service programs total approximately $825,000 to be paid for by shareholders over a multi-year period.  This increase to funding of low-income and universal service programs would not be legally required of the Joint Applicants and would not have occurred without the Proposed Transaction. </w:t>
      </w:r>
    </w:p>
    <w:p w14:paraId="048233F9" w14:textId="77777777" w:rsidR="00580CEC" w:rsidRDefault="00580CEC" w:rsidP="00B24187">
      <w:pPr>
        <w:pStyle w:val="Default"/>
        <w:spacing w:line="360" w:lineRule="auto"/>
        <w:ind w:firstLine="1440"/>
        <w:rPr>
          <w:sz w:val="26"/>
          <w:szCs w:val="26"/>
        </w:rPr>
      </w:pPr>
    </w:p>
    <w:p w14:paraId="12108E88" w14:textId="763CCDBF" w:rsidR="00580CEC" w:rsidRDefault="00580CEC" w:rsidP="00B24187">
      <w:pPr>
        <w:pStyle w:val="Default"/>
        <w:spacing w:line="360" w:lineRule="auto"/>
        <w:ind w:firstLine="1440"/>
        <w:rPr>
          <w:sz w:val="26"/>
          <w:szCs w:val="26"/>
        </w:rPr>
      </w:pPr>
      <w:r>
        <w:rPr>
          <w:sz w:val="26"/>
          <w:szCs w:val="26"/>
        </w:rPr>
        <w:t xml:space="preserve">We agree with CAUSE-PA that the OSBA is incorrect in its interpretation of the Commonwealth Court decision in </w:t>
      </w:r>
      <w:r w:rsidRPr="00B07D6D">
        <w:rPr>
          <w:i/>
          <w:iCs/>
          <w:sz w:val="26"/>
          <w:szCs w:val="26"/>
        </w:rPr>
        <w:t>Middletown Township</w:t>
      </w:r>
      <w:r>
        <w:rPr>
          <w:sz w:val="26"/>
          <w:szCs w:val="26"/>
        </w:rPr>
        <w:t xml:space="preserve"> as it applies to the facts in this case.</w:t>
      </w:r>
      <w:r w:rsidR="003A591D">
        <w:rPr>
          <w:sz w:val="26"/>
          <w:szCs w:val="26"/>
        </w:rPr>
        <w:t xml:space="preserve">  </w:t>
      </w:r>
      <w:r w:rsidRPr="00B07D6D">
        <w:rPr>
          <w:i/>
          <w:iCs/>
          <w:sz w:val="26"/>
          <w:szCs w:val="26"/>
        </w:rPr>
        <w:t>Middletown Towns</w:t>
      </w:r>
      <w:r>
        <w:rPr>
          <w:i/>
          <w:iCs/>
          <w:sz w:val="26"/>
          <w:szCs w:val="26"/>
        </w:rPr>
        <w:t>hip</w:t>
      </w:r>
      <w:r>
        <w:rPr>
          <w:sz w:val="26"/>
          <w:szCs w:val="26"/>
        </w:rPr>
        <w:t xml:space="preserve"> holds that in order to determine an affirmative public benefit, the benefits and detriments of the acquisition must be measured as they impact all affected parties, not merely one group.  This case is distinguishable from </w:t>
      </w:r>
      <w:r w:rsidRPr="00402190">
        <w:rPr>
          <w:i/>
          <w:iCs/>
          <w:sz w:val="26"/>
          <w:szCs w:val="26"/>
        </w:rPr>
        <w:t>Middletown Township</w:t>
      </w:r>
      <w:r>
        <w:rPr>
          <w:sz w:val="26"/>
          <w:szCs w:val="26"/>
        </w:rPr>
        <w:t xml:space="preserve"> because in this case, the low-income commitments in the Settlement benefit all customers of the Joint Applicants as well as the community at large through, </w:t>
      </w:r>
      <w:r w:rsidRPr="00B07D6D">
        <w:rPr>
          <w:i/>
          <w:iCs/>
          <w:sz w:val="26"/>
          <w:szCs w:val="26"/>
        </w:rPr>
        <w:t>inter alia</w:t>
      </w:r>
      <w:r>
        <w:rPr>
          <w:sz w:val="26"/>
          <w:szCs w:val="26"/>
        </w:rPr>
        <w:t xml:space="preserve">, fewer terminations, improving affordability, controlling uncollectible expenses, increased use of energy efficiency measures, and reduced need for alternative heating sources including unsafe alternatives.  In </w:t>
      </w:r>
      <w:r w:rsidRPr="00C974EE">
        <w:rPr>
          <w:i/>
          <w:iCs/>
          <w:sz w:val="26"/>
          <w:szCs w:val="26"/>
        </w:rPr>
        <w:t>Middletown Township</w:t>
      </w:r>
      <w:r>
        <w:rPr>
          <w:sz w:val="26"/>
          <w:szCs w:val="26"/>
        </w:rPr>
        <w:t xml:space="preserve">, on the other hand, substantial </w:t>
      </w:r>
      <w:r>
        <w:rPr>
          <w:sz w:val="26"/>
          <w:szCs w:val="26"/>
        </w:rPr>
        <w:lastRenderedPageBreak/>
        <w:t xml:space="preserve">evidence demonstrated that while the acquisition would benefit the Township’s current customers and most of the customers of the water company that would be serviced by the acquisition, the acquisition would have a negative impact on the water company’s remaining customers.  </w:t>
      </w:r>
    </w:p>
    <w:p w14:paraId="2038BE4A" w14:textId="77777777" w:rsidR="00580CEC" w:rsidRDefault="00580CEC" w:rsidP="00B24187">
      <w:pPr>
        <w:pStyle w:val="Default"/>
        <w:spacing w:line="360" w:lineRule="auto"/>
        <w:ind w:firstLine="1440"/>
        <w:rPr>
          <w:sz w:val="26"/>
          <w:szCs w:val="26"/>
        </w:rPr>
      </w:pPr>
    </w:p>
    <w:p w14:paraId="3BE8F047" w14:textId="77777777" w:rsidR="00580CEC" w:rsidRDefault="00580CEC" w:rsidP="000568DA">
      <w:pPr>
        <w:pStyle w:val="Default"/>
        <w:spacing w:line="360" w:lineRule="auto"/>
        <w:ind w:firstLine="1440"/>
        <w:rPr>
          <w:sz w:val="26"/>
          <w:szCs w:val="26"/>
        </w:rPr>
      </w:pPr>
      <w:r>
        <w:rPr>
          <w:sz w:val="26"/>
          <w:szCs w:val="26"/>
        </w:rPr>
        <w:t xml:space="preserve">We find that the Universal Service and Low-Income commitments in the Settlement are in the public interest as the commitments will substantially benefit customers who lack the ability to pay the full cost of their utility service.  As CAUSE-PA provided, low-income customers make up a significant portion of the Joint Applicants’ residential customer base, and these customers are vulnerable to changes in administration of service.  CAUSE-PA Statement in Support at 2.  We note that universal service settlement commitments similar to those proposed here have been cited in other transactional proceedings as affirmative public benefits.  </w:t>
      </w:r>
      <w:r w:rsidRPr="00F106DC">
        <w:rPr>
          <w:i/>
          <w:iCs/>
          <w:sz w:val="26"/>
          <w:szCs w:val="26"/>
        </w:rPr>
        <w:t>See</w:t>
      </w:r>
      <w:r>
        <w:rPr>
          <w:i/>
          <w:iCs/>
          <w:sz w:val="26"/>
          <w:szCs w:val="26"/>
        </w:rPr>
        <w:t>, e.g.,</w:t>
      </w:r>
      <w:r w:rsidRPr="00F106DC">
        <w:rPr>
          <w:i/>
          <w:iCs/>
          <w:sz w:val="26"/>
          <w:szCs w:val="26"/>
        </w:rPr>
        <w:t xml:space="preserve"> Application of UGI Utilities, Inc.</w:t>
      </w:r>
      <w:r>
        <w:rPr>
          <w:sz w:val="26"/>
          <w:szCs w:val="26"/>
        </w:rPr>
        <w:t xml:space="preserve">, Docket No. A-120011F2000 (Order entered August 18, 2006).  These commitments will largely be paid for by shareholders and amount to approximately $825,000 over a several year period.  In addition, these commitments are consistent with the universal service goals in the Competition Act.  </w:t>
      </w:r>
      <w:r w:rsidRPr="00FA4A3B">
        <w:rPr>
          <w:i/>
          <w:iCs/>
          <w:sz w:val="26"/>
          <w:szCs w:val="26"/>
        </w:rPr>
        <w:t>See</w:t>
      </w:r>
      <w:r>
        <w:rPr>
          <w:sz w:val="26"/>
          <w:szCs w:val="26"/>
        </w:rPr>
        <w:t xml:space="preserve">, 66 Pa. C.S. § 2203(7) and (8).  Aqua PA’s low-income customers will benefit as Aqua PA works with the Peoples Companies to leverage the Peoples Companies’ experience with low-income customer programs.  </w:t>
      </w:r>
    </w:p>
    <w:p w14:paraId="7256B400" w14:textId="77777777" w:rsidR="00C767AB" w:rsidRPr="009927F8" w:rsidRDefault="00C767AB" w:rsidP="000568DA">
      <w:pPr>
        <w:widowControl/>
        <w:spacing w:line="360" w:lineRule="auto"/>
        <w:rPr>
          <w:sz w:val="26"/>
          <w:szCs w:val="26"/>
        </w:rPr>
      </w:pPr>
    </w:p>
    <w:p w14:paraId="03444689" w14:textId="77777777" w:rsidR="00580CEC" w:rsidRPr="00D36FFE" w:rsidRDefault="00580CEC" w:rsidP="000568DA">
      <w:pPr>
        <w:pStyle w:val="Heading3"/>
        <w:keepNext/>
        <w:ind w:left="1440" w:hanging="720"/>
      </w:pPr>
      <w:bookmarkStart w:id="125" w:name="_Toc29278233"/>
      <w:r w:rsidRPr="00D36FFE">
        <w:lastRenderedPageBreak/>
        <w:t>Customer Service Improvements</w:t>
      </w:r>
      <w:bookmarkEnd w:id="125"/>
    </w:p>
    <w:p w14:paraId="6D52A3D9" w14:textId="77777777" w:rsidR="00580CEC" w:rsidRPr="00D36FFE" w:rsidRDefault="00580CEC" w:rsidP="000568DA">
      <w:pPr>
        <w:pStyle w:val="Default"/>
        <w:keepNext/>
        <w:spacing w:line="360" w:lineRule="auto"/>
        <w:ind w:firstLine="1440"/>
        <w:jc w:val="center"/>
        <w:rPr>
          <w:b/>
          <w:bCs/>
          <w:sz w:val="26"/>
          <w:szCs w:val="26"/>
        </w:rPr>
      </w:pPr>
    </w:p>
    <w:p w14:paraId="1664B0E0" w14:textId="77777777" w:rsidR="00580CEC" w:rsidRDefault="00580CEC" w:rsidP="000568DA">
      <w:pPr>
        <w:pStyle w:val="Heading4"/>
        <w:widowControl/>
        <w:numPr>
          <w:ilvl w:val="0"/>
          <w:numId w:val="34"/>
        </w:numPr>
        <w:ind w:left="2160" w:hanging="720"/>
      </w:pPr>
      <w:bookmarkStart w:id="126" w:name="_Toc29278234"/>
      <w:r w:rsidRPr="00C42347">
        <w:t>Settlement Terms</w:t>
      </w:r>
      <w:bookmarkEnd w:id="126"/>
    </w:p>
    <w:p w14:paraId="2FE2414A" w14:textId="77777777" w:rsidR="00580CEC" w:rsidRPr="009927F8" w:rsidRDefault="00580CEC" w:rsidP="000568DA">
      <w:pPr>
        <w:keepNext/>
        <w:widowControl/>
        <w:spacing w:line="360" w:lineRule="auto"/>
        <w:rPr>
          <w:sz w:val="26"/>
          <w:szCs w:val="26"/>
        </w:rPr>
      </w:pPr>
    </w:p>
    <w:p w14:paraId="15EF8B67" w14:textId="77777777" w:rsidR="00580CEC" w:rsidRPr="00F106DC" w:rsidRDefault="00580CEC" w:rsidP="000568DA">
      <w:pPr>
        <w:keepNext/>
        <w:widowControl/>
        <w:spacing w:line="360" w:lineRule="auto"/>
        <w:rPr>
          <w:sz w:val="26"/>
          <w:szCs w:val="26"/>
        </w:rPr>
      </w:pPr>
      <w:r>
        <w:tab/>
      </w:r>
      <w:r>
        <w:tab/>
      </w:r>
      <w:r w:rsidRPr="00F106DC">
        <w:rPr>
          <w:sz w:val="26"/>
          <w:szCs w:val="26"/>
        </w:rPr>
        <w:t xml:space="preserve">The </w:t>
      </w:r>
      <w:r>
        <w:rPr>
          <w:sz w:val="26"/>
          <w:szCs w:val="26"/>
        </w:rPr>
        <w:t xml:space="preserve">Settling Parties established the following terms concerning customer service improvements: </w:t>
      </w:r>
    </w:p>
    <w:p w14:paraId="21C3A7E4" w14:textId="77777777" w:rsidR="00580CEC" w:rsidRPr="006751A1" w:rsidRDefault="00580CEC" w:rsidP="00C61865">
      <w:pPr>
        <w:keepNext/>
        <w:widowControl/>
        <w:spacing w:line="360" w:lineRule="auto"/>
      </w:pPr>
    </w:p>
    <w:p w14:paraId="6A0C9584" w14:textId="77777777" w:rsidR="00580CEC" w:rsidRDefault="00580CEC" w:rsidP="00C61865">
      <w:pPr>
        <w:keepNext/>
        <w:widowControl/>
        <w:tabs>
          <w:tab w:val="left" w:pos="1440"/>
        </w:tabs>
        <w:ind w:left="1440" w:right="1440"/>
        <w:textAlignment w:val="baseline"/>
        <w:rPr>
          <w:color w:val="000000"/>
          <w:sz w:val="26"/>
          <w:szCs w:val="26"/>
        </w:rPr>
      </w:pPr>
      <w:r w:rsidRPr="00DA188D">
        <w:rPr>
          <w:color w:val="000000"/>
          <w:sz w:val="26"/>
          <w:szCs w:val="26"/>
        </w:rPr>
        <w:t>83.</w:t>
      </w:r>
      <w:r w:rsidRPr="00DA188D">
        <w:rPr>
          <w:color w:val="000000"/>
          <w:sz w:val="26"/>
          <w:szCs w:val="26"/>
        </w:rPr>
        <w:tab/>
        <w:t>Aqua commits to improve Aqua’s call center performance to meet or exceed the same performance standards that the Peoples Companies agreed to meet in the 2013 Settlement concerning the acquisition of Equitable Gas Company (Docket No. A-2013-2353647 et al.) for the following three metrics in each of the five calendar years (2020-2024) following closing:</w:t>
      </w:r>
    </w:p>
    <w:p w14:paraId="7FD0D1ED" w14:textId="77777777" w:rsidR="00580CEC" w:rsidRPr="00DA188D" w:rsidRDefault="00580CEC" w:rsidP="00B24187">
      <w:pPr>
        <w:widowControl/>
        <w:tabs>
          <w:tab w:val="left" w:pos="1440"/>
        </w:tabs>
        <w:ind w:left="1440" w:right="1440"/>
        <w:textAlignment w:val="baseline"/>
        <w:rPr>
          <w:color w:val="000000"/>
          <w:sz w:val="26"/>
          <w:szCs w:val="26"/>
        </w:rPr>
      </w:pPr>
    </w:p>
    <w:p w14:paraId="09125D4C" w14:textId="77777777" w:rsidR="00580CEC" w:rsidRPr="00DA188D" w:rsidRDefault="00580CEC" w:rsidP="00C76DFC">
      <w:pPr>
        <w:widowControl/>
        <w:numPr>
          <w:ilvl w:val="0"/>
          <w:numId w:val="17"/>
        </w:numPr>
        <w:tabs>
          <w:tab w:val="clear" w:pos="936"/>
        </w:tabs>
        <w:ind w:left="2880" w:right="1440" w:hanging="720"/>
        <w:textAlignment w:val="baseline"/>
        <w:rPr>
          <w:color w:val="000000"/>
          <w:sz w:val="26"/>
          <w:szCs w:val="26"/>
        </w:rPr>
      </w:pPr>
      <w:r w:rsidRPr="00DA188D">
        <w:rPr>
          <w:color w:val="000000"/>
          <w:sz w:val="26"/>
          <w:szCs w:val="26"/>
        </w:rPr>
        <w:t>percent of calls answered within 30 seconds of at least 82%,</w:t>
      </w:r>
    </w:p>
    <w:p w14:paraId="2091EB2D" w14:textId="77777777" w:rsidR="00580CEC" w:rsidRPr="00DA188D" w:rsidRDefault="00580CEC" w:rsidP="00C76DFC">
      <w:pPr>
        <w:widowControl/>
        <w:numPr>
          <w:ilvl w:val="0"/>
          <w:numId w:val="17"/>
        </w:numPr>
        <w:tabs>
          <w:tab w:val="clear" w:pos="936"/>
        </w:tabs>
        <w:ind w:left="2880" w:right="1440" w:hanging="720"/>
        <w:textAlignment w:val="baseline"/>
        <w:rPr>
          <w:color w:val="000000"/>
          <w:sz w:val="26"/>
          <w:szCs w:val="26"/>
        </w:rPr>
      </w:pPr>
      <w:r w:rsidRPr="00DA188D">
        <w:rPr>
          <w:color w:val="000000"/>
          <w:sz w:val="26"/>
          <w:szCs w:val="26"/>
        </w:rPr>
        <w:t>busy-out rate of no more than 0.25%,</w:t>
      </w:r>
    </w:p>
    <w:p w14:paraId="18F7EA87" w14:textId="35C20C18" w:rsidR="00580CEC" w:rsidRDefault="00580CEC" w:rsidP="00C76DFC">
      <w:pPr>
        <w:widowControl/>
        <w:numPr>
          <w:ilvl w:val="0"/>
          <w:numId w:val="17"/>
        </w:numPr>
        <w:tabs>
          <w:tab w:val="clear" w:pos="936"/>
        </w:tabs>
        <w:ind w:left="2880" w:right="1440" w:hanging="720"/>
        <w:textAlignment w:val="baseline"/>
        <w:rPr>
          <w:color w:val="000000"/>
          <w:sz w:val="26"/>
          <w:szCs w:val="26"/>
        </w:rPr>
      </w:pPr>
      <w:r w:rsidRPr="00DA188D">
        <w:rPr>
          <w:color w:val="000000"/>
          <w:sz w:val="26"/>
          <w:szCs w:val="26"/>
        </w:rPr>
        <w:t>average call abandonment rate that is no higher than 4% for 2020-2021, no higher than 3% for 2022-2023, and no higher than 2.5% for 2024.</w:t>
      </w:r>
    </w:p>
    <w:p w14:paraId="7056BD06" w14:textId="77777777" w:rsidR="000568DA" w:rsidRPr="00DA188D" w:rsidRDefault="000568DA" w:rsidP="000568DA">
      <w:pPr>
        <w:widowControl/>
        <w:tabs>
          <w:tab w:val="left" w:pos="936"/>
          <w:tab w:val="left" w:pos="2160"/>
        </w:tabs>
        <w:ind w:left="2160" w:right="1440"/>
        <w:textAlignment w:val="baseline"/>
        <w:rPr>
          <w:color w:val="000000"/>
          <w:sz w:val="26"/>
          <w:szCs w:val="26"/>
        </w:rPr>
      </w:pPr>
    </w:p>
    <w:p w14:paraId="79ECF3F6" w14:textId="77777777" w:rsidR="00580CEC" w:rsidRDefault="00580CEC" w:rsidP="00B24187">
      <w:pPr>
        <w:widowControl/>
        <w:tabs>
          <w:tab w:val="left" w:pos="1440"/>
        </w:tabs>
        <w:spacing w:before="141"/>
        <w:ind w:left="1440" w:right="1440"/>
        <w:textAlignment w:val="baseline"/>
        <w:rPr>
          <w:color w:val="000000"/>
          <w:sz w:val="26"/>
          <w:szCs w:val="26"/>
        </w:rPr>
      </w:pPr>
      <w:r w:rsidRPr="00DA188D">
        <w:rPr>
          <w:color w:val="000000"/>
          <w:spacing w:val="4"/>
          <w:sz w:val="26"/>
          <w:szCs w:val="26"/>
        </w:rPr>
        <w:t>84.</w:t>
      </w:r>
      <w:r w:rsidRPr="00DA188D">
        <w:rPr>
          <w:color w:val="000000"/>
          <w:spacing w:val="4"/>
          <w:sz w:val="26"/>
          <w:szCs w:val="26"/>
        </w:rPr>
        <w:tab/>
        <w:t>Aqua America will maintain, at the minimum, the Peoples Companies capital</w:t>
      </w:r>
      <w:r>
        <w:rPr>
          <w:color w:val="000000"/>
          <w:spacing w:val="4"/>
          <w:sz w:val="26"/>
          <w:szCs w:val="26"/>
        </w:rPr>
        <w:t xml:space="preserve"> e</w:t>
      </w:r>
      <w:r w:rsidRPr="00DA188D">
        <w:rPr>
          <w:color w:val="000000"/>
          <w:sz w:val="26"/>
          <w:szCs w:val="26"/>
        </w:rPr>
        <w:t>xpenditures at pre-acquisition budgeted levels, and will provide to the OCA, I&amp;E and OSBA with projected expenditures for 2019 and 2020.</w:t>
      </w:r>
    </w:p>
    <w:p w14:paraId="12582A0B" w14:textId="77777777" w:rsidR="00580CEC" w:rsidRDefault="00580CEC" w:rsidP="00B24187">
      <w:pPr>
        <w:widowControl/>
        <w:tabs>
          <w:tab w:val="left" w:pos="1440"/>
        </w:tabs>
        <w:spacing w:before="141"/>
        <w:ind w:left="1440" w:right="1440"/>
        <w:textAlignment w:val="baseline"/>
        <w:rPr>
          <w:color w:val="000000"/>
          <w:sz w:val="26"/>
          <w:szCs w:val="26"/>
        </w:rPr>
      </w:pPr>
    </w:p>
    <w:p w14:paraId="5B519D45" w14:textId="77777777" w:rsidR="00580CEC" w:rsidRDefault="00580CEC" w:rsidP="00B24187">
      <w:pPr>
        <w:widowControl/>
        <w:ind w:left="1440" w:right="1440"/>
        <w:textAlignment w:val="baseline"/>
        <w:rPr>
          <w:color w:val="000000"/>
          <w:spacing w:val="2"/>
          <w:sz w:val="26"/>
          <w:szCs w:val="26"/>
        </w:rPr>
      </w:pPr>
      <w:r w:rsidRPr="00DA188D">
        <w:rPr>
          <w:color w:val="000000"/>
          <w:spacing w:val="2"/>
          <w:sz w:val="26"/>
          <w:szCs w:val="26"/>
        </w:rPr>
        <w:t>85.</w:t>
      </w:r>
      <w:r w:rsidRPr="00DA188D">
        <w:rPr>
          <w:color w:val="000000"/>
          <w:spacing w:val="2"/>
          <w:sz w:val="26"/>
          <w:szCs w:val="26"/>
        </w:rPr>
        <w:tab/>
        <w:t xml:space="preserve">Aqua PA will develop a system to track Aqua PA customer complaints in a live Excel spreadsheet, consistent with Paragraph 47 in the Joint Petition for Settlement submitted in Aqua PA’s recent base rate case (Docket Nos. R-2018-3003558 and R-2018-3003561). </w:t>
      </w:r>
      <w:r>
        <w:rPr>
          <w:color w:val="000000"/>
          <w:spacing w:val="2"/>
          <w:sz w:val="26"/>
          <w:szCs w:val="26"/>
        </w:rPr>
        <w:t xml:space="preserve"> </w:t>
      </w:r>
      <w:r w:rsidRPr="00DA188D">
        <w:rPr>
          <w:color w:val="000000"/>
          <w:spacing w:val="2"/>
          <w:sz w:val="26"/>
          <w:szCs w:val="26"/>
        </w:rPr>
        <w:t>Aqua PA will review this information and conduct a root cause analysis of adverse trends at least annually.</w:t>
      </w:r>
    </w:p>
    <w:p w14:paraId="650B3F86" w14:textId="77777777" w:rsidR="00580CEC" w:rsidRDefault="00580CEC" w:rsidP="00B24187">
      <w:pPr>
        <w:widowControl/>
        <w:ind w:left="1440" w:right="1440"/>
        <w:jc w:val="both"/>
        <w:textAlignment w:val="baseline"/>
        <w:rPr>
          <w:color w:val="000000"/>
          <w:sz w:val="26"/>
          <w:szCs w:val="26"/>
        </w:rPr>
      </w:pPr>
    </w:p>
    <w:p w14:paraId="7B90E140" w14:textId="77777777" w:rsidR="00580CEC" w:rsidRDefault="00580CEC" w:rsidP="00B24187">
      <w:pPr>
        <w:widowControl/>
        <w:ind w:left="1440" w:right="1440"/>
        <w:textAlignment w:val="baseline"/>
        <w:rPr>
          <w:color w:val="000000"/>
          <w:sz w:val="26"/>
          <w:szCs w:val="26"/>
        </w:rPr>
      </w:pPr>
      <w:r w:rsidRPr="00DA188D">
        <w:rPr>
          <w:color w:val="000000"/>
          <w:sz w:val="26"/>
          <w:szCs w:val="26"/>
        </w:rPr>
        <w:t>86.</w:t>
      </w:r>
      <w:r w:rsidRPr="00DA188D">
        <w:rPr>
          <w:color w:val="000000"/>
          <w:sz w:val="26"/>
          <w:szCs w:val="26"/>
        </w:rPr>
        <w:tab/>
        <w:t>Aqua PA will commit to a significant reduction in the number of days to respond</w:t>
      </w:r>
      <w:r>
        <w:rPr>
          <w:color w:val="000000"/>
          <w:sz w:val="26"/>
          <w:szCs w:val="26"/>
        </w:rPr>
        <w:t xml:space="preserve"> </w:t>
      </w:r>
      <w:r w:rsidRPr="00DA188D">
        <w:rPr>
          <w:color w:val="000000"/>
          <w:sz w:val="26"/>
          <w:szCs w:val="26"/>
        </w:rPr>
        <w:t>to customer complaints so that, within 24 months, the average is less than 10.</w:t>
      </w:r>
    </w:p>
    <w:p w14:paraId="001E51D6" w14:textId="77777777" w:rsidR="00580CEC" w:rsidRPr="00DA188D" w:rsidRDefault="00580CEC" w:rsidP="00B24187">
      <w:pPr>
        <w:widowControl/>
        <w:ind w:left="1440" w:right="1440"/>
        <w:textAlignment w:val="baseline"/>
        <w:rPr>
          <w:color w:val="000000"/>
          <w:sz w:val="26"/>
          <w:szCs w:val="26"/>
        </w:rPr>
      </w:pPr>
    </w:p>
    <w:p w14:paraId="26361C57" w14:textId="77777777" w:rsidR="00580CEC" w:rsidRDefault="00580CEC" w:rsidP="00B24187">
      <w:pPr>
        <w:widowControl/>
        <w:tabs>
          <w:tab w:val="decimal" w:pos="1008"/>
          <w:tab w:val="left" w:pos="1440"/>
        </w:tabs>
        <w:ind w:left="1440" w:right="1440"/>
        <w:textAlignment w:val="baseline"/>
        <w:rPr>
          <w:color w:val="000000"/>
          <w:sz w:val="26"/>
          <w:szCs w:val="26"/>
        </w:rPr>
      </w:pPr>
      <w:r w:rsidRPr="00DA188D">
        <w:rPr>
          <w:color w:val="000000"/>
          <w:sz w:val="26"/>
          <w:szCs w:val="26"/>
        </w:rPr>
        <w:lastRenderedPageBreak/>
        <w:t>87.</w:t>
      </w:r>
      <w:r w:rsidRPr="00DA188D">
        <w:rPr>
          <w:color w:val="000000"/>
          <w:sz w:val="26"/>
          <w:szCs w:val="26"/>
        </w:rPr>
        <w:tab/>
        <w:t>Aqua PA will develop and adopt a methodology to track whether</w:t>
      </w:r>
      <w:r>
        <w:rPr>
          <w:color w:val="000000"/>
          <w:sz w:val="26"/>
          <w:szCs w:val="26"/>
        </w:rPr>
        <w:t xml:space="preserve"> appointments </w:t>
      </w:r>
      <w:r w:rsidRPr="00DA188D">
        <w:rPr>
          <w:color w:val="000000"/>
          <w:sz w:val="26"/>
          <w:szCs w:val="26"/>
        </w:rPr>
        <w:t>are made and kept for field operations in a manner similar to that used by the Peoples Companies within 18 months and adopt internal performance standards that meet or exceed those of the Peoples Companies for this performance standard for five years.</w:t>
      </w:r>
    </w:p>
    <w:p w14:paraId="04EA05C9" w14:textId="77777777" w:rsidR="00580CEC" w:rsidRPr="00DA188D" w:rsidRDefault="00580CEC" w:rsidP="00B24187">
      <w:pPr>
        <w:widowControl/>
        <w:tabs>
          <w:tab w:val="decimal" w:pos="1008"/>
          <w:tab w:val="left" w:pos="1440"/>
        </w:tabs>
        <w:ind w:left="1440" w:right="1440"/>
        <w:textAlignment w:val="baseline"/>
        <w:rPr>
          <w:color w:val="000000"/>
          <w:sz w:val="26"/>
          <w:szCs w:val="26"/>
        </w:rPr>
      </w:pPr>
    </w:p>
    <w:p w14:paraId="20EC9928" w14:textId="77777777" w:rsidR="00580CEC" w:rsidRDefault="00580CEC" w:rsidP="00B24187">
      <w:pPr>
        <w:widowControl/>
        <w:tabs>
          <w:tab w:val="decimal" w:pos="1008"/>
          <w:tab w:val="left" w:pos="1440"/>
        </w:tabs>
        <w:ind w:left="1440" w:right="1440"/>
        <w:textAlignment w:val="baseline"/>
        <w:rPr>
          <w:color w:val="000000"/>
          <w:sz w:val="26"/>
          <w:szCs w:val="26"/>
        </w:rPr>
      </w:pPr>
      <w:r w:rsidRPr="00DA188D">
        <w:rPr>
          <w:color w:val="000000"/>
          <w:sz w:val="26"/>
          <w:szCs w:val="26"/>
        </w:rPr>
        <w:t>88.</w:t>
      </w:r>
      <w:r w:rsidRPr="00DA188D">
        <w:rPr>
          <w:color w:val="000000"/>
          <w:sz w:val="26"/>
          <w:szCs w:val="26"/>
        </w:rPr>
        <w:tab/>
        <w:t>Aqua PA will meet its internal 2019 performance objectives as listed below and will continue to establish and strive to meet comparable or more strict performance objectives for five years:</w:t>
      </w:r>
    </w:p>
    <w:p w14:paraId="2FBC62A8" w14:textId="77777777" w:rsidR="00580CEC" w:rsidRPr="00DA188D" w:rsidRDefault="00580CEC" w:rsidP="00B24187">
      <w:pPr>
        <w:widowControl/>
        <w:tabs>
          <w:tab w:val="decimal" w:pos="1008"/>
          <w:tab w:val="left" w:pos="1440"/>
        </w:tabs>
        <w:ind w:left="1440" w:right="1440"/>
        <w:textAlignment w:val="baseline"/>
        <w:rPr>
          <w:color w:val="000000"/>
          <w:sz w:val="26"/>
          <w:szCs w:val="26"/>
        </w:rPr>
      </w:pPr>
    </w:p>
    <w:p w14:paraId="692199AD" w14:textId="77777777" w:rsidR="00580CEC" w:rsidRPr="00DA188D" w:rsidRDefault="00580CEC" w:rsidP="00B24187">
      <w:pPr>
        <w:widowControl/>
        <w:numPr>
          <w:ilvl w:val="0"/>
          <w:numId w:val="18"/>
        </w:numPr>
        <w:tabs>
          <w:tab w:val="left" w:pos="2160"/>
        </w:tabs>
        <w:ind w:left="2160" w:right="1440"/>
        <w:textAlignment w:val="baseline"/>
        <w:rPr>
          <w:color w:val="000000"/>
          <w:sz w:val="26"/>
          <w:szCs w:val="26"/>
        </w:rPr>
      </w:pPr>
      <w:r w:rsidRPr="00DA188D">
        <w:rPr>
          <w:color w:val="000000"/>
          <w:sz w:val="26"/>
          <w:szCs w:val="26"/>
        </w:rPr>
        <w:t>Estimate read rate – less than 0.5%</w:t>
      </w:r>
    </w:p>
    <w:p w14:paraId="49116919" w14:textId="77777777" w:rsidR="00580CEC" w:rsidRPr="00DA188D" w:rsidRDefault="00580CEC" w:rsidP="00B24187">
      <w:pPr>
        <w:widowControl/>
        <w:numPr>
          <w:ilvl w:val="0"/>
          <w:numId w:val="18"/>
        </w:numPr>
        <w:tabs>
          <w:tab w:val="left" w:pos="2160"/>
        </w:tabs>
        <w:ind w:left="2160" w:right="1440"/>
        <w:textAlignment w:val="baseline"/>
        <w:rPr>
          <w:color w:val="000000"/>
          <w:sz w:val="26"/>
          <w:szCs w:val="26"/>
        </w:rPr>
      </w:pPr>
      <w:r w:rsidRPr="00DA188D">
        <w:rPr>
          <w:color w:val="000000"/>
          <w:sz w:val="26"/>
          <w:szCs w:val="26"/>
        </w:rPr>
        <w:t>Actual read rate – 99%</w:t>
      </w:r>
    </w:p>
    <w:p w14:paraId="3BF9C976" w14:textId="77777777" w:rsidR="00580CEC" w:rsidRPr="00DA188D" w:rsidRDefault="00580CEC" w:rsidP="00B24187">
      <w:pPr>
        <w:widowControl/>
        <w:numPr>
          <w:ilvl w:val="0"/>
          <w:numId w:val="18"/>
        </w:numPr>
        <w:tabs>
          <w:tab w:val="left" w:pos="2160"/>
        </w:tabs>
        <w:ind w:left="2160" w:right="1440"/>
        <w:textAlignment w:val="baseline"/>
        <w:rPr>
          <w:color w:val="000000"/>
          <w:sz w:val="26"/>
          <w:szCs w:val="26"/>
        </w:rPr>
      </w:pPr>
      <w:r w:rsidRPr="00DA188D">
        <w:rPr>
          <w:color w:val="000000"/>
          <w:sz w:val="26"/>
          <w:szCs w:val="26"/>
        </w:rPr>
        <w:t>Lost time accidents – 19</w:t>
      </w:r>
    </w:p>
    <w:p w14:paraId="78B2847D" w14:textId="77777777" w:rsidR="00580CEC" w:rsidRPr="00DA188D" w:rsidRDefault="00580CEC" w:rsidP="00B24187">
      <w:pPr>
        <w:widowControl/>
        <w:numPr>
          <w:ilvl w:val="0"/>
          <w:numId w:val="18"/>
        </w:numPr>
        <w:tabs>
          <w:tab w:val="left" w:pos="2160"/>
        </w:tabs>
        <w:ind w:left="2160" w:right="1440"/>
        <w:textAlignment w:val="baseline"/>
        <w:rPr>
          <w:color w:val="000000"/>
          <w:sz w:val="26"/>
          <w:szCs w:val="26"/>
        </w:rPr>
      </w:pPr>
      <w:r w:rsidRPr="00DA188D">
        <w:rPr>
          <w:color w:val="000000"/>
          <w:sz w:val="26"/>
          <w:szCs w:val="26"/>
        </w:rPr>
        <w:t>Responsible vehicle accidents – 4.1</w:t>
      </w:r>
    </w:p>
    <w:p w14:paraId="73919A54" w14:textId="77777777" w:rsidR="00580CEC" w:rsidRPr="00DA188D" w:rsidRDefault="00580CEC" w:rsidP="00B24187">
      <w:pPr>
        <w:widowControl/>
        <w:numPr>
          <w:ilvl w:val="0"/>
          <w:numId w:val="18"/>
        </w:numPr>
        <w:tabs>
          <w:tab w:val="left" w:pos="2160"/>
        </w:tabs>
        <w:ind w:left="2160" w:right="1440"/>
        <w:textAlignment w:val="baseline"/>
        <w:rPr>
          <w:color w:val="000000"/>
          <w:sz w:val="26"/>
          <w:szCs w:val="26"/>
        </w:rPr>
      </w:pPr>
      <w:r w:rsidRPr="00DA188D">
        <w:rPr>
          <w:color w:val="000000"/>
          <w:sz w:val="26"/>
          <w:szCs w:val="26"/>
        </w:rPr>
        <w:t>Compliance with water regulations – 99.5%</w:t>
      </w:r>
    </w:p>
    <w:p w14:paraId="33DA9083" w14:textId="4F985876" w:rsidR="00580CEC" w:rsidRPr="00DA188D" w:rsidRDefault="00580CEC" w:rsidP="00364103">
      <w:pPr>
        <w:widowControl/>
        <w:numPr>
          <w:ilvl w:val="0"/>
          <w:numId w:val="18"/>
        </w:numPr>
        <w:tabs>
          <w:tab w:val="clear" w:pos="1206"/>
        </w:tabs>
        <w:ind w:left="2880" w:right="1440" w:hanging="720"/>
        <w:textAlignment w:val="baseline"/>
        <w:rPr>
          <w:color w:val="000000"/>
          <w:sz w:val="26"/>
          <w:szCs w:val="26"/>
        </w:rPr>
      </w:pPr>
      <w:r w:rsidRPr="00DA188D">
        <w:rPr>
          <w:color w:val="000000"/>
          <w:sz w:val="26"/>
          <w:szCs w:val="26"/>
        </w:rPr>
        <w:t>Compliance with wastewater regulations – 94.5%</w:t>
      </w:r>
    </w:p>
    <w:p w14:paraId="62E6BF24" w14:textId="77777777" w:rsidR="00580CEC" w:rsidRDefault="00580CEC" w:rsidP="00B24187">
      <w:pPr>
        <w:widowControl/>
        <w:tabs>
          <w:tab w:val="decimal" w:pos="1008"/>
          <w:tab w:val="left" w:pos="1440"/>
        </w:tabs>
        <w:spacing w:before="279"/>
        <w:ind w:left="1440" w:right="1440"/>
        <w:textAlignment w:val="baseline"/>
        <w:rPr>
          <w:color w:val="000000"/>
          <w:sz w:val="26"/>
          <w:szCs w:val="26"/>
        </w:rPr>
      </w:pPr>
      <w:r w:rsidRPr="00DA188D">
        <w:rPr>
          <w:color w:val="000000"/>
          <w:sz w:val="26"/>
          <w:szCs w:val="26"/>
        </w:rPr>
        <w:t>89.</w:t>
      </w:r>
      <w:r w:rsidRPr="00DA188D">
        <w:rPr>
          <w:color w:val="000000"/>
          <w:sz w:val="26"/>
          <w:szCs w:val="26"/>
        </w:rPr>
        <w:tab/>
        <w:t>Aqua PA will provide a report to OCA, I&amp;E, and OSBA each calendar year for a</w:t>
      </w:r>
      <w:r>
        <w:rPr>
          <w:color w:val="000000"/>
          <w:sz w:val="26"/>
          <w:szCs w:val="26"/>
        </w:rPr>
        <w:t xml:space="preserve"> </w:t>
      </w:r>
      <w:r w:rsidRPr="00DA188D">
        <w:rPr>
          <w:color w:val="000000"/>
          <w:sz w:val="26"/>
          <w:szCs w:val="26"/>
        </w:rPr>
        <w:t xml:space="preserve">period of five years following closing regarding its achievement of the service quality metrics listed in Paragraphs 83-88. </w:t>
      </w:r>
      <w:r>
        <w:rPr>
          <w:color w:val="000000"/>
          <w:sz w:val="26"/>
          <w:szCs w:val="26"/>
        </w:rPr>
        <w:t xml:space="preserve"> </w:t>
      </w:r>
      <w:r w:rsidRPr="00DA188D">
        <w:rPr>
          <w:color w:val="000000"/>
          <w:sz w:val="26"/>
          <w:szCs w:val="26"/>
        </w:rPr>
        <w:t xml:space="preserve">The report will outline the actual metrics achieved and additional actions expected to be taken in the following year to further improve customer service. </w:t>
      </w:r>
      <w:r>
        <w:rPr>
          <w:color w:val="000000"/>
          <w:sz w:val="26"/>
          <w:szCs w:val="26"/>
        </w:rPr>
        <w:t xml:space="preserve"> </w:t>
      </w:r>
      <w:r w:rsidRPr="00DA188D">
        <w:rPr>
          <w:color w:val="000000"/>
          <w:sz w:val="26"/>
          <w:szCs w:val="26"/>
        </w:rPr>
        <w:t xml:space="preserve">If Aqua PA has not achieved an identified metric, the report must also include the reasons for the failure and Aqua PA’s plan to reach the service quality metric. </w:t>
      </w:r>
      <w:r>
        <w:rPr>
          <w:color w:val="000000"/>
          <w:sz w:val="26"/>
          <w:szCs w:val="26"/>
        </w:rPr>
        <w:t xml:space="preserve"> </w:t>
      </w:r>
      <w:r w:rsidRPr="00DA188D">
        <w:rPr>
          <w:color w:val="000000"/>
          <w:sz w:val="26"/>
          <w:szCs w:val="26"/>
        </w:rPr>
        <w:t>Aqua PA must then convene a collaborative with OCA, I&amp;E, and OSBA to discuss such report.</w:t>
      </w:r>
    </w:p>
    <w:p w14:paraId="493FA1D8" w14:textId="77777777" w:rsidR="00580CEC" w:rsidRDefault="00580CEC" w:rsidP="00B24187">
      <w:pPr>
        <w:widowControl/>
        <w:tabs>
          <w:tab w:val="decimal" w:pos="1008"/>
          <w:tab w:val="left" w:pos="1440"/>
        </w:tabs>
        <w:ind w:left="1440" w:right="1440" w:firstLine="720"/>
        <w:jc w:val="both"/>
        <w:textAlignment w:val="baseline"/>
        <w:rPr>
          <w:color w:val="000000"/>
          <w:sz w:val="26"/>
          <w:szCs w:val="26"/>
        </w:rPr>
      </w:pPr>
    </w:p>
    <w:p w14:paraId="2930A62D" w14:textId="77777777" w:rsidR="00580CEC" w:rsidRDefault="00580CEC" w:rsidP="00B24187">
      <w:pPr>
        <w:widowControl/>
        <w:tabs>
          <w:tab w:val="decimal" w:pos="1008"/>
          <w:tab w:val="left" w:pos="1440"/>
        </w:tabs>
        <w:ind w:left="1440" w:right="1440"/>
        <w:textAlignment w:val="baseline"/>
        <w:rPr>
          <w:color w:val="000000"/>
          <w:sz w:val="26"/>
          <w:szCs w:val="26"/>
        </w:rPr>
      </w:pPr>
      <w:r w:rsidRPr="00DA188D">
        <w:rPr>
          <w:color w:val="000000"/>
          <w:sz w:val="26"/>
          <w:szCs w:val="26"/>
        </w:rPr>
        <w:t>90.</w:t>
      </w:r>
      <w:r>
        <w:rPr>
          <w:color w:val="000000"/>
          <w:sz w:val="26"/>
          <w:szCs w:val="26"/>
        </w:rPr>
        <w:tab/>
      </w:r>
      <w:r w:rsidRPr="00DA188D">
        <w:rPr>
          <w:color w:val="000000"/>
          <w:sz w:val="26"/>
          <w:szCs w:val="26"/>
        </w:rPr>
        <w:t xml:space="preserve">Aqua America will ensure that the Peoples Companies will provide a report to OCA, I&amp;E, and OSBA each calendar year for a period of five years following Closing regarding its achievement of the service quality metrics listed in Paragraphs 91-93. </w:t>
      </w:r>
      <w:r>
        <w:rPr>
          <w:color w:val="000000"/>
          <w:sz w:val="26"/>
          <w:szCs w:val="26"/>
        </w:rPr>
        <w:t xml:space="preserve"> </w:t>
      </w:r>
      <w:r w:rsidRPr="00DA188D">
        <w:rPr>
          <w:color w:val="000000"/>
          <w:sz w:val="26"/>
          <w:szCs w:val="26"/>
        </w:rPr>
        <w:t>The report will outline</w:t>
      </w:r>
      <w:r>
        <w:rPr>
          <w:color w:val="000000"/>
          <w:sz w:val="26"/>
          <w:szCs w:val="26"/>
        </w:rPr>
        <w:t xml:space="preserve"> </w:t>
      </w:r>
      <w:r w:rsidRPr="00DA188D">
        <w:rPr>
          <w:color w:val="000000"/>
          <w:sz w:val="26"/>
          <w:szCs w:val="26"/>
        </w:rPr>
        <w:t xml:space="preserve">the actual metrics achieved and additional actions expected to be taken in the following year to further improve customer service. </w:t>
      </w:r>
      <w:r>
        <w:rPr>
          <w:color w:val="000000"/>
          <w:sz w:val="26"/>
          <w:szCs w:val="26"/>
        </w:rPr>
        <w:t xml:space="preserve"> </w:t>
      </w:r>
      <w:r w:rsidRPr="00DA188D">
        <w:rPr>
          <w:color w:val="000000"/>
          <w:sz w:val="26"/>
          <w:szCs w:val="26"/>
        </w:rPr>
        <w:t xml:space="preserve">If the Peoples Companies have not achieved an identified metric, the report must also include the reasons for the failure and the Peoples Companies’ detailed plan to reach the service quality metric. </w:t>
      </w:r>
      <w:r>
        <w:rPr>
          <w:color w:val="000000"/>
          <w:sz w:val="26"/>
          <w:szCs w:val="26"/>
        </w:rPr>
        <w:t xml:space="preserve"> </w:t>
      </w:r>
      <w:r w:rsidRPr="00DA188D">
        <w:rPr>
          <w:color w:val="000000"/>
          <w:sz w:val="26"/>
          <w:szCs w:val="26"/>
        </w:rPr>
        <w:t xml:space="preserve">The Peoples Companies must then convene a </w:t>
      </w:r>
      <w:r w:rsidRPr="00DA188D">
        <w:rPr>
          <w:color w:val="000000"/>
          <w:sz w:val="26"/>
          <w:szCs w:val="26"/>
        </w:rPr>
        <w:lastRenderedPageBreak/>
        <w:t>collaborative with OCA, I&amp;E and the OSBA to discuss such report.</w:t>
      </w:r>
    </w:p>
    <w:p w14:paraId="4A63C37F" w14:textId="77777777" w:rsidR="00580CEC" w:rsidRPr="00DA188D" w:rsidRDefault="00580CEC" w:rsidP="00B24187">
      <w:pPr>
        <w:widowControl/>
        <w:tabs>
          <w:tab w:val="decimal" w:pos="1008"/>
          <w:tab w:val="left" w:pos="1440"/>
        </w:tabs>
        <w:ind w:left="1440" w:right="1440"/>
        <w:textAlignment w:val="baseline"/>
        <w:rPr>
          <w:color w:val="000000"/>
          <w:sz w:val="26"/>
          <w:szCs w:val="26"/>
        </w:rPr>
      </w:pPr>
    </w:p>
    <w:p w14:paraId="704FACFC" w14:textId="77777777" w:rsidR="00580CEC" w:rsidRDefault="00580CEC" w:rsidP="00B24187">
      <w:pPr>
        <w:widowControl/>
        <w:tabs>
          <w:tab w:val="decimal" w:pos="1008"/>
          <w:tab w:val="left" w:pos="1440"/>
        </w:tabs>
        <w:ind w:left="1440" w:right="1440"/>
        <w:textAlignment w:val="baseline"/>
        <w:rPr>
          <w:color w:val="000000"/>
          <w:sz w:val="26"/>
          <w:szCs w:val="26"/>
        </w:rPr>
      </w:pPr>
      <w:r w:rsidRPr="00DA188D">
        <w:rPr>
          <w:color w:val="000000"/>
          <w:sz w:val="26"/>
          <w:szCs w:val="26"/>
        </w:rPr>
        <w:t>91.</w:t>
      </w:r>
      <w:r w:rsidRPr="00DA188D">
        <w:rPr>
          <w:color w:val="000000"/>
          <w:sz w:val="26"/>
          <w:szCs w:val="26"/>
        </w:rPr>
        <w:tab/>
        <w:t>The Peoples Companies will meet performance standards at or more</w:t>
      </w:r>
      <w:r>
        <w:rPr>
          <w:color w:val="000000"/>
          <w:sz w:val="26"/>
          <w:szCs w:val="26"/>
        </w:rPr>
        <w:t xml:space="preserve"> </w:t>
      </w:r>
      <w:r w:rsidRPr="00DA188D">
        <w:rPr>
          <w:color w:val="000000"/>
          <w:sz w:val="26"/>
          <w:szCs w:val="26"/>
        </w:rPr>
        <w:t>strict than the following for a five-year period, as listed below:</w:t>
      </w:r>
    </w:p>
    <w:p w14:paraId="3BAC352F" w14:textId="77777777" w:rsidR="00580CEC" w:rsidRPr="00DA188D" w:rsidRDefault="00580CEC" w:rsidP="00B24187">
      <w:pPr>
        <w:widowControl/>
        <w:tabs>
          <w:tab w:val="decimal" w:pos="1008"/>
          <w:tab w:val="left" w:pos="1440"/>
        </w:tabs>
        <w:ind w:left="1440" w:right="1440"/>
        <w:textAlignment w:val="baseline"/>
        <w:rPr>
          <w:color w:val="000000"/>
          <w:sz w:val="26"/>
          <w:szCs w:val="26"/>
        </w:rPr>
      </w:pPr>
    </w:p>
    <w:p w14:paraId="58812CCE" w14:textId="77777777" w:rsidR="00580CEC" w:rsidRPr="00DA188D" w:rsidRDefault="00580CEC" w:rsidP="00364103">
      <w:pPr>
        <w:widowControl/>
        <w:numPr>
          <w:ilvl w:val="0"/>
          <w:numId w:val="19"/>
        </w:numPr>
        <w:tabs>
          <w:tab w:val="clear" w:pos="936"/>
        </w:tabs>
        <w:ind w:left="2880" w:right="1440" w:hanging="720"/>
        <w:textAlignment w:val="baseline"/>
        <w:rPr>
          <w:color w:val="000000"/>
          <w:sz w:val="26"/>
          <w:szCs w:val="26"/>
        </w:rPr>
      </w:pPr>
      <w:r w:rsidRPr="00DA188D">
        <w:rPr>
          <w:color w:val="000000"/>
          <w:sz w:val="26"/>
          <w:szCs w:val="26"/>
        </w:rPr>
        <w:t>Call center service level – 82%</w:t>
      </w:r>
    </w:p>
    <w:p w14:paraId="6EA0C7C7" w14:textId="77777777" w:rsidR="00580CEC" w:rsidRPr="00DA188D" w:rsidRDefault="00580CEC" w:rsidP="00364103">
      <w:pPr>
        <w:widowControl/>
        <w:numPr>
          <w:ilvl w:val="0"/>
          <w:numId w:val="19"/>
        </w:numPr>
        <w:tabs>
          <w:tab w:val="clear" w:pos="936"/>
        </w:tabs>
        <w:ind w:left="2880" w:right="1440" w:hanging="720"/>
        <w:textAlignment w:val="baseline"/>
        <w:rPr>
          <w:color w:val="000000"/>
          <w:sz w:val="26"/>
          <w:szCs w:val="26"/>
        </w:rPr>
      </w:pPr>
      <w:r w:rsidRPr="00DA188D">
        <w:rPr>
          <w:color w:val="000000"/>
          <w:sz w:val="26"/>
          <w:szCs w:val="26"/>
        </w:rPr>
        <w:t>% of calls abandoned – 2.0%</w:t>
      </w:r>
    </w:p>
    <w:p w14:paraId="291D218B" w14:textId="77777777" w:rsidR="00580CEC" w:rsidRPr="00DA188D" w:rsidRDefault="00580CEC" w:rsidP="00364103">
      <w:pPr>
        <w:widowControl/>
        <w:numPr>
          <w:ilvl w:val="0"/>
          <w:numId w:val="19"/>
        </w:numPr>
        <w:tabs>
          <w:tab w:val="clear" w:pos="936"/>
        </w:tabs>
        <w:ind w:left="2880" w:right="1440" w:hanging="720"/>
        <w:textAlignment w:val="baseline"/>
        <w:rPr>
          <w:color w:val="000000"/>
          <w:sz w:val="26"/>
          <w:szCs w:val="26"/>
        </w:rPr>
      </w:pPr>
      <w:r w:rsidRPr="00DA188D">
        <w:rPr>
          <w:color w:val="000000"/>
          <w:sz w:val="26"/>
          <w:szCs w:val="26"/>
        </w:rPr>
        <w:t>Busy-out rate – 0%</w:t>
      </w:r>
    </w:p>
    <w:p w14:paraId="5D9C9BE6" w14:textId="7DBD8CC2" w:rsidR="00580CEC" w:rsidRPr="00DA188D" w:rsidRDefault="00580CEC" w:rsidP="00364103">
      <w:pPr>
        <w:widowControl/>
        <w:numPr>
          <w:ilvl w:val="0"/>
          <w:numId w:val="19"/>
        </w:numPr>
        <w:tabs>
          <w:tab w:val="clear" w:pos="936"/>
        </w:tabs>
        <w:ind w:left="2880" w:right="1440" w:hanging="720"/>
        <w:textAlignment w:val="baseline"/>
        <w:rPr>
          <w:color w:val="000000"/>
          <w:sz w:val="26"/>
          <w:szCs w:val="26"/>
        </w:rPr>
      </w:pPr>
      <w:r w:rsidRPr="00DA188D">
        <w:rPr>
          <w:color w:val="000000"/>
          <w:sz w:val="26"/>
          <w:szCs w:val="26"/>
        </w:rPr>
        <w:t>% of bills not rendered each billing period - .008%</w:t>
      </w:r>
    </w:p>
    <w:p w14:paraId="5C15AE8E" w14:textId="77777777" w:rsidR="00580CEC" w:rsidRPr="00DA188D" w:rsidRDefault="00580CEC" w:rsidP="00364103">
      <w:pPr>
        <w:widowControl/>
        <w:numPr>
          <w:ilvl w:val="0"/>
          <w:numId w:val="19"/>
        </w:numPr>
        <w:tabs>
          <w:tab w:val="clear" w:pos="936"/>
        </w:tabs>
        <w:ind w:left="2880" w:right="1440" w:hanging="720"/>
        <w:textAlignment w:val="baseline"/>
        <w:rPr>
          <w:color w:val="000000"/>
          <w:sz w:val="26"/>
          <w:szCs w:val="26"/>
        </w:rPr>
      </w:pPr>
      <w:r w:rsidRPr="00DA188D">
        <w:rPr>
          <w:color w:val="000000"/>
          <w:sz w:val="26"/>
          <w:szCs w:val="26"/>
        </w:rPr>
        <w:t>% of meters not read within 6 months - .15%</w:t>
      </w:r>
    </w:p>
    <w:p w14:paraId="46D65BEC" w14:textId="77777777" w:rsidR="00580CEC" w:rsidRPr="00DA188D" w:rsidRDefault="00580CEC" w:rsidP="00364103">
      <w:pPr>
        <w:widowControl/>
        <w:numPr>
          <w:ilvl w:val="0"/>
          <w:numId w:val="19"/>
        </w:numPr>
        <w:tabs>
          <w:tab w:val="clear" w:pos="936"/>
        </w:tabs>
        <w:ind w:left="2880" w:right="1440" w:hanging="720"/>
        <w:textAlignment w:val="baseline"/>
        <w:rPr>
          <w:color w:val="000000"/>
          <w:sz w:val="26"/>
          <w:szCs w:val="26"/>
        </w:rPr>
      </w:pPr>
      <w:r w:rsidRPr="00DA188D">
        <w:rPr>
          <w:color w:val="000000"/>
          <w:sz w:val="26"/>
          <w:szCs w:val="26"/>
        </w:rPr>
        <w:t>% of meters not read within 12 months – 0.15%</w:t>
      </w:r>
    </w:p>
    <w:p w14:paraId="28913A83" w14:textId="6BCDD952" w:rsidR="00580CEC" w:rsidRPr="00DA188D" w:rsidRDefault="00580CEC" w:rsidP="00364103">
      <w:pPr>
        <w:widowControl/>
        <w:numPr>
          <w:ilvl w:val="0"/>
          <w:numId w:val="19"/>
        </w:numPr>
        <w:tabs>
          <w:tab w:val="clear" w:pos="936"/>
        </w:tabs>
        <w:ind w:left="2880" w:right="1440" w:hanging="720"/>
        <w:textAlignment w:val="baseline"/>
        <w:rPr>
          <w:color w:val="000000"/>
          <w:sz w:val="26"/>
          <w:szCs w:val="26"/>
        </w:rPr>
      </w:pPr>
      <w:r w:rsidRPr="00DA188D">
        <w:rPr>
          <w:color w:val="000000"/>
          <w:sz w:val="26"/>
          <w:szCs w:val="26"/>
        </w:rPr>
        <w:t>% of company disputes not answered within 30 days – 1%</w:t>
      </w:r>
    </w:p>
    <w:p w14:paraId="667E7BE5" w14:textId="454336B2" w:rsidR="00580CEC" w:rsidRPr="00DA188D" w:rsidRDefault="00580CEC" w:rsidP="00364103">
      <w:pPr>
        <w:widowControl/>
        <w:numPr>
          <w:ilvl w:val="0"/>
          <w:numId w:val="19"/>
        </w:numPr>
        <w:tabs>
          <w:tab w:val="clear" w:pos="936"/>
        </w:tabs>
        <w:ind w:left="2880" w:right="1440" w:hanging="720"/>
        <w:textAlignment w:val="baseline"/>
        <w:rPr>
          <w:color w:val="000000"/>
          <w:sz w:val="26"/>
          <w:szCs w:val="26"/>
        </w:rPr>
      </w:pPr>
      <w:r w:rsidRPr="00DA188D">
        <w:rPr>
          <w:color w:val="000000"/>
          <w:sz w:val="26"/>
          <w:szCs w:val="26"/>
        </w:rPr>
        <w:t>Emergency response – average minutes to respond – 27.5 minutes</w:t>
      </w:r>
    </w:p>
    <w:p w14:paraId="1D63E4E6" w14:textId="77777777" w:rsidR="00580CEC" w:rsidRDefault="00580CEC" w:rsidP="00B24187">
      <w:pPr>
        <w:widowControl/>
        <w:tabs>
          <w:tab w:val="decimal" w:pos="1008"/>
          <w:tab w:val="left" w:pos="1440"/>
        </w:tabs>
        <w:spacing w:before="283"/>
        <w:ind w:left="1440" w:right="1440"/>
        <w:textAlignment w:val="baseline"/>
        <w:rPr>
          <w:color w:val="000000"/>
          <w:spacing w:val="1"/>
          <w:sz w:val="26"/>
          <w:szCs w:val="26"/>
        </w:rPr>
      </w:pPr>
      <w:r w:rsidRPr="00DA188D">
        <w:rPr>
          <w:color w:val="000000"/>
          <w:sz w:val="26"/>
          <w:szCs w:val="26"/>
        </w:rPr>
        <w:t>92.</w:t>
      </w:r>
      <w:r w:rsidRPr="00DA188D">
        <w:rPr>
          <w:color w:val="000000"/>
          <w:sz w:val="26"/>
          <w:szCs w:val="26"/>
        </w:rPr>
        <w:tab/>
        <w:t>The Peoples Companies will continue to track their field operations appointments</w:t>
      </w:r>
      <w:r>
        <w:rPr>
          <w:color w:val="000000"/>
          <w:sz w:val="26"/>
          <w:szCs w:val="26"/>
        </w:rPr>
        <w:t xml:space="preserve"> </w:t>
      </w:r>
      <w:r w:rsidRPr="00DA188D">
        <w:rPr>
          <w:color w:val="000000"/>
          <w:spacing w:val="1"/>
          <w:sz w:val="26"/>
          <w:szCs w:val="26"/>
        </w:rPr>
        <w:t>and continue the performance standard of meeting 99% of all appointments for a five-year period.</w:t>
      </w:r>
    </w:p>
    <w:p w14:paraId="1C5103D4" w14:textId="77777777" w:rsidR="00580CEC" w:rsidRPr="00DA188D" w:rsidRDefault="00580CEC" w:rsidP="00B24187">
      <w:pPr>
        <w:widowControl/>
        <w:tabs>
          <w:tab w:val="decimal" w:pos="1008"/>
          <w:tab w:val="left" w:pos="1440"/>
        </w:tabs>
        <w:spacing w:before="283"/>
        <w:ind w:left="1440" w:right="1440"/>
        <w:textAlignment w:val="baseline"/>
        <w:rPr>
          <w:color w:val="000000"/>
          <w:spacing w:val="1"/>
          <w:sz w:val="26"/>
          <w:szCs w:val="26"/>
        </w:rPr>
      </w:pPr>
    </w:p>
    <w:p w14:paraId="6B0C9F4D" w14:textId="77777777" w:rsidR="00580CEC" w:rsidRDefault="00580CEC" w:rsidP="00B24187">
      <w:pPr>
        <w:widowControl/>
        <w:tabs>
          <w:tab w:val="decimal" w:pos="1008"/>
          <w:tab w:val="left" w:pos="1440"/>
        </w:tabs>
        <w:ind w:left="1440" w:right="1440"/>
        <w:textAlignment w:val="baseline"/>
        <w:rPr>
          <w:color w:val="000000"/>
          <w:sz w:val="26"/>
          <w:szCs w:val="26"/>
        </w:rPr>
      </w:pPr>
      <w:r w:rsidRPr="00DA188D">
        <w:rPr>
          <w:color w:val="000000"/>
          <w:sz w:val="26"/>
          <w:szCs w:val="26"/>
        </w:rPr>
        <w:t>93.</w:t>
      </w:r>
      <w:r w:rsidRPr="00DA188D">
        <w:rPr>
          <w:color w:val="000000"/>
          <w:sz w:val="26"/>
          <w:szCs w:val="26"/>
        </w:rPr>
        <w:tab/>
        <w:t>The Peoples Companies will meet the overall average performance customer survey results reflected in 2017-2018 results for a period of five years.</w:t>
      </w:r>
    </w:p>
    <w:p w14:paraId="5E482B28" w14:textId="77777777" w:rsidR="00580CEC" w:rsidRPr="00DA188D" w:rsidRDefault="00580CEC" w:rsidP="00B24187">
      <w:pPr>
        <w:widowControl/>
        <w:tabs>
          <w:tab w:val="decimal" w:pos="1008"/>
          <w:tab w:val="left" w:pos="1440"/>
        </w:tabs>
        <w:ind w:left="1440" w:right="1440"/>
        <w:textAlignment w:val="baseline"/>
        <w:rPr>
          <w:color w:val="000000"/>
          <w:sz w:val="26"/>
          <w:szCs w:val="26"/>
        </w:rPr>
      </w:pPr>
    </w:p>
    <w:p w14:paraId="11AC83D0" w14:textId="77777777" w:rsidR="00580CEC" w:rsidRDefault="00580CEC" w:rsidP="00B24187">
      <w:pPr>
        <w:widowControl/>
        <w:tabs>
          <w:tab w:val="decimal" w:pos="1008"/>
          <w:tab w:val="left" w:pos="1440"/>
        </w:tabs>
        <w:spacing w:before="5"/>
        <w:ind w:left="1440" w:right="1440"/>
        <w:textAlignment w:val="baseline"/>
        <w:rPr>
          <w:color w:val="000000"/>
          <w:sz w:val="26"/>
          <w:szCs w:val="26"/>
        </w:rPr>
      </w:pPr>
      <w:r w:rsidRPr="00DA188D">
        <w:rPr>
          <w:color w:val="000000"/>
          <w:sz w:val="26"/>
          <w:szCs w:val="26"/>
        </w:rPr>
        <w:t>94.</w:t>
      </w:r>
      <w:r w:rsidRPr="00DA188D">
        <w:rPr>
          <w:color w:val="000000"/>
          <w:sz w:val="26"/>
          <w:szCs w:val="26"/>
        </w:rPr>
        <w:tab/>
        <w:t xml:space="preserve">Aqua America and the Peoples Companies will maintain or increase the location and staffing of call center employees in PA. </w:t>
      </w:r>
      <w:r>
        <w:rPr>
          <w:color w:val="000000"/>
          <w:sz w:val="26"/>
          <w:szCs w:val="26"/>
        </w:rPr>
        <w:t xml:space="preserve"> </w:t>
      </w:r>
      <w:r w:rsidRPr="00DA188D">
        <w:rPr>
          <w:color w:val="000000"/>
          <w:sz w:val="26"/>
          <w:szCs w:val="26"/>
        </w:rPr>
        <w:t xml:space="preserve">Aqua America will further commit to maintain the Peoples Companies’ call center within Peoples service territory and in or near Pittsburgh. </w:t>
      </w:r>
      <w:r>
        <w:rPr>
          <w:color w:val="000000"/>
          <w:sz w:val="26"/>
          <w:szCs w:val="26"/>
        </w:rPr>
        <w:t xml:space="preserve"> </w:t>
      </w:r>
      <w:r w:rsidRPr="00DA188D">
        <w:rPr>
          <w:color w:val="000000"/>
          <w:sz w:val="26"/>
          <w:szCs w:val="26"/>
        </w:rPr>
        <w:t>If it becomes apparent that the Pittsburgh call center performance lags the results of the other call</w:t>
      </w:r>
      <w:r>
        <w:rPr>
          <w:color w:val="000000"/>
          <w:sz w:val="26"/>
          <w:szCs w:val="26"/>
        </w:rPr>
        <w:t xml:space="preserve"> </w:t>
      </w:r>
      <w:r w:rsidRPr="00DA188D">
        <w:rPr>
          <w:color w:val="000000"/>
          <w:sz w:val="26"/>
          <w:szCs w:val="26"/>
        </w:rPr>
        <w:t>centers, Aqua America reserves the right to initiate discussion with the Commission and interested parties to explore mitigation alternatives.</w:t>
      </w:r>
    </w:p>
    <w:p w14:paraId="224973B8" w14:textId="77777777" w:rsidR="00580CEC" w:rsidRPr="00DA188D" w:rsidRDefault="00580CEC" w:rsidP="00B24187">
      <w:pPr>
        <w:widowControl/>
        <w:tabs>
          <w:tab w:val="decimal" w:pos="1008"/>
          <w:tab w:val="left" w:pos="1440"/>
        </w:tabs>
        <w:spacing w:before="5"/>
        <w:ind w:left="1440" w:right="1440"/>
        <w:textAlignment w:val="baseline"/>
        <w:rPr>
          <w:color w:val="000000"/>
          <w:sz w:val="26"/>
          <w:szCs w:val="26"/>
        </w:rPr>
      </w:pPr>
    </w:p>
    <w:p w14:paraId="76E91350" w14:textId="77777777" w:rsidR="00580CEC" w:rsidRPr="00DA188D" w:rsidRDefault="00580CEC" w:rsidP="00F576D7">
      <w:pPr>
        <w:keepNext/>
        <w:widowControl/>
        <w:numPr>
          <w:ilvl w:val="0"/>
          <w:numId w:val="14"/>
        </w:numPr>
        <w:tabs>
          <w:tab w:val="left" w:pos="1440"/>
        </w:tabs>
        <w:ind w:left="1440" w:right="1440"/>
        <w:textAlignment w:val="baseline"/>
        <w:rPr>
          <w:color w:val="000000"/>
          <w:sz w:val="26"/>
          <w:szCs w:val="26"/>
        </w:rPr>
      </w:pPr>
      <w:r w:rsidRPr="00DA188D">
        <w:rPr>
          <w:color w:val="000000"/>
          <w:sz w:val="26"/>
          <w:szCs w:val="26"/>
        </w:rPr>
        <w:lastRenderedPageBreak/>
        <w:t>Any significant reductions in Pennsylvania call center staffing or transfer of call center employment outside of Pennsylvania will be subject to Commission approval.</w:t>
      </w:r>
    </w:p>
    <w:p w14:paraId="6696CA1D" w14:textId="77777777" w:rsidR="00580CEC" w:rsidRPr="00D94F8B" w:rsidRDefault="00580CEC" w:rsidP="00F576D7">
      <w:pPr>
        <w:keepNext/>
        <w:widowControl/>
      </w:pPr>
    </w:p>
    <w:p w14:paraId="41D4A3A9" w14:textId="34BD16D0" w:rsidR="00580CEC" w:rsidRDefault="00580CEC" w:rsidP="00F576D7">
      <w:pPr>
        <w:pStyle w:val="Default"/>
        <w:keepNext/>
        <w:spacing w:line="360" w:lineRule="auto"/>
        <w:rPr>
          <w:sz w:val="26"/>
          <w:szCs w:val="26"/>
        </w:rPr>
      </w:pPr>
      <w:r>
        <w:rPr>
          <w:sz w:val="26"/>
          <w:szCs w:val="26"/>
        </w:rPr>
        <w:t>Settlement at ¶¶ 83-95.</w:t>
      </w:r>
      <w:r w:rsidR="003A591D">
        <w:rPr>
          <w:sz w:val="26"/>
          <w:szCs w:val="26"/>
        </w:rPr>
        <w:t xml:space="preserve">  </w:t>
      </w:r>
    </w:p>
    <w:p w14:paraId="15975E2B" w14:textId="77777777" w:rsidR="00C767AB" w:rsidRDefault="00C767AB" w:rsidP="00B24187">
      <w:pPr>
        <w:widowControl/>
        <w:spacing w:line="360" w:lineRule="auto"/>
      </w:pPr>
    </w:p>
    <w:p w14:paraId="6B044DF1" w14:textId="77777777" w:rsidR="00580CEC" w:rsidRPr="00C42347" w:rsidRDefault="00580CEC" w:rsidP="00B24187">
      <w:pPr>
        <w:pStyle w:val="Heading4"/>
        <w:widowControl/>
        <w:ind w:left="2160" w:hanging="720"/>
      </w:pPr>
      <w:bookmarkStart w:id="127" w:name="_Toc29278235"/>
      <w:r w:rsidRPr="00C42347">
        <w:t>Positions of the Parties</w:t>
      </w:r>
      <w:bookmarkEnd w:id="127"/>
    </w:p>
    <w:p w14:paraId="1F2F0AD8" w14:textId="77777777" w:rsidR="00580CEC" w:rsidRDefault="00580CEC" w:rsidP="00B24187">
      <w:pPr>
        <w:pStyle w:val="Default"/>
        <w:spacing w:line="360" w:lineRule="auto"/>
        <w:ind w:firstLine="1440"/>
        <w:rPr>
          <w:sz w:val="26"/>
          <w:szCs w:val="26"/>
        </w:rPr>
      </w:pPr>
    </w:p>
    <w:p w14:paraId="6ABFB058" w14:textId="77777777" w:rsidR="00580CEC" w:rsidRDefault="00580CEC" w:rsidP="00B24187">
      <w:pPr>
        <w:pStyle w:val="Default"/>
        <w:spacing w:line="360" w:lineRule="auto"/>
        <w:rPr>
          <w:sz w:val="26"/>
          <w:szCs w:val="26"/>
        </w:rPr>
      </w:pPr>
      <w:r>
        <w:rPr>
          <w:b/>
          <w:bCs/>
          <w:sz w:val="26"/>
          <w:szCs w:val="26"/>
        </w:rPr>
        <w:tab/>
      </w:r>
      <w:r>
        <w:rPr>
          <w:b/>
          <w:bCs/>
          <w:sz w:val="26"/>
          <w:szCs w:val="26"/>
        </w:rPr>
        <w:tab/>
      </w:r>
      <w:r>
        <w:rPr>
          <w:sz w:val="26"/>
          <w:szCs w:val="26"/>
        </w:rPr>
        <w:t xml:space="preserve">The Joint Applicants contended that the Settlement includes various conditions to maintain or improve the Peoples Companies’ capital expenditures, performance standards, and customer service standards to ensure the Peoples Companies continue to provide safe and reliable service to their customers.  Joint Applicants M.B. at 46-47 (citing Settlement at ¶¶ 84, 90-93, Joint Applicants Exh. DJS-1R (corrected) at ¶¶ 40-47).  The Joint Applicants averred that the Settlement also includes the implementation of specific customer service metrics for Aqua PA customers above and beyond current levels, as well as the establishment of a process for Aqua PA to review whether it has achieved these metrics and address any shortfalls.  Joint Applicants M.B. at 48 (citing Settlement at ¶¶ 83-89).  </w:t>
      </w:r>
    </w:p>
    <w:p w14:paraId="56DD22CB" w14:textId="77777777" w:rsidR="00580CEC" w:rsidRDefault="00580CEC" w:rsidP="00B24187">
      <w:pPr>
        <w:pStyle w:val="Default"/>
        <w:spacing w:line="360" w:lineRule="auto"/>
        <w:ind w:firstLine="1440"/>
        <w:rPr>
          <w:sz w:val="26"/>
          <w:szCs w:val="26"/>
        </w:rPr>
      </w:pPr>
    </w:p>
    <w:p w14:paraId="7C8CA520" w14:textId="77777777" w:rsidR="00C767AB" w:rsidRDefault="00580CEC" w:rsidP="00B24187">
      <w:pPr>
        <w:pStyle w:val="Default"/>
        <w:spacing w:line="360" w:lineRule="auto"/>
        <w:rPr>
          <w:sz w:val="26"/>
          <w:szCs w:val="26"/>
        </w:rPr>
      </w:pPr>
      <w:r>
        <w:rPr>
          <w:b/>
          <w:bCs/>
          <w:sz w:val="26"/>
          <w:szCs w:val="26"/>
        </w:rPr>
        <w:tab/>
      </w:r>
      <w:r>
        <w:rPr>
          <w:b/>
          <w:bCs/>
          <w:sz w:val="26"/>
          <w:szCs w:val="26"/>
        </w:rPr>
        <w:tab/>
      </w:r>
      <w:r>
        <w:rPr>
          <w:sz w:val="26"/>
          <w:szCs w:val="26"/>
        </w:rPr>
        <w:t xml:space="preserve">The OCA provided that it was initially concerned that due to the size of the Proposed Transaction and the attention that would potentially be diverted as a result of the transaction, a lack of specific commitments could result in a deterioration of customer service at the Peoples Companies.  The OCA recommended that the Peoples Companies should continue to meet their service performance goals for 2019 and provided several recommended metrics by which the Peoples Companies could be evaluated.  The Settlement adopted the OCA’s recommendations for a period of five years.  The OCA noted that these commitments ensure that the Peoples Companies will continue to meet specific customer service and quality standard metrics for five years and may not have occurred without the Settlement.  OCA R.B. at 27 (citing OCA St. 3 at 4-6; Settlement at ¶¶ 90-92).  </w:t>
      </w:r>
    </w:p>
    <w:p w14:paraId="7A36F578" w14:textId="77777777" w:rsidR="00364103" w:rsidRDefault="00364103" w:rsidP="00B24187">
      <w:pPr>
        <w:pStyle w:val="Default"/>
        <w:spacing w:line="360" w:lineRule="auto"/>
        <w:rPr>
          <w:sz w:val="26"/>
          <w:szCs w:val="26"/>
        </w:rPr>
      </w:pPr>
    </w:p>
    <w:p w14:paraId="3AA7C598" w14:textId="2198B3D0" w:rsidR="00580CEC" w:rsidRDefault="00580CEC" w:rsidP="00B24187">
      <w:pPr>
        <w:pStyle w:val="Default"/>
        <w:spacing w:line="360" w:lineRule="auto"/>
        <w:rPr>
          <w:sz w:val="26"/>
          <w:szCs w:val="26"/>
        </w:rPr>
      </w:pPr>
      <w:r>
        <w:rPr>
          <w:sz w:val="26"/>
          <w:szCs w:val="26"/>
        </w:rPr>
        <w:tab/>
      </w:r>
      <w:r>
        <w:rPr>
          <w:sz w:val="26"/>
          <w:szCs w:val="26"/>
        </w:rPr>
        <w:tab/>
        <w:t xml:space="preserve">The OCA averred that the Settlement also includes several provisions to ensure that Aqua PA adopts the Peoples Companies’ best practices, specifically regarding customer service and quality of service.  The OCA contends that the Joint Applicants’ adoption of the OCA witness Alexander’s metrics enumerating specific performance objectives helps ensure that best practices are shared between the Applicants to benefit the public.  The OCA observes that these benefits were not included in the initial Application and were committed to as part of the Settlement.  According to the OCA, the service commitment recommendations and the Settlement represent a reasonable product of compromise.  OCA R.B. at 28.  </w:t>
      </w:r>
    </w:p>
    <w:p w14:paraId="0177E18B" w14:textId="77777777" w:rsidR="00D66EA5" w:rsidRDefault="00D66EA5" w:rsidP="00B24187">
      <w:pPr>
        <w:pStyle w:val="Default"/>
        <w:spacing w:line="360" w:lineRule="auto"/>
        <w:rPr>
          <w:sz w:val="26"/>
          <w:szCs w:val="26"/>
        </w:rPr>
      </w:pPr>
    </w:p>
    <w:p w14:paraId="264AB889" w14:textId="77777777" w:rsidR="00580CEC" w:rsidRDefault="00580CEC" w:rsidP="00F576D7">
      <w:pPr>
        <w:pStyle w:val="Default"/>
        <w:spacing w:line="360" w:lineRule="auto"/>
        <w:rPr>
          <w:sz w:val="26"/>
          <w:szCs w:val="26"/>
        </w:rPr>
      </w:pPr>
      <w:r>
        <w:rPr>
          <w:b/>
          <w:bCs/>
          <w:sz w:val="26"/>
          <w:szCs w:val="26"/>
        </w:rPr>
        <w:tab/>
      </w:r>
      <w:r>
        <w:rPr>
          <w:b/>
          <w:bCs/>
          <w:sz w:val="26"/>
          <w:szCs w:val="26"/>
        </w:rPr>
        <w:tab/>
      </w:r>
      <w:r>
        <w:rPr>
          <w:sz w:val="26"/>
          <w:szCs w:val="26"/>
        </w:rPr>
        <w:t xml:space="preserve">I&amp;E explained that if the Joint Applicants had agreed that the Peoples Companies would exceed their current customer service metrics, rather than maintaining their existing metrics, this would have been a benefit, but not a substantial benefit, as the existing metrics are not exceedingly low.  I&amp;E M.B. at 35.  I&amp;E provided that it appears that Aqua PA does not see its customer service metrics commitments as firm commitments, but rather as merely goals to strive for.  I&amp;E R.B. at 30 (citing Joint Applicants M.B. at 48).  </w:t>
      </w:r>
    </w:p>
    <w:p w14:paraId="1B963378" w14:textId="77777777" w:rsidR="004936F4" w:rsidRDefault="004936F4" w:rsidP="00F576D7">
      <w:pPr>
        <w:pStyle w:val="Default"/>
        <w:spacing w:line="360" w:lineRule="auto"/>
        <w:rPr>
          <w:sz w:val="26"/>
          <w:szCs w:val="26"/>
        </w:rPr>
      </w:pPr>
    </w:p>
    <w:p w14:paraId="6C4131F2" w14:textId="77777777" w:rsidR="00580CEC" w:rsidRDefault="00580CEC" w:rsidP="00F576D7">
      <w:pPr>
        <w:pStyle w:val="Default"/>
        <w:spacing w:line="360" w:lineRule="auto"/>
        <w:rPr>
          <w:sz w:val="26"/>
          <w:szCs w:val="26"/>
        </w:rPr>
      </w:pPr>
      <w:r w:rsidRPr="00CA0950">
        <w:rPr>
          <w:sz w:val="26"/>
          <w:szCs w:val="26"/>
        </w:rPr>
        <w:tab/>
      </w:r>
      <w:r w:rsidRPr="00CA0950">
        <w:rPr>
          <w:sz w:val="26"/>
          <w:szCs w:val="26"/>
        </w:rPr>
        <w:tab/>
      </w:r>
      <w:r w:rsidRPr="00274D78">
        <w:rPr>
          <w:sz w:val="26"/>
          <w:szCs w:val="26"/>
        </w:rPr>
        <w:t>The OSBA contend</w:t>
      </w:r>
      <w:r>
        <w:rPr>
          <w:sz w:val="26"/>
          <w:szCs w:val="26"/>
        </w:rPr>
        <w:t>ed</w:t>
      </w:r>
      <w:r w:rsidRPr="00274D78">
        <w:rPr>
          <w:sz w:val="26"/>
          <w:szCs w:val="26"/>
        </w:rPr>
        <w:t xml:space="preserve"> that there is no record evidence that </w:t>
      </w:r>
      <w:r>
        <w:rPr>
          <w:sz w:val="26"/>
          <w:szCs w:val="26"/>
        </w:rPr>
        <w:t xml:space="preserve">the </w:t>
      </w:r>
      <w:r w:rsidRPr="00274D78">
        <w:rPr>
          <w:sz w:val="26"/>
          <w:szCs w:val="26"/>
        </w:rPr>
        <w:t>Peoples</w:t>
      </w:r>
      <w:r>
        <w:rPr>
          <w:sz w:val="26"/>
          <w:szCs w:val="26"/>
        </w:rPr>
        <w:t xml:space="preserve"> Companies</w:t>
      </w:r>
      <w:r w:rsidRPr="00274D78">
        <w:rPr>
          <w:sz w:val="26"/>
          <w:szCs w:val="26"/>
        </w:rPr>
        <w:t>’ customer service performance would deteriorate absent the Proposed Transaction.  According to the OSBA, there is record evidence that service performance may deteriorate as a result</w:t>
      </w:r>
      <w:r>
        <w:rPr>
          <w:sz w:val="26"/>
          <w:szCs w:val="26"/>
        </w:rPr>
        <w:t xml:space="preserve"> of the Proposed Transaction, because Aqua America has not demonstrated that it is fit to operate a natural gas utility.  OSBA R.B. at 24.</w:t>
      </w:r>
    </w:p>
    <w:p w14:paraId="1C260954" w14:textId="77777777" w:rsidR="00580CEC" w:rsidRDefault="00580CEC" w:rsidP="00B24187">
      <w:pPr>
        <w:pStyle w:val="Default"/>
        <w:spacing w:line="360" w:lineRule="auto"/>
        <w:ind w:firstLine="1440"/>
        <w:rPr>
          <w:sz w:val="26"/>
          <w:szCs w:val="26"/>
        </w:rPr>
      </w:pPr>
    </w:p>
    <w:p w14:paraId="7A408B18" w14:textId="77777777" w:rsidR="00580CEC" w:rsidRPr="00E27879" w:rsidRDefault="00580CEC" w:rsidP="00C61865">
      <w:pPr>
        <w:pStyle w:val="Heading4"/>
        <w:widowControl/>
        <w:ind w:left="2160" w:hanging="720"/>
      </w:pPr>
      <w:bookmarkStart w:id="128" w:name="_Toc29278236"/>
      <w:r w:rsidRPr="00E27879">
        <w:t>Recommended Decision</w:t>
      </w:r>
      <w:bookmarkEnd w:id="128"/>
    </w:p>
    <w:p w14:paraId="1924FEAC" w14:textId="77777777" w:rsidR="00580CEC" w:rsidRDefault="00580CEC" w:rsidP="00C61865">
      <w:pPr>
        <w:pStyle w:val="Default"/>
        <w:keepNext/>
        <w:spacing w:line="360" w:lineRule="auto"/>
        <w:ind w:firstLine="1440"/>
        <w:rPr>
          <w:sz w:val="26"/>
          <w:szCs w:val="26"/>
        </w:rPr>
      </w:pPr>
    </w:p>
    <w:p w14:paraId="3B4AD624" w14:textId="77777777" w:rsidR="00580CEC" w:rsidRDefault="00580CEC" w:rsidP="00C61865">
      <w:pPr>
        <w:pStyle w:val="Default"/>
        <w:keepNext/>
        <w:spacing w:line="360" w:lineRule="auto"/>
        <w:ind w:firstLine="1440"/>
        <w:rPr>
          <w:sz w:val="26"/>
          <w:szCs w:val="26"/>
        </w:rPr>
      </w:pPr>
      <w:r>
        <w:rPr>
          <w:sz w:val="26"/>
          <w:szCs w:val="26"/>
        </w:rPr>
        <w:t xml:space="preserve">Based on the evidence and the Settlement terms, the ALJ concluded the customer service commitments in the Settlement are a substantial benefit of the Proposed </w:t>
      </w:r>
      <w:r>
        <w:rPr>
          <w:sz w:val="26"/>
          <w:szCs w:val="26"/>
        </w:rPr>
        <w:lastRenderedPageBreak/>
        <w:t xml:space="preserve">Transaction.  R.D. at 86.  The ALJ provided that the OCA noted in testimony the significant difference between the customer service metrics of the Peoples Companies and Aqua PA.  The ALJ noted that the Joint Applicants have committed to improve the customer service metrics at both Aqua PA and the Peoples Companies.  R.D. at 81 (citing OCA St. 3 at 23-25).  </w:t>
      </w:r>
    </w:p>
    <w:p w14:paraId="4105EBC2" w14:textId="77777777" w:rsidR="00580CEC" w:rsidRDefault="00580CEC" w:rsidP="00B24187">
      <w:pPr>
        <w:pStyle w:val="Default"/>
        <w:spacing w:line="360" w:lineRule="auto"/>
        <w:ind w:firstLine="1440"/>
        <w:rPr>
          <w:sz w:val="26"/>
          <w:szCs w:val="26"/>
        </w:rPr>
      </w:pPr>
    </w:p>
    <w:p w14:paraId="1B3252A9" w14:textId="77777777" w:rsidR="00580CEC" w:rsidRDefault="00580CEC" w:rsidP="00B24187">
      <w:pPr>
        <w:pStyle w:val="Default"/>
        <w:spacing w:line="360" w:lineRule="auto"/>
        <w:ind w:firstLine="1440"/>
        <w:rPr>
          <w:sz w:val="26"/>
          <w:szCs w:val="26"/>
        </w:rPr>
      </w:pPr>
      <w:r>
        <w:rPr>
          <w:sz w:val="26"/>
          <w:szCs w:val="26"/>
        </w:rPr>
        <w:t xml:space="preserve">The ALJ set forth that the Joint Applicants state that the Settlement terms match the Peoples Companies’ performance goals for 2019, however the Settlement terms represent commitments, not just goals, and exceed certain commitments that were contained in the 2013 Equitable Settlement.  The Joint Applicants provided that I&amp;E fails to recognize that these commitments have reporting and resolution requirements that are not currently in place.  The ALJ reasoned that these requirements provide specific benefits by implementing a new mechanism to ensure that the Peoples Companies continue to provide a high level of service to their customers, and at a level that meets or exceeds current metrics.  The ALJ also provided that the Settlement adopted </w:t>
      </w:r>
      <w:r w:rsidR="004936F4">
        <w:rPr>
          <w:sz w:val="26"/>
          <w:szCs w:val="26"/>
        </w:rPr>
        <w:t xml:space="preserve">the </w:t>
      </w:r>
      <w:r>
        <w:rPr>
          <w:sz w:val="26"/>
          <w:szCs w:val="26"/>
        </w:rPr>
        <w:t xml:space="preserve">OCA’s recommendations for additional metrics that will be monitored for a period of five years.  R.D. at 84-85 (citing OCA St. 3 at 21; Settlement at ¶¶ 90-92). </w:t>
      </w:r>
    </w:p>
    <w:p w14:paraId="7499E76C" w14:textId="77777777" w:rsidR="00580CEC" w:rsidRDefault="00580CEC" w:rsidP="00B24187">
      <w:pPr>
        <w:pStyle w:val="Default"/>
        <w:spacing w:line="360" w:lineRule="auto"/>
        <w:ind w:firstLine="1440"/>
        <w:rPr>
          <w:sz w:val="26"/>
          <w:szCs w:val="26"/>
        </w:rPr>
      </w:pPr>
    </w:p>
    <w:p w14:paraId="4F5005C2" w14:textId="77777777" w:rsidR="00580CEC" w:rsidRDefault="00580CEC" w:rsidP="00B24187">
      <w:pPr>
        <w:pStyle w:val="Default"/>
        <w:spacing w:line="360" w:lineRule="auto"/>
        <w:ind w:firstLine="1440"/>
        <w:rPr>
          <w:sz w:val="26"/>
          <w:szCs w:val="26"/>
        </w:rPr>
      </w:pPr>
      <w:r>
        <w:rPr>
          <w:sz w:val="26"/>
          <w:szCs w:val="26"/>
        </w:rPr>
        <w:t xml:space="preserve">The ALJ concluded that the customer service commitments in the Settlement provide important benefits to both the customers of the Peoples Companies and Aqua PA.  According to the ALJ, the Settlement includes additional reporting requirements which create a mechanism for the statutory advocates to enforce these metrics and, more importantly, includes provisions for the improvement of customer service at Aqua PA which are not currently in place.  R.D. at 85.  </w:t>
      </w:r>
    </w:p>
    <w:p w14:paraId="4BF9B021" w14:textId="77777777" w:rsidR="00580CEC" w:rsidRDefault="00580CEC" w:rsidP="00B24187">
      <w:pPr>
        <w:pStyle w:val="Default"/>
        <w:spacing w:line="360" w:lineRule="auto"/>
        <w:ind w:firstLine="1440"/>
        <w:rPr>
          <w:sz w:val="26"/>
          <w:szCs w:val="26"/>
        </w:rPr>
      </w:pPr>
    </w:p>
    <w:p w14:paraId="44E6B4DC" w14:textId="106D35D5" w:rsidR="00C767AB" w:rsidRDefault="009B2A8F" w:rsidP="00C61865">
      <w:pPr>
        <w:pStyle w:val="Heading4"/>
        <w:widowControl/>
        <w:ind w:left="2160" w:hanging="720"/>
      </w:pPr>
      <w:bookmarkStart w:id="129" w:name="_Hlk28535514"/>
      <w:bookmarkStart w:id="130" w:name="_Toc29278237"/>
      <w:r>
        <w:t>Exceptions and Replies</w:t>
      </w:r>
      <w:bookmarkEnd w:id="129"/>
      <w:bookmarkEnd w:id="130"/>
    </w:p>
    <w:p w14:paraId="61B531B7" w14:textId="77777777" w:rsidR="009B2A8F" w:rsidRDefault="009B2A8F" w:rsidP="00C61865">
      <w:pPr>
        <w:pStyle w:val="Default"/>
        <w:keepNext/>
        <w:spacing w:line="360" w:lineRule="auto"/>
        <w:ind w:firstLine="1440"/>
        <w:rPr>
          <w:sz w:val="26"/>
          <w:szCs w:val="26"/>
        </w:rPr>
      </w:pPr>
    </w:p>
    <w:p w14:paraId="7F41127E" w14:textId="77777777" w:rsidR="00580CEC" w:rsidRDefault="00580CEC" w:rsidP="00C61865">
      <w:pPr>
        <w:pStyle w:val="Default"/>
        <w:keepNext/>
        <w:spacing w:line="360" w:lineRule="auto"/>
        <w:ind w:firstLine="1440"/>
        <w:rPr>
          <w:sz w:val="26"/>
          <w:szCs w:val="26"/>
        </w:rPr>
      </w:pPr>
      <w:r>
        <w:rPr>
          <w:sz w:val="26"/>
          <w:szCs w:val="26"/>
        </w:rPr>
        <w:t xml:space="preserve">I&amp;E provides that Aqua PA stated that it would merely strive to meet the proposed customer service metrics and that they did not appear to be firm commitments.  </w:t>
      </w:r>
      <w:r>
        <w:rPr>
          <w:sz w:val="26"/>
          <w:szCs w:val="26"/>
        </w:rPr>
        <w:lastRenderedPageBreak/>
        <w:t xml:space="preserve">I&amp;E Exc. at 23 (citing I&amp;E R.B. at 30).  I&amp;E contends that there is no penalty for Aqua PA’s failure to meet these metrics.  I&amp;E provides that the ALJ stated Aqua PA’s commitments ensure that Aqua “will continue to meet or exceed its existing performance metrics…” I&amp;E states that merely meeting a pre-existing performance metric is not a substantial benefit and as with many of these commitments, they never rise to the level of a benefit unless they occur.  I&amp;E Exc. at 23 (citing R.D. at 82).  </w:t>
      </w:r>
    </w:p>
    <w:p w14:paraId="7E6F63E1" w14:textId="77777777" w:rsidR="00580CEC" w:rsidRDefault="00580CEC" w:rsidP="00B24187">
      <w:pPr>
        <w:pStyle w:val="Default"/>
        <w:spacing w:line="360" w:lineRule="auto"/>
        <w:ind w:firstLine="1440"/>
        <w:rPr>
          <w:sz w:val="26"/>
          <w:szCs w:val="26"/>
        </w:rPr>
      </w:pPr>
    </w:p>
    <w:p w14:paraId="1257B58A" w14:textId="62E3C233" w:rsidR="00580CEC" w:rsidRDefault="00580CEC" w:rsidP="00B24187">
      <w:pPr>
        <w:pStyle w:val="Default"/>
        <w:spacing w:line="360" w:lineRule="auto"/>
        <w:ind w:firstLine="1440"/>
        <w:rPr>
          <w:sz w:val="26"/>
          <w:szCs w:val="26"/>
        </w:rPr>
      </w:pPr>
      <w:r>
        <w:rPr>
          <w:sz w:val="26"/>
          <w:szCs w:val="26"/>
        </w:rPr>
        <w:t xml:space="preserve">I&amp;E provides that the ALJ stated “I&amp;E is correct in observing that simply meeting metrics which are already in place is not a substantial benefit.”  I&amp;E Exc. at 24 (citing R.D. at 85).  According to I&amp;E, the Joint Applicants state regarding the Peoples Companies’ customer service commitments that “[w]ith respect to I&amp;E’s arguments regarding service performance metrics, the Joint Applicants acknowledge that this commitment matches the Peoples Companies’ performance goals for 2019.”  I&amp;E Exc. at 24 (citing Joint Applicant R.B. at 47).  I&amp;E contends that the ALJ’s logic is flawed in concluding that the customer service commitments in the Settlement amount to a substantial public benefit.  According to I&amp;E, simply reporting to I&amp;E, </w:t>
      </w:r>
      <w:r w:rsidR="00107DCE">
        <w:rPr>
          <w:sz w:val="26"/>
          <w:szCs w:val="26"/>
        </w:rPr>
        <w:t xml:space="preserve">the </w:t>
      </w:r>
      <w:r>
        <w:rPr>
          <w:sz w:val="26"/>
          <w:szCs w:val="26"/>
        </w:rPr>
        <w:t xml:space="preserve">OSBA and </w:t>
      </w:r>
      <w:r w:rsidR="00107DCE">
        <w:rPr>
          <w:sz w:val="26"/>
          <w:szCs w:val="26"/>
        </w:rPr>
        <w:t xml:space="preserve">the </w:t>
      </w:r>
      <w:r>
        <w:rPr>
          <w:sz w:val="26"/>
          <w:szCs w:val="26"/>
        </w:rPr>
        <w:t>OCA is not a substantial public benefit, when according to the ALJ’s own analysis, meeting a metric already in place is not a public benefit.  I&amp;E Exc. at 24 (citing R.D. at</w:t>
      </w:r>
      <w:r w:rsidR="00364103">
        <w:rPr>
          <w:sz w:val="26"/>
          <w:szCs w:val="26"/>
        </w:rPr>
        <w:t> </w:t>
      </w:r>
      <w:r>
        <w:rPr>
          <w:sz w:val="26"/>
          <w:szCs w:val="26"/>
        </w:rPr>
        <w:t xml:space="preserve">86). </w:t>
      </w:r>
    </w:p>
    <w:p w14:paraId="49DC19EB" w14:textId="3CFE13EE" w:rsidR="00580CEC" w:rsidRDefault="00580CEC" w:rsidP="00B24187">
      <w:pPr>
        <w:pStyle w:val="Default"/>
        <w:spacing w:line="360" w:lineRule="auto"/>
        <w:ind w:firstLine="1440"/>
        <w:rPr>
          <w:sz w:val="26"/>
          <w:szCs w:val="26"/>
        </w:rPr>
      </w:pPr>
    </w:p>
    <w:p w14:paraId="1BDB1B59" w14:textId="77777777" w:rsidR="00580CEC" w:rsidRDefault="00580CEC" w:rsidP="00B24187">
      <w:pPr>
        <w:pStyle w:val="Default"/>
        <w:spacing w:line="360" w:lineRule="auto"/>
        <w:ind w:firstLine="1440"/>
        <w:rPr>
          <w:sz w:val="26"/>
          <w:szCs w:val="26"/>
        </w:rPr>
      </w:pPr>
      <w:r>
        <w:rPr>
          <w:sz w:val="26"/>
          <w:szCs w:val="26"/>
        </w:rPr>
        <w:t xml:space="preserve">The OSBA notes that the Joint Applicants commit to “ensure that the Peoples Companies continue to provide safe and reliable service to their customers, at a level that meets or exceeds current performance.” OSBA Exc. at 27 (citing Joint Applicants M.B. at 47).  According to the OSBA, in the case of Peoples, there is no commitment to affirmatively improve customer service.  </w:t>
      </w:r>
      <w:r w:rsidR="00107DCE">
        <w:rPr>
          <w:sz w:val="26"/>
          <w:szCs w:val="26"/>
        </w:rPr>
        <w:t xml:space="preserve">The </w:t>
      </w:r>
      <w:r>
        <w:rPr>
          <w:sz w:val="26"/>
          <w:szCs w:val="26"/>
        </w:rPr>
        <w:t xml:space="preserve">OSBA contends that continuation of the status quo does not constitute a public benefit.  OSBA Exc. at 27 (citing R.D. at 69).  </w:t>
      </w:r>
    </w:p>
    <w:p w14:paraId="3FB4EA0B" w14:textId="77777777" w:rsidR="00580CEC" w:rsidRDefault="00580CEC" w:rsidP="00B24187">
      <w:pPr>
        <w:pStyle w:val="Default"/>
        <w:spacing w:line="360" w:lineRule="auto"/>
        <w:ind w:firstLine="1440"/>
        <w:rPr>
          <w:sz w:val="26"/>
          <w:szCs w:val="26"/>
        </w:rPr>
      </w:pPr>
    </w:p>
    <w:p w14:paraId="1A837121" w14:textId="1209BE72" w:rsidR="00580CEC" w:rsidRDefault="00580CEC" w:rsidP="00B24187">
      <w:pPr>
        <w:pStyle w:val="Default"/>
        <w:spacing w:line="360" w:lineRule="auto"/>
        <w:ind w:firstLine="1440"/>
        <w:rPr>
          <w:sz w:val="26"/>
          <w:szCs w:val="26"/>
        </w:rPr>
      </w:pPr>
      <w:r>
        <w:rPr>
          <w:sz w:val="26"/>
          <w:szCs w:val="26"/>
        </w:rPr>
        <w:lastRenderedPageBreak/>
        <w:t xml:space="preserve">The OSBA provides that in the case of Aqua America, it is in all utilities’ interests to continuously improve customer service and the improvement of Aqua PA’s customer service and related metrics is not dependent on the Proposed Transaction.  OSBA Exc. at 27 (citing OSBA R.B. at 24).  The OSBA contends that Aqua PA views these commitments as mere goals in which case there is zero benefit, let alone a significant public benefit.  OSBA Exc. at 27 (citing I&amp;E R.B. at 30-31).  The OSBA avers that illusory benefits will not satisfy the </w:t>
      </w:r>
      <w:r w:rsidRPr="00E26A79">
        <w:rPr>
          <w:i/>
          <w:iCs/>
          <w:sz w:val="26"/>
          <w:szCs w:val="26"/>
        </w:rPr>
        <w:t>City of York</w:t>
      </w:r>
      <w:r>
        <w:rPr>
          <w:sz w:val="26"/>
          <w:szCs w:val="26"/>
        </w:rPr>
        <w:t xml:space="preserve"> standard.  OSBA Exc. at 27 (citing </w:t>
      </w:r>
      <w:r w:rsidRPr="007474DA">
        <w:rPr>
          <w:i/>
          <w:iCs/>
          <w:sz w:val="26"/>
          <w:szCs w:val="26"/>
        </w:rPr>
        <w:t>Popowsky v. Pa. PUC</w:t>
      </w:r>
      <w:r>
        <w:rPr>
          <w:sz w:val="26"/>
          <w:szCs w:val="26"/>
        </w:rPr>
        <w:t>, 937 A.2d at 1057-1058</w:t>
      </w:r>
      <w:r w:rsidR="000F3D40">
        <w:rPr>
          <w:sz w:val="26"/>
          <w:szCs w:val="26"/>
        </w:rPr>
        <w:t>)</w:t>
      </w:r>
      <w:r>
        <w:rPr>
          <w:sz w:val="26"/>
          <w:szCs w:val="26"/>
        </w:rPr>
        <w:t xml:space="preserve">.  The OSBA reasons that as the Settlement does not contemplate any penalties for non-compliance, it is difficult to believe that these commitments will be any more effective than the status quo in encouraging Aqua PA to improve its customer service.  OSBA Exc. at 28.  </w:t>
      </w:r>
    </w:p>
    <w:p w14:paraId="3EDB4F13" w14:textId="77777777" w:rsidR="00D66EA5" w:rsidRDefault="00D66EA5" w:rsidP="00B24187">
      <w:pPr>
        <w:pStyle w:val="Default"/>
        <w:spacing w:line="360" w:lineRule="auto"/>
        <w:ind w:firstLine="1440"/>
        <w:rPr>
          <w:sz w:val="26"/>
          <w:szCs w:val="26"/>
        </w:rPr>
      </w:pPr>
    </w:p>
    <w:p w14:paraId="3B443E48" w14:textId="77777777" w:rsidR="00580CEC" w:rsidRDefault="00580CEC" w:rsidP="00B24187">
      <w:pPr>
        <w:pStyle w:val="Default"/>
        <w:spacing w:line="360" w:lineRule="auto"/>
        <w:ind w:firstLine="1440"/>
        <w:rPr>
          <w:sz w:val="26"/>
          <w:szCs w:val="26"/>
        </w:rPr>
      </w:pPr>
      <w:r>
        <w:rPr>
          <w:sz w:val="26"/>
          <w:szCs w:val="26"/>
        </w:rPr>
        <w:t>In Reply, the OCA notes that it sought commitments from the Joint Applicants that would maintain or increase customer service metrics at the Companies.  The OCA contends that as noted by the ALJ, these commitments provide a substantial, public benefit because they would:</w:t>
      </w:r>
    </w:p>
    <w:p w14:paraId="44161790" w14:textId="77777777" w:rsidR="00580CEC" w:rsidRDefault="00580CEC" w:rsidP="00B24187">
      <w:pPr>
        <w:pStyle w:val="Default"/>
        <w:spacing w:line="360" w:lineRule="auto"/>
        <w:ind w:firstLine="1440"/>
        <w:rPr>
          <w:sz w:val="26"/>
          <w:szCs w:val="26"/>
        </w:rPr>
      </w:pPr>
    </w:p>
    <w:p w14:paraId="1E92CD20" w14:textId="77777777" w:rsidR="00580CEC" w:rsidRDefault="00580CEC" w:rsidP="00B24187">
      <w:pPr>
        <w:pStyle w:val="Default"/>
        <w:ind w:left="1440" w:right="1440"/>
        <w:rPr>
          <w:sz w:val="26"/>
          <w:szCs w:val="26"/>
        </w:rPr>
      </w:pPr>
      <w:r>
        <w:rPr>
          <w:sz w:val="26"/>
          <w:szCs w:val="26"/>
        </w:rPr>
        <w:t xml:space="preserve">(1) maintain or increase Pennsylvania-based jobs, (2) ensure Pennsylvania customers are interfacing with Pennsylvania -based employees and (3) ensure the Joint Applicants continue to maintain the call center and workforce staffing levels necessary to provide safe and reliable service.  </w:t>
      </w:r>
    </w:p>
    <w:p w14:paraId="00D407FD" w14:textId="77777777" w:rsidR="00580CEC" w:rsidRDefault="00580CEC" w:rsidP="00B24187">
      <w:pPr>
        <w:pStyle w:val="Default"/>
        <w:spacing w:line="360" w:lineRule="auto"/>
        <w:ind w:firstLine="1440"/>
        <w:rPr>
          <w:sz w:val="26"/>
          <w:szCs w:val="26"/>
        </w:rPr>
      </w:pPr>
    </w:p>
    <w:p w14:paraId="614333B3" w14:textId="77777777" w:rsidR="00580CEC" w:rsidRDefault="00580CEC" w:rsidP="00B24187">
      <w:pPr>
        <w:pStyle w:val="Default"/>
        <w:spacing w:line="360" w:lineRule="auto"/>
        <w:rPr>
          <w:sz w:val="26"/>
          <w:szCs w:val="26"/>
        </w:rPr>
      </w:pPr>
      <w:r>
        <w:rPr>
          <w:sz w:val="26"/>
          <w:szCs w:val="26"/>
        </w:rPr>
        <w:t>OCA R.</w:t>
      </w:r>
      <w:r w:rsidR="00CF4CD2">
        <w:rPr>
          <w:sz w:val="26"/>
          <w:szCs w:val="26"/>
        </w:rPr>
        <w:t xml:space="preserve"> </w:t>
      </w:r>
      <w:r>
        <w:rPr>
          <w:sz w:val="26"/>
          <w:szCs w:val="26"/>
        </w:rPr>
        <w:t xml:space="preserve">Exc. at 18 (citing R.D. at 85).  </w:t>
      </w:r>
    </w:p>
    <w:p w14:paraId="6A233C1B" w14:textId="77777777" w:rsidR="00580CEC" w:rsidRDefault="00580CEC" w:rsidP="00B24187">
      <w:pPr>
        <w:pStyle w:val="Default"/>
        <w:spacing w:line="360" w:lineRule="auto"/>
        <w:rPr>
          <w:sz w:val="26"/>
          <w:szCs w:val="26"/>
        </w:rPr>
      </w:pPr>
    </w:p>
    <w:p w14:paraId="64C5DA8E" w14:textId="77777777" w:rsidR="00580CEC" w:rsidRDefault="00580CEC" w:rsidP="00B24187">
      <w:pPr>
        <w:pStyle w:val="Default"/>
        <w:spacing w:line="360" w:lineRule="auto"/>
        <w:ind w:firstLine="1440"/>
        <w:rPr>
          <w:sz w:val="26"/>
          <w:szCs w:val="26"/>
        </w:rPr>
      </w:pPr>
      <w:r>
        <w:rPr>
          <w:sz w:val="26"/>
          <w:szCs w:val="26"/>
        </w:rPr>
        <w:t xml:space="preserve">The OCA notes that the commitments in the Settlement go beyond simply meeting current performance metrics by including reporting requirements that allow the statutory advocates to monitor these metrics.  According to the OCA, the Settlement also includes new metrics by which the Peoples Companies can evaluate its customer service, and the Peoples Companies agreed to maintain or improve its customer service metrics </w:t>
      </w:r>
      <w:r>
        <w:rPr>
          <w:sz w:val="26"/>
          <w:szCs w:val="26"/>
        </w:rPr>
        <w:lastRenderedPageBreak/>
        <w:t>for a period of five years after closing.  OCA R.</w:t>
      </w:r>
      <w:r w:rsidR="00CF4CD2">
        <w:rPr>
          <w:sz w:val="26"/>
          <w:szCs w:val="26"/>
        </w:rPr>
        <w:t xml:space="preserve"> </w:t>
      </w:r>
      <w:r>
        <w:rPr>
          <w:sz w:val="26"/>
          <w:szCs w:val="26"/>
        </w:rPr>
        <w:t>Exc. at 18 (citing R.D. at 84-85).  The OCA explains that the Settlement includes several provisions to ensure that Aqua PA adopts the Peoples Companies’ best practices, specifically regarding customer service and quality of service.  OCA R.</w:t>
      </w:r>
      <w:r w:rsidR="00CF4CD2">
        <w:rPr>
          <w:sz w:val="26"/>
          <w:szCs w:val="26"/>
        </w:rPr>
        <w:t xml:space="preserve"> </w:t>
      </w:r>
      <w:r>
        <w:rPr>
          <w:sz w:val="26"/>
          <w:szCs w:val="26"/>
        </w:rPr>
        <w:t>Exc. at 19 (citing OCA R.B. at 28; Settlement at ¶¶83, 85-88).</w:t>
      </w:r>
    </w:p>
    <w:p w14:paraId="155E785E" w14:textId="77777777" w:rsidR="00580CEC" w:rsidRDefault="00580CEC" w:rsidP="00B24187">
      <w:pPr>
        <w:pStyle w:val="Default"/>
        <w:spacing w:line="360" w:lineRule="auto"/>
        <w:ind w:firstLine="1440"/>
        <w:rPr>
          <w:sz w:val="26"/>
          <w:szCs w:val="26"/>
        </w:rPr>
      </w:pPr>
    </w:p>
    <w:p w14:paraId="643C6E83" w14:textId="077DE471" w:rsidR="00580CEC" w:rsidRDefault="00580CEC" w:rsidP="00B24187">
      <w:pPr>
        <w:pStyle w:val="Default"/>
        <w:spacing w:line="360" w:lineRule="auto"/>
        <w:ind w:firstLine="1440"/>
        <w:rPr>
          <w:sz w:val="26"/>
          <w:szCs w:val="26"/>
        </w:rPr>
      </w:pPr>
      <w:r>
        <w:rPr>
          <w:sz w:val="26"/>
          <w:szCs w:val="26"/>
        </w:rPr>
        <w:t xml:space="preserve">In their Replies, the Joint Applicants state that the ALJ found that the Settlement includes additional reporting requirements which create a mechanism for the enforcement of these </w:t>
      </w:r>
      <w:r w:rsidR="003A591D">
        <w:rPr>
          <w:sz w:val="26"/>
          <w:szCs w:val="26"/>
        </w:rPr>
        <w:t>metrics that</w:t>
      </w:r>
      <w:r>
        <w:rPr>
          <w:sz w:val="26"/>
          <w:szCs w:val="26"/>
        </w:rPr>
        <w:t xml:space="preserve"> are not currently in place.  According to the Joint Applicants, the commitment to maintain the Peoples Companies’ performance metrics for an additional, defined period of time is new as well as the service performance metrics applicable to Aqua PA.  Joint Applicants R. Exc. at 19 (citing R.D. at 85; Joint Applicants M.B. at 46-48; Joint Applicants R.B. at 47-48).  </w:t>
      </w:r>
    </w:p>
    <w:p w14:paraId="7D68728D" w14:textId="77777777" w:rsidR="00580CEC" w:rsidRDefault="00580CEC" w:rsidP="00B24187">
      <w:pPr>
        <w:pStyle w:val="Default"/>
        <w:spacing w:line="360" w:lineRule="auto"/>
        <w:ind w:firstLine="1440"/>
        <w:rPr>
          <w:sz w:val="26"/>
          <w:szCs w:val="26"/>
        </w:rPr>
      </w:pPr>
    </w:p>
    <w:p w14:paraId="2AFF78B2" w14:textId="77777777" w:rsidR="00580CEC" w:rsidRPr="00C42347" w:rsidRDefault="00580CEC" w:rsidP="00C61865">
      <w:pPr>
        <w:pStyle w:val="Heading4"/>
        <w:widowControl/>
        <w:ind w:left="2160" w:hanging="720"/>
      </w:pPr>
      <w:bookmarkStart w:id="131" w:name="_Toc29278238"/>
      <w:r w:rsidRPr="00C42347">
        <w:t>Disposition</w:t>
      </w:r>
      <w:bookmarkEnd w:id="131"/>
    </w:p>
    <w:p w14:paraId="25C606AE" w14:textId="77777777" w:rsidR="00580CEC" w:rsidRDefault="00580CEC" w:rsidP="00C61865">
      <w:pPr>
        <w:pStyle w:val="Default"/>
        <w:keepNext/>
        <w:spacing w:line="360" w:lineRule="auto"/>
        <w:ind w:firstLine="1440"/>
        <w:rPr>
          <w:sz w:val="26"/>
          <w:szCs w:val="26"/>
        </w:rPr>
      </w:pPr>
    </w:p>
    <w:p w14:paraId="38FAF5A9" w14:textId="77777777" w:rsidR="00580CEC" w:rsidRDefault="00580CEC" w:rsidP="00C61865">
      <w:pPr>
        <w:pStyle w:val="Default"/>
        <w:keepNext/>
        <w:spacing w:line="360" w:lineRule="auto"/>
        <w:ind w:firstLine="1440"/>
        <w:rPr>
          <w:sz w:val="26"/>
          <w:szCs w:val="26"/>
        </w:rPr>
      </w:pPr>
      <w:r>
        <w:rPr>
          <w:sz w:val="26"/>
          <w:szCs w:val="26"/>
        </w:rPr>
        <w:t xml:space="preserve">Based on the record and the Parties’ positions, we will deny I&amp;E and the OSBA’s Exceptions regarding the customer service commitments in the Settlement.  The Joint Applicants have agreed to meet or exceed the Peoples Companies’ customer service metrics for five years from closing, maintain the Peoples </w:t>
      </w:r>
      <w:r w:rsidR="004936F4">
        <w:rPr>
          <w:sz w:val="26"/>
          <w:szCs w:val="26"/>
        </w:rPr>
        <w:t>Companies</w:t>
      </w:r>
      <w:r w:rsidR="00107DCE">
        <w:rPr>
          <w:sz w:val="26"/>
          <w:szCs w:val="26"/>
        </w:rPr>
        <w:t>’</w:t>
      </w:r>
      <w:r w:rsidR="004936F4">
        <w:rPr>
          <w:sz w:val="26"/>
          <w:szCs w:val="26"/>
        </w:rPr>
        <w:t xml:space="preserve"> </w:t>
      </w:r>
      <w:r>
        <w:rPr>
          <w:sz w:val="26"/>
          <w:szCs w:val="26"/>
        </w:rPr>
        <w:t xml:space="preserve">call center staffing levels and location, provide performance reports to the OCA, I&amp;E, and </w:t>
      </w:r>
      <w:r w:rsidR="00107DCE">
        <w:rPr>
          <w:sz w:val="26"/>
          <w:szCs w:val="26"/>
        </w:rPr>
        <w:t xml:space="preserve">the </w:t>
      </w:r>
      <w:r>
        <w:rPr>
          <w:sz w:val="26"/>
          <w:szCs w:val="26"/>
        </w:rPr>
        <w:t xml:space="preserve">OSBA, and improve the customer service metrics at Aqua PA.  Aqua America has committed to improving its call center performance, to match the performance standards applicable to the Peoples Companies, which would be a substantial benefit to Aqua PA’s customers.  Aqua PA will track Pennsylvania customer complaints to identify and address negative trends.  Joint Applicants Statement in Support at 24.  </w:t>
      </w:r>
    </w:p>
    <w:p w14:paraId="0EAF33EE" w14:textId="77777777" w:rsidR="00580CEC" w:rsidRDefault="00580CEC" w:rsidP="00B24187">
      <w:pPr>
        <w:pStyle w:val="Default"/>
        <w:spacing w:line="360" w:lineRule="auto"/>
        <w:ind w:firstLine="1440"/>
        <w:rPr>
          <w:sz w:val="26"/>
          <w:szCs w:val="26"/>
        </w:rPr>
      </w:pPr>
    </w:p>
    <w:p w14:paraId="7267FBA3" w14:textId="0BB11F2E" w:rsidR="00580CEC" w:rsidRDefault="00580CEC" w:rsidP="00B24187">
      <w:pPr>
        <w:pStyle w:val="Default"/>
        <w:spacing w:line="360" w:lineRule="auto"/>
        <w:ind w:firstLine="1440"/>
        <w:rPr>
          <w:sz w:val="26"/>
          <w:szCs w:val="26"/>
        </w:rPr>
      </w:pPr>
      <w:r>
        <w:rPr>
          <w:sz w:val="26"/>
          <w:szCs w:val="26"/>
        </w:rPr>
        <w:t xml:space="preserve">We note that the OCA was concerned that customer service could deteriorate at the Peoples Companies after the Proposed Transaction as attention was </w:t>
      </w:r>
      <w:r>
        <w:rPr>
          <w:sz w:val="26"/>
          <w:szCs w:val="26"/>
        </w:rPr>
        <w:lastRenderedPageBreak/>
        <w:t>diverted to other matters.  As a result, the OCA recommended that Peoples should continue to meet its performance goals for 2019 and provided several recommended metrics.  The OCA’s recommendations were adopted in the Settlement.  We agree with the OCA that these commitments will help ensure that the Peoples Companies meet their customer service goals and these commitments may not have occurred without the Settlement.  We note that the customer service commitments in the Settlement regarding the Peoples Companies go beyond meeting the current performance metrics by adding the following: (1) the five-year commitment to maintain or improve metrics</w:t>
      </w:r>
      <w:r w:rsidR="00107DCE">
        <w:rPr>
          <w:sz w:val="26"/>
          <w:szCs w:val="26"/>
        </w:rPr>
        <w:t>;</w:t>
      </w:r>
      <w:r>
        <w:rPr>
          <w:sz w:val="26"/>
          <w:szCs w:val="26"/>
        </w:rPr>
        <w:t xml:space="preserve"> (2) the staffing maintenance and location of the Peoples Companies call center</w:t>
      </w:r>
      <w:r w:rsidR="00107DCE">
        <w:rPr>
          <w:sz w:val="26"/>
          <w:szCs w:val="26"/>
        </w:rPr>
        <w:t>;</w:t>
      </w:r>
      <w:r>
        <w:rPr>
          <w:sz w:val="26"/>
          <w:szCs w:val="26"/>
        </w:rPr>
        <w:t xml:space="preserve"> and (3) reporting requirements for the metrics and procedures in the event a metric is not met.</w:t>
      </w:r>
    </w:p>
    <w:p w14:paraId="1A2D95AD" w14:textId="77777777" w:rsidR="00580CEC" w:rsidRDefault="00580CEC" w:rsidP="00B24187">
      <w:pPr>
        <w:pStyle w:val="Default"/>
        <w:spacing w:line="360" w:lineRule="auto"/>
        <w:ind w:firstLine="1440"/>
        <w:rPr>
          <w:sz w:val="26"/>
          <w:szCs w:val="26"/>
        </w:rPr>
      </w:pPr>
    </w:p>
    <w:p w14:paraId="61D3D241" w14:textId="39ACBF1A" w:rsidR="00580CEC" w:rsidRDefault="00580CEC" w:rsidP="00B24187">
      <w:pPr>
        <w:pStyle w:val="Default"/>
        <w:spacing w:line="360" w:lineRule="auto"/>
        <w:ind w:firstLine="1440"/>
        <w:rPr>
          <w:sz w:val="26"/>
          <w:szCs w:val="26"/>
        </w:rPr>
      </w:pPr>
      <w:r>
        <w:rPr>
          <w:sz w:val="26"/>
          <w:szCs w:val="26"/>
        </w:rPr>
        <w:t xml:space="preserve">Regarding the customer service metrics at Aqua PA, the Settlement includes the adoption of metrics proposed by the OCA and provisions to ensure that Aqua PA adopts the Peoples Companies’ best practices.  Aqua PA will also be subject to the same reporting requirements that the Peoples Companies must fulfill.  We note that Aqua PA is currently not required to meet specific customer service metrics.  The Settlement includes specific service commitments by Aqua America as recommended by </w:t>
      </w:r>
      <w:r w:rsidR="004936F4">
        <w:rPr>
          <w:sz w:val="26"/>
          <w:szCs w:val="26"/>
        </w:rPr>
        <w:t xml:space="preserve">the </w:t>
      </w:r>
      <w:r>
        <w:rPr>
          <w:sz w:val="26"/>
          <w:szCs w:val="26"/>
        </w:rPr>
        <w:t xml:space="preserve">OCA to enhance customer service and service quality for Aqua PA.  The performance metrics recommended by </w:t>
      </w:r>
      <w:r w:rsidR="004936F4">
        <w:rPr>
          <w:sz w:val="26"/>
          <w:szCs w:val="26"/>
        </w:rPr>
        <w:t xml:space="preserve">the </w:t>
      </w:r>
      <w:r>
        <w:rPr>
          <w:sz w:val="26"/>
          <w:szCs w:val="26"/>
        </w:rPr>
        <w:t>OCA and adopted in the Settlement will provide a substantial benefit to Aqua PA customers and the public in the form of better customer service quality.  Additional performance metrics require the monitoring and reporting by Aqua PA of safe work practices and compliance with environmental regulations.</w:t>
      </w:r>
      <w:r w:rsidR="003A591D">
        <w:rPr>
          <w:sz w:val="26"/>
          <w:szCs w:val="26"/>
        </w:rPr>
        <w:t xml:space="preserve">  </w:t>
      </w:r>
      <w:r>
        <w:rPr>
          <w:sz w:val="26"/>
          <w:szCs w:val="26"/>
        </w:rPr>
        <w:t xml:space="preserve">OCA R.B. at 32.  We agree with the OCA that these performance metrics and requirements were not included in the initial Application and were committed to by the Joint Applicants in the Settlement.  We also agree with </w:t>
      </w:r>
      <w:r w:rsidR="004936F4">
        <w:rPr>
          <w:sz w:val="26"/>
          <w:szCs w:val="26"/>
        </w:rPr>
        <w:t xml:space="preserve">the </w:t>
      </w:r>
      <w:r>
        <w:rPr>
          <w:sz w:val="26"/>
          <w:szCs w:val="26"/>
        </w:rPr>
        <w:t xml:space="preserve">OCA that the reporting requirements in the Settlement regarding customer service metrics are important because they will allow the OCA and other parties to track </w:t>
      </w:r>
      <w:r w:rsidR="00107DCE">
        <w:rPr>
          <w:sz w:val="26"/>
          <w:szCs w:val="26"/>
        </w:rPr>
        <w:t xml:space="preserve">the </w:t>
      </w:r>
      <w:r>
        <w:rPr>
          <w:sz w:val="26"/>
          <w:szCs w:val="26"/>
        </w:rPr>
        <w:t>best practices shared between the Joint Applicants and provides important data for a future rate case.  OCA Statement in Support at 31.</w:t>
      </w:r>
      <w:r w:rsidR="004936F4">
        <w:rPr>
          <w:sz w:val="26"/>
          <w:szCs w:val="26"/>
        </w:rPr>
        <w:t xml:space="preserve">  </w:t>
      </w:r>
      <w:r>
        <w:rPr>
          <w:sz w:val="26"/>
          <w:szCs w:val="26"/>
        </w:rPr>
        <w:t xml:space="preserve">The focus on enhanced and improved customer service and the new reporting requirements at </w:t>
      </w:r>
      <w:r>
        <w:rPr>
          <w:sz w:val="26"/>
          <w:szCs w:val="26"/>
        </w:rPr>
        <w:lastRenderedPageBreak/>
        <w:t>both the Peoples Companies</w:t>
      </w:r>
      <w:r w:rsidR="004936F4">
        <w:rPr>
          <w:sz w:val="26"/>
          <w:szCs w:val="26"/>
        </w:rPr>
        <w:t>’</w:t>
      </w:r>
      <w:r>
        <w:rPr>
          <w:sz w:val="26"/>
          <w:szCs w:val="26"/>
        </w:rPr>
        <w:t xml:space="preserve"> and Aqua PA are a substantial benefit to the customers of </w:t>
      </w:r>
      <w:r w:rsidR="00107DCE">
        <w:rPr>
          <w:sz w:val="26"/>
          <w:szCs w:val="26"/>
        </w:rPr>
        <w:t xml:space="preserve">the Joint </w:t>
      </w:r>
      <w:r>
        <w:rPr>
          <w:sz w:val="26"/>
          <w:szCs w:val="26"/>
        </w:rPr>
        <w:t>Applicants and a benefit to the public by ensuring that service quality will not deteriorate at the Peoples Companies and will improve for the Aqua PA customers.</w:t>
      </w:r>
      <w:r w:rsidR="003A591D">
        <w:rPr>
          <w:sz w:val="26"/>
          <w:szCs w:val="26"/>
        </w:rPr>
        <w:t xml:space="preserve">  </w:t>
      </w:r>
    </w:p>
    <w:p w14:paraId="16360199" w14:textId="77777777" w:rsidR="0070408F" w:rsidRPr="009927F8" w:rsidRDefault="0070408F" w:rsidP="00B24187">
      <w:pPr>
        <w:widowControl/>
        <w:spacing w:line="360" w:lineRule="auto"/>
        <w:rPr>
          <w:sz w:val="26"/>
          <w:szCs w:val="26"/>
        </w:rPr>
      </w:pPr>
    </w:p>
    <w:p w14:paraId="30E81955" w14:textId="77777777" w:rsidR="0070408F" w:rsidRPr="0070408F" w:rsidRDefault="0070408F" w:rsidP="002E1D97">
      <w:pPr>
        <w:pStyle w:val="Heading3"/>
        <w:keepNext/>
        <w:ind w:left="1440" w:hanging="720"/>
      </w:pPr>
      <w:bookmarkStart w:id="132" w:name="_Toc29278239"/>
      <w:r w:rsidRPr="0070408F">
        <w:t>Supplier Improvements</w:t>
      </w:r>
      <w:bookmarkEnd w:id="132"/>
    </w:p>
    <w:p w14:paraId="5320A80C" w14:textId="77777777" w:rsidR="0070408F" w:rsidRPr="009927F8" w:rsidRDefault="0070408F" w:rsidP="002E1D97">
      <w:pPr>
        <w:keepNext/>
        <w:widowControl/>
        <w:spacing w:line="360" w:lineRule="auto"/>
        <w:rPr>
          <w:sz w:val="26"/>
          <w:szCs w:val="26"/>
        </w:rPr>
      </w:pPr>
    </w:p>
    <w:p w14:paraId="26DBA9DB" w14:textId="77777777" w:rsidR="00580CEC" w:rsidRDefault="00580CEC" w:rsidP="002E1D97">
      <w:pPr>
        <w:pStyle w:val="Heading4"/>
        <w:widowControl/>
        <w:numPr>
          <w:ilvl w:val="0"/>
          <w:numId w:val="35"/>
        </w:numPr>
        <w:ind w:left="2160" w:hanging="720"/>
      </w:pPr>
      <w:bookmarkStart w:id="133" w:name="_Toc29278240"/>
      <w:r w:rsidRPr="00C42347">
        <w:t>Settlement Terms</w:t>
      </w:r>
      <w:bookmarkEnd w:id="133"/>
    </w:p>
    <w:p w14:paraId="540FF3B3" w14:textId="77777777" w:rsidR="00580CEC" w:rsidRPr="009927F8" w:rsidRDefault="00580CEC" w:rsidP="002E1D97">
      <w:pPr>
        <w:keepNext/>
        <w:widowControl/>
        <w:spacing w:line="360" w:lineRule="auto"/>
        <w:rPr>
          <w:sz w:val="26"/>
          <w:szCs w:val="26"/>
        </w:rPr>
      </w:pPr>
    </w:p>
    <w:p w14:paraId="0304FC43" w14:textId="77777777" w:rsidR="00580CEC" w:rsidRPr="00DA188D" w:rsidRDefault="00580CEC" w:rsidP="002E1D97">
      <w:pPr>
        <w:keepNext/>
        <w:widowControl/>
        <w:tabs>
          <w:tab w:val="left" w:pos="1440"/>
        </w:tabs>
        <w:ind w:left="1440" w:right="1440"/>
        <w:textAlignment w:val="baseline"/>
        <w:rPr>
          <w:color w:val="000000"/>
          <w:sz w:val="26"/>
          <w:szCs w:val="26"/>
        </w:rPr>
      </w:pPr>
      <w:r w:rsidRPr="00374B37">
        <w:rPr>
          <w:color w:val="000000"/>
          <w:sz w:val="26"/>
          <w:szCs w:val="26"/>
        </w:rPr>
        <w:t>115.</w:t>
      </w:r>
      <w:r>
        <w:rPr>
          <w:color w:val="000000"/>
          <w:sz w:val="26"/>
          <w:szCs w:val="26"/>
        </w:rPr>
        <w:tab/>
      </w:r>
      <w:r w:rsidRPr="00DA188D">
        <w:rPr>
          <w:color w:val="000000"/>
          <w:sz w:val="26"/>
          <w:szCs w:val="26"/>
        </w:rPr>
        <w:t>Upon request, the Peoples Companies will provide Choice suppliers heat load and baseload factors for their Priority One Choice pools on a monthly basis.</w:t>
      </w:r>
    </w:p>
    <w:p w14:paraId="714E4ED5" w14:textId="77777777" w:rsidR="00580CEC" w:rsidRDefault="00580CEC" w:rsidP="00B24187">
      <w:pPr>
        <w:widowControl/>
        <w:tabs>
          <w:tab w:val="left" w:pos="1440"/>
        </w:tabs>
        <w:ind w:left="1440" w:right="1440"/>
        <w:jc w:val="both"/>
        <w:textAlignment w:val="baseline"/>
        <w:rPr>
          <w:color w:val="000000"/>
          <w:sz w:val="26"/>
          <w:szCs w:val="26"/>
        </w:rPr>
      </w:pPr>
    </w:p>
    <w:p w14:paraId="64333FEF" w14:textId="77777777" w:rsidR="00580CEC" w:rsidRPr="00DA188D" w:rsidRDefault="00580CEC" w:rsidP="00B24187">
      <w:pPr>
        <w:widowControl/>
        <w:tabs>
          <w:tab w:val="left" w:pos="1440"/>
        </w:tabs>
        <w:ind w:left="1440" w:right="1440"/>
        <w:textAlignment w:val="baseline"/>
        <w:rPr>
          <w:color w:val="000000"/>
          <w:sz w:val="26"/>
          <w:szCs w:val="26"/>
        </w:rPr>
      </w:pPr>
      <w:r w:rsidRPr="00374B37">
        <w:rPr>
          <w:color w:val="000000"/>
          <w:sz w:val="26"/>
          <w:szCs w:val="26"/>
        </w:rPr>
        <w:t>116.</w:t>
      </w:r>
      <w:r>
        <w:rPr>
          <w:color w:val="000000"/>
          <w:sz w:val="26"/>
          <w:szCs w:val="26"/>
        </w:rPr>
        <w:tab/>
      </w:r>
      <w:r w:rsidRPr="00DA188D">
        <w:rPr>
          <w:color w:val="000000"/>
          <w:sz w:val="26"/>
          <w:szCs w:val="26"/>
        </w:rPr>
        <w:t>Upon request for non-residential customers with load greater than 300 mcf/year and with appropriate authorization from the customer of record, the Peoples Companies will provide heat load and baseload factors.</w:t>
      </w:r>
    </w:p>
    <w:p w14:paraId="1D289CA7" w14:textId="77777777" w:rsidR="00580CEC" w:rsidRDefault="00580CEC" w:rsidP="00B24187">
      <w:pPr>
        <w:widowControl/>
        <w:tabs>
          <w:tab w:val="left" w:pos="1440"/>
        </w:tabs>
        <w:ind w:left="1440" w:right="1440"/>
        <w:jc w:val="both"/>
        <w:textAlignment w:val="baseline"/>
        <w:rPr>
          <w:color w:val="000000"/>
          <w:sz w:val="26"/>
          <w:szCs w:val="26"/>
        </w:rPr>
      </w:pPr>
    </w:p>
    <w:p w14:paraId="3A0E6A91" w14:textId="77777777" w:rsidR="00580CEC" w:rsidRDefault="00580CEC" w:rsidP="00B24187">
      <w:pPr>
        <w:widowControl/>
        <w:tabs>
          <w:tab w:val="left" w:pos="1440"/>
        </w:tabs>
        <w:ind w:left="1440" w:right="1440"/>
        <w:textAlignment w:val="baseline"/>
        <w:rPr>
          <w:color w:val="000000"/>
          <w:sz w:val="26"/>
          <w:szCs w:val="26"/>
        </w:rPr>
      </w:pPr>
      <w:r w:rsidRPr="00374B37">
        <w:rPr>
          <w:color w:val="000000"/>
          <w:sz w:val="26"/>
          <w:szCs w:val="26"/>
        </w:rPr>
        <w:t>117.</w:t>
      </w:r>
      <w:r>
        <w:rPr>
          <w:color w:val="000000"/>
          <w:sz w:val="26"/>
          <w:szCs w:val="26"/>
        </w:rPr>
        <w:tab/>
      </w:r>
      <w:r w:rsidRPr="00DA188D">
        <w:rPr>
          <w:color w:val="000000"/>
          <w:sz w:val="26"/>
          <w:szCs w:val="26"/>
        </w:rPr>
        <w:t>Upon request, the Peoples Companies will provide the daily temperatures used to produce Priority One Choice daily targets.</w:t>
      </w:r>
    </w:p>
    <w:p w14:paraId="561B037B" w14:textId="77777777" w:rsidR="00580CEC" w:rsidRPr="00DA188D" w:rsidRDefault="00580CEC" w:rsidP="00B24187">
      <w:pPr>
        <w:widowControl/>
        <w:tabs>
          <w:tab w:val="left" w:pos="1440"/>
        </w:tabs>
        <w:ind w:left="1440" w:right="1440"/>
        <w:textAlignment w:val="baseline"/>
        <w:rPr>
          <w:color w:val="000000"/>
          <w:sz w:val="26"/>
          <w:szCs w:val="26"/>
        </w:rPr>
      </w:pPr>
    </w:p>
    <w:p w14:paraId="65617879" w14:textId="77777777" w:rsidR="00580CEC" w:rsidRDefault="00580CEC" w:rsidP="00B24187">
      <w:pPr>
        <w:widowControl/>
        <w:tabs>
          <w:tab w:val="left" w:pos="1440"/>
        </w:tabs>
        <w:ind w:left="1440" w:right="1440"/>
        <w:jc w:val="both"/>
        <w:textAlignment w:val="baseline"/>
        <w:rPr>
          <w:color w:val="000000"/>
          <w:sz w:val="26"/>
          <w:szCs w:val="26"/>
        </w:rPr>
      </w:pPr>
      <w:r w:rsidRPr="00374B37">
        <w:rPr>
          <w:color w:val="000000"/>
          <w:sz w:val="26"/>
          <w:szCs w:val="26"/>
        </w:rPr>
        <w:t xml:space="preserve">118. </w:t>
      </w:r>
      <w:r>
        <w:rPr>
          <w:color w:val="000000"/>
          <w:sz w:val="26"/>
          <w:szCs w:val="26"/>
        </w:rPr>
        <w:tab/>
      </w:r>
      <w:r w:rsidRPr="00DA188D">
        <w:rPr>
          <w:color w:val="000000"/>
          <w:sz w:val="26"/>
          <w:szCs w:val="26"/>
        </w:rPr>
        <w:t>The Peoples Companies will provide 20 rate codes for each pool. Upon request, the Peoples Companies will provide 10 additional rate codes, up to a maximum of 50 rate codes per pool. Any requests greater than 50 rate codes per pool must be reviewed and approved by the Peoples Companies. In no case shall the Peoples Companies provide more than 100 rate codes per pool.</w:t>
      </w:r>
    </w:p>
    <w:p w14:paraId="67579E49" w14:textId="77777777" w:rsidR="00580CEC" w:rsidRPr="00DA188D" w:rsidRDefault="00580CEC" w:rsidP="00B24187">
      <w:pPr>
        <w:widowControl/>
        <w:tabs>
          <w:tab w:val="left" w:pos="1440"/>
        </w:tabs>
        <w:ind w:left="1440" w:right="1440"/>
        <w:jc w:val="both"/>
        <w:textAlignment w:val="baseline"/>
        <w:rPr>
          <w:color w:val="000000"/>
          <w:sz w:val="26"/>
          <w:szCs w:val="26"/>
        </w:rPr>
      </w:pPr>
    </w:p>
    <w:p w14:paraId="276038AD" w14:textId="77777777" w:rsidR="00580CEC" w:rsidRDefault="00580CEC" w:rsidP="00B24187">
      <w:pPr>
        <w:widowControl/>
        <w:tabs>
          <w:tab w:val="left" w:pos="1440"/>
        </w:tabs>
        <w:ind w:left="1440" w:right="1440"/>
        <w:textAlignment w:val="baseline"/>
        <w:rPr>
          <w:color w:val="000000"/>
          <w:sz w:val="26"/>
          <w:szCs w:val="26"/>
        </w:rPr>
      </w:pPr>
      <w:r w:rsidRPr="00374B37">
        <w:rPr>
          <w:color w:val="000000"/>
          <w:sz w:val="26"/>
          <w:szCs w:val="26"/>
        </w:rPr>
        <w:t xml:space="preserve">119. </w:t>
      </w:r>
      <w:r>
        <w:rPr>
          <w:color w:val="000000"/>
          <w:sz w:val="26"/>
          <w:szCs w:val="26"/>
        </w:rPr>
        <w:tab/>
      </w:r>
      <w:r w:rsidRPr="00DA188D">
        <w:rPr>
          <w:color w:val="000000"/>
          <w:sz w:val="26"/>
          <w:szCs w:val="26"/>
        </w:rPr>
        <w:t>The Peoples Companies will increase the purchase of receivables customer eligibility from 300 Mcf annually to 1000 Mcf annually, for Rate SGS customers.</w:t>
      </w:r>
    </w:p>
    <w:p w14:paraId="316B1CBD" w14:textId="77777777" w:rsidR="00580CEC" w:rsidRPr="00DA188D" w:rsidRDefault="00580CEC" w:rsidP="00B24187">
      <w:pPr>
        <w:widowControl/>
        <w:tabs>
          <w:tab w:val="left" w:pos="1440"/>
        </w:tabs>
        <w:ind w:left="1440" w:right="1440"/>
        <w:jc w:val="both"/>
        <w:textAlignment w:val="baseline"/>
        <w:rPr>
          <w:color w:val="000000"/>
          <w:sz w:val="26"/>
          <w:szCs w:val="26"/>
        </w:rPr>
      </w:pPr>
    </w:p>
    <w:p w14:paraId="753A5AF8" w14:textId="77777777" w:rsidR="00580CEC" w:rsidRPr="00DA188D" w:rsidRDefault="00580CEC" w:rsidP="00B24187">
      <w:pPr>
        <w:widowControl/>
        <w:numPr>
          <w:ilvl w:val="0"/>
          <w:numId w:val="20"/>
        </w:numPr>
        <w:tabs>
          <w:tab w:val="left" w:pos="1440"/>
        </w:tabs>
        <w:spacing w:before="6"/>
        <w:ind w:left="1440" w:right="1440"/>
        <w:textAlignment w:val="baseline"/>
        <w:rPr>
          <w:color w:val="000000"/>
          <w:spacing w:val="1"/>
          <w:sz w:val="26"/>
          <w:szCs w:val="26"/>
        </w:rPr>
      </w:pPr>
      <w:r w:rsidRPr="00DA188D">
        <w:rPr>
          <w:color w:val="000000"/>
          <w:spacing w:val="1"/>
          <w:sz w:val="26"/>
          <w:szCs w:val="26"/>
        </w:rPr>
        <w:t>The Peoples Companies will maintain the Local Production Pool Tracking System.</w:t>
      </w:r>
    </w:p>
    <w:p w14:paraId="5AC0D3E7" w14:textId="77777777" w:rsidR="00580CEC" w:rsidRDefault="00580CEC" w:rsidP="00B24187">
      <w:pPr>
        <w:widowControl/>
        <w:numPr>
          <w:ilvl w:val="0"/>
          <w:numId w:val="20"/>
        </w:numPr>
        <w:tabs>
          <w:tab w:val="left" w:pos="1440"/>
        </w:tabs>
        <w:spacing w:before="279"/>
        <w:ind w:left="1440" w:right="1440"/>
        <w:textAlignment w:val="baseline"/>
        <w:rPr>
          <w:color w:val="000000"/>
          <w:sz w:val="26"/>
          <w:szCs w:val="26"/>
        </w:rPr>
      </w:pPr>
      <w:r w:rsidRPr="00DA188D">
        <w:rPr>
          <w:color w:val="000000"/>
          <w:sz w:val="26"/>
          <w:szCs w:val="26"/>
        </w:rPr>
        <w:t>The Peoples Companies will maintain their upgraded Electronic Bulletin Board.</w:t>
      </w:r>
    </w:p>
    <w:p w14:paraId="328E2FD7" w14:textId="77777777" w:rsidR="00580CEC" w:rsidRDefault="00580CEC" w:rsidP="00B24187">
      <w:pPr>
        <w:widowControl/>
        <w:tabs>
          <w:tab w:val="left" w:pos="720"/>
          <w:tab w:val="left" w:pos="1440"/>
        </w:tabs>
        <w:ind w:left="1440" w:right="1440"/>
        <w:textAlignment w:val="baseline"/>
        <w:rPr>
          <w:color w:val="000000"/>
          <w:sz w:val="26"/>
          <w:szCs w:val="26"/>
        </w:rPr>
      </w:pPr>
    </w:p>
    <w:p w14:paraId="13CE2CAA" w14:textId="77777777" w:rsidR="00580CEC" w:rsidRPr="00DA188D" w:rsidRDefault="00580CEC" w:rsidP="00B24187">
      <w:pPr>
        <w:widowControl/>
        <w:numPr>
          <w:ilvl w:val="0"/>
          <w:numId w:val="20"/>
        </w:numPr>
        <w:tabs>
          <w:tab w:val="left" w:pos="1440"/>
        </w:tabs>
        <w:ind w:left="1440" w:right="1440"/>
        <w:jc w:val="both"/>
        <w:textAlignment w:val="baseline"/>
        <w:rPr>
          <w:color w:val="000000"/>
          <w:sz w:val="26"/>
          <w:szCs w:val="26"/>
        </w:rPr>
      </w:pPr>
      <w:r w:rsidRPr="00DA188D">
        <w:rPr>
          <w:color w:val="000000"/>
          <w:sz w:val="26"/>
          <w:szCs w:val="26"/>
        </w:rPr>
        <w:lastRenderedPageBreak/>
        <w:t>The Peoples Companies will maintain Local Production Pool invoicing that includes identifying information.</w:t>
      </w:r>
    </w:p>
    <w:p w14:paraId="67943C43" w14:textId="77777777" w:rsidR="00580CEC" w:rsidRDefault="00580CEC" w:rsidP="00B24187">
      <w:pPr>
        <w:widowControl/>
        <w:numPr>
          <w:ilvl w:val="0"/>
          <w:numId w:val="20"/>
        </w:numPr>
        <w:tabs>
          <w:tab w:val="left" w:pos="1440"/>
        </w:tabs>
        <w:spacing w:before="279"/>
        <w:ind w:left="1440" w:right="1440"/>
        <w:jc w:val="both"/>
        <w:textAlignment w:val="baseline"/>
        <w:rPr>
          <w:color w:val="000000"/>
          <w:sz w:val="26"/>
          <w:szCs w:val="26"/>
        </w:rPr>
      </w:pPr>
      <w:r w:rsidRPr="00DA188D">
        <w:rPr>
          <w:color w:val="000000"/>
          <w:sz w:val="26"/>
          <w:szCs w:val="26"/>
        </w:rPr>
        <w:t>The Peoples Companies will maintain the group contact e-mail process.</w:t>
      </w:r>
    </w:p>
    <w:p w14:paraId="3CD8D39F" w14:textId="77777777" w:rsidR="00580CEC" w:rsidRDefault="00580CEC" w:rsidP="00B24187">
      <w:pPr>
        <w:widowControl/>
        <w:tabs>
          <w:tab w:val="left" w:pos="720"/>
          <w:tab w:val="left" w:pos="1440"/>
        </w:tabs>
        <w:ind w:left="1440" w:right="1440"/>
        <w:jc w:val="both"/>
        <w:textAlignment w:val="baseline"/>
        <w:rPr>
          <w:color w:val="000000"/>
          <w:sz w:val="26"/>
          <w:szCs w:val="26"/>
        </w:rPr>
      </w:pPr>
    </w:p>
    <w:p w14:paraId="653B4936" w14:textId="77777777" w:rsidR="00580CEC" w:rsidRDefault="00580CEC" w:rsidP="00B24187">
      <w:pPr>
        <w:widowControl/>
        <w:numPr>
          <w:ilvl w:val="0"/>
          <w:numId w:val="20"/>
        </w:numPr>
        <w:tabs>
          <w:tab w:val="left" w:pos="1440"/>
        </w:tabs>
        <w:ind w:left="1440" w:right="1440"/>
        <w:jc w:val="both"/>
        <w:textAlignment w:val="baseline"/>
        <w:rPr>
          <w:color w:val="000000"/>
          <w:sz w:val="26"/>
          <w:szCs w:val="26"/>
        </w:rPr>
      </w:pPr>
      <w:r w:rsidRPr="00DA188D">
        <w:rPr>
          <w:color w:val="000000"/>
          <w:sz w:val="26"/>
          <w:szCs w:val="26"/>
        </w:rPr>
        <w:t>The Peoples Companies will provide to each supplier, through existing billing files, the total number of individual customer burns that make up the aggregate burn pool.</w:t>
      </w:r>
    </w:p>
    <w:p w14:paraId="2E747D47" w14:textId="77777777" w:rsidR="00580CEC" w:rsidRPr="00DA188D" w:rsidRDefault="00580CEC" w:rsidP="00B24187">
      <w:pPr>
        <w:widowControl/>
        <w:tabs>
          <w:tab w:val="left" w:pos="720"/>
          <w:tab w:val="left" w:pos="1440"/>
        </w:tabs>
        <w:ind w:left="1440" w:right="1440"/>
        <w:jc w:val="both"/>
        <w:textAlignment w:val="baseline"/>
        <w:rPr>
          <w:color w:val="000000"/>
          <w:sz w:val="26"/>
          <w:szCs w:val="26"/>
        </w:rPr>
      </w:pPr>
    </w:p>
    <w:p w14:paraId="45F6CC68" w14:textId="77777777" w:rsidR="00580CEC" w:rsidRPr="00DA188D" w:rsidRDefault="00580CEC" w:rsidP="00B24187">
      <w:pPr>
        <w:widowControl/>
        <w:numPr>
          <w:ilvl w:val="0"/>
          <w:numId w:val="20"/>
        </w:numPr>
        <w:tabs>
          <w:tab w:val="left" w:pos="1440"/>
        </w:tabs>
        <w:ind w:left="1440" w:right="1440"/>
        <w:textAlignment w:val="baseline"/>
        <w:rPr>
          <w:color w:val="000000"/>
          <w:sz w:val="26"/>
          <w:szCs w:val="26"/>
        </w:rPr>
      </w:pPr>
      <w:r w:rsidRPr="00DA188D">
        <w:rPr>
          <w:color w:val="000000"/>
          <w:sz w:val="26"/>
          <w:szCs w:val="26"/>
        </w:rPr>
        <w:t>The Peoples Companies agree to undertake an assessment on the ability to accelerate the timing of issuance of daily delivery requirements (Targets) and capacity (gate space) requests. The results of this assessment and any resulting proposed modifications will be shared with suppliers prior to any implementation.</w:t>
      </w:r>
    </w:p>
    <w:p w14:paraId="280C93CA" w14:textId="77777777" w:rsidR="00580CEC" w:rsidRDefault="00580CEC" w:rsidP="00B24187">
      <w:pPr>
        <w:widowControl/>
        <w:numPr>
          <w:ilvl w:val="0"/>
          <w:numId w:val="20"/>
        </w:numPr>
        <w:tabs>
          <w:tab w:val="left" w:pos="1440"/>
        </w:tabs>
        <w:spacing w:before="279"/>
        <w:ind w:left="1440" w:right="1440"/>
        <w:textAlignment w:val="baseline"/>
        <w:rPr>
          <w:color w:val="000000"/>
          <w:spacing w:val="-1"/>
          <w:sz w:val="26"/>
          <w:szCs w:val="26"/>
        </w:rPr>
      </w:pPr>
      <w:r w:rsidRPr="00DA188D">
        <w:rPr>
          <w:color w:val="000000"/>
          <w:spacing w:val="-1"/>
          <w:sz w:val="26"/>
          <w:szCs w:val="26"/>
        </w:rPr>
        <w:t>The Peoples Companies will identify the customers’ billing cycles on its invoices.</w:t>
      </w:r>
    </w:p>
    <w:p w14:paraId="058E7657" w14:textId="77777777" w:rsidR="00580CEC" w:rsidRPr="00DA188D" w:rsidRDefault="00580CEC" w:rsidP="00B24187">
      <w:pPr>
        <w:widowControl/>
        <w:tabs>
          <w:tab w:val="left" w:pos="720"/>
          <w:tab w:val="left" w:pos="1440"/>
        </w:tabs>
        <w:ind w:left="1440" w:right="1440"/>
        <w:jc w:val="both"/>
        <w:textAlignment w:val="baseline"/>
        <w:rPr>
          <w:color w:val="000000"/>
          <w:spacing w:val="-1"/>
          <w:sz w:val="26"/>
          <w:szCs w:val="26"/>
        </w:rPr>
      </w:pPr>
    </w:p>
    <w:p w14:paraId="455EA5CC" w14:textId="77777777" w:rsidR="00580CEC" w:rsidRDefault="00580CEC" w:rsidP="00B24187">
      <w:pPr>
        <w:widowControl/>
        <w:numPr>
          <w:ilvl w:val="0"/>
          <w:numId w:val="20"/>
        </w:numPr>
        <w:tabs>
          <w:tab w:val="left" w:pos="1440"/>
        </w:tabs>
        <w:ind w:left="1440" w:right="1440"/>
        <w:textAlignment w:val="baseline"/>
        <w:rPr>
          <w:color w:val="000000"/>
          <w:sz w:val="26"/>
          <w:szCs w:val="26"/>
        </w:rPr>
      </w:pPr>
      <w:r w:rsidRPr="00DA188D">
        <w:rPr>
          <w:color w:val="000000"/>
          <w:sz w:val="26"/>
          <w:szCs w:val="26"/>
        </w:rPr>
        <w:t>The Peoples Companies will add a posting date to the daily billing files to serve as an indicator of the month being billed for all accounts, including the largest high-pressure accounts.</w:t>
      </w:r>
    </w:p>
    <w:p w14:paraId="5B0B53CE" w14:textId="77777777" w:rsidR="00580CEC" w:rsidRPr="00DA188D" w:rsidRDefault="00580CEC" w:rsidP="00B24187">
      <w:pPr>
        <w:widowControl/>
        <w:tabs>
          <w:tab w:val="left" w:pos="720"/>
          <w:tab w:val="left" w:pos="1440"/>
        </w:tabs>
        <w:ind w:left="1440" w:right="1440"/>
        <w:jc w:val="both"/>
        <w:textAlignment w:val="baseline"/>
        <w:rPr>
          <w:color w:val="000000"/>
          <w:sz w:val="26"/>
          <w:szCs w:val="26"/>
        </w:rPr>
      </w:pPr>
    </w:p>
    <w:p w14:paraId="5C9AF7BA" w14:textId="77777777" w:rsidR="00580CEC" w:rsidRPr="00DA188D" w:rsidRDefault="00580CEC" w:rsidP="00B24187">
      <w:pPr>
        <w:widowControl/>
        <w:numPr>
          <w:ilvl w:val="0"/>
          <w:numId w:val="20"/>
        </w:numPr>
        <w:tabs>
          <w:tab w:val="left" w:pos="1440"/>
        </w:tabs>
        <w:ind w:left="1440" w:right="1440"/>
        <w:textAlignment w:val="baseline"/>
        <w:rPr>
          <w:color w:val="000000"/>
          <w:sz w:val="26"/>
          <w:szCs w:val="26"/>
        </w:rPr>
      </w:pPr>
      <w:r w:rsidRPr="00DA188D">
        <w:rPr>
          <w:color w:val="000000"/>
          <w:sz w:val="26"/>
          <w:szCs w:val="26"/>
        </w:rPr>
        <w:t>Within 90 days of the closing of the merger, the Peoples Companies will commence a process to obtain the input of interested stakeholders, including but not limited to, NGSs, public advocates, and customers, regarding the broad subject of increasing customer participation in the competitive natural gas market in their service territories. While the topic of this collaborative may be broad, it shall not include or recommend elimination of the supplier of last resort function on the Peoples Companies systems.</w:t>
      </w:r>
    </w:p>
    <w:p w14:paraId="401E7802" w14:textId="15D58BC3" w:rsidR="00580CEC" w:rsidRPr="004C7387" w:rsidRDefault="00580CEC" w:rsidP="00B24187">
      <w:pPr>
        <w:widowControl/>
        <w:spacing w:line="360" w:lineRule="auto"/>
        <w:rPr>
          <w:sz w:val="26"/>
          <w:szCs w:val="26"/>
        </w:rPr>
      </w:pPr>
    </w:p>
    <w:p w14:paraId="6BEEAB9B" w14:textId="77777777" w:rsidR="00580CEC" w:rsidRDefault="00580CEC" w:rsidP="00B24187">
      <w:pPr>
        <w:pStyle w:val="Default"/>
        <w:spacing w:line="360" w:lineRule="auto"/>
        <w:rPr>
          <w:sz w:val="26"/>
          <w:szCs w:val="26"/>
        </w:rPr>
      </w:pPr>
      <w:r>
        <w:rPr>
          <w:sz w:val="26"/>
          <w:szCs w:val="26"/>
        </w:rPr>
        <w:t>Settlement at ¶¶ 115-128.</w:t>
      </w:r>
    </w:p>
    <w:p w14:paraId="3E3A5311" w14:textId="77777777" w:rsidR="00580CEC" w:rsidRDefault="00580CEC" w:rsidP="00B24187">
      <w:pPr>
        <w:pStyle w:val="Default"/>
        <w:spacing w:line="360" w:lineRule="auto"/>
        <w:ind w:firstLine="1440"/>
        <w:rPr>
          <w:sz w:val="26"/>
          <w:szCs w:val="26"/>
        </w:rPr>
      </w:pPr>
    </w:p>
    <w:p w14:paraId="5E919375" w14:textId="77777777" w:rsidR="00580CEC" w:rsidRDefault="00580CEC" w:rsidP="002E1D97">
      <w:pPr>
        <w:pStyle w:val="Heading4"/>
        <w:widowControl/>
        <w:ind w:left="2160" w:hanging="720"/>
      </w:pPr>
      <w:bookmarkStart w:id="134" w:name="_Toc29278241"/>
      <w:r w:rsidRPr="00C42347">
        <w:lastRenderedPageBreak/>
        <w:t>Positions of the Parties</w:t>
      </w:r>
      <w:bookmarkEnd w:id="134"/>
    </w:p>
    <w:p w14:paraId="11D2D902" w14:textId="77777777" w:rsidR="002B4D03" w:rsidRDefault="002B4D03" w:rsidP="002E1D97">
      <w:pPr>
        <w:pStyle w:val="Default"/>
        <w:keepNext/>
        <w:spacing w:line="360" w:lineRule="auto"/>
        <w:rPr>
          <w:b/>
          <w:bCs/>
          <w:sz w:val="26"/>
          <w:szCs w:val="26"/>
        </w:rPr>
      </w:pPr>
    </w:p>
    <w:p w14:paraId="60DBCB9C" w14:textId="77777777" w:rsidR="00580CEC" w:rsidRDefault="002B4D03" w:rsidP="002E1D97">
      <w:pPr>
        <w:pStyle w:val="Default"/>
        <w:keepNext/>
        <w:spacing w:line="360" w:lineRule="auto"/>
        <w:rPr>
          <w:sz w:val="26"/>
          <w:szCs w:val="26"/>
        </w:rPr>
      </w:pPr>
      <w:r>
        <w:rPr>
          <w:b/>
          <w:bCs/>
          <w:sz w:val="26"/>
          <w:szCs w:val="26"/>
        </w:rPr>
        <w:tab/>
      </w:r>
      <w:r>
        <w:rPr>
          <w:b/>
          <w:bCs/>
          <w:sz w:val="26"/>
          <w:szCs w:val="26"/>
        </w:rPr>
        <w:tab/>
      </w:r>
      <w:r w:rsidR="00580CEC">
        <w:rPr>
          <w:sz w:val="26"/>
          <w:szCs w:val="26"/>
        </w:rPr>
        <w:t xml:space="preserve">The Joint Applicants contended that their specific commitments to maintain and enhance the existing choice and transportation programs of the Peoples Companies are a public benefit of the Proposed Transaction.  The Joint Applicants also contended that the Peoples Companies committed to programmatic changes that would enhance retail gas competition and these commitments address many of the concerns identified by the NGS Parties/RESA and Direct Energy.  </w:t>
      </w:r>
    </w:p>
    <w:p w14:paraId="6B1F0E1D" w14:textId="77777777" w:rsidR="00580CEC" w:rsidRDefault="00580CEC" w:rsidP="00B24187">
      <w:pPr>
        <w:pStyle w:val="Default"/>
        <w:spacing w:line="360" w:lineRule="auto"/>
        <w:ind w:firstLine="1440"/>
        <w:rPr>
          <w:sz w:val="26"/>
          <w:szCs w:val="26"/>
        </w:rPr>
      </w:pPr>
    </w:p>
    <w:p w14:paraId="216D64B3" w14:textId="760DB294" w:rsidR="00580CEC" w:rsidRDefault="00580CEC" w:rsidP="00B24187">
      <w:pPr>
        <w:pStyle w:val="Default"/>
        <w:spacing w:line="360" w:lineRule="auto"/>
        <w:rPr>
          <w:sz w:val="26"/>
          <w:szCs w:val="26"/>
        </w:rPr>
      </w:pPr>
      <w:r w:rsidRPr="006D0C5E">
        <w:rPr>
          <w:b/>
          <w:bCs/>
          <w:sz w:val="26"/>
          <w:szCs w:val="26"/>
        </w:rPr>
        <w:tab/>
      </w:r>
      <w:r w:rsidRPr="006D0C5E">
        <w:rPr>
          <w:b/>
          <w:bCs/>
          <w:sz w:val="26"/>
          <w:szCs w:val="26"/>
        </w:rPr>
        <w:tab/>
      </w:r>
      <w:r>
        <w:rPr>
          <w:sz w:val="26"/>
          <w:szCs w:val="26"/>
        </w:rPr>
        <w:t xml:space="preserve">I&amp;E noted its opposition to RESA’s suggestion that </w:t>
      </w:r>
      <w:r w:rsidR="00685FBB">
        <w:rPr>
          <w:sz w:val="26"/>
          <w:szCs w:val="26"/>
        </w:rPr>
        <w:t xml:space="preserve">the </w:t>
      </w:r>
      <w:r>
        <w:rPr>
          <w:sz w:val="26"/>
          <w:szCs w:val="26"/>
        </w:rPr>
        <w:t>Peoples</w:t>
      </w:r>
      <w:r w:rsidR="00685FBB">
        <w:rPr>
          <w:sz w:val="26"/>
          <w:szCs w:val="26"/>
        </w:rPr>
        <w:t xml:space="preserve"> Companies</w:t>
      </w:r>
      <w:r>
        <w:rPr>
          <w:sz w:val="26"/>
          <w:szCs w:val="26"/>
        </w:rPr>
        <w:t xml:space="preserve"> exit the merchant function.  I&amp;E M.B. at 37 (citing I&amp;E St. 2-R).  I&amp;E requested that the Commission affirm that </w:t>
      </w:r>
      <w:r w:rsidR="00685FBB">
        <w:rPr>
          <w:sz w:val="26"/>
          <w:szCs w:val="26"/>
        </w:rPr>
        <w:t xml:space="preserve">the </w:t>
      </w:r>
      <w:r>
        <w:rPr>
          <w:sz w:val="26"/>
          <w:szCs w:val="26"/>
        </w:rPr>
        <w:t xml:space="preserve">Peoples </w:t>
      </w:r>
      <w:r w:rsidR="00685FBB">
        <w:rPr>
          <w:sz w:val="26"/>
          <w:szCs w:val="26"/>
        </w:rPr>
        <w:t xml:space="preserve">Companies </w:t>
      </w:r>
      <w:r>
        <w:rPr>
          <w:sz w:val="26"/>
          <w:szCs w:val="26"/>
        </w:rPr>
        <w:t xml:space="preserve">will retain </w:t>
      </w:r>
      <w:r w:rsidR="00685FBB">
        <w:rPr>
          <w:sz w:val="26"/>
          <w:szCs w:val="26"/>
        </w:rPr>
        <w:t>their</w:t>
      </w:r>
      <w:r>
        <w:rPr>
          <w:sz w:val="26"/>
          <w:szCs w:val="26"/>
        </w:rPr>
        <w:t xml:space="preserve"> role as supplier of last resort.  I&amp;E R.B. at 34. </w:t>
      </w:r>
    </w:p>
    <w:p w14:paraId="7CBCEBBC" w14:textId="77777777" w:rsidR="00580CEC" w:rsidRDefault="00580CEC" w:rsidP="00B24187">
      <w:pPr>
        <w:pStyle w:val="Default"/>
        <w:spacing w:line="360" w:lineRule="auto"/>
        <w:ind w:firstLine="1440"/>
        <w:rPr>
          <w:sz w:val="26"/>
          <w:szCs w:val="26"/>
        </w:rPr>
      </w:pPr>
    </w:p>
    <w:p w14:paraId="76AC7ACA" w14:textId="6C0E9E2C" w:rsidR="00580CEC" w:rsidRDefault="00580CEC" w:rsidP="00B24187">
      <w:pPr>
        <w:pStyle w:val="Default"/>
        <w:spacing w:line="360" w:lineRule="auto"/>
        <w:rPr>
          <w:sz w:val="26"/>
          <w:szCs w:val="26"/>
        </w:rPr>
      </w:pPr>
      <w:r>
        <w:rPr>
          <w:b/>
          <w:bCs/>
          <w:sz w:val="26"/>
          <w:szCs w:val="26"/>
        </w:rPr>
        <w:tab/>
      </w:r>
      <w:r>
        <w:rPr>
          <w:b/>
          <w:bCs/>
          <w:sz w:val="26"/>
          <w:szCs w:val="26"/>
        </w:rPr>
        <w:tab/>
      </w:r>
      <w:r>
        <w:rPr>
          <w:sz w:val="26"/>
          <w:szCs w:val="26"/>
        </w:rPr>
        <w:t xml:space="preserve">Direct Energy’s witness, Mr. </w:t>
      </w:r>
      <w:r w:rsidR="00395511">
        <w:rPr>
          <w:sz w:val="26"/>
          <w:szCs w:val="26"/>
        </w:rPr>
        <w:t xml:space="preserve">Orlando </w:t>
      </w:r>
      <w:r>
        <w:rPr>
          <w:sz w:val="26"/>
          <w:szCs w:val="26"/>
        </w:rPr>
        <w:t xml:space="preserve">Magnani, testified that it is important that a change of ownership of the Peoples Companies does not negatively impact the existing processes and procedures in use at the Peoples Companies.  Mr. Magnani provides that these current operations have a direct impact on Direct Energy’s ability to offer NGS services in the Peoples Companies’ service territory.  Mr. Magnani recommended that the Joint Applicants confirm that the proposed merger will not result in the elimination of the Peoples Companies’ current Local Production Pool Tracking System, the upgraded Electronic Bulletin Board, identifying information included on the Local Production Pool invoices, or the group contact e-mail.  Mr. Magnani also recommended that the Peoples Companies send, or continue to send, informational announcements via the group contact e-mail and confirm that these announcements will be provided during the transition and post-merger.  Direct Energy St. 1 at 5.  </w:t>
      </w:r>
    </w:p>
    <w:p w14:paraId="51EF7C03" w14:textId="77777777" w:rsidR="00580CEC" w:rsidRDefault="00580CEC" w:rsidP="00B24187">
      <w:pPr>
        <w:pStyle w:val="Default"/>
        <w:spacing w:line="360" w:lineRule="auto"/>
        <w:ind w:firstLine="1440"/>
        <w:rPr>
          <w:sz w:val="26"/>
          <w:szCs w:val="26"/>
        </w:rPr>
      </w:pPr>
    </w:p>
    <w:p w14:paraId="6B7556D4" w14:textId="0688C5C4" w:rsidR="00580CEC" w:rsidRDefault="00580CEC" w:rsidP="00B24187">
      <w:pPr>
        <w:pStyle w:val="Default"/>
        <w:spacing w:line="360" w:lineRule="auto"/>
        <w:ind w:firstLine="1440"/>
        <w:rPr>
          <w:sz w:val="26"/>
          <w:szCs w:val="26"/>
        </w:rPr>
      </w:pPr>
      <w:r>
        <w:rPr>
          <w:sz w:val="26"/>
          <w:szCs w:val="26"/>
        </w:rPr>
        <w:t xml:space="preserve">Direct Energy recommended modifications to the Peoples Companies’ current operations including the following: an overall report to show the total number of </w:t>
      </w:r>
      <w:r>
        <w:rPr>
          <w:sz w:val="26"/>
          <w:szCs w:val="26"/>
        </w:rPr>
        <w:lastRenderedPageBreak/>
        <w:t xml:space="preserve">individual customer burns that make up the aggregate burn pool, an acceleration of the timing of the Peoples Companies’ target (daily delivery requirement) requests and capacity requests, and changes to the Peoples Companies’ rebilling and daily billing.  </w:t>
      </w:r>
      <w:bookmarkStart w:id="135" w:name="_Hlk26341571"/>
      <w:r>
        <w:rPr>
          <w:sz w:val="26"/>
          <w:szCs w:val="26"/>
        </w:rPr>
        <w:t xml:space="preserve">Direct Energy St. 1 at 6.  </w:t>
      </w:r>
    </w:p>
    <w:bookmarkEnd w:id="135"/>
    <w:p w14:paraId="0F90F7C2" w14:textId="77777777" w:rsidR="00580CEC" w:rsidRDefault="00580CEC" w:rsidP="00B24187">
      <w:pPr>
        <w:pStyle w:val="Default"/>
        <w:spacing w:line="360" w:lineRule="auto"/>
        <w:ind w:firstLine="1440"/>
        <w:rPr>
          <w:sz w:val="26"/>
          <w:szCs w:val="26"/>
        </w:rPr>
      </w:pPr>
    </w:p>
    <w:p w14:paraId="477D80F4" w14:textId="6E0CF803" w:rsidR="00580CEC" w:rsidRDefault="00580CEC" w:rsidP="00B24187">
      <w:pPr>
        <w:pStyle w:val="Default"/>
        <w:spacing w:line="360" w:lineRule="auto"/>
        <w:ind w:firstLine="1440"/>
        <w:rPr>
          <w:sz w:val="26"/>
          <w:szCs w:val="26"/>
        </w:rPr>
      </w:pPr>
      <w:r>
        <w:rPr>
          <w:sz w:val="26"/>
          <w:szCs w:val="26"/>
        </w:rPr>
        <w:t>Regarding the provider of last resort, Direct Energy strongly supports the proposal made by other NGS Parties recommending that the Peoples Companies exit the merchant function and no longer provide supp</w:t>
      </w:r>
      <w:r w:rsidR="00107DCE">
        <w:rPr>
          <w:sz w:val="26"/>
          <w:szCs w:val="26"/>
        </w:rPr>
        <w:t>li</w:t>
      </w:r>
      <w:r>
        <w:rPr>
          <w:sz w:val="26"/>
          <w:szCs w:val="26"/>
        </w:rPr>
        <w:t xml:space="preserve">er of last resort services.  Direct Energy avers that it has the expertise, size, and financial resources to serve customer load pursuant to this proposal.  Direct Energy St. 1 at 7-8.  </w:t>
      </w:r>
    </w:p>
    <w:p w14:paraId="029388AC" w14:textId="70EEF271" w:rsidR="005F248A" w:rsidRDefault="005F248A" w:rsidP="00B24187">
      <w:pPr>
        <w:pStyle w:val="Default"/>
        <w:spacing w:line="360" w:lineRule="auto"/>
        <w:ind w:firstLine="1440"/>
        <w:rPr>
          <w:sz w:val="26"/>
          <w:szCs w:val="26"/>
        </w:rPr>
      </w:pPr>
    </w:p>
    <w:p w14:paraId="199EF074" w14:textId="77777777" w:rsidR="00580CEC" w:rsidRPr="00C42347" w:rsidRDefault="00580CEC" w:rsidP="002E1D97">
      <w:pPr>
        <w:pStyle w:val="Heading4"/>
        <w:widowControl/>
        <w:ind w:left="2160" w:hanging="720"/>
      </w:pPr>
      <w:bookmarkStart w:id="136" w:name="_Toc29278242"/>
      <w:r w:rsidRPr="00C42347">
        <w:t>Recommended Decision</w:t>
      </w:r>
      <w:bookmarkEnd w:id="136"/>
    </w:p>
    <w:p w14:paraId="017B605F" w14:textId="77777777" w:rsidR="00580CEC" w:rsidRDefault="00580CEC" w:rsidP="002E1D97">
      <w:pPr>
        <w:pStyle w:val="Default"/>
        <w:keepNext/>
        <w:spacing w:line="360" w:lineRule="auto"/>
        <w:ind w:firstLine="1440"/>
        <w:rPr>
          <w:sz w:val="26"/>
          <w:szCs w:val="26"/>
        </w:rPr>
      </w:pPr>
    </w:p>
    <w:p w14:paraId="752CC1E6" w14:textId="3B8BA5F7" w:rsidR="00580CEC" w:rsidRDefault="00580CEC" w:rsidP="002E1D97">
      <w:pPr>
        <w:pStyle w:val="Default"/>
        <w:keepNext/>
        <w:spacing w:line="360" w:lineRule="auto"/>
        <w:ind w:firstLine="1440"/>
        <w:rPr>
          <w:sz w:val="26"/>
          <w:szCs w:val="26"/>
        </w:rPr>
      </w:pPr>
      <w:r>
        <w:rPr>
          <w:sz w:val="26"/>
          <w:szCs w:val="26"/>
        </w:rPr>
        <w:t>The ALJ provided that the NGS Parties/RESA and Direct Energy proposed various modifications to the Peoples Companies’ choice programs and supplier tariffs, including that the Peoples Companies’ “exit the merchant function,” which they asserted would enhance retail gas competition.  The ALJ noted that I&amp;E, the OSBA, and the OCA objected to the contention that the Joint Applicants should exit the merchant function.  R.D. at 86-87 (citing Direct Energy St. 1 at 7-8).</w:t>
      </w:r>
      <w:r w:rsidR="003A591D">
        <w:rPr>
          <w:sz w:val="26"/>
          <w:szCs w:val="26"/>
        </w:rPr>
        <w:t xml:space="preserve">  </w:t>
      </w:r>
    </w:p>
    <w:p w14:paraId="511786E5" w14:textId="77777777" w:rsidR="00580CEC" w:rsidRDefault="00580CEC" w:rsidP="00B24187">
      <w:pPr>
        <w:pStyle w:val="Default"/>
        <w:spacing w:line="360" w:lineRule="auto"/>
        <w:ind w:firstLine="1440"/>
        <w:rPr>
          <w:sz w:val="26"/>
          <w:szCs w:val="26"/>
        </w:rPr>
      </w:pPr>
    </w:p>
    <w:p w14:paraId="0E9EEB9E" w14:textId="77777777" w:rsidR="00580CEC" w:rsidRDefault="00580CEC" w:rsidP="00B24187">
      <w:pPr>
        <w:pStyle w:val="Default"/>
        <w:spacing w:line="360" w:lineRule="auto"/>
        <w:ind w:firstLine="1440"/>
        <w:rPr>
          <w:sz w:val="26"/>
          <w:szCs w:val="26"/>
        </w:rPr>
      </w:pPr>
      <w:r>
        <w:rPr>
          <w:sz w:val="26"/>
          <w:szCs w:val="26"/>
        </w:rPr>
        <w:t xml:space="preserve">The ALJ stated that the Settlement adopts many of the proposals by the supplier parties to maintain and enhance the existing choice and transportation programs of the Peoples Companies.  R.D. at 87.  The ALJ provided that maintaining several of Peoples Companies existing programs will enable NGSs, including Direct Energy, to continue to offer NGS services to ratepayers in the People Companies’ service territories in an efficient and effective manner post-merger, facilitating the provision of efficiently priced competitive options and services.  R.D. at 88.  </w:t>
      </w:r>
    </w:p>
    <w:p w14:paraId="01C1B982" w14:textId="77777777" w:rsidR="00580CEC" w:rsidRDefault="00580CEC" w:rsidP="00B24187">
      <w:pPr>
        <w:pStyle w:val="Default"/>
        <w:spacing w:line="360" w:lineRule="auto"/>
        <w:ind w:firstLine="1440"/>
        <w:rPr>
          <w:sz w:val="26"/>
          <w:szCs w:val="26"/>
        </w:rPr>
      </w:pPr>
    </w:p>
    <w:p w14:paraId="7FF67109" w14:textId="4F28A66F" w:rsidR="00580CEC" w:rsidRPr="0013431B" w:rsidRDefault="00580CEC" w:rsidP="00B24187">
      <w:pPr>
        <w:widowControl/>
        <w:tabs>
          <w:tab w:val="left" w:pos="792"/>
        </w:tabs>
        <w:spacing w:before="112" w:line="360" w:lineRule="auto"/>
        <w:ind w:firstLine="1440"/>
        <w:textAlignment w:val="baseline"/>
        <w:rPr>
          <w:color w:val="000000"/>
          <w:sz w:val="26"/>
          <w:szCs w:val="26"/>
        </w:rPr>
      </w:pPr>
      <w:r w:rsidRPr="0013431B">
        <w:rPr>
          <w:sz w:val="26"/>
          <w:szCs w:val="26"/>
        </w:rPr>
        <w:lastRenderedPageBreak/>
        <w:t>The ALJ noted that the Commission has supported settlement terms in a merger which enhance</w:t>
      </w:r>
      <w:r>
        <w:rPr>
          <w:sz w:val="26"/>
          <w:szCs w:val="26"/>
        </w:rPr>
        <w:t>d</w:t>
      </w:r>
      <w:r w:rsidRPr="0013431B">
        <w:rPr>
          <w:sz w:val="26"/>
          <w:szCs w:val="26"/>
        </w:rPr>
        <w:t xml:space="preserve"> operational practices in the competitive retail gas market.  R.D. at 90 (citing </w:t>
      </w:r>
      <w:r w:rsidRPr="0013431B">
        <w:rPr>
          <w:i/>
          <w:color w:val="000000"/>
          <w:sz w:val="26"/>
          <w:szCs w:val="26"/>
        </w:rPr>
        <w:t xml:space="preserve">Joint Application of Equitable Resources, Inc., </w:t>
      </w:r>
      <w:r w:rsidRPr="0013431B">
        <w:rPr>
          <w:color w:val="000000"/>
          <w:sz w:val="26"/>
          <w:szCs w:val="26"/>
        </w:rPr>
        <w:t>Docket No. A</w:t>
      </w:r>
      <w:r>
        <w:rPr>
          <w:color w:val="000000"/>
          <w:sz w:val="26"/>
          <w:szCs w:val="26"/>
        </w:rPr>
        <w:t>-</w:t>
      </w:r>
      <w:r w:rsidRPr="0013431B">
        <w:rPr>
          <w:color w:val="000000"/>
          <w:sz w:val="26"/>
          <w:szCs w:val="26"/>
        </w:rPr>
        <w:t>122250F5000 (Order entered April 13, 2007)</w:t>
      </w:r>
      <w:r>
        <w:rPr>
          <w:color w:val="000000"/>
          <w:sz w:val="26"/>
          <w:szCs w:val="26"/>
        </w:rPr>
        <w:t xml:space="preserve"> (</w:t>
      </w:r>
      <w:r w:rsidRPr="00BE3657">
        <w:rPr>
          <w:i/>
          <w:iCs/>
          <w:color w:val="000000"/>
          <w:sz w:val="26"/>
          <w:szCs w:val="26"/>
        </w:rPr>
        <w:t>Equitable Resources</w:t>
      </w:r>
      <w:r>
        <w:rPr>
          <w:color w:val="000000"/>
          <w:sz w:val="26"/>
          <w:szCs w:val="26"/>
        </w:rPr>
        <w:t>)</w:t>
      </w:r>
      <w:r w:rsidRPr="0013431B">
        <w:rPr>
          <w:sz w:val="26"/>
          <w:szCs w:val="26"/>
        </w:rPr>
        <w:t>.  The ALJ provided that both the NGS Parties/RESA and Direct Energy strongly support the settlement terms and assert that the enhanced operational and procedural practices will improve the competitive market and ultimately benefit consumers.  The ALJ concluded that these improvements are a public benefit and w</w:t>
      </w:r>
      <w:r>
        <w:rPr>
          <w:sz w:val="26"/>
          <w:szCs w:val="26"/>
        </w:rPr>
        <w:t>eigh</w:t>
      </w:r>
      <w:r w:rsidRPr="0013431B">
        <w:rPr>
          <w:sz w:val="26"/>
          <w:szCs w:val="26"/>
        </w:rPr>
        <w:t xml:space="preserve"> in favor of approval of the Proposed Transaction.  R.D. at</w:t>
      </w:r>
      <w:r w:rsidR="003A591D">
        <w:rPr>
          <w:sz w:val="26"/>
          <w:szCs w:val="26"/>
        </w:rPr>
        <w:t> </w:t>
      </w:r>
      <w:r w:rsidRPr="0013431B">
        <w:rPr>
          <w:sz w:val="26"/>
          <w:szCs w:val="26"/>
        </w:rPr>
        <w:t xml:space="preserve">90.  </w:t>
      </w:r>
    </w:p>
    <w:p w14:paraId="2C5B6B0C" w14:textId="77777777" w:rsidR="00580CEC" w:rsidRDefault="00580CEC" w:rsidP="00B24187">
      <w:pPr>
        <w:pStyle w:val="Default"/>
        <w:spacing w:line="360" w:lineRule="auto"/>
        <w:ind w:firstLine="1440"/>
        <w:rPr>
          <w:sz w:val="26"/>
          <w:szCs w:val="26"/>
        </w:rPr>
      </w:pPr>
    </w:p>
    <w:p w14:paraId="4A2670D1" w14:textId="23FFC3AE" w:rsidR="00580CEC" w:rsidRDefault="009B2A8F" w:rsidP="002E1D97">
      <w:pPr>
        <w:pStyle w:val="Heading4"/>
        <w:widowControl/>
        <w:ind w:left="2160" w:hanging="720"/>
      </w:pPr>
      <w:bookmarkStart w:id="137" w:name="_Hlk28536010"/>
      <w:bookmarkStart w:id="138" w:name="_Toc29278243"/>
      <w:r>
        <w:t>Exceptions and Replies</w:t>
      </w:r>
      <w:bookmarkEnd w:id="137"/>
      <w:bookmarkEnd w:id="138"/>
    </w:p>
    <w:p w14:paraId="3FC2EA60" w14:textId="569E1390" w:rsidR="002B4D03" w:rsidRPr="00D36FFE" w:rsidRDefault="002B4D03" w:rsidP="002E1D97">
      <w:pPr>
        <w:pStyle w:val="Default"/>
        <w:keepNext/>
        <w:spacing w:line="360" w:lineRule="auto"/>
        <w:rPr>
          <w:b/>
          <w:bCs/>
          <w:sz w:val="26"/>
          <w:szCs w:val="26"/>
        </w:rPr>
      </w:pPr>
    </w:p>
    <w:p w14:paraId="33A646A8" w14:textId="77777777" w:rsidR="00580CEC" w:rsidRDefault="00580CEC" w:rsidP="002E1D97">
      <w:pPr>
        <w:pStyle w:val="Default"/>
        <w:keepNext/>
        <w:spacing w:line="360" w:lineRule="auto"/>
        <w:ind w:firstLine="1440"/>
        <w:rPr>
          <w:sz w:val="26"/>
          <w:szCs w:val="26"/>
        </w:rPr>
      </w:pPr>
      <w:r>
        <w:rPr>
          <w:sz w:val="26"/>
          <w:szCs w:val="26"/>
        </w:rPr>
        <w:t xml:space="preserve">The OSBA provides that the ALJ notes that the Settlement adopts many of the proposals by the NGS Parties to maintain and enhance the existing choice and transportation programs of the Peoples Companies.  OSBA Exc. at 28 (citing R.D. at 87).  The OSBA argues that when analyzing whether an affirmative benefit will result from the Proposed Transaction, the relevant inquiry is whether the Proposed Transaction results in an affirmative benefit when compared to the status quo.  The OSBA Exc. at 28 (citing OSBA M.B. at 12).  The OSBA reasons that agreeing to maintain the existing programs is not an affirmative public benefit.  OSBA Exc. at 28 (citing R.D. at 69).  The OSBA notes that the Settlement is generally silent as to which entities will be required to bear the costs for the proposed changes to existing practices.  The OSBA reasons that the costs will be passed on to ratepayers or the NGSs.  According to the OSBA, no party has made any effort to quantify the impacts of the changes and there is no evidence that these changes represent a material affirmative public benefit.  OSBA Exc. at 29.  </w:t>
      </w:r>
    </w:p>
    <w:p w14:paraId="0CF17672" w14:textId="77777777" w:rsidR="00580CEC" w:rsidRDefault="00580CEC" w:rsidP="00B24187">
      <w:pPr>
        <w:pStyle w:val="Default"/>
        <w:spacing w:line="360" w:lineRule="auto"/>
        <w:ind w:firstLine="1440"/>
        <w:rPr>
          <w:sz w:val="26"/>
          <w:szCs w:val="26"/>
        </w:rPr>
      </w:pPr>
    </w:p>
    <w:p w14:paraId="2659BDF8" w14:textId="77777777" w:rsidR="00580CEC" w:rsidRDefault="00580CEC" w:rsidP="00B24187">
      <w:pPr>
        <w:pStyle w:val="Default"/>
        <w:spacing w:line="360" w:lineRule="auto"/>
        <w:ind w:firstLine="1440"/>
        <w:rPr>
          <w:sz w:val="26"/>
          <w:szCs w:val="26"/>
        </w:rPr>
      </w:pPr>
      <w:r>
        <w:rPr>
          <w:sz w:val="26"/>
          <w:szCs w:val="26"/>
        </w:rPr>
        <w:t xml:space="preserve">In its Replies, Direct Energy provides that the OSBA mistakenly assumes that a utility merger will result in the maintenance of the status quo.  Direct Energy states “that mergers/acquisitions, by their nature, change the status quo in terms of ownership, </w:t>
      </w:r>
      <w:r>
        <w:rPr>
          <w:sz w:val="26"/>
          <w:szCs w:val="26"/>
        </w:rPr>
        <w:lastRenderedPageBreak/>
        <w:t>and as a result, often alter previously-established company practices and procedures.”  Direct Energy R.</w:t>
      </w:r>
      <w:r w:rsidR="00FA1F96">
        <w:rPr>
          <w:sz w:val="26"/>
          <w:szCs w:val="26"/>
        </w:rPr>
        <w:t xml:space="preserve"> </w:t>
      </w:r>
      <w:r>
        <w:rPr>
          <w:sz w:val="26"/>
          <w:szCs w:val="26"/>
        </w:rPr>
        <w:t xml:space="preserve">Exc. at 4.  Direct Energy explains that </w:t>
      </w:r>
      <w:r w:rsidR="00FA1F96">
        <w:rPr>
          <w:sz w:val="26"/>
          <w:szCs w:val="26"/>
        </w:rPr>
        <w:t xml:space="preserve">the </w:t>
      </w:r>
      <w:r>
        <w:rPr>
          <w:sz w:val="26"/>
          <w:szCs w:val="26"/>
        </w:rPr>
        <w:t>OSBA’s argument that maintaining the status quo cannot be a benefit is inconsistent with Commission precedent that an agreement to maintain or continue existing, beneficial practices can constitute an affirmative public benefit.  Direct Energy R. Exc. at 5.</w:t>
      </w:r>
      <w:r w:rsidRPr="006A6321">
        <w:rPr>
          <w:rStyle w:val="FootnoteReference"/>
          <w:sz w:val="26"/>
          <w:szCs w:val="26"/>
        </w:rPr>
        <w:footnoteReference w:id="34"/>
      </w:r>
    </w:p>
    <w:p w14:paraId="5BD9A2AB" w14:textId="77777777" w:rsidR="00580CEC" w:rsidRDefault="00580CEC" w:rsidP="00B24187">
      <w:pPr>
        <w:pStyle w:val="Default"/>
        <w:spacing w:line="360" w:lineRule="auto"/>
        <w:ind w:firstLine="1440"/>
        <w:rPr>
          <w:sz w:val="26"/>
          <w:szCs w:val="26"/>
        </w:rPr>
      </w:pPr>
    </w:p>
    <w:p w14:paraId="47425037" w14:textId="77777777" w:rsidR="00580CEC" w:rsidRDefault="00580CEC" w:rsidP="00B24187">
      <w:pPr>
        <w:pStyle w:val="Default"/>
        <w:spacing w:line="360" w:lineRule="auto"/>
        <w:ind w:firstLine="1440"/>
        <w:rPr>
          <w:sz w:val="26"/>
          <w:szCs w:val="26"/>
        </w:rPr>
      </w:pPr>
      <w:r>
        <w:rPr>
          <w:sz w:val="26"/>
          <w:szCs w:val="26"/>
        </w:rPr>
        <w:t>Direct Energy disagrees with the OSBA’s assertion that the record lacks evidence to support a finding that the proposed changes to the Peoples Companies’ operational practices will provide a public benefit.  Direct Energy avers that its witness, Mr. Magnani testified that the operation enhancements “will enable NGSs to receive the information that is necessary to serve customers in the Peoples [Companies’] service territory in a timely and efficient manner and, in turn, provide an affirmative public benefit.”  Direct Energy R. Exc. at 6 (citing Direct Energy St. 1 at 6).  Direct Energy provides that the Settlement Parties all agreed to the benefits of these operational enhancements, and no party challenged the associated costs.  Direct Energy R. Exc. at 6.</w:t>
      </w:r>
    </w:p>
    <w:p w14:paraId="560C1C81" w14:textId="77777777" w:rsidR="00580CEC" w:rsidRDefault="00580CEC" w:rsidP="00B24187">
      <w:pPr>
        <w:pStyle w:val="Default"/>
        <w:spacing w:line="360" w:lineRule="auto"/>
        <w:ind w:firstLine="1440"/>
        <w:rPr>
          <w:sz w:val="26"/>
          <w:szCs w:val="26"/>
        </w:rPr>
      </w:pPr>
    </w:p>
    <w:p w14:paraId="29AE687E" w14:textId="48179631" w:rsidR="00580CEC" w:rsidRDefault="00580CEC" w:rsidP="00B24187">
      <w:pPr>
        <w:pStyle w:val="Default"/>
        <w:spacing w:line="360" w:lineRule="auto"/>
        <w:ind w:firstLine="1440"/>
        <w:rPr>
          <w:sz w:val="26"/>
          <w:szCs w:val="26"/>
        </w:rPr>
      </w:pPr>
      <w:r>
        <w:rPr>
          <w:sz w:val="26"/>
          <w:szCs w:val="26"/>
        </w:rPr>
        <w:t>The Joint Applicants provide, in their Replies, that the ALJ properly concluded that consistent with Commission determinations in prior acquisitions, the commitments in the Settlement are additional public benefits because they enhance operational practices in the competitive gas market, consistent with changes sought by the natural gas suppliers.  Joint Applicants R</w:t>
      </w:r>
      <w:r w:rsidR="00CF4CD2">
        <w:rPr>
          <w:sz w:val="26"/>
          <w:szCs w:val="26"/>
        </w:rPr>
        <w:t>.</w:t>
      </w:r>
      <w:r>
        <w:rPr>
          <w:sz w:val="26"/>
          <w:szCs w:val="26"/>
        </w:rPr>
        <w:t xml:space="preserve"> Exc. at 20 (citing R.D. at 90, Joint Applicants M.B. at 53-55; Joint Applicants R.B. at 52-53).  </w:t>
      </w:r>
    </w:p>
    <w:p w14:paraId="22EB6545" w14:textId="77777777" w:rsidR="00580CEC" w:rsidRDefault="00580CEC" w:rsidP="00B24187">
      <w:pPr>
        <w:pStyle w:val="Default"/>
        <w:spacing w:line="360" w:lineRule="auto"/>
        <w:ind w:firstLine="1440"/>
        <w:rPr>
          <w:sz w:val="26"/>
          <w:szCs w:val="26"/>
        </w:rPr>
      </w:pPr>
    </w:p>
    <w:p w14:paraId="3B98C416" w14:textId="77777777" w:rsidR="00580CEC" w:rsidRPr="00C42347" w:rsidRDefault="00580CEC" w:rsidP="002E1D97">
      <w:pPr>
        <w:pStyle w:val="Heading4"/>
        <w:widowControl/>
        <w:ind w:left="2160" w:hanging="720"/>
      </w:pPr>
      <w:bookmarkStart w:id="139" w:name="_Toc29278244"/>
      <w:r w:rsidRPr="00C42347">
        <w:lastRenderedPageBreak/>
        <w:t>Disposition</w:t>
      </w:r>
      <w:bookmarkEnd w:id="139"/>
    </w:p>
    <w:p w14:paraId="6EA7466C" w14:textId="77777777" w:rsidR="00580CEC" w:rsidRDefault="00580CEC" w:rsidP="002E1D97">
      <w:pPr>
        <w:pStyle w:val="Default"/>
        <w:keepNext/>
        <w:spacing w:line="360" w:lineRule="auto"/>
        <w:ind w:firstLine="1440"/>
        <w:rPr>
          <w:sz w:val="26"/>
          <w:szCs w:val="26"/>
        </w:rPr>
      </w:pPr>
    </w:p>
    <w:p w14:paraId="2245938C" w14:textId="67BA12A6" w:rsidR="00580CEC" w:rsidRDefault="00580CEC" w:rsidP="002E1D97">
      <w:pPr>
        <w:pStyle w:val="Default"/>
        <w:keepNext/>
        <w:spacing w:line="360" w:lineRule="auto"/>
        <w:ind w:firstLine="1440"/>
        <w:rPr>
          <w:sz w:val="26"/>
          <w:szCs w:val="26"/>
        </w:rPr>
      </w:pPr>
      <w:r>
        <w:rPr>
          <w:sz w:val="26"/>
          <w:szCs w:val="26"/>
        </w:rPr>
        <w:t xml:space="preserve">Upon review, we shall deny the OSBA’s Exception regarding the operational practices in the competitive retail gas market.  We note that the Settlement adopts many of the proposals by the supplier parties to maintain and enhance the existing choice and transportation programs of the Peoples Companies.  We agree with the ALJ that maintaining these programs will enable NGSs to continue to effectively and efficiently offer NGS services to the Peoples Companies’ customers.  We agree with the ALJ’s finding that the Supplier Improvements Settlement terms are in the public interest and, accordingly, shall adopt the ALJ’s recommendation.  As the ALJ provided, the Commission has previously supported settlement terms in a merger which enhanced operational practices in the competitive retail gas market.  </w:t>
      </w:r>
      <w:r w:rsidRPr="00BE3657">
        <w:rPr>
          <w:i/>
          <w:iCs/>
          <w:sz w:val="26"/>
          <w:szCs w:val="26"/>
        </w:rPr>
        <w:t>See, e.g</w:t>
      </w:r>
      <w:r>
        <w:rPr>
          <w:sz w:val="26"/>
          <w:szCs w:val="26"/>
        </w:rPr>
        <w:t xml:space="preserve">., </w:t>
      </w:r>
      <w:r w:rsidRPr="00BE3657">
        <w:rPr>
          <w:i/>
          <w:iCs/>
          <w:sz w:val="26"/>
          <w:szCs w:val="26"/>
        </w:rPr>
        <w:t>Equitable Resources</w:t>
      </w:r>
      <w:r>
        <w:rPr>
          <w:sz w:val="26"/>
          <w:szCs w:val="26"/>
        </w:rPr>
        <w:t xml:space="preserve">.  </w:t>
      </w:r>
    </w:p>
    <w:p w14:paraId="2A0C6034" w14:textId="77777777" w:rsidR="00D66EA5" w:rsidRDefault="00D66EA5" w:rsidP="00B24187">
      <w:pPr>
        <w:pStyle w:val="Default"/>
        <w:spacing w:line="360" w:lineRule="auto"/>
        <w:ind w:firstLine="1440"/>
        <w:rPr>
          <w:sz w:val="26"/>
          <w:szCs w:val="26"/>
        </w:rPr>
      </w:pPr>
    </w:p>
    <w:p w14:paraId="6DFD201D" w14:textId="77777777" w:rsidR="0078013F" w:rsidRDefault="006134E1" w:rsidP="003A591D">
      <w:pPr>
        <w:pStyle w:val="Heading3"/>
        <w:keepNext/>
        <w:ind w:left="1440" w:hanging="720"/>
        <w:rPr>
          <w:rFonts w:eastAsiaTheme="minorHAnsi"/>
        </w:rPr>
      </w:pPr>
      <w:bookmarkStart w:id="140" w:name="_Toc29278245"/>
      <w:r>
        <w:rPr>
          <w:rFonts w:eastAsiaTheme="minorHAnsi"/>
        </w:rPr>
        <w:t>Other Miscellaneous Provisions of the Settlement</w:t>
      </w:r>
      <w:bookmarkEnd w:id="140"/>
    </w:p>
    <w:p w14:paraId="22C5DDEA" w14:textId="77777777" w:rsidR="006134E1" w:rsidRDefault="006134E1" w:rsidP="003A591D">
      <w:pPr>
        <w:keepNext/>
        <w:widowControl/>
        <w:spacing w:line="360" w:lineRule="auto"/>
        <w:rPr>
          <w:rFonts w:eastAsiaTheme="minorHAnsi"/>
          <w:b/>
          <w:bCs/>
          <w:sz w:val="26"/>
          <w:szCs w:val="26"/>
        </w:rPr>
      </w:pPr>
    </w:p>
    <w:p w14:paraId="1BDF2AB5" w14:textId="77777777" w:rsidR="00C92186" w:rsidRPr="00C92186" w:rsidRDefault="00C92186" w:rsidP="003A591D">
      <w:pPr>
        <w:pStyle w:val="Heading4"/>
        <w:widowControl/>
        <w:numPr>
          <w:ilvl w:val="0"/>
          <w:numId w:val="36"/>
        </w:numPr>
        <w:ind w:left="2160" w:hanging="720"/>
      </w:pPr>
      <w:bookmarkStart w:id="141" w:name="_Toc29278246"/>
      <w:r w:rsidRPr="00C92186">
        <w:t>Rate Credit</w:t>
      </w:r>
      <w:bookmarkEnd w:id="141"/>
      <w:r w:rsidRPr="00C92186">
        <w:t xml:space="preserve"> </w:t>
      </w:r>
    </w:p>
    <w:p w14:paraId="5B762D48" w14:textId="77777777" w:rsidR="00C92186" w:rsidRPr="00A52496" w:rsidRDefault="00C92186" w:rsidP="003A591D">
      <w:pPr>
        <w:keepNext/>
        <w:widowControl/>
        <w:spacing w:line="360" w:lineRule="auto"/>
        <w:rPr>
          <w:sz w:val="26"/>
          <w:szCs w:val="26"/>
        </w:rPr>
      </w:pPr>
    </w:p>
    <w:p w14:paraId="5FB40097" w14:textId="77777777" w:rsidR="00C92186" w:rsidRPr="00A52496" w:rsidRDefault="00C92186" w:rsidP="003A591D">
      <w:pPr>
        <w:keepNext/>
        <w:widowControl/>
        <w:spacing w:line="360" w:lineRule="auto"/>
        <w:ind w:left="2880" w:hanging="720"/>
        <w:rPr>
          <w:b/>
          <w:bCs/>
          <w:sz w:val="26"/>
          <w:szCs w:val="26"/>
        </w:rPr>
      </w:pPr>
      <w:r w:rsidRPr="00A52496">
        <w:rPr>
          <w:b/>
          <w:bCs/>
          <w:sz w:val="26"/>
          <w:szCs w:val="26"/>
        </w:rPr>
        <w:t>(</w:t>
      </w:r>
      <w:r w:rsidR="00ED4782" w:rsidRPr="00A52496">
        <w:rPr>
          <w:b/>
          <w:bCs/>
          <w:sz w:val="26"/>
          <w:szCs w:val="26"/>
        </w:rPr>
        <w:t>1</w:t>
      </w:r>
      <w:r w:rsidRPr="00A52496">
        <w:rPr>
          <w:b/>
          <w:bCs/>
          <w:sz w:val="26"/>
          <w:szCs w:val="26"/>
        </w:rPr>
        <w:t>)</w:t>
      </w:r>
      <w:r w:rsidRPr="00A52496">
        <w:rPr>
          <w:b/>
          <w:bCs/>
          <w:sz w:val="26"/>
          <w:szCs w:val="26"/>
        </w:rPr>
        <w:tab/>
        <w:t xml:space="preserve">Settlement Terms </w:t>
      </w:r>
    </w:p>
    <w:p w14:paraId="17878E1B" w14:textId="77777777" w:rsidR="00C92186" w:rsidRPr="00A52496" w:rsidRDefault="00C92186" w:rsidP="003A591D">
      <w:pPr>
        <w:keepNext/>
        <w:widowControl/>
        <w:spacing w:line="360" w:lineRule="auto"/>
        <w:rPr>
          <w:sz w:val="26"/>
          <w:szCs w:val="26"/>
        </w:rPr>
      </w:pPr>
    </w:p>
    <w:p w14:paraId="46634ED7" w14:textId="77777777" w:rsidR="00C92186" w:rsidRPr="00C92186" w:rsidRDefault="00C92186" w:rsidP="003A591D">
      <w:pPr>
        <w:keepNext/>
        <w:widowControl/>
        <w:spacing w:line="360" w:lineRule="auto"/>
        <w:ind w:firstLine="1440"/>
        <w:rPr>
          <w:sz w:val="26"/>
          <w:szCs w:val="26"/>
        </w:rPr>
      </w:pPr>
      <w:r w:rsidRPr="00C92186">
        <w:rPr>
          <w:rFonts w:eastAsia="SimSun"/>
          <w:sz w:val="26"/>
          <w:szCs w:val="26"/>
        </w:rPr>
        <w:t xml:space="preserve">The Settlement contains a commitment that Aqua America will provide a $10 million rate credit to the natural gas customers of the Peoples Companies and the water and wastewater customers of Aqua PA in 2019.  </w:t>
      </w:r>
      <w:r w:rsidRPr="00C92186">
        <w:rPr>
          <w:sz w:val="26"/>
          <w:szCs w:val="26"/>
        </w:rPr>
        <w:t xml:space="preserve">This rate credit is in addition to the previously described $13 million rate credit associated with the G/T Systems.  The Settlement provides: </w:t>
      </w:r>
    </w:p>
    <w:p w14:paraId="6AD46E50" w14:textId="77777777" w:rsidR="00C92186" w:rsidRPr="00C92186" w:rsidRDefault="00C92186" w:rsidP="00B24187">
      <w:pPr>
        <w:widowControl/>
        <w:spacing w:line="360" w:lineRule="auto"/>
        <w:ind w:firstLine="1440"/>
        <w:rPr>
          <w:sz w:val="26"/>
          <w:szCs w:val="26"/>
        </w:rPr>
      </w:pPr>
    </w:p>
    <w:p w14:paraId="7298D597" w14:textId="77777777" w:rsidR="00C92186" w:rsidRPr="00C92186" w:rsidRDefault="00C92186" w:rsidP="00B24187">
      <w:pPr>
        <w:widowControl/>
        <w:ind w:left="1440" w:right="1440"/>
        <w:rPr>
          <w:sz w:val="26"/>
          <w:szCs w:val="26"/>
        </w:rPr>
      </w:pPr>
      <w:r w:rsidRPr="00C92186">
        <w:rPr>
          <w:sz w:val="26"/>
          <w:szCs w:val="26"/>
        </w:rPr>
        <w:t>41.</w:t>
      </w:r>
      <w:r w:rsidRPr="00C92186">
        <w:rPr>
          <w:sz w:val="26"/>
          <w:szCs w:val="26"/>
        </w:rPr>
        <w:tab/>
        <w:t xml:space="preserve">Separate and apart from the $13 million rate credit provided in Paragraph 33 above, Aqua America will provide a one-time $10 million rate credit to the Peoples Companies’ natural gas customers, Aqua PA Water customers, and Aqua </w:t>
      </w:r>
      <w:r w:rsidRPr="00C92186">
        <w:rPr>
          <w:sz w:val="26"/>
          <w:szCs w:val="26"/>
        </w:rPr>
        <w:lastRenderedPageBreak/>
        <w:t xml:space="preserve">PA Wastewater customers…The rate credit will appear on customer bills before the end of 2019. </w:t>
      </w:r>
    </w:p>
    <w:p w14:paraId="6C46FCA9" w14:textId="77777777" w:rsidR="00C92186" w:rsidRPr="00C92186" w:rsidRDefault="00C92186" w:rsidP="00B24187">
      <w:pPr>
        <w:widowControl/>
        <w:spacing w:line="360" w:lineRule="auto"/>
        <w:rPr>
          <w:sz w:val="26"/>
          <w:szCs w:val="26"/>
        </w:rPr>
      </w:pPr>
    </w:p>
    <w:p w14:paraId="7A57D481" w14:textId="77777777" w:rsidR="00C92186" w:rsidRPr="00C92186" w:rsidRDefault="00C92186" w:rsidP="00B24187">
      <w:pPr>
        <w:widowControl/>
        <w:spacing w:line="360" w:lineRule="auto"/>
        <w:rPr>
          <w:sz w:val="26"/>
          <w:szCs w:val="26"/>
        </w:rPr>
      </w:pPr>
      <w:r w:rsidRPr="00C92186">
        <w:rPr>
          <w:rFonts w:eastAsia="SimSun"/>
          <w:sz w:val="26"/>
          <w:szCs w:val="26"/>
        </w:rPr>
        <w:t>Settlement at ¶ 41.</w:t>
      </w:r>
      <w:r w:rsidRPr="00C92186">
        <w:t xml:space="preserve">  </w:t>
      </w:r>
    </w:p>
    <w:p w14:paraId="16805579" w14:textId="77777777" w:rsidR="00C92186" w:rsidRPr="00C92186" w:rsidRDefault="00C92186" w:rsidP="00B24187">
      <w:pPr>
        <w:widowControl/>
        <w:spacing w:line="360" w:lineRule="auto"/>
      </w:pPr>
    </w:p>
    <w:p w14:paraId="545BB921" w14:textId="77777777" w:rsidR="00C92186" w:rsidRPr="00C92186" w:rsidRDefault="00C92186" w:rsidP="002E1D97">
      <w:pPr>
        <w:keepNext/>
        <w:widowControl/>
        <w:spacing w:line="360" w:lineRule="auto"/>
        <w:ind w:left="2880" w:hanging="720"/>
        <w:rPr>
          <w:b/>
          <w:bCs/>
          <w:sz w:val="26"/>
          <w:szCs w:val="26"/>
        </w:rPr>
      </w:pPr>
      <w:r>
        <w:rPr>
          <w:b/>
          <w:bCs/>
          <w:sz w:val="26"/>
          <w:szCs w:val="26"/>
        </w:rPr>
        <w:t>(</w:t>
      </w:r>
      <w:r w:rsidR="00ED4782">
        <w:rPr>
          <w:b/>
          <w:bCs/>
          <w:sz w:val="26"/>
          <w:szCs w:val="26"/>
        </w:rPr>
        <w:t>2</w:t>
      </w:r>
      <w:r>
        <w:rPr>
          <w:b/>
          <w:bCs/>
          <w:sz w:val="26"/>
          <w:szCs w:val="26"/>
        </w:rPr>
        <w:t>)</w:t>
      </w:r>
      <w:r>
        <w:rPr>
          <w:b/>
          <w:bCs/>
          <w:sz w:val="26"/>
          <w:szCs w:val="26"/>
        </w:rPr>
        <w:tab/>
      </w:r>
      <w:r w:rsidRPr="00C92186">
        <w:rPr>
          <w:b/>
          <w:bCs/>
          <w:sz w:val="26"/>
          <w:szCs w:val="26"/>
        </w:rPr>
        <w:t xml:space="preserve">Positions of the Parties </w:t>
      </w:r>
    </w:p>
    <w:p w14:paraId="5DDA0D57" w14:textId="77777777" w:rsidR="00C92186" w:rsidRPr="00C92186" w:rsidRDefault="00C92186" w:rsidP="002E1D97">
      <w:pPr>
        <w:keepNext/>
        <w:widowControl/>
        <w:spacing w:line="360" w:lineRule="auto"/>
        <w:rPr>
          <w:b/>
          <w:bCs/>
          <w:sz w:val="26"/>
          <w:szCs w:val="26"/>
        </w:rPr>
      </w:pPr>
    </w:p>
    <w:p w14:paraId="113EA118" w14:textId="53994503" w:rsidR="00C92186" w:rsidRDefault="00C92186" w:rsidP="002E1D97">
      <w:pPr>
        <w:keepNext/>
        <w:widowControl/>
        <w:spacing w:line="360" w:lineRule="auto"/>
        <w:ind w:firstLine="1440"/>
        <w:rPr>
          <w:sz w:val="26"/>
          <w:szCs w:val="26"/>
        </w:rPr>
      </w:pPr>
      <w:r w:rsidRPr="00C92186">
        <w:rPr>
          <w:rFonts w:eastAsia="SimSun"/>
          <w:sz w:val="26"/>
          <w:szCs w:val="26"/>
        </w:rPr>
        <w:t xml:space="preserve">The Joint Applicants made commitments that the Proposed Transaction will have no immediate, adverse effect on the rates of existing customers and that Aqua America will be able to adequately finance the Proposed Transaction without impacting rates.  Joint Applicants Statement in Support at 14 (citing </w:t>
      </w:r>
      <w:r w:rsidRPr="00C92186">
        <w:rPr>
          <w:sz w:val="26"/>
          <w:szCs w:val="26"/>
        </w:rPr>
        <w:t xml:space="preserve">Joint Applicants Exh. DJS-1 at 19-20; Joint Applicants St. 2 at 3-7).  </w:t>
      </w:r>
      <w:r w:rsidRPr="00C92186">
        <w:rPr>
          <w:rFonts w:eastAsia="SimSun"/>
          <w:sz w:val="26"/>
          <w:szCs w:val="26"/>
        </w:rPr>
        <w:t>The Joint Applicants represented that they expect the Proposed Transaction to produce long-term savings from operational efficiencies and process improvements, or synergies, in various back-office and business functions.  Although the Joint Applicants did not quantify possible long-term savings in this proceeding, they identified various categories of back-office and business functions in which intermediate or long-term efficiencies may result.</w:t>
      </w:r>
      <w:r w:rsidRPr="00C92186">
        <w:rPr>
          <w:rFonts w:eastAsia="SimSun"/>
          <w:szCs w:val="26"/>
          <w:vertAlign w:val="superscript"/>
        </w:rPr>
        <w:footnoteReference w:id="35"/>
      </w:r>
      <w:r w:rsidRPr="00C92186">
        <w:rPr>
          <w:rFonts w:eastAsia="SimSun"/>
          <w:sz w:val="26"/>
          <w:szCs w:val="26"/>
        </w:rPr>
        <w:t xml:space="preserve">  </w:t>
      </w:r>
      <w:r w:rsidRPr="00C92186">
        <w:rPr>
          <w:rFonts w:eastAsia="SimSun"/>
          <w:i/>
          <w:iCs/>
          <w:sz w:val="26"/>
          <w:szCs w:val="26"/>
        </w:rPr>
        <w:t>See</w:t>
      </w:r>
      <w:r w:rsidRPr="00C92186">
        <w:rPr>
          <w:rFonts w:eastAsia="SimSun"/>
          <w:sz w:val="26"/>
          <w:szCs w:val="26"/>
        </w:rPr>
        <w:t xml:space="preserve"> Joint Applicants Statement in Support at 15 (citing </w:t>
      </w:r>
      <w:r w:rsidRPr="00C92186">
        <w:rPr>
          <w:sz w:val="26"/>
          <w:szCs w:val="26"/>
        </w:rPr>
        <w:t xml:space="preserve">Joint Applicants </w:t>
      </w:r>
      <w:r w:rsidRPr="00C92186">
        <w:rPr>
          <w:rFonts w:eastAsia="SimSun"/>
          <w:sz w:val="26"/>
          <w:szCs w:val="26"/>
        </w:rPr>
        <w:t xml:space="preserve">St. 4-R at 4); </w:t>
      </w:r>
      <w:r w:rsidRPr="00C92186">
        <w:rPr>
          <w:rFonts w:eastAsia="SimSun"/>
          <w:i/>
          <w:iCs/>
          <w:sz w:val="26"/>
          <w:szCs w:val="26"/>
        </w:rPr>
        <w:t xml:space="preserve">see also </w:t>
      </w:r>
      <w:r w:rsidRPr="00C92186">
        <w:rPr>
          <w:sz w:val="26"/>
          <w:szCs w:val="26"/>
        </w:rPr>
        <w:t xml:space="preserve">Joint Applicants </w:t>
      </w:r>
      <w:r w:rsidRPr="00C92186">
        <w:rPr>
          <w:rFonts w:eastAsia="SimSun"/>
          <w:sz w:val="26"/>
          <w:szCs w:val="26"/>
        </w:rPr>
        <w:t>St. 4 (REVISED) at 10-13.</w:t>
      </w:r>
      <w:r w:rsidR="003A591D">
        <w:rPr>
          <w:rFonts w:eastAsia="SimSun"/>
          <w:sz w:val="26"/>
          <w:szCs w:val="26"/>
        </w:rPr>
        <w:t xml:space="preserve">  </w:t>
      </w:r>
      <w:r w:rsidRPr="00C92186">
        <w:rPr>
          <w:rFonts w:eastAsia="SimSun"/>
          <w:sz w:val="26"/>
          <w:szCs w:val="26"/>
        </w:rPr>
        <w:t xml:space="preserve">The Joint Applicants expressed a commitment to pass any </w:t>
      </w:r>
      <w:r w:rsidRPr="00C92186">
        <w:rPr>
          <w:sz w:val="26"/>
          <w:szCs w:val="26"/>
        </w:rPr>
        <w:t>intermediate or long-term</w:t>
      </w:r>
      <w:r w:rsidRPr="00C92186">
        <w:rPr>
          <w:rFonts w:eastAsia="SimSun"/>
          <w:sz w:val="26"/>
          <w:szCs w:val="26"/>
        </w:rPr>
        <w:t xml:space="preserve"> cost savings or rate benefits that may result from operational synergies to customers in future base rate proceedings.  Joint Applicants Statement in Support at 15-16 (citing Joint Application at ¶5; </w:t>
      </w:r>
      <w:r w:rsidRPr="00C92186">
        <w:rPr>
          <w:sz w:val="26"/>
          <w:szCs w:val="26"/>
        </w:rPr>
        <w:t xml:space="preserve">Joint Applicants St. 1-R at 12-13; Joint Applicants St. 2-R at 26).  </w:t>
      </w:r>
    </w:p>
    <w:p w14:paraId="2AB6CB12" w14:textId="77777777" w:rsidR="00FA1F96" w:rsidRPr="00C92186" w:rsidRDefault="00FA1F96" w:rsidP="00B24187">
      <w:pPr>
        <w:widowControl/>
        <w:spacing w:line="360" w:lineRule="auto"/>
        <w:ind w:firstLine="1440"/>
        <w:rPr>
          <w:sz w:val="26"/>
          <w:szCs w:val="26"/>
        </w:rPr>
      </w:pPr>
    </w:p>
    <w:p w14:paraId="4199319A" w14:textId="77777777" w:rsidR="00C92186" w:rsidRDefault="00C92186" w:rsidP="00B24187">
      <w:pPr>
        <w:widowControl/>
        <w:spacing w:line="360" w:lineRule="auto"/>
        <w:ind w:firstLine="1440"/>
        <w:rPr>
          <w:sz w:val="26"/>
          <w:szCs w:val="26"/>
        </w:rPr>
      </w:pPr>
      <w:r w:rsidRPr="00C92186">
        <w:rPr>
          <w:rFonts w:eastAsia="SimSun"/>
          <w:sz w:val="26"/>
          <w:szCs w:val="26"/>
        </w:rPr>
        <w:t xml:space="preserve">However, the Joint Applicants emphasized in this proceeding that they expect no short-term synergy savings to result from the Proposed Transaction, given </w:t>
      </w:r>
      <w:r w:rsidRPr="00C92186">
        <w:rPr>
          <w:rFonts w:eastAsia="SimSun"/>
          <w:sz w:val="26"/>
          <w:szCs w:val="26"/>
        </w:rPr>
        <w:lastRenderedPageBreak/>
        <w:t xml:space="preserve">Aqua America’s plans and commitments to retain and grow jobs.  Because no immediate synergies or cost savings are contemplated by the acquisition, the Joint Applicants did not propose in this proceeding to pass-through any savings in the form of a rate credit to customers. </w:t>
      </w:r>
      <w:r w:rsidRPr="00C92186">
        <w:rPr>
          <w:rFonts w:eastAsia="SimSun"/>
          <w:i/>
          <w:iCs/>
          <w:sz w:val="26"/>
          <w:szCs w:val="26"/>
        </w:rPr>
        <w:t xml:space="preserve"> See Id</w:t>
      </w:r>
      <w:r w:rsidRPr="00C92186">
        <w:rPr>
          <w:rFonts w:eastAsia="SimSun"/>
          <w:sz w:val="26"/>
          <w:szCs w:val="26"/>
        </w:rPr>
        <w:t>.</w:t>
      </w:r>
      <w:r w:rsidRPr="00C92186">
        <w:rPr>
          <w:sz w:val="26"/>
          <w:szCs w:val="26"/>
        </w:rPr>
        <w:t xml:space="preserve">  </w:t>
      </w:r>
    </w:p>
    <w:p w14:paraId="2D10C666" w14:textId="77777777" w:rsidR="00C92186" w:rsidRPr="00C92186" w:rsidRDefault="00C92186" w:rsidP="00B24187">
      <w:pPr>
        <w:widowControl/>
        <w:spacing w:line="360" w:lineRule="auto"/>
        <w:ind w:firstLine="1440"/>
        <w:rPr>
          <w:sz w:val="26"/>
          <w:szCs w:val="26"/>
        </w:rPr>
      </w:pPr>
    </w:p>
    <w:p w14:paraId="77980EA5" w14:textId="6ACF57F4" w:rsidR="00C92186" w:rsidRDefault="00C92186" w:rsidP="00B24187">
      <w:pPr>
        <w:widowControl/>
        <w:spacing w:line="360" w:lineRule="auto"/>
        <w:ind w:firstLine="1440"/>
        <w:rPr>
          <w:sz w:val="26"/>
          <w:szCs w:val="26"/>
        </w:rPr>
      </w:pPr>
      <w:r w:rsidRPr="00C92186">
        <w:rPr>
          <w:rFonts w:eastAsia="SimSun"/>
          <w:sz w:val="26"/>
          <w:szCs w:val="26"/>
        </w:rPr>
        <w:t xml:space="preserve">In direct testimony, the OCA’s witness contended that the Joint Applicants should provide an immediate rate credit to capture potential synergy savings from the Proposed Transaction and that an appropriate dollar amount for a rate credit can be determined in this proceeding based on the information provided by the Joint Applicants in discovery.  </w:t>
      </w:r>
      <w:r w:rsidRPr="00C92186">
        <w:rPr>
          <w:sz w:val="26"/>
          <w:szCs w:val="26"/>
        </w:rPr>
        <w:t xml:space="preserve">OCA St. 2 at 28, 32.  According to the OCA’s witness, </w:t>
      </w:r>
      <w:r w:rsidRPr="00C92186">
        <w:rPr>
          <w:rFonts w:eastAsia="SimSun"/>
          <w:sz w:val="26"/>
          <w:szCs w:val="26"/>
        </w:rPr>
        <w:t xml:space="preserve">a rate credit provides an immediate pass through of potential savings to existing customers and constitutes an affirmative public benefit.  </w:t>
      </w:r>
      <w:bookmarkStart w:id="142" w:name="_Hlk26524029"/>
      <w:r w:rsidRPr="00C92186">
        <w:rPr>
          <w:i/>
          <w:iCs/>
          <w:sz w:val="26"/>
          <w:szCs w:val="26"/>
        </w:rPr>
        <w:t xml:space="preserve">See </w:t>
      </w:r>
      <w:r w:rsidRPr="00C92186">
        <w:rPr>
          <w:sz w:val="26"/>
          <w:szCs w:val="26"/>
        </w:rPr>
        <w:t xml:space="preserve">OCA St. 2 at 32-34; </w:t>
      </w:r>
      <w:r w:rsidRPr="00C92186">
        <w:rPr>
          <w:i/>
          <w:iCs/>
          <w:sz w:val="26"/>
          <w:szCs w:val="26"/>
        </w:rPr>
        <w:t>see also</w:t>
      </w:r>
      <w:r w:rsidRPr="00C92186">
        <w:rPr>
          <w:sz w:val="26"/>
          <w:szCs w:val="26"/>
        </w:rPr>
        <w:t xml:space="preserve"> Tr. at 214.</w:t>
      </w:r>
      <w:r w:rsidR="00FA1F96">
        <w:rPr>
          <w:sz w:val="26"/>
          <w:szCs w:val="26"/>
        </w:rPr>
        <w:t xml:space="preserve">  </w:t>
      </w:r>
      <w:bookmarkEnd w:id="142"/>
      <w:r w:rsidRPr="00C92186">
        <w:rPr>
          <w:sz w:val="26"/>
          <w:szCs w:val="26"/>
        </w:rPr>
        <w:t xml:space="preserve">In rebuttal testimony, the Joint Applicants’ witness submitted that a rate credit, as proposed by the OCA, would result in a duplication of savings: once in this proceeding, and once in a future base rate proceeding.  Joint Applicants St. 1-R at 12; Joint Applicants St. 2-R at 29.  In surrebuttal testimony, the OCA’s witness opined that providing a rate credit in this proceeding would be appropriate because it may be difficult to quantify in a later rate proceeding any intermediate or long-term synergy savings as a result of the Proposed Transaction.  As such, the OCA’s witness characterized the Joint Applicants’ testimony regarding duplicative savings as theoretical and speculative.  OCA St. 2-SR at 10.  </w:t>
      </w:r>
    </w:p>
    <w:p w14:paraId="2F6E204E" w14:textId="77777777" w:rsidR="00364103" w:rsidRPr="00C92186" w:rsidRDefault="00364103" w:rsidP="00B24187">
      <w:pPr>
        <w:widowControl/>
        <w:spacing w:line="360" w:lineRule="auto"/>
        <w:ind w:firstLine="1440"/>
        <w:rPr>
          <w:sz w:val="26"/>
          <w:szCs w:val="26"/>
        </w:rPr>
      </w:pPr>
    </w:p>
    <w:p w14:paraId="284D78F5" w14:textId="77777777" w:rsidR="00C92186" w:rsidRPr="00C92186" w:rsidRDefault="00C92186" w:rsidP="00B24187">
      <w:pPr>
        <w:widowControl/>
        <w:spacing w:line="360" w:lineRule="auto"/>
        <w:ind w:firstLine="1440"/>
      </w:pPr>
      <w:r w:rsidRPr="00C92186">
        <w:rPr>
          <w:sz w:val="26"/>
          <w:szCs w:val="26"/>
        </w:rPr>
        <w:t xml:space="preserve">To resolve the issue, the OCA and the Joint Applicants reached an accord for a $10 million rate credit to be provided to the Joint Applicants’ customers in 2019.  Settlement ¶ 41.  According to the OCA, this Settlement provision satisfies the OCA’s concerns by providing a rate credit to the Joint Applicants’ customers in the near-term future, as opposed to needlessly deferring the opportunity for this complex benefit to be discerned and realized on customer bills to some indefinite point in the future.  OCA Statement in Support at 9; OCA St. 2 at 28; OCA St. 2-SR at 10.  The OCA submits that </w:t>
      </w:r>
      <w:r w:rsidRPr="00C92186">
        <w:rPr>
          <w:sz w:val="26"/>
          <w:szCs w:val="26"/>
        </w:rPr>
        <w:lastRenderedPageBreak/>
        <w:t xml:space="preserve">the immediate $10 million rate credit in the Settlement is in the public interest and in the interest of the Joint Applicants’ customers.  OCA Statement in Support at 9-10. </w:t>
      </w:r>
    </w:p>
    <w:p w14:paraId="3F2611FD" w14:textId="77777777" w:rsidR="00C92186" w:rsidRPr="00C92186" w:rsidRDefault="00C92186" w:rsidP="00B24187">
      <w:pPr>
        <w:widowControl/>
        <w:spacing w:line="360" w:lineRule="auto"/>
        <w:rPr>
          <w:rFonts w:eastAsia="SimSun"/>
          <w:sz w:val="26"/>
          <w:szCs w:val="26"/>
        </w:rPr>
      </w:pPr>
    </w:p>
    <w:p w14:paraId="328CFF96" w14:textId="77777777" w:rsidR="00C92186" w:rsidRPr="00C92186" w:rsidRDefault="00C92186" w:rsidP="004D663D">
      <w:pPr>
        <w:widowControl/>
        <w:spacing w:line="360" w:lineRule="auto"/>
        <w:ind w:firstLine="1440"/>
        <w:rPr>
          <w:rFonts w:eastAsia="SimSun"/>
          <w:sz w:val="26"/>
          <w:szCs w:val="26"/>
        </w:rPr>
      </w:pPr>
      <w:r w:rsidRPr="00C92186">
        <w:rPr>
          <w:rFonts w:eastAsia="SimSun"/>
          <w:sz w:val="26"/>
          <w:szCs w:val="26"/>
        </w:rPr>
        <w:t xml:space="preserve">In Briefs, both I&amp;E and the OSBA challenged the immediate $10 million rate credit as not constituting an affirmative public benefit.  I&amp;E M.B. at 42-43; I&amp;E R.B. at 32-33; OSBA R.B. at 22-23.  I&amp;E contended that: </w:t>
      </w:r>
      <w:r w:rsidR="00FA1F96">
        <w:rPr>
          <w:rFonts w:eastAsia="SimSun"/>
          <w:sz w:val="26"/>
          <w:szCs w:val="26"/>
        </w:rPr>
        <w:t xml:space="preserve">(1) </w:t>
      </w:r>
      <w:r w:rsidRPr="00C92186">
        <w:rPr>
          <w:rFonts w:eastAsia="SimSun"/>
          <w:sz w:val="26"/>
          <w:szCs w:val="26"/>
        </w:rPr>
        <w:t xml:space="preserve">the credit only benefits current customers; </w:t>
      </w:r>
      <w:r w:rsidR="00FA1F96">
        <w:rPr>
          <w:rFonts w:eastAsia="SimSun"/>
          <w:sz w:val="26"/>
          <w:szCs w:val="26"/>
        </w:rPr>
        <w:t xml:space="preserve">(2) </w:t>
      </w:r>
      <w:r w:rsidRPr="00C92186">
        <w:rPr>
          <w:rFonts w:eastAsia="SimSun"/>
          <w:sz w:val="26"/>
          <w:szCs w:val="26"/>
        </w:rPr>
        <w:t xml:space="preserve">the amount is arbitrary; and, </w:t>
      </w:r>
      <w:r w:rsidR="00FA1F96">
        <w:rPr>
          <w:rFonts w:eastAsia="SimSun"/>
          <w:sz w:val="26"/>
          <w:szCs w:val="26"/>
        </w:rPr>
        <w:t xml:space="preserve">(3) </w:t>
      </w:r>
      <w:r w:rsidRPr="00C92186">
        <w:rPr>
          <w:rFonts w:eastAsia="SimSun"/>
          <w:sz w:val="26"/>
          <w:szCs w:val="26"/>
        </w:rPr>
        <w:t>there has not been a sufficient analysis of the rate impacts of the Proposed Transaction.  I&amp;E R.B. at 32-33.  The OSBA added that the rate credit does not offset the increased costs resulting from the additional LTIIP spending, the G/T Systems rehabilitation commitments and the increased financial risks which may result from the acquisition.  OSBA R.B. at 22-23.</w:t>
      </w:r>
    </w:p>
    <w:p w14:paraId="3DF139FA" w14:textId="77777777" w:rsidR="00C92186" w:rsidRPr="004D663D" w:rsidRDefault="00C92186" w:rsidP="004D663D">
      <w:pPr>
        <w:widowControl/>
        <w:spacing w:line="360" w:lineRule="auto"/>
        <w:rPr>
          <w:sz w:val="26"/>
          <w:szCs w:val="26"/>
        </w:rPr>
      </w:pPr>
    </w:p>
    <w:p w14:paraId="6A49F77F" w14:textId="77777777" w:rsidR="00C92186" w:rsidRPr="00C92186" w:rsidRDefault="00C92186" w:rsidP="004D663D">
      <w:pPr>
        <w:keepNext/>
        <w:widowControl/>
        <w:spacing w:line="360" w:lineRule="auto"/>
        <w:ind w:left="2880" w:hanging="720"/>
        <w:rPr>
          <w:b/>
          <w:bCs/>
          <w:sz w:val="26"/>
          <w:szCs w:val="26"/>
        </w:rPr>
      </w:pPr>
      <w:r>
        <w:rPr>
          <w:b/>
          <w:bCs/>
          <w:sz w:val="26"/>
          <w:szCs w:val="26"/>
        </w:rPr>
        <w:t>(</w:t>
      </w:r>
      <w:r w:rsidR="00ED4782">
        <w:rPr>
          <w:b/>
          <w:bCs/>
          <w:sz w:val="26"/>
          <w:szCs w:val="26"/>
        </w:rPr>
        <w:t>3</w:t>
      </w:r>
      <w:r>
        <w:rPr>
          <w:b/>
          <w:bCs/>
          <w:sz w:val="26"/>
          <w:szCs w:val="26"/>
        </w:rPr>
        <w:t>)</w:t>
      </w:r>
      <w:r>
        <w:rPr>
          <w:b/>
          <w:bCs/>
          <w:sz w:val="26"/>
          <w:szCs w:val="26"/>
        </w:rPr>
        <w:tab/>
      </w:r>
      <w:r w:rsidRPr="00C92186">
        <w:rPr>
          <w:b/>
          <w:bCs/>
          <w:sz w:val="26"/>
          <w:szCs w:val="26"/>
        </w:rPr>
        <w:t>Recommended Decision</w:t>
      </w:r>
    </w:p>
    <w:p w14:paraId="32A8AE83" w14:textId="77777777" w:rsidR="00C92186" w:rsidRPr="00C92186" w:rsidRDefault="00C92186" w:rsidP="004D663D">
      <w:pPr>
        <w:keepNext/>
        <w:widowControl/>
        <w:spacing w:line="360" w:lineRule="auto"/>
        <w:ind w:left="5040"/>
        <w:contextualSpacing/>
        <w:outlineLvl w:val="5"/>
        <w:rPr>
          <w:b/>
          <w:bCs/>
          <w:sz w:val="26"/>
          <w:szCs w:val="26"/>
        </w:rPr>
      </w:pPr>
    </w:p>
    <w:p w14:paraId="0C3B963C" w14:textId="2EDA2322" w:rsidR="00C92186" w:rsidRDefault="00C92186" w:rsidP="004D663D">
      <w:pPr>
        <w:keepNext/>
        <w:widowControl/>
        <w:spacing w:line="360" w:lineRule="auto"/>
        <w:ind w:firstLine="1440"/>
        <w:rPr>
          <w:sz w:val="26"/>
          <w:szCs w:val="26"/>
        </w:rPr>
      </w:pPr>
      <w:r w:rsidRPr="00C92186">
        <w:rPr>
          <w:rFonts w:eastAsia="SimSun"/>
          <w:sz w:val="26"/>
          <w:szCs w:val="26"/>
        </w:rPr>
        <w:t xml:space="preserve">The ALJ concluded that the one-time $10 million rate credit “provides an immediate pass through of potential savings to existing </w:t>
      </w:r>
      <w:r w:rsidR="003A591D" w:rsidRPr="00C92186">
        <w:rPr>
          <w:rFonts w:eastAsia="SimSun"/>
          <w:sz w:val="26"/>
          <w:szCs w:val="26"/>
        </w:rPr>
        <w:t>customers and</w:t>
      </w:r>
      <w:r w:rsidRPr="00C92186">
        <w:rPr>
          <w:rFonts w:eastAsia="SimSun"/>
          <w:sz w:val="26"/>
          <w:szCs w:val="26"/>
        </w:rPr>
        <w:t xml:space="preserve"> constitutes an affirmative public benefit.”  R.D. at 91 (citing OCA St.  2 at 32-34).  At the same time, the ALJ noted that “[T]he Joint Applicants explicitly committed to passing any future cost savings or rate benefits that may result from the acquisition to customers in future base rate proceedings.”  R.D. at 91 (citing</w:t>
      </w:r>
      <w:r w:rsidRPr="00C92186">
        <w:rPr>
          <w:sz w:val="26"/>
          <w:szCs w:val="26"/>
        </w:rPr>
        <w:t xml:space="preserve"> Joint Applicants St.  1-R at 12-13; Joint Applicants St.  2-R at 26).</w:t>
      </w:r>
    </w:p>
    <w:p w14:paraId="01829E2E" w14:textId="77777777" w:rsidR="00364103" w:rsidRPr="00C92186" w:rsidRDefault="00364103" w:rsidP="00364103">
      <w:pPr>
        <w:keepNext/>
        <w:widowControl/>
        <w:spacing w:line="360" w:lineRule="auto"/>
        <w:ind w:firstLine="1440"/>
        <w:rPr>
          <w:rFonts w:eastAsia="SimSun"/>
          <w:sz w:val="26"/>
          <w:szCs w:val="26"/>
        </w:rPr>
      </w:pPr>
    </w:p>
    <w:p w14:paraId="2BEAEBEF" w14:textId="30A34D78" w:rsidR="00C92186" w:rsidRPr="00C92186" w:rsidRDefault="00C92186" w:rsidP="00B24187">
      <w:pPr>
        <w:widowControl/>
        <w:spacing w:line="360" w:lineRule="auto"/>
        <w:ind w:firstLine="1440"/>
        <w:rPr>
          <w:rFonts w:eastAsia="SimSun"/>
          <w:sz w:val="26"/>
          <w:szCs w:val="26"/>
        </w:rPr>
      </w:pPr>
      <w:r w:rsidRPr="00C92186">
        <w:rPr>
          <w:rFonts w:eastAsia="SimSun"/>
          <w:sz w:val="26"/>
          <w:szCs w:val="26"/>
        </w:rPr>
        <w:t>The ALJ explained that the Joint Applicants made clear that the driving force of the Proposed Transaction was not synergies and resultant cost savings.  The ALJ accepted the Joint Applicants’ testimonies explaining that while there is likely to be some potential cost savings gained through efficiencies, such cost savings are likely to develop in the long-term future, as opposed to the near-term, and can be difficult to quantify.  R.D. at 91 (citing</w:t>
      </w:r>
      <w:r w:rsidRPr="00C92186">
        <w:rPr>
          <w:sz w:val="26"/>
          <w:szCs w:val="26"/>
        </w:rPr>
        <w:t xml:space="preserve"> Joint Applicants St. 1-R at 12; St. 2-R at 29; 4-R at 3-4).  </w:t>
      </w:r>
      <w:r w:rsidRPr="00C92186">
        <w:rPr>
          <w:rFonts w:eastAsia="SimSun"/>
          <w:sz w:val="26"/>
          <w:szCs w:val="26"/>
        </w:rPr>
        <w:t xml:space="preserve">The ALJ recognized that the one-time $10 million immediate rate credit is a product of settlement </w:t>
      </w:r>
      <w:r w:rsidRPr="00C92186">
        <w:rPr>
          <w:rFonts w:eastAsia="SimSun"/>
          <w:sz w:val="26"/>
          <w:szCs w:val="26"/>
        </w:rPr>
        <w:lastRenderedPageBreak/>
        <w:t xml:space="preserve">discussions and neither </w:t>
      </w:r>
      <w:r w:rsidRPr="00C92186">
        <w:rPr>
          <w:sz w:val="26"/>
          <w:szCs w:val="26"/>
        </w:rPr>
        <w:t>t</w:t>
      </w:r>
      <w:r w:rsidRPr="00C92186">
        <w:rPr>
          <w:rFonts w:eastAsia="SimSun"/>
          <w:sz w:val="26"/>
          <w:szCs w:val="26"/>
        </w:rPr>
        <w:t>he Joint Applicants nor the OCA represented that this credit is intended to fully offset the increased spending contemplated by the Proposed Transaction.  R.D. at 91.  Nevertheless, the ALJ concluded that the rate credit will likely offset at least some of the additional spending.  R.D. at 91-92.</w:t>
      </w:r>
      <w:r w:rsidR="003A591D">
        <w:rPr>
          <w:rFonts w:eastAsia="SimSun"/>
          <w:sz w:val="26"/>
          <w:szCs w:val="26"/>
        </w:rPr>
        <w:t xml:space="preserve">  </w:t>
      </w:r>
    </w:p>
    <w:p w14:paraId="6E69E924" w14:textId="77777777" w:rsidR="00C92186" w:rsidRPr="00C92186" w:rsidRDefault="00C92186" w:rsidP="00B24187">
      <w:pPr>
        <w:widowControl/>
        <w:spacing w:line="360" w:lineRule="auto"/>
        <w:ind w:firstLine="1440"/>
        <w:rPr>
          <w:rFonts w:eastAsia="SimSun"/>
          <w:sz w:val="26"/>
          <w:szCs w:val="26"/>
        </w:rPr>
      </w:pPr>
    </w:p>
    <w:p w14:paraId="7022088E" w14:textId="0451B6C4" w:rsidR="00C92186" w:rsidRDefault="00C92186" w:rsidP="00B24187">
      <w:pPr>
        <w:widowControl/>
        <w:spacing w:line="360" w:lineRule="auto"/>
        <w:ind w:firstLine="1440"/>
        <w:rPr>
          <w:rFonts w:eastAsia="SimSun"/>
          <w:sz w:val="26"/>
          <w:szCs w:val="26"/>
        </w:rPr>
      </w:pPr>
      <w:r w:rsidRPr="00C92186">
        <w:rPr>
          <w:rFonts w:eastAsia="SimSun"/>
          <w:sz w:val="26"/>
          <w:szCs w:val="26"/>
        </w:rPr>
        <w:t xml:space="preserve">The ALJ explained that, in prior Commission proceedings, similar rate credits were found to be an affirmative public benefit under the </w:t>
      </w:r>
      <w:r w:rsidRPr="00C92186">
        <w:rPr>
          <w:rFonts w:eastAsia="SimSun"/>
          <w:i/>
          <w:iCs/>
          <w:sz w:val="26"/>
          <w:szCs w:val="26"/>
        </w:rPr>
        <w:t>City of York</w:t>
      </w:r>
      <w:r w:rsidRPr="00C92186">
        <w:rPr>
          <w:rFonts w:eastAsia="SimSun"/>
          <w:sz w:val="26"/>
          <w:szCs w:val="26"/>
        </w:rPr>
        <w:t xml:space="preserve"> standard</w:t>
      </w:r>
      <w:r w:rsidRPr="00C92186">
        <w:rPr>
          <w:rFonts w:eastAsia="SimSun"/>
          <w:i/>
          <w:iCs/>
          <w:sz w:val="26"/>
          <w:szCs w:val="26"/>
        </w:rPr>
        <w:t>.</w:t>
      </w:r>
      <w:r w:rsidRPr="00C92186">
        <w:rPr>
          <w:rFonts w:eastAsia="SimSun"/>
          <w:sz w:val="26"/>
          <w:szCs w:val="26"/>
        </w:rPr>
        <w:t xml:space="preserve">  R.D. at 92.</w:t>
      </w:r>
      <w:r w:rsidRPr="00C92186">
        <w:rPr>
          <w:rFonts w:eastAsia="SimSun"/>
          <w:szCs w:val="26"/>
          <w:vertAlign w:val="superscript"/>
        </w:rPr>
        <w:footnoteReference w:id="36"/>
      </w:r>
      <w:r w:rsidRPr="00C92186">
        <w:rPr>
          <w:rFonts w:eastAsia="SimSun"/>
          <w:sz w:val="26"/>
          <w:szCs w:val="26"/>
        </w:rPr>
        <w:t xml:space="preserve">  Based on the foregoing analysis, the ALJ determined that the $10 million rate credit is “a sensible resolution to address a unique feature” of the Proposed Transaction and is a vehicle to pass on some savings that would otherwise be deferred for an indefinite future period.  R.D. at 92 (citation omitted).</w:t>
      </w:r>
    </w:p>
    <w:p w14:paraId="64AF20CD" w14:textId="77777777" w:rsidR="00C92186" w:rsidRPr="00A52496" w:rsidRDefault="00C92186" w:rsidP="00B24187">
      <w:pPr>
        <w:widowControl/>
        <w:spacing w:line="360" w:lineRule="auto"/>
        <w:rPr>
          <w:sz w:val="26"/>
          <w:szCs w:val="26"/>
        </w:rPr>
      </w:pPr>
    </w:p>
    <w:p w14:paraId="2D8A43FF" w14:textId="77777777" w:rsidR="00C92186" w:rsidRPr="00A52496" w:rsidRDefault="00C92186" w:rsidP="00364103">
      <w:pPr>
        <w:keepNext/>
        <w:widowControl/>
        <w:spacing w:line="360" w:lineRule="auto"/>
        <w:ind w:left="2880" w:hanging="720"/>
        <w:rPr>
          <w:b/>
          <w:bCs/>
          <w:sz w:val="26"/>
          <w:szCs w:val="26"/>
        </w:rPr>
      </w:pPr>
      <w:r w:rsidRPr="00A52496">
        <w:rPr>
          <w:b/>
          <w:bCs/>
          <w:sz w:val="26"/>
          <w:szCs w:val="26"/>
        </w:rPr>
        <w:t>(</w:t>
      </w:r>
      <w:r w:rsidR="00ED4782" w:rsidRPr="00A52496">
        <w:rPr>
          <w:b/>
          <w:bCs/>
          <w:sz w:val="26"/>
          <w:szCs w:val="26"/>
        </w:rPr>
        <w:t>4</w:t>
      </w:r>
      <w:r w:rsidRPr="00A52496">
        <w:rPr>
          <w:b/>
          <w:bCs/>
          <w:sz w:val="26"/>
          <w:szCs w:val="26"/>
        </w:rPr>
        <w:t>)</w:t>
      </w:r>
      <w:r w:rsidRPr="00A52496">
        <w:rPr>
          <w:b/>
          <w:bCs/>
          <w:sz w:val="26"/>
          <w:szCs w:val="26"/>
        </w:rPr>
        <w:tab/>
      </w:r>
      <w:bookmarkStart w:id="143" w:name="_Hlk28536990"/>
      <w:r w:rsidR="009B2A8F" w:rsidRPr="00A52496">
        <w:rPr>
          <w:b/>
          <w:bCs/>
          <w:sz w:val="26"/>
          <w:szCs w:val="26"/>
        </w:rPr>
        <w:t xml:space="preserve">Exceptions and Replies </w:t>
      </w:r>
      <w:bookmarkEnd w:id="143"/>
    </w:p>
    <w:p w14:paraId="2C5F5A37" w14:textId="77777777" w:rsidR="009B2A8F" w:rsidRPr="00A52496" w:rsidRDefault="009B2A8F" w:rsidP="00364103">
      <w:pPr>
        <w:keepNext/>
        <w:widowControl/>
        <w:spacing w:line="360" w:lineRule="auto"/>
        <w:rPr>
          <w:sz w:val="26"/>
          <w:szCs w:val="26"/>
        </w:rPr>
      </w:pPr>
    </w:p>
    <w:p w14:paraId="6114BBE2" w14:textId="77777777" w:rsidR="00C92186" w:rsidRPr="00C92186" w:rsidRDefault="00C92186" w:rsidP="00364103">
      <w:pPr>
        <w:keepNext/>
        <w:widowControl/>
        <w:spacing w:line="360" w:lineRule="auto"/>
        <w:ind w:firstLine="1440"/>
        <w:rPr>
          <w:rFonts w:eastAsia="SimSun"/>
          <w:sz w:val="26"/>
          <w:szCs w:val="26"/>
        </w:rPr>
      </w:pPr>
      <w:r w:rsidRPr="00A52496">
        <w:rPr>
          <w:rFonts w:eastAsia="SimSun"/>
          <w:sz w:val="26"/>
          <w:szCs w:val="26"/>
        </w:rPr>
        <w:t>In</w:t>
      </w:r>
      <w:r w:rsidRPr="00C92186">
        <w:rPr>
          <w:rFonts w:eastAsia="SimSun"/>
          <w:sz w:val="26"/>
          <w:szCs w:val="26"/>
        </w:rPr>
        <w:t xml:space="preserve"> their Exceptions, I&amp;E and the OSBA, respectively, challenge the one-time $10 million rate credit as an affirmative public benefit, </w:t>
      </w:r>
      <w:r w:rsidRPr="00C92186">
        <w:rPr>
          <w:sz w:val="26"/>
          <w:szCs w:val="26"/>
        </w:rPr>
        <w:t>arguing, in summary, that the immediate rate credit does not mitigate the increased costs that will be recovered from ratepayers in the future resulting from the Settlement commitments related to the G/T Systems remediation and accelerated LTIIP spending.</w:t>
      </w:r>
      <w:r w:rsidRPr="00C92186">
        <w:rPr>
          <w:rFonts w:eastAsia="SimSun"/>
          <w:sz w:val="26"/>
          <w:szCs w:val="26"/>
        </w:rPr>
        <w:t xml:space="preserve">  OSBA Exc. at 29; I&amp;E Exc. at 24-26.  In their Replies to Exceptions, as summarized below, the Joint Applicants and the </w:t>
      </w:r>
      <w:r w:rsidRPr="00C92186">
        <w:rPr>
          <w:rFonts w:eastAsia="SimSun"/>
          <w:sz w:val="26"/>
          <w:szCs w:val="26"/>
        </w:rPr>
        <w:lastRenderedPageBreak/>
        <w:t xml:space="preserve">OCA argue that the OSBA’s and I&amp;E’s concerns are unfounded and irrelevant and that their Exceptions should be denied. </w:t>
      </w:r>
    </w:p>
    <w:p w14:paraId="7378A703" w14:textId="77777777" w:rsidR="00C92186" w:rsidRPr="00C92186" w:rsidRDefault="00C92186" w:rsidP="00B24187">
      <w:pPr>
        <w:widowControl/>
        <w:spacing w:line="360" w:lineRule="auto"/>
        <w:ind w:firstLine="1440"/>
        <w:rPr>
          <w:rFonts w:eastAsia="SimSun"/>
          <w:sz w:val="26"/>
          <w:szCs w:val="26"/>
        </w:rPr>
      </w:pPr>
    </w:p>
    <w:p w14:paraId="76AC1D17" w14:textId="77777777" w:rsidR="00C92186" w:rsidRPr="00C92186" w:rsidRDefault="00C92186" w:rsidP="00B24187">
      <w:pPr>
        <w:widowControl/>
        <w:spacing w:line="360" w:lineRule="auto"/>
        <w:ind w:firstLine="1440"/>
        <w:rPr>
          <w:sz w:val="26"/>
          <w:szCs w:val="26"/>
        </w:rPr>
      </w:pPr>
      <w:r w:rsidRPr="00C92186">
        <w:rPr>
          <w:sz w:val="26"/>
          <w:szCs w:val="26"/>
        </w:rPr>
        <w:t xml:space="preserve">In I&amp;E’s Exception No. 11, I&amp;E asserts that the </w:t>
      </w:r>
      <w:r w:rsidR="0021067A">
        <w:rPr>
          <w:sz w:val="26"/>
          <w:szCs w:val="26"/>
        </w:rPr>
        <w:t>Recommended Decision</w:t>
      </w:r>
      <w:r w:rsidRPr="00C92186">
        <w:rPr>
          <w:sz w:val="26"/>
          <w:szCs w:val="26"/>
        </w:rPr>
        <w:t xml:space="preserve"> erred in its determination that the two rate credits adopted in the Settlement constitute additional public benefits and makes three arguments in support thereof.  First, I&amp;E argues that the financial incentive of the one-time $10 million rate credit “does not outweigh the potential harm of a technically inexperienced parent taking ownership of the Peoples Companies.”  I&amp;E Exc. at 25.  Second, I&amp;E argues that the rate credit pales in comparison to the $4 billion purchase price and the related detriments to ratepayers.  Third, I&amp;E argues that approval of the rate credit would be “short-sighted” and the benefits “short-lived,” as only existing customers would benefit from the rate credit.  </w:t>
      </w:r>
      <w:r w:rsidRPr="00C92186">
        <w:rPr>
          <w:i/>
          <w:iCs/>
          <w:sz w:val="26"/>
          <w:szCs w:val="26"/>
        </w:rPr>
        <w:t>Id</w:t>
      </w:r>
      <w:r w:rsidRPr="00C92186">
        <w:rPr>
          <w:sz w:val="26"/>
          <w:szCs w:val="26"/>
        </w:rPr>
        <w:t xml:space="preserve">.  I&amp;E asserts that the ALJ’s analysis does not take into account the fact that ratepayers will be financially impacted in the future by the repair of the G/T Systems over a sixty-year period and posits that some of these costs could far exceed current expectations, thereby further diluting this rate credit, as well as the $13 million rate credit.  </w:t>
      </w:r>
      <w:r w:rsidRPr="00C92186">
        <w:rPr>
          <w:i/>
          <w:iCs/>
          <w:sz w:val="26"/>
          <w:szCs w:val="26"/>
        </w:rPr>
        <w:t>Id</w:t>
      </w:r>
      <w:r w:rsidRPr="00C92186">
        <w:rPr>
          <w:sz w:val="26"/>
          <w:szCs w:val="26"/>
        </w:rPr>
        <w:t xml:space="preserve">.  In summary, I&amp;E argues that the one-time rate credit does little to offset the years of negative impacts that will flow to ratepayers as a result of the Proposed Transaction.  </w:t>
      </w:r>
      <w:r w:rsidRPr="00C92186">
        <w:rPr>
          <w:i/>
          <w:iCs/>
          <w:sz w:val="26"/>
          <w:szCs w:val="26"/>
        </w:rPr>
        <w:t>Id</w:t>
      </w:r>
      <w:r w:rsidRPr="00C92186">
        <w:rPr>
          <w:sz w:val="26"/>
          <w:szCs w:val="26"/>
        </w:rPr>
        <w:t xml:space="preserve">. at 25-26. </w:t>
      </w:r>
    </w:p>
    <w:p w14:paraId="43E4F710" w14:textId="77777777" w:rsidR="00C92186" w:rsidRPr="00C92186" w:rsidRDefault="00C92186" w:rsidP="00B24187">
      <w:pPr>
        <w:widowControl/>
        <w:spacing w:line="360" w:lineRule="auto"/>
        <w:ind w:firstLine="1440"/>
        <w:rPr>
          <w:sz w:val="26"/>
          <w:szCs w:val="26"/>
        </w:rPr>
      </w:pPr>
    </w:p>
    <w:p w14:paraId="41E6F675" w14:textId="0AFB017D" w:rsidR="00C92186" w:rsidRPr="00C92186" w:rsidRDefault="00C92186" w:rsidP="00B24187">
      <w:pPr>
        <w:widowControl/>
        <w:spacing w:line="360" w:lineRule="auto"/>
        <w:ind w:firstLine="1440"/>
        <w:rPr>
          <w:sz w:val="26"/>
          <w:szCs w:val="26"/>
        </w:rPr>
      </w:pPr>
      <w:r w:rsidRPr="00C92186">
        <w:rPr>
          <w:rFonts w:eastAsia="SimSun"/>
          <w:sz w:val="26"/>
          <w:szCs w:val="26"/>
        </w:rPr>
        <w:t>In the OSBA’s Exception No. 21, the OSBA contends that the $10 million rate credit cannot be analyzed “on a standalone basis” and that when compared to the entirety of the Proposed Transaction, the rate credit “will barely make a dent in the rate increases that will result from the merger.”  OSBA Exc. at 29.  Specifically, the OSBA submits that the Commission must consider: (1) the $30 million annual increases in rate base which will result from the proposed accelerated LTIIP spending; (2) the $79 million (and possibly more) in net costs associated with</w:t>
      </w:r>
      <w:r w:rsidRPr="00C92186">
        <w:rPr>
          <w:sz w:val="26"/>
          <w:szCs w:val="26"/>
        </w:rPr>
        <w:t xml:space="preserve"> the G/T Systems proposed remediation; and (3) the possible increase in financial risk associated with the Proposed Transaction.  According to the OSBA, when comparing the rate credit against these additional significant costs, any benefit to consumers from a one-time rate credit of $10 million “is </w:t>
      </w:r>
      <w:r w:rsidRPr="00C92186">
        <w:rPr>
          <w:sz w:val="26"/>
          <w:szCs w:val="26"/>
        </w:rPr>
        <w:lastRenderedPageBreak/>
        <w:t xml:space="preserve">eclipsed by the negative effects of the Proposed Transaction.”  </w:t>
      </w:r>
      <w:r w:rsidRPr="00C92186">
        <w:rPr>
          <w:i/>
          <w:iCs/>
          <w:sz w:val="26"/>
          <w:szCs w:val="26"/>
        </w:rPr>
        <w:t>Id</w:t>
      </w:r>
      <w:r w:rsidRPr="00C92186">
        <w:rPr>
          <w:sz w:val="26"/>
          <w:szCs w:val="26"/>
        </w:rPr>
        <w:t xml:space="preserve">. (citing OSBA R.B. at 25).  The OSBA further submits that the “one-time” nature of the rate credit highlights that the Proposed Transaction contains no operating synergies.  OSBA Exc. at 29 (citing OSBA St. 1 at 11).  Thus, according to the OSBA, “while a near-term credit is welcome, there are no longer-term cost savings or rate credits to offset the negative impacts of the Proposed Transaction.”  The OSBA argues that, as the Proposed Transaction will cost customers much more than they are currently paying, a one-time rate credit is not an affirmative public benefit of the Proposed Transaction.  OSBA Exc. at 29 (citing OSBA R.B. at 25).  </w:t>
      </w:r>
    </w:p>
    <w:p w14:paraId="5489B195" w14:textId="77777777" w:rsidR="00C92186" w:rsidRPr="00C92186" w:rsidRDefault="00C92186" w:rsidP="00B24187">
      <w:pPr>
        <w:widowControl/>
        <w:spacing w:line="360" w:lineRule="auto"/>
        <w:rPr>
          <w:sz w:val="26"/>
          <w:szCs w:val="26"/>
        </w:rPr>
      </w:pPr>
    </w:p>
    <w:p w14:paraId="416E7B1E" w14:textId="3825565B" w:rsidR="00C92186" w:rsidRPr="00C92186" w:rsidRDefault="00C92186" w:rsidP="00B24187">
      <w:pPr>
        <w:widowControl/>
        <w:spacing w:line="360" w:lineRule="auto"/>
        <w:ind w:firstLine="1440"/>
        <w:rPr>
          <w:sz w:val="26"/>
          <w:szCs w:val="26"/>
        </w:rPr>
      </w:pPr>
      <w:r w:rsidRPr="00C92186">
        <w:rPr>
          <w:sz w:val="26"/>
          <w:szCs w:val="26"/>
        </w:rPr>
        <w:t>In their Replies to I&amp;E, first, the Joint Applicants assert that I&amp;E’s fitness argument is not supported by the record and that Aqua America’s fitness as a parent company to own and control the Peoples Companies was demonstrated by the record evidence.  Joint Applicants R. Exc. at 20 (citing Joint Applicants R. Exc. at Section II.A).</w:t>
      </w:r>
      <w:r w:rsidRPr="00C92186">
        <w:rPr>
          <w:szCs w:val="26"/>
          <w:vertAlign w:val="superscript"/>
        </w:rPr>
        <w:footnoteReference w:id="37"/>
      </w:r>
      <w:r w:rsidRPr="00C92186">
        <w:rPr>
          <w:sz w:val="26"/>
          <w:szCs w:val="26"/>
        </w:rPr>
        <w:t xml:space="preserve">  Second, regarding I&amp;E’s comparison of the rate credit to the total purchase price, the Joint Applicants argue that such a comparison is irrelevant because the ALJ properly concluded the purchase price was “not unreasonable and would not be financially destabilizing to Aqua America” based on a wealth of record evidence presented by the Joint Applicants.  </w:t>
      </w:r>
      <w:r w:rsidRPr="00C92186">
        <w:rPr>
          <w:i/>
          <w:iCs/>
          <w:sz w:val="26"/>
          <w:szCs w:val="26"/>
        </w:rPr>
        <w:t>See</w:t>
      </w:r>
      <w:r w:rsidRPr="00C92186">
        <w:rPr>
          <w:sz w:val="26"/>
          <w:szCs w:val="26"/>
        </w:rPr>
        <w:t xml:space="preserve"> Joint Applicants R. Exc. at 20-21 (citing Joint Applicants R. Exc. at 5-7, 7-15); </w:t>
      </w:r>
      <w:r w:rsidRPr="00C92186">
        <w:rPr>
          <w:i/>
          <w:iCs/>
          <w:sz w:val="26"/>
          <w:szCs w:val="26"/>
        </w:rPr>
        <w:t>see also</w:t>
      </w:r>
      <w:r w:rsidRPr="00C92186">
        <w:rPr>
          <w:sz w:val="26"/>
          <w:szCs w:val="26"/>
        </w:rPr>
        <w:t xml:space="preserve"> Joint Applicants R. Exc. at 5 (citing R.D. at 34); Joint Applicants R. Exc. at 6 (citing R.D. at 32-41).  The Joint Applicants further assert that I&amp;E’s “alleged detriments of the purchase price” argument is a “non-sequitur” because the Joint Applicants clearly committed in this proceeding to not seek recovery of the acquisition premium (</w:t>
      </w:r>
      <w:r w:rsidRPr="00C92186">
        <w:rPr>
          <w:i/>
          <w:iCs/>
          <w:sz w:val="26"/>
          <w:szCs w:val="26"/>
        </w:rPr>
        <w:t>i.e</w:t>
      </w:r>
      <w:r w:rsidRPr="00C92186">
        <w:rPr>
          <w:sz w:val="26"/>
          <w:szCs w:val="26"/>
        </w:rPr>
        <w:t>., the $2 billion in goodwill over book value) or transaction costs in future rate proceedings.  Joint Applicants R. Exc. at 7; Joint Applicants Statement in Support at 14-15 (citing Joint Applicants St. 2 at 6).</w:t>
      </w:r>
      <w:r w:rsidR="003A591D">
        <w:rPr>
          <w:sz w:val="26"/>
          <w:szCs w:val="26"/>
        </w:rPr>
        <w:t xml:space="preserve">  </w:t>
      </w:r>
    </w:p>
    <w:p w14:paraId="46760D82" w14:textId="77777777" w:rsidR="00C92186" w:rsidRPr="00C92186" w:rsidRDefault="00C92186" w:rsidP="00B24187">
      <w:pPr>
        <w:widowControl/>
        <w:spacing w:line="360" w:lineRule="auto"/>
        <w:ind w:firstLine="1440"/>
        <w:rPr>
          <w:sz w:val="26"/>
          <w:szCs w:val="26"/>
        </w:rPr>
      </w:pPr>
    </w:p>
    <w:p w14:paraId="39F10560" w14:textId="5F8B122C" w:rsidR="00C92186" w:rsidRPr="00C92186" w:rsidRDefault="00C92186" w:rsidP="00B24187">
      <w:pPr>
        <w:widowControl/>
        <w:spacing w:line="360" w:lineRule="auto"/>
        <w:ind w:firstLine="1440"/>
        <w:rPr>
          <w:sz w:val="26"/>
          <w:szCs w:val="26"/>
        </w:rPr>
      </w:pPr>
      <w:r w:rsidRPr="00C92186">
        <w:rPr>
          <w:sz w:val="26"/>
          <w:szCs w:val="26"/>
        </w:rPr>
        <w:t xml:space="preserve">Finally, as for I&amp;E’s assertion that the rate credit is not a benefit because of the Settlement’s conditions to address the </w:t>
      </w:r>
      <w:bookmarkStart w:id="144" w:name="_Hlk26358870"/>
      <w:r w:rsidRPr="00C92186">
        <w:rPr>
          <w:sz w:val="26"/>
          <w:szCs w:val="26"/>
        </w:rPr>
        <w:t>G/T Systems, the Joint Applicants argue such attack is meritless and requires rejection</w:t>
      </w:r>
      <w:bookmarkEnd w:id="144"/>
      <w:r w:rsidRPr="00C92186">
        <w:rPr>
          <w:sz w:val="26"/>
          <w:szCs w:val="26"/>
        </w:rPr>
        <w:t>.  Joint Applicants R. Exc. at 20 (citing Joint Applicants R. Exc. at 7-15).  The Joint Applicants characterize the commitments relating to the G/T Systems as designed to replace infrastructure, improve safety and reliability, and improve service.  However, I&amp;E attacks the commitments because the costs of implementing the commitments may be recovered from ratepayers in the future.  The Joint Applicants submit that I&amp;E ignores the fact that such commitments do benefit the “service,” “accommodation” or “safety” of the public, as required by 6</w:t>
      </w:r>
      <w:bookmarkStart w:id="145" w:name="_BA_Cite_DBF3A5_000019"/>
      <w:bookmarkEnd w:id="145"/>
      <w:r w:rsidRPr="00C92186">
        <w:rPr>
          <w:sz w:val="26"/>
          <w:szCs w:val="26"/>
        </w:rPr>
        <w:t xml:space="preserve">6 Pa. C.S. § 1103(a).  Joint Applicants R. Exc. at 8.  The Joint Applicants also assert that the ALJ carefully detailed the issues associated with the Goodwin and Tombaugh Systems, considered and weighed the arguments of the Parties, and correctly concluded that the Settlement reasonably balances the economic, social and safety issues surrounding these Systems.  Joint Applicants R. Exc. at 9.  </w:t>
      </w:r>
    </w:p>
    <w:p w14:paraId="6E6802D9" w14:textId="77777777" w:rsidR="00C92186" w:rsidRPr="00C92186" w:rsidRDefault="00C92186" w:rsidP="00B24187">
      <w:pPr>
        <w:widowControl/>
        <w:spacing w:line="360" w:lineRule="auto"/>
        <w:ind w:firstLine="1440"/>
        <w:rPr>
          <w:sz w:val="26"/>
          <w:szCs w:val="26"/>
        </w:rPr>
      </w:pPr>
    </w:p>
    <w:p w14:paraId="274229E8" w14:textId="21C24827" w:rsidR="00C92186" w:rsidRDefault="00C92186" w:rsidP="00B24187">
      <w:pPr>
        <w:widowControl/>
        <w:spacing w:line="360" w:lineRule="auto"/>
        <w:ind w:firstLine="1440"/>
        <w:rPr>
          <w:sz w:val="26"/>
          <w:szCs w:val="26"/>
        </w:rPr>
      </w:pPr>
      <w:r w:rsidRPr="00C92186">
        <w:rPr>
          <w:sz w:val="26"/>
          <w:szCs w:val="26"/>
        </w:rPr>
        <w:t xml:space="preserve">In their Replies to the OSBA, the Joint Applicants argue that the OSBA mischaracterizes the ALJ’s </w:t>
      </w:r>
      <w:bookmarkStart w:id="146" w:name="_Hlk28619676"/>
      <w:r w:rsidRPr="00C92186">
        <w:rPr>
          <w:sz w:val="26"/>
          <w:szCs w:val="26"/>
        </w:rPr>
        <w:t>R</w:t>
      </w:r>
      <w:r w:rsidR="0021067A">
        <w:rPr>
          <w:sz w:val="26"/>
          <w:szCs w:val="26"/>
        </w:rPr>
        <w:t>ecommended Decision</w:t>
      </w:r>
      <w:r w:rsidRPr="00C92186">
        <w:rPr>
          <w:sz w:val="26"/>
          <w:szCs w:val="26"/>
        </w:rPr>
        <w:t xml:space="preserve"> </w:t>
      </w:r>
      <w:bookmarkEnd w:id="146"/>
      <w:r w:rsidRPr="00C92186">
        <w:rPr>
          <w:sz w:val="26"/>
          <w:szCs w:val="26"/>
        </w:rPr>
        <w:t xml:space="preserve">regarding the rate credit.  The Joint Applicants submit that the </w:t>
      </w:r>
      <w:r w:rsidR="0021067A" w:rsidRPr="00C92186">
        <w:rPr>
          <w:sz w:val="26"/>
          <w:szCs w:val="26"/>
        </w:rPr>
        <w:t>R</w:t>
      </w:r>
      <w:r w:rsidR="0021067A">
        <w:rPr>
          <w:sz w:val="26"/>
          <w:szCs w:val="26"/>
        </w:rPr>
        <w:t>ecommended Decision</w:t>
      </w:r>
      <w:r w:rsidRPr="00C92186">
        <w:rPr>
          <w:sz w:val="26"/>
          <w:szCs w:val="26"/>
        </w:rPr>
        <w:t xml:space="preserve"> properly analyzed the Proposed Transaction as modified by the Settlement, in its entirety, and determined that substantial public benefits would result.  Joint Applicants R. Exc. at 20-21 (citing R.D. at 41).  The Joint Applicants argue that the OSBA’s “cherry-picking” of specific costs that the OSBA asserts would result from the transaction and comparing them to the $10 million rate credit is a “myopic” and “improper” analysis that should be rejected.  The Joint Applicants assert that they have demonstrated that the Proposed Transaction as conditioned by the Settlement will affirmatively benefit the public.  Joint Applicants R. Exc. at 21 (citing J</w:t>
      </w:r>
      <w:bookmarkStart w:id="147" w:name="_BA_Cite_DBF3A5_000100"/>
      <w:bookmarkEnd w:id="147"/>
      <w:r w:rsidRPr="00C92186">
        <w:rPr>
          <w:sz w:val="26"/>
          <w:szCs w:val="26"/>
        </w:rPr>
        <w:t>oint Applicants M.B. at 13-53; citing also J</w:t>
      </w:r>
      <w:bookmarkStart w:id="148" w:name="_BA_Cite_DBF3A5_000102"/>
      <w:bookmarkEnd w:id="148"/>
      <w:r w:rsidRPr="00C92186">
        <w:rPr>
          <w:sz w:val="26"/>
          <w:szCs w:val="26"/>
        </w:rPr>
        <w:t>oint Applicants R.B. at 12</w:t>
      </w:r>
      <w:r w:rsidR="00364103">
        <w:rPr>
          <w:sz w:val="26"/>
          <w:szCs w:val="26"/>
        </w:rPr>
        <w:noBreakHyphen/>
      </w:r>
      <w:r w:rsidRPr="00C92186">
        <w:rPr>
          <w:sz w:val="26"/>
          <w:szCs w:val="26"/>
        </w:rPr>
        <w:t xml:space="preserve">52).  </w:t>
      </w:r>
    </w:p>
    <w:p w14:paraId="304E727D" w14:textId="77777777" w:rsidR="00FA1F96" w:rsidRDefault="00FA1F96" w:rsidP="00B24187">
      <w:pPr>
        <w:widowControl/>
        <w:spacing w:line="360" w:lineRule="auto"/>
        <w:ind w:firstLine="1440"/>
        <w:rPr>
          <w:sz w:val="26"/>
          <w:szCs w:val="26"/>
        </w:rPr>
      </w:pPr>
    </w:p>
    <w:p w14:paraId="4C8AEAA5" w14:textId="2D0B9889" w:rsidR="00C92186" w:rsidRDefault="00C92186" w:rsidP="00B24187">
      <w:pPr>
        <w:widowControl/>
        <w:spacing w:line="360" w:lineRule="auto"/>
        <w:ind w:firstLine="1440"/>
        <w:rPr>
          <w:sz w:val="26"/>
          <w:szCs w:val="26"/>
        </w:rPr>
      </w:pPr>
      <w:r w:rsidRPr="00C92186">
        <w:rPr>
          <w:sz w:val="26"/>
          <w:szCs w:val="26"/>
        </w:rPr>
        <w:lastRenderedPageBreak/>
        <w:t xml:space="preserve">In the OCA’s Replies, the OCA </w:t>
      </w:r>
      <w:r w:rsidR="003A591D">
        <w:rPr>
          <w:sz w:val="26"/>
          <w:szCs w:val="26"/>
        </w:rPr>
        <w:t xml:space="preserve">contended </w:t>
      </w:r>
      <w:r w:rsidR="003A591D" w:rsidRPr="00C92186">
        <w:rPr>
          <w:sz w:val="26"/>
          <w:szCs w:val="26"/>
        </w:rPr>
        <w:t>I</w:t>
      </w:r>
      <w:r w:rsidRPr="00C92186">
        <w:rPr>
          <w:sz w:val="26"/>
          <w:szCs w:val="26"/>
        </w:rPr>
        <w:t xml:space="preserve">&amp;E’s and the OSBA’s </w:t>
      </w:r>
      <w:r w:rsidR="003A591D" w:rsidRPr="00C92186">
        <w:rPr>
          <w:sz w:val="26"/>
          <w:szCs w:val="26"/>
        </w:rPr>
        <w:t>Exceptions contained</w:t>
      </w:r>
      <w:r w:rsidRPr="00C92186">
        <w:rPr>
          <w:sz w:val="26"/>
          <w:szCs w:val="26"/>
        </w:rPr>
        <w:t xml:space="preserve"> unfounded concerns.  OCA R. Exc. at 9.  The OCA submits that the ALJ considered the arguments of I&amp;E and the OSBA in the </w:t>
      </w:r>
      <w:r w:rsidR="0021067A" w:rsidRPr="00C92186">
        <w:rPr>
          <w:sz w:val="26"/>
          <w:szCs w:val="26"/>
        </w:rPr>
        <w:t>R</w:t>
      </w:r>
      <w:r w:rsidR="0021067A">
        <w:rPr>
          <w:sz w:val="26"/>
          <w:szCs w:val="26"/>
        </w:rPr>
        <w:t xml:space="preserve">ecommended </w:t>
      </w:r>
      <w:r w:rsidR="00FA1F96">
        <w:rPr>
          <w:sz w:val="26"/>
          <w:szCs w:val="26"/>
        </w:rPr>
        <w:t>Decision</w:t>
      </w:r>
      <w:r w:rsidR="00FA1F96" w:rsidRPr="00C92186">
        <w:rPr>
          <w:sz w:val="26"/>
          <w:szCs w:val="26"/>
        </w:rPr>
        <w:t xml:space="preserve"> and</w:t>
      </w:r>
      <w:r w:rsidRPr="00C92186">
        <w:rPr>
          <w:sz w:val="26"/>
          <w:szCs w:val="26"/>
        </w:rPr>
        <w:t xml:space="preserve"> acknowledged that the rate credit will not offset the increased spending in its entirety.  OCA R. Exc. at 9 (citing R.D. at 92).  However, the OCA submits that the ALJ correctly concluded that the rate credit is a product of compromise and designed to capture synergies or cost savings that are not, and may never be, completely quantifiable and may be deferred indefinitely into the future.  OCA R. Exc. at 9 (citing R.D. at 91-92).  </w:t>
      </w:r>
    </w:p>
    <w:p w14:paraId="12F416FB" w14:textId="77777777" w:rsidR="00D66EA5" w:rsidRPr="00C92186" w:rsidRDefault="00D66EA5" w:rsidP="00B24187">
      <w:pPr>
        <w:widowControl/>
        <w:spacing w:line="360" w:lineRule="auto"/>
        <w:ind w:firstLine="1440"/>
        <w:rPr>
          <w:sz w:val="26"/>
          <w:szCs w:val="26"/>
        </w:rPr>
      </w:pPr>
    </w:p>
    <w:p w14:paraId="48857631" w14:textId="392256C1" w:rsidR="00C92186" w:rsidRDefault="00C92186" w:rsidP="00B24187">
      <w:pPr>
        <w:widowControl/>
        <w:spacing w:line="360" w:lineRule="auto"/>
        <w:ind w:firstLine="1440"/>
        <w:rPr>
          <w:sz w:val="26"/>
          <w:szCs w:val="26"/>
        </w:rPr>
      </w:pPr>
      <w:r w:rsidRPr="00C92186">
        <w:rPr>
          <w:sz w:val="26"/>
          <w:szCs w:val="26"/>
        </w:rPr>
        <w:t>Furthermore, the OCA points out that the ALJ recognized that, while no immediate savings are contemplated by the Proposed Transaction: “[T]he Joint Applicants explicitly committed to passing any future cost savings or rate benefits that may result from the acquisition to customers in future base rate proceedings.”  OCA R. Exc. at 9 (citing R.D. at 91).</w:t>
      </w:r>
      <w:r w:rsidRPr="00C92186">
        <w:rPr>
          <w:sz w:val="24"/>
          <w:szCs w:val="24"/>
        </w:rPr>
        <w:t xml:space="preserve">  </w:t>
      </w:r>
      <w:r w:rsidRPr="00C92186">
        <w:rPr>
          <w:sz w:val="26"/>
          <w:szCs w:val="26"/>
        </w:rPr>
        <w:t>Thus</w:t>
      </w:r>
      <w:bookmarkStart w:id="149" w:name="_Hlk26439214"/>
      <w:r w:rsidRPr="00C92186">
        <w:rPr>
          <w:sz w:val="26"/>
          <w:szCs w:val="26"/>
        </w:rPr>
        <w:t xml:space="preserve">, the OCA submits that, as a result of the Settlement, customers of the Joint Applicants will experience a substantial one-time rate credit as well as the possibility of future rate credits to offset increased spending in the event synergies/efficiencies become realized in the future.  As a result, the OCA requests the Commission deny I&amp;E’s Exception No. 11 and OSBA’s Exception No. 21. </w:t>
      </w:r>
      <w:bookmarkEnd w:id="149"/>
      <w:r w:rsidRPr="00C92186">
        <w:rPr>
          <w:sz w:val="26"/>
          <w:szCs w:val="26"/>
        </w:rPr>
        <w:t xml:space="preserve"> OCA R. Exc. at 9. </w:t>
      </w:r>
    </w:p>
    <w:p w14:paraId="43141017" w14:textId="77777777" w:rsidR="00C92186" w:rsidRPr="00A52496" w:rsidRDefault="00C92186" w:rsidP="00B24187">
      <w:pPr>
        <w:widowControl/>
        <w:spacing w:line="360" w:lineRule="auto"/>
        <w:rPr>
          <w:sz w:val="26"/>
          <w:szCs w:val="26"/>
        </w:rPr>
      </w:pPr>
    </w:p>
    <w:p w14:paraId="73BA1779" w14:textId="61906914" w:rsidR="00C92186" w:rsidRPr="00A52496" w:rsidRDefault="00C92186" w:rsidP="002E1D97">
      <w:pPr>
        <w:keepNext/>
        <w:widowControl/>
        <w:spacing w:line="360" w:lineRule="auto"/>
        <w:ind w:left="2880" w:hanging="720"/>
        <w:rPr>
          <w:b/>
          <w:bCs/>
          <w:sz w:val="26"/>
          <w:szCs w:val="26"/>
        </w:rPr>
      </w:pPr>
      <w:r w:rsidRPr="00A52496">
        <w:rPr>
          <w:b/>
          <w:bCs/>
          <w:sz w:val="26"/>
          <w:szCs w:val="26"/>
        </w:rPr>
        <w:t>(</w:t>
      </w:r>
      <w:r w:rsidR="00ED4782" w:rsidRPr="00A52496">
        <w:rPr>
          <w:b/>
          <w:bCs/>
          <w:sz w:val="26"/>
          <w:szCs w:val="26"/>
        </w:rPr>
        <w:t>5</w:t>
      </w:r>
      <w:r w:rsidRPr="00A52496">
        <w:rPr>
          <w:b/>
          <w:bCs/>
          <w:sz w:val="26"/>
          <w:szCs w:val="26"/>
        </w:rPr>
        <w:t>)</w:t>
      </w:r>
      <w:r w:rsidRPr="00A52496">
        <w:rPr>
          <w:b/>
          <w:bCs/>
          <w:sz w:val="26"/>
          <w:szCs w:val="26"/>
        </w:rPr>
        <w:tab/>
        <w:t>Disposition</w:t>
      </w:r>
    </w:p>
    <w:p w14:paraId="452363FC" w14:textId="77777777" w:rsidR="00C92186" w:rsidRPr="00A52496" w:rsidRDefault="00C92186" w:rsidP="002E1D97">
      <w:pPr>
        <w:keepNext/>
        <w:widowControl/>
        <w:spacing w:line="360" w:lineRule="auto"/>
        <w:rPr>
          <w:sz w:val="26"/>
          <w:szCs w:val="26"/>
        </w:rPr>
      </w:pPr>
    </w:p>
    <w:p w14:paraId="79BF8B17" w14:textId="77777777" w:rsidR="00C92186" w:rsidRDefault="00C92186" w:rsidP="002E1D97">
      <w:pPr>
        <w:keepNext/>
        <w:widowControl/>
        <w:spacing w:line="360" w:lineRule="auto"/>
        <w:ind w:firstLine="1440"/>
        <w:rPr>
          <w:rFonts w:eastAsia="SimSun"/>
          <w:sz w:val="26"/>
          <w:szCs w:val="26"/>
        </w:rPr>
      </w:pPr>
      <w:bookmarkStart w:id="150" w:name="_Hlk26523958"/>
      <w:r w:rsidRPr="00C92186">
        <w:rPr>
          <w:sz w:val="26"/>
          <w:szCs w:val="26"/>
        </w:rPr>
        <w:t xml:space="preserve">Upon review of the record, the </w:t>
      </w:r>
      <w:r w:rsidR="0021067A" w:rsidRPr="00C92186">
        <w:rPr>
          <w:sz w:val="26"/>
          <w:szCs w:val="26"/>
        </w:rPr>
        <w:t>R</w:t>
      </w:r>
      <w:r w:rsidR="0021067A">
        <w:rPr>
          <w:sz w:val="26"/>
          <w:szCs w:val="26"/>
        </w:rPr>
        <w:t>ecommended Decision</w:t>
      </w:r>
      <w:r w:rsidRPr="00C92186">
        <w:rPr>
          <w:sz w:val="26"/>
          <w:szCs w:val="26"/>
        </w:rPr>
        <w:t xml:space="preserve">, the Exceptions and the Replies to Exceptions on this issue, we shall affirm the ALJ’s </w:t>
      </w:r>
      <w:r w:rsidR="0021067A" w:rsidRPr="00C92186">
        <w:rPr>
          <w:sz w:val="26"/>
          <w:szCs w:val="26"/>
        </w:rPr>
        <w:t>R</w:t>
      </w:r>
      <w:r w:rsidR="0021067A">
        <w:rPr>
          <w:sz w:val="26"/>
          <w:szCs w:val="26"/>
        </w:rPr>
        <w:t>ecommended Decision</w:t>
      </w:r>
      <w:r w:rsidR="0021067A" w:rsidRPr="00C92186">
        <w:rPr>
          <w:sz w:val="26"/>
          <w:szCs w:val="26"/>
        </w:rPr>
        <w:t xml:space="preserve"> </w:t>
      </w:r>
      <w:r w:rsidRPr="00C92186">
        <w:rPr>
          <w:sz w:val="26"/>
          <w:szCs w:val="26"/>
        </w:rPr>
        <w:t xml:space="preserve">and deny the Exceptions.  </w:t>
      </w:r>
      <w:bookmarkEnd w:id="150"/>
      <w:r w:rsidRPr="00C92186">
        <w:rPr>
          <w:sz w:val="26"/>
          <w:szCs w:val="26"/>
        </w:rPr>
        <w:t xml:space="preserve">We concur with </w:t>
      </w:r>
      <w:r w:rsidRPr="00C92186">
        <w:rPr>
          <w:rFonts w:eastAsia="SimSun"/>
          <w:sz w:val="26"/>
          <w:szCs w:val="26"/>
        </w:rPr>
        <w:t xml:space="preserve">the ALJ’s conclusion that the Settlement’s $10 million rate credit constitutes an affirmative public benefit.  It represents potential future synergy savings resulting from the Proposed Transaction.  </w:t>
      </w:r>
      <w:r w:rsidRPr="00C92186">
        <w:rPr>
          <w:rFonts w:eastAsia="SimSun"/>
          <w:sz w:val="26"/>
          <w:szCs w:val="26"/>
        </w:rPr>
        <w:lastRenderedPageBreak/>
        <w:t xml:space="preserve">However, it will serve as an immediate benefit to customers by appearing as a rate credit on customer bills post-closing.  R.D. at 91 (citing OCA St. 2 at 32-34).  </w:t>
      </w:r>
    </w:p>
    <w:p w14:paraId="4447FBAC" w14:textId="77777777" w:rsidR="00FA1F96" w:rsidRPr="00C92186" w:rsidRDefault="00FA1F96" w:rsidP="00B24187">
      <w:pPr>
        <w:widowControl/>
        <w:spacing w:line="360" w:lineRule="auto"/>
        <w:ind w:firstLine="1440"/>
        <w:rPr>
          <w:sz w:val="26"/>
          <w:szCs w:val="26"/>
        </w:rPr>
      </w:pPr>
    </w:p>
    <w:p w14:paraId="188EDB51" w14:textId="77777777" w:rsidR="00C92186" w:rsidRPr="00C92186" w:rsidRDefault="00C92186" w:rsidP="00B24187">
      <w:pPr>
        <w:widowControl/>
        <w:spacing w:line="360" w:lineRule="auto"/>
        <w:ind w:firstLine="1440"/>
        <w:rPr>
          <w:rFonts w:eastAsia="SimSun"/>
          <w:sz w:val="26"/>
          <w:szCs w:val="26"/>
        </w:rPr>
      </w:pPr>
      <w:r w:rsidRPr="00C92186">
        <w:rPr>
          <w:rFonts w:eastAsia="SimSun"/>
          <w:sz w:val="26"/>
          <w:szCs w:val="26"/>
        </w:rPr>
        <w:t xml:space="preserve">We recognize that the OSBA and I&amp;E urge us to conclude differently based on their argument that the rate credit does not fully offset potential future costs of the Settlement commitments related to the </w:t>
      </w:r>
      <w:r w:rsidRPr="00C92186">
        <w:rPr>
          <w:sz w:val="26"/>
          <w:szCs w:val="26"/>
        </w:rPr>
        <w:t>G/T Systems remediation</w:t>
      </w:r>
      <w:r w:rsidRPr="00C92186">
        <w:rPr>
          <w:rFonts w:eastAsia="SimSun"/>
          <w:sz w:val="26"/>
          <w:szCs w:val="26"/>
        </w:rPr>
        <w:t xml:space="preserve"> and accelerated LTIIP spending.  However, the record shows that this rate credit was not intended to serve as a direct offset to future costs related to the Settlement commitments identified by the OSBA and I&amp;E.  Rather, this rate credit was intended to capture the potential cost savings connected with long-term operational efficiencies, or synergies, resulting from the Proposed Transaction, and to pass them along to customers in the immediate future.  While this rate credit may indirectly serve to offset other costs, the appropriate comparison of this immediate $10 million rate credit is to the Joint Applicant’s original position that there will be no immediate, adverse rate impact to customers resulting from this Proposed Transaction.  Thus, as a result of this Settlement provision, customers will experience an immediate benefit to their rates, in the form of a rate credit, as opposed to rate neutrality.  </w:t>
      </w:r>
    </w:p>
    <w:p w14:paraId="3B806022" w14:textId="77777777" w:rsidR="00C92186" w:rsidRPr="00C92186" w:rsidRDefault="00C92186" w:rsidP="00B24187">
      <w:pPr>
        <w:widowControl/>
        <w:spacing w:line="360" w:lineRule="auto"/>
        <w:ind w:firstLine="1440"/>
        <w:rPr>
          <w:rFonts w:eastAsia="SimSun"/>
          <w:sz w:val="26"/>
          <w:szCs w:val="26"/>
        </w:rPr>
      </w:pPr>
    </w:p>
    <w:p w14:paraId="46F4CA8C" w14:textId="31108638" w:rsidR="00C92186" w:rsidRPr="00C92186" w:rsidRDefault="00C92186" w:rsidP="00B24187">
      <w:pPr>
        <w:widowControl/>
        <w:spacing w:line="360" w:lineRule="auto"/>
        <w:ind w:firstLine="1440"/>
        <w:rPr>
          <w:rFonts w:eastAsia="SimSun"/>
          <w:sz w:val="26"/>
          <w:szCs w:val="26"/>
        </w:rPr>
      </w:pPr>
      <w:r w:rsidRPr="00C92186">
        <w:rPr>
          <w:rFonts w:eastAsia="SimSun"/>
          <w:sz w:val="26"/>
          <w:szCs w:val="26"/>
        </w:rPr>
        <w:t xml:space="preserve">While the amount of the rate credit was a product of Settlement discussions, the testimony of the OCA’s witness in this proceeding provides substantial evidence to support a finding that the rate credit is in the public interest and constitutes an affirmative benefit because it benefits the interests of customers in the near-term following the closing of the Proposed Transaction.  </w:t>
      </w:r>
      <w:r w:rsidRPr="00C92186">
        <w:rPr>
          <w:i/>
          <w:iCs/>
          <w:sz w:val="26"/>
          <w:szCs w:val="26"/>
        </w:rPr>
        <w:t>See</w:t>
      </w:r>
      <w:r w:rsidRPr="00C92186">
        <w:rPr>
          <w:sz w:val="26"/>
          <w:szCs w:val="26"/>
        </w:rPr>
        <w:t xml:space="preserve"> OCA Statement in Support at 9; OCA St. 2 at 28; OCA St. 2-SR at 10.  </w:t>
      </w:r>
      <w:r w:rsidRPr="00C92186">
        <w:rPr>
          <w:rFonts w:eastAsia="SimSun"/>
          <w:sz w:val="26"/>
          <w:szCs w:val="26"/>
        </w:rPr>
        <w:t>Indeed, the Joint Applicants and the OCA concurred that quantifying any long-term synergy savings in the future is complex and may prove very difficult to do.  Thus, by approving this Settlement provision, the benefit to customers from potential operational synergies resulting from the Proposed Transaction has been quantified, at least in part, and not wholly deferred to an indefinite future period.</w:t>
      </w:r>
      <w:r w:rsidR="003A591D">
        <w:rPr>
          <w:rFonts w:eastAsia="SimSun"/>
          <w:sz w:val="26"/>
          <w:szCs w:val="26"/>
        </w:rPr>
        <w:t xml:space="preserve">  </w:t>
      </w:r>
    </w:p>
    <w:p w14:paraId="380B40AA" w14:textId="77777777" w:rsidR="00C92186" w:rsidRPr="00C92186" w:rsidRDefault="00C92186" w:rsidP="00B24187">
      <w:pPr>
        <w:widowControl/>
        <w:spacing w:line="360" w:lineRule="auto"/>
        <w:ind w:firstLine="1440"/>
        <w:rPr>
          <w:rFonts w:eastAsia="SimSun"/>
          <w:sz w:val="26"/>
          <w:szCs w:val="26"/>
        </w:rPr>
      </w:pPr>
    </w:p>
    <w:p w14:paraId="22BC9180" w14:textId="77777777" w:rsidR="00C92186" w:rsidRPr="00C92186" w:rsidRDefault="00C92186" w:rsidP="00B24187">
      <w:pPr>
        <w:widowControl/>
        <w:spacing w:line="360" w:lineRule="auto"/>
        <w:ind w:firstLine="1440"/>
        <w:rPr>
          <w:sz w:val="26"/>
          <w:szCs w:val="26"/>
        </w:rPr>
      </w:pPr>
      <w:r w:rsidRPr="00C92186">
        <w:rPr>
          <w:sz w:val="26"/>
          <w:szCs w:val="26"/>
        </w:rPr>
        <w:t>That said, the possibility has not been foreclosed for customers to experience the benefit of additional rate savings in a future base rate proceeding, in addition to the immediate $10 million rate credit, should future operational synergies be realized and additional savings quantified as a result of the Proposed Transaction.  The</w:t>
      </w:r>
      <w:r w:rsidRPr="00C92186">
        <w:rPr>
          <w:rFonts w:eastAsia="SimSun"/>
          <w:sz w:val="26"/>
          <w:szCs w:val="26"/>
        </w:rPr>
        <w:t xml:space="preserve"> ALJ stated the following: “[T]he Joint Applicants explicitly committed to passing any future cost savings or rate benefits that may result from the acquisition to customers in future base rate proceedings.”  R.D. at 91 (citing</w:t>
      </w:r>
      <w:r w:rsidRPr="00C92186">
        <w:rPr>
          <w:sz w:val="26"/>
          <w:szCs w:val="26"/>
        </w:rPr>
        <w:t xml:space="preserve"> Joint Applicants St.  1-R at 12-13; Joint Applicants St.  2-R at 26).  The OCA’s Replies attach to the R.D.’s language and describe it as a potential additional benefit to customers in the future.  The Joint Applicants have not taken the position at any point in this proceeding that the $10 million rate credit commitment in the Settlement is meant to exclude any potential additional benefit to customer rates in future base rate proceedings in connection with any intermediate or long-term operational efficiency gains and resultant cost savings consequential from the Proposed Transaction.</w:t>
      </w:r>
      <w:r w:rsidRPr="00C92186">
        <w:rPr>
          <w:szCs w:val="26"/>
          <w:vertAlign w:val="superscript"/>
        </w:rPr>
        <w:footnoteReference w:id="38"/>
      </w:r>
      <w:r w:rsidRPr="00C92186">
        <w:rPr>
          <w:sz w:val="26"/>
          <w:szCs w:val="26"/>
        </w:rPr>
        <w:t xml:space="preserve">  </w:t>
      </w:r>
    </w:p>
    <w:p w14:paraId="3726A9E0" w14:textId="77777777" w:rsidR="00C92186" w:rsidRPr="00C92186" w:rsidRDefault="00C92186" w:rsidP="00B24187">
      <w:pPr>
        <w:widowControl/>
        <w:spacing w:line="360" w:lineRule="auto"/>
        <w:ind w:firstLine="1440"/>
        <w:rPr>
          <w:sz w:val="26"/>
          <w:szCs w:val="26"/>
        </w:rPr>
      </w:pPr>
    </w:p>
    <w:p w14:paraId="614FD010" w14:textId="77777777" w:rsidR="00C92186" w:rsidRPr="00C92186" w:rsidRDefault="00C92186" w:rsidP="00B24187">
      <w:pPr>
        <w:widowControl/>
        <w:spacing w:line="360" w:lineRule="auto"/>
        <w:ind w:firstLine="1440"/>
        <w:rPr>
          <w:sz w:val="26"/>
          <w:szCs w:val="26"/>
        </w:rPr>
      </w:pPr>
      <w:r w:rsidRPr="00C92186">
        <w:rPr>
          <w:sz w:val="26"/>
          <w:szCs w:val="26"/>
        </w:rPr>
        <w:t xml:space="preserve">Furthermore, this particular Settlement provision, as with any provision of the Settlement, cannot be viewed in isolation or a standalone basis.  On this specific </w:t>
      </w:r>
      <w:r w:rsidRPr="00C92186">
        <w:rPr>
          <w:sz w:val="26"/>
          <w:szCs w:val="26"/>
        </w:rPr>
        <w:lastRenderedPageBreak/>
        <w:t xml:space="preserve">point, we agree with the OSBA.  However, in our opinion, the R.D. properly analyzed the Proposed Transaction as modified by the Settlement, in its entirety, and determined that, on balance, substantial public benefits would result.  R.D. at 41.  The $10 million rate credit is one affirmative public benefit among others that weigh in favor of the Commission’s approval of the Proposed Transaction.  </w:t>
      </w:r>
    </w:p>
    <w:p w14:paraId="4DEDDFE9" w14:textId="77777777" w:rsidR="00C92186" w:rsidRPr="00C92186" w:rsidRDefault="00C92186" w:rsidP="00B24187">
      <w:pPr>
        <w:widowControl/>
        <w:spacing w:line="360" w:lineRule="auto"/>
        <w:ind w:firstLine="1440"/>
        <w:rPr>
          <w:sz w:val="26"/>
          <w:szCs w:val="26"/>
        </w:rPr>
      </w:pPr>
    </w:p>
    <w:p w14:paraId="39B3CF47" w14:textId="77777777" w:rsidR="00C92186" w:rsidRPr="00C92186" w:rsidRDefault="004A0D80" w:rsidP="00B24187">
      <w:pPr>
        <w:widowControl/>
        <w:spacing w:line="360" w:lineRule="auto"/>
        <w:rPr>
          <w:rFonts w:eastAsia="SimSun"/>
          <w:sz w:val="26"/>
          <w:szCs w:val="26"/>
        </w:rPr>
      </w:pPr>
      <w:r>
        <w:rPr>
          <w:rFonts w:eastAsia="SimSun"/>
          <w:sz w:val="26"/>
          <w:szCs w:val="26"/>
        </w:rPr>
        <w:tab/>
      </w:r>
      <w:r>
        <w:rPr>
          <w:rFonts w:eastAsia="SimSun"/>
          <w:sz w:val="26"/>
          <w:szCs w:val="26"/>
        </w:rPr>
        <w:tab/>
      </w:r>
      <w:r w:rsidR="00C92186" w:rsidRPr="00C92186">
        <w:rPr>
          <w:rFonts w:eastAsia="SimSun"/>
          <w:sz w:val="26"/>
          <w:szCs w:val="26"/>
        </w:rPr>
        <w:t xml:space="preserve">An issue remains related to the timing of the implementation of the $10 million rate credit.  The Settlement states that the rate credit will appear on customer bills before the end of 2019.  However, the Proposed Transaction did not receive the Commission’s approval in 2019.  No Party addressed this implementation timing issue.  Given our finding above that the $10 million rate credit constitutes an affirmative public benefit, we direct that it appear on customer bills within a prompt and reasonable time period following the closing date of the Proposed Transaction, but in no event later than the end of the year in which the Proposed Transaction is closed.  </w:t>
      </w:r>
      <w:r>
        <w:rPr>
          <w:rFonts w:eastAsia="SimSun"/>
          <w:sz w:val="26"/>
          <w:szCs w:val="26"/>
        </w:rPr>
        <w:t xml:space="preserve">Additionally, we direct that </w:t>
      </w:r>
      <w:r w:rsidRPr="004A0D80">
        <w:rPr>
          <w:rFonts w:eastAsia="SimSun"/>
          <w:sz w:val="26"/>
          <w:szCs w:val="26"/>
        </w:rPr>
        <w:t>t</w:t>
      </w:r>
      <w:r w:rsidRPr="004A0D80">
        <w:rPr>
          <w:sz w:val="26"/>
          <w:szCs w:val="26"/>
        </w:rPr>
        <w:t xml:space="preserve">he Joint Applicants will file a written notification with the </w:t>
      </w:r>
      <w:r w:rsidRPr="004A0D80">
        <w:rPr>
          <w:rFonts w:eastAsia="SimSun"/>
          <w:sz w:val="26"/>
          <w:szCs w:val="26"/>
        </w:rPr>
        <w:t>Commission’s Secretary to inform the Commission when the rate credit begins appearing on customers’ bills.</w:t>
      </w:r>
      <w:r>
        <w:rPr>
          <w:rFonts w:eastAsia="SimSun"/>
          <w:sz w:val="26"/>
          <w:szCs w:val="26"/>
        </w:rPr>
        <w:t xml:space="preserve"> </w:t>
      </w:r>
      <w:r w:rsidR="00C92186" w:rsidRPr="00C92186">
        <w:rPr>
          <w:rFonts w:eastAsia="SimSun"/>
          <w:sz w:val="26"/>
          <w:szCs w:val="26"/>
        </w:rPr>
        <w:t xml:space="preserve">Thus, we will condition our approval of this Settlement provision accordingly, consistent with the following modification to </w:t>
      </w:r>
      <w:r w:rsidR="0021067A">
        <w:rPr>
          <w:rFonts w:eastAsia="SimSun"/>
          <w:sz w:val="26"/>
          <w:szCs w:val="26"/>
        </w:rPr>
        <w:t>Paragraph</w:t>
      </w:r>
      <w:r w:rsidR="00C92186" w:rsidRPr="00C92186">
        <w:rPr>
          <w:rFonts w:eastAsia="SimSun"/>
          <w:sz w:val="26"/>
          <w:szCs w:val="26"/>
        </w:rPr>
        <w:t xml:space="preserve"> 41, as shown below: </w:t>
      </w:r>
    </w:p>
    <w:p w14:paraId="4223A445" w14:textId="77777777" w:rsidR="00C92186" w:rsidRPr="00C92186" w:rsidRDefault="00C92186" w:rsidP="00B24187">
      <w:pPr>
        <w:widowControl/>
        <w:ind w:left="1440" w:right="1440"/>
        <w:rPr>
          <w:sz w:val="26"/>
          <w:szCs w:val="26"/>
        </w:rPr>
      </w:pPr>
    </w:p>
    <w:p w14:paraId="6C61BDDC" w14:textId="77777777" w:rsidR="004A0D80" w:rsidRDefault="00C92186" w:rsidP="00B24187">
      <w:pPr>
        <w:widowControl/>
        <w:ind w:left="1440" w:right="1440"/>
        <w:rPr>
          <w:rFonts w:eastAsia="SimSun"/>
          <w:sz w:val="26"/>
          <w:szCs w:val="26"/>
          <w:u w:val="single"/>
        </w:rPr>
      </w:pPr>
      <w:r w:rsidRPr="00C92186">
        <w:rPr>
          <w:sz w:val="26"/>
          <w:szCs w:val="26"/>
        </w:rPr>
        <w:t>41.</w:t>
      </w:r>
      <w:r w:rsidRPr="00C92186">
        <w:rPr>
          <w:sz w:val="26"/>
          <w:szCs w:val="26"/>
        </w:rPr>
        <w:tab/>
        <w:t>Separate and apart from the $13 million rate credit provided in Paragraph 33 above, Aqua America will provide a one-time $10 million rate credit to the Peoples Companies’ natural gas customers, Aqua PA Water customers, and Aqua PA Wastewater customers...The rate credit will appear on customer bills</w:t>
      </w:r>
      <w:r w:rsidR="002A42AB">
        <w:rPr>
          <w:sz w:val="26"/>
          <w:szCs w:val="26"/>
        </w:rPr>
        <w:t xml:space="preserve"> </w:t>
      </w:r>
      <w:r w:rsidR="002A42AB" w:rsidRPr="002A42AB">
        <w:rPr>
          <w:strike/>
          <w:sz w:val="26"/>
          <w:szCs w:val="26"/>
        </w:rPr>
        <w:t>before the end of 2019</w:t>
      </w:r>
      <w:r w:rsidRPr="00C92186">
        <w:rPr>
          <w:sz w:val="26"/>
          <w:szCs w:val="26"/>
        </w:rPr>
        <w:t xml:space="preserve"> </w:t>
      </w:r>
      <w:r w:rsidRPr="00C92186">
        <w:rPr>
          <w:sz w:val="26"/>
          <w:szCs w:val="26"/>
          <w:u w:val="single"/>
        </w:rPr>
        <w:t>within a prompt and reasonable time period following the closing date, but in no event later than the end of the year in which the Proposed Transaction is closed</w:t>
      </w:r>
      <w:r w:rsidRPr="00D9346A">
        <w:rPr>
          <w:sz w:val="26"/>
          <w:szCs w:val="26"/>
          <w:u w:val="single"/>
        </w:rPr>
        <w:t>.</w:t>
      </w:r>
      <w:r w:rsidR="004A0D80" w:rsidRPr="00D9346A">
        <w:rPr>
          <w:sz w:val="26"/>
          <w:szCs w:val="26"/>
          <w:u w:val="single"/>
        </w:rPr>
        <w:t xml:space="preserve"> </w:t>
      </w:r>
      <w:r w:rsidR="004A0D80">
        <w:rPr>
          <w:sz w:val="26"/>
          <w:szCs w:val="26"/>
          <w:u w:val="single"/>
        </w:rPr>
        <w:t xml:space="preserve"> </w:t>
      </w:r>
      <w:r w:rsidR="004A0D80" w:rsidRPr="00BF6618">
        <w:rPr>
          <w:sz w:val="26"/>
          <w:szCs w:val="26"/>
          <w:u w:val="single"/>
        </w:rPr>
        <w:t xml:space="preserve">The Joint Applicants will </w:t>
      </w:r>
      <w:r w:rsidR="004A0D80">
        <w:rPr>
          <w:sz w:val="26"/>
          <w:szCs w:val="26"/>
          <w:u w:val="single"/>
        </w:rPr>
        <w:t xml:space="preserve">file a written </w:t>
      </w:r>
      <w:r w:rsidR="004A0D80" w:rsidRPr="00BF6618">
        <w:rPr>
          <w:sz w:val="26"/>
          <w:szCs w:val="26"/>
          <w:u w:val="single"/>
        </w:rPr>
        <w:t>notif</w:t>
      </w:r>
      <w:r w:rsidR="004A0D80">
        <w:rPr>
          <w:sz w:val="26"/>
          <w:szCs w:val="26"/>
          <w:u w:val="single"/>
        </w:rPr>
        <w:t>ication with</w:t>
      </w:r>
      <w:r w:rsidR="004A0D80" w:rsidRPr="00BF6618">
        <w:rPr>
          <w:sz w:val="26"/>
          <w:szCs w:val="26"/>
          <w:u w:val="single"/>
        </w:rPr>
        <w:t xml:space="preserve"> the </w:t>
      </w:r>
      <w:r w:rsidR="004A0D80" w:rsidRPr="00BF6618">
        <w:rPr>
          <w:rFonts w:eastAsia="SimSun"/>
          <w:sz w:val="26"/>
          <w:szCs w:val="26"/>
          <w:u w:val="single"/>
        </w:rPr>
        <w:t xml:space="preserve">Commission’s Secretary </w:t>
      </w:r>
      <w:r w:rsidR="004A0D80">
        <w:rPr>
          <w:rFonts w:eastAsia="SimSun"/>
          <w:sz w:val="26"/>
          <w:szCs w:val="26"/>
          <w:u w:val="single"/>
        </w:rPr>
        <w:t xml:space="preserve">to inform the Commission </w:t>
      </w:r>
      <w:r w:rsidR="004A0D80" w:rsidRPr="00BF6618">
        <w:rPr>
          <w:rFonts w:eastAsia="SimSun"/>
          <w:sz w:val="26"/>
          <w:szCs w:val="26"/>
          <w:u w:val="single"/>
        </w:rPr>
        <w:t>when the rate credit begins appearing on customers’ bills.</w:t>
      </w:r>
    </w:p>
    <w:p w14:paraId="7CBD961B" w14:textId="77777777" w:rsidR="0021067A" w:rsidRDefault="0021067A" w:rsidP="00B24187">
      <w:pPr>
        <w:widowControl/>
        <w:spacing w:line="360" w:lineRule="auto"/>
        <w:ind w:left="1440" w:right="1440"/>
        <w:rPr>
          <w:sz w:val="26"/>
          <w:szCs w:val="26"/>
        </w:rPr>
      </w:pPr>
    </w:p>
    <w:p w14:paraId="10348D50" w14:textId="287FACE3" w:rsidR="00C92186" w:rsidRDefault="00C92186" w:rsidP="00B24187">
      <w:pPr>
        <w:widowControl/>
        <w:spacing w:line="360" w:lineRule="auto"/>
        <w:rPr>
          <w:sz w:val="26"/>
          <w:szCs w:val="26"/>
        </w:rPr>
      </w:pPr>
      <w:r w:rsidRPr="00C92186">
        <w:rPr>
          <w:sz w:val="26"/>
          <w:szCs w:val="26"/>
        </w:rPr>
        <w:lastRenderedPageBreak/>
        <w:t>With this condition, we find that the Settlement provision, at ¶ 41, is in the public interest</w:t>
      </w:r>
      <w:r w:rsidRPr="00C92186">
        <w:rPr>
          <w:rFonts w:eastAsia="SimSun"/>
          <w:sz w:val="26"/>
          <w:szCs w:val="26"/>
        </w:rPr>
        <w:t xml:space="preserve"> and constitutes an affirmative public benefit under </w:t>
      </w:r>
      <w:r w:rsidRPr="00C92186">
        <w:rPr>
          <w:rFonts w:eastAsia="SimSun"/>
          <w:i/>
          <w:iCs/>
          <w:sz w:val="26"/>
          <w:szCs w:val="26"/>
        </w:rPr>
        <w:t>City of York</w:t>
      </w:r>
      <w:r w:rsidRPr="00C92186">
        <w:rPr>
          <w:rFonts w:eastAsia="SimSun"/>
          <w:sz w:val="26"/>
          <w:szCs w:val="26"/>
        </w:rPr>
        <w:t>.</w:t>
      </w:r>
      <w:r w:rsidR="003A591D">
        <w:rPr>
          <w:rFonts w:eastAsia="SimSun"/>
          <w:sz w:val="26"/>
          <w:szCs w:val="26"/>
        </w:rPr>
        <w:t xml:space="preserve">  </w:t>
      </w:r>
      <w:r w:rsidRPr="00C92186">
        <w:rPr>
          <w:rFonts w:eastAsia="SimSun"/>
          <w:i/>
          <w:iCs/>
          <w:sz w:val="26"/>
          <w:szCs w:val="26"/>
        </w:rPr>
        <w:t>See</w:t>
      </w:r>
      <w:r w:rsidRPr="00C92186">
        <w:rPr>
          <w:rFonts w:eastAsia="SimSun"/>
          <w:sz w:val="26"/>
          <w:szCs w:val="26"/>
        </w:rPr>
        <w:t xml:space="preserve"> R.D. at 91; </w:t>
      </w:r>
      <w:r w:rsidRPr="00C92186">
        <w:rPr>
          <w:sz w:val="26"/>
          <w:szCs w:val="26"/>
        </w:rPr>
        <w:t>OCA St. 2 at 28, 32-34; Tr. at 214; OCA St. 2-SR at 10.</w:t>
      </w:r>
      <w:r w:rsidR="003A591D">
        <w:rPr>
          <w:rFonts w:eastAsia="SimSun"/>
          <w:sz w:val="26"/>
          <w:szCs w:val="26"/>
        </w:rPr>
        <w:t xml:space="preserve">  </w:t>
      </w:r>
      <w:r w:rsidRPr="00C92186">
        <w:rPr>
          <w:sz w:val="26"/>
          <w:szCs w:val="26"/>
        </w:rPr>
        <w:t>For all the foregoing reasons, we shall deny I&amp;E’s Exception No. 11 and OSBA’s Exception No. 21.</w:t>
      </w:r>
    </w:p>
    <w:p w14:paraId="4B1DE125" w14:textId="77777777" w:rsidR="00FA1F96" w:rsidRDefault="00FA1F96" w:rsidP="00B24187">
      <w:pPr>
        <w:widowControl/>
        <w:spacing w:line="360" w:lineRule="auto"/>
        <w:rPr>
          <w:sz w:val="26"/>
          <w:szCs w:val="26"/>
        </w:rPr>
      </w:pPr>
    </w:p>
    <w:p w14:paraId="5453334A" w14:textId="77777777" w:rsidR="00C92186" w:rsidRPr="00C92186" w:rsidRDefault="00C92186" w:rsidP="002E1D97">
      <w:pPr>
        <w:pStyle w:val="Heading4"/>
        <w:widowControl/>
        <w:spacing w:line="240" w:lineRule="auto"/>
        <w:ind w:left="2160" w:hanging="720"/>
      </w:pPr>
      <w:bookmarkStart w:id="151" w:name="_Toc29278247"/>
      <w:r w:rsidRPr="00C92186">
        <w:t>Aqua PA’s Acquisition of Troubled Water and Wastewater Systems and the Peoples Companies’ Intervention in Abandonments (I&amp;E Exc. No. 12)</w:t>
      </w:r>
      <w:bookmarkEnd w:id="151"/>
      <w:r w:rsidRPr="00C92186">
        <w:t xml:space="preserve"> </w:t>
      </w:r>
    </w:p>
    <w:p w14:paraId="16E37879" w14:textId="77777777" w:rsidR="00C92186" w:rsidRPr="00A52496" w:rsidRDefault="00C92186" w:rsidP="002E1D97">
      <w:pPr>
        <w:keepNext/>
        <w:widowControl/>
        <w:spacing w:line="360" w:lineRule="auto"/>
        <w:rPr>
          <w:sz w:val="26"/>
          <w:szCs w:val="26"/>
        </w:rPr>
      </w:pPr>
    </w:p>
    <w:p w14:paraId="2F918496" w14:textId="77777777" w:rsidR="00C92186" w:rsidRPr="00A52496" w:rsidRDefault="00C607F2" w:rsidP="002E1D97">
      <w:pPr>
        <w:keepNext/>
        <w:widowControl/>
        <w:spacing w:line="360" w:lineRule="auto"/>
        <w:ind w:left="2880" w:hanging="720"/>
        <w:rPr>
          <w:b/>
          <w:bCs/>
          <w:sz w:val="26"/>
          <w:szCs w:val="26"/>
        </w:rPr>
      </w:pPr>
      <w:r w:rsidRPr="00A52496">
        <w:rPr>
          <w:b/>
          <w:bCs/>
          <w:sz w:val="26"/>
          <w:szCs w:val="26"/>
        </w:rPr>
        <w:t>(</w:t>
      </w:r>
      <w:r w:rsidR="00A52496">
        <w:rPr>
          <w:b/>
          <w:bCs/>
          <w:sz w:val="26"/>
          <w:szCs w:val="26"/>
        </w:rPr>
        <w:t>1</w:t>
      </w:r>
      <w:r w:rsidRPr="00A52496">
        <w:rPr>
          <w:b/>
          <w:bCs/>
          <w:sz w:val="26"/>
          <w:szCs w:val="26"/>
        </w:rPr>
        <w:t>)</w:t>
      </w:r>
      <w:r w:rsidRPr="00A52496">
        <w:rPr>
          <w:b/>
          <w:bCs/>
          <w:sz w:val="26"/>
          <w:szCs w:val="26"/>
        </w:rPr>
        <w:tab/>
      </w:r>
      <w:r w:rsidR="00C92186" w:rsidRPr="00A52496">
        <w:rPr>
          <w:b/>
          <w:bCs/>
          <w:sz w:val="26"/>
          <w:szCs w:val="26"/>
        </w:rPr>
        <w:t xml:space="preserve">Settlement Terms </w:t>
      </w:r>
    </w:p>
    <w:p w14:paraId="7C984508" w14:textId="77777777" w:rsidR="00C92186" w:rsidRPr="00A52496" w:rsidRDefault="00C92186" w:rsidP="002E1D97">
      <w:pPr>
        <w:keepNext/>
        <w:widowControl/>
        <w:spacing w:line="360" w:lineRule="auto"/>
        <w:rPr>
          <w:sz w:val="26"/>
          <w:szCs w:val="26"/>
        </w:rPr>
      </w:pPr>
    </w:p>
    <w:p w14:paraId="789D3C3D" w14:textId="77777777" w:rsidR="00C92186" w:rsidRDefault="00C92186" w:rsidP="002E1D97">
      <w:pPr>
        <w:keepNext/>
        <w:widowControl/>
        <w:spacing w:line="360" w:lineRule="auto"/>
        <w:ind w:firstLine="1440"/>
        <w:rPr>
          <w:sz w:val="26"/>
          <w:szCs w:val="26"/>
        </w:rPr>
      </w:pPr>
      <w:r w:rsidRPr="00C92186">
        <w:rPr>
          <w:rFonts w:eastAsia="SimSun"/>
          <w:sz w:val="26"/>
          <w:szCs w:val="26"/>
        </w:rPr>
        <w:t xml:space="preserve">The Settlement contains commitments relating to Aqua PA’s acquisition of troubled water and wastewater systems and the Peoples Companies intervention in natural gas abandonment proceedings.  </w:t>
      </w:r>
      <w:r w:rsidRPr="00C92186">
        <w:rPr>
          <w:sz w:val="26"/>
          <w:szCs w:val="26"/>
        </w:rPr>
        <w:t xml:space="preserve">The Settlement provides as follows: </w:t>
      </w:r>
    </w:p>
    <w:p w14:paraId="431CE593" w14:textId="77777777" w:rsidR="00A52496" w:rsidRPr="00C92186" w:rsidRDefault="00A52496" w:rsidP="00B24187">
      <w:pPr>
        <w:widowControl/>
        <w:spacing w:line="360" w:lineRule="auto"/>
        <w:ind w:firstLine="1440"/>
        <w:rPr>
          <w:sz w:val="26"/>
          <w:szCs w:val="26"/>
        </w:rPr>
      </w:pPr>
    </w:p>
    <w:p w14:paraId="46A00428" w14:textId="77777777" w:rsidR="00C92186" w:rsidRPr="00C92186" w:rsidRDefault="00C92186" w:rsidP="00B24187">
      <w:pPr>
        <w:widowControl/>
        <w:ind w:left="1440" w:right="1440"/>
        <w:rPr>
          <w:sz w:val="26"/>
          <w:szCs w:val="26"/>
        </w:rPr>
      </w:pPr>
      <w:r w:rsidRPr="00C92186">
        <w:rPr>
          <w:sz w:val="26"/>
          <w:szCs w:val="26"/>
        </w:rPr>
        <w:t>53.</w:t>
      </w:r>
      <w:r w:rsidRPr="00C92186">
        <w:rPr>
          <w:sz w:val="26"/>
          <w:szCs w:val="26"/>
        </w:rPr>
        <w:tab/>
        <w:t xml:space="preserve">Aqua America will continue to seek to acquire and rehabilitate troubled Commission regulated water and wastewater systems.  The transaction will not interfere with Aqua PA’s ability to finance or pursue these acquisitions. </w:t>
      </w:r>
    </w:p>
    <w:p w14:paraId="03CC3E83" w14:textId="77777777" w:rsidR="00C92186" w:rsidRPr="00C92186" w:rsidRDefault="00C92186" w:rsidP="00B24187">
      <w:pPr>
        <w:widowControl/>
        <w:ind w:left="1440" w:right="1440"/>
        <w:rPr>
          <w:sz w:val="26"/>
          <w:szCs w:val="26"/>
        </w:rPr>
      </w:pPr>
      <w:r w:rsidRPr="00C92186">
        <w:rPr>
          <w:sz w:val="26"/>
          <w:szCs w:val="26"/>
        </w:rPr>
        <w:t xml:space="preserve"> </w:t>
      </w:r>
    </w:p>
    <w:p w14:paraId="4D86E21C" w14:textId="77777777" w:rsidR="00C92186" w:rsidRPr="00C92186" w:rsidRDefault="00C92186" w:rsidP="00B24187">
      <w:pPr>
        <w:widowControl/>
        <w:ind w:left="1440" w:right="1440"/>
        <w:jc w:val="center"/>
        <w:rPr>
          <w:sz w:val="26"/>
          <w:szCs w:val="26"/>
        </w:rPr>
      </w:pPr>
      <w:r w:rsidRPr="00C92186">
        <w:rPr>
          <w:sz w:val="26"/>
          <w:szCs w:val="26"/>
        </w:rPr>
        <w:t>***</w:t>
      </w:r>
    </w:p>
    <w:p w14:paraId="4A9D20B1" w14:textId="77777777" w:rsidR="00C92186" w:rsidRPr="00C92186" w:rsidRDefault="00C92186" w:rsidP="00B24187">
      <w:pPr>
        <w:widowControl/>
        <w:ind w:left="1440" w:right="1440"/>
        <w:rPr>
          <w:sz w:val="26"/>
          <w:szCs w:val="26"/>
        </w:rPr>
      </w:pPr>
    </w:p>
    <w:p w14:paraId="08FBFBF3" w14:textId="77777777" w:rsidR="00C92186" w:rsidRPr="00C92186" w:rsidRDefault="00C92186" w:rsidP="00B24187">
      <w:pPr>
        <w:widowControl/>
        <w:ind w:left="1440" w:right="1440"/>
        <w:rPr>
          <w:sz w:val="26"/>
          <w:szCs w:val="26"/>
        </w:rPr>
      </w:pPr>
      <w:r w:rsidRPr="00C92186">
        <w:rPr>
          <w:sz w:val="26"/>
          <w:szCs w:val="26"/>
        </w:rPr>
        <w:t>97.</w:t>
      </w:r>
      <w:r w:rsidRPr="00C92186">
        <w:rPr>
          <w:sz w:val="26"/>
          <w:szCs w:val="26"/>
        </w:rPr>
        <w:tab/>
        <w:t xml:space="preserve">The Peoples NGDCs will intervene (at the request of any statutory advocates) in any proceeding involving the potential abandonment of natural gas customers by others in an area neighboring the Peoples Companies’ existing pipeline distribution system, for the purposes of studying and evaluating the possibility of the Peoples Companies extending service to those customers.  The intent of this condition is premised on the future possibility of a troubled natural gas provider needing assistance whereby it could be helpful to have another entity extend service.  It is not intended to create an issue with service territory disputes and is limited to special circumstances.  </w:t>
      </w:r>
    </w:p>
    <w:p w14:paraId="45FD3DFE" w14:textId="77777777" w:rsidR="00C92186" w:rsidRPr="00C92186" w:rsidRDefault="00C92186" w:rsidP="00B24187">
      <w:pPr>
        <w:widowControl/>
        <w:spacing w:line="360" w:lineRule="auto"/>
        <w:rPr>
          <w:sz w:val="26"/>
          <w:szCs w:val="26"/>
        </w:rPr>
      </w:pPr>
    </w:p>
    <w:p w14:paraId="1F401344" w14:textId="77777777" w:rsidR="00C92186" w:rsidRPr="00C92186" w:rsidRDefault="00C92186" w:rsidP="00B24187">
      <w:pPr>
        <w:widowControl/>
        <w:rPr>
          <w:sz w:val="26"/>
          <w:szCs w:val="26"/>
        </w:rPr>
      </w:pPr>
      <w:r w:rsidRPr="00C92186">
        <w:rPr>
          <w:sz w:val="26"/>
          <w:szCs w:val="26"/>
        </w:rPr>
        <w:t>Settlement at ¶¶ 53, 97.</w:t>
      </w:r>
    </w:p>
    <w:p w14:paraId="782FD0F2" w14:textId="77777777" w:rsidR="00C92186" w:rsidRPr="00A52496" w:rsidRDefault="00C92186" w:rsidP="00B24187">
      <w:pPr>
        <w:widowControl/>
        <w:spacing w:line="360" w:lineRule="auto"/>
        <w:rPr>
          <w:sz w:val="26"/>
          <w:szCs w:val="26"/>
        </w:rPr>
      </w:pPr>
    </w:p>
    <w:p w14:paraId="5D6FCB6C" w14:textId="77777777" w:rsidR="00C92186" w:rsidRPr="00A52496" w:rsidRDefault="00C607F2" w:rsidP="002E1D97">
      <w:pPr>
        <w:keepNext/>
        <w:widowControl/>
        <w:spacing w:line="360" w:lineRule="auto"/>
        <w:ind w:left="2880" w:hanging="720"/>
        <w:rPr>
          <w:b/>
          <w:bCs/>
          <w:sz w:val="26"/>
          <w:szCs w:val="26"/>
        </w:rPr>
      </w:pPr>
      <w:r w:rsidRPr="00A52496">
        <w:rPr>
          <w:b/>
          <w:bCs/>
          <w:sz w:val="26"/>
          <w:szCs w:val="26"/>
        </w:rPr>
        <w:t>(</w:t>
      </w:r>
      <w:r w:rsidR="00A52496">
        <w:rPr>
          <w:b/>
          <w:bCs/>
          <w:sz w:val="26"/>
          <w:szCs w:val="26"/>
        </w:rPr>
        <w:t>2</w:t>
      </w:r>
      <w:r w:rsidRPr="00A52496">
        <w:rPr>
          <w:b/>
          <w:bCs/>
          <w:sz w:val="26"/>
          <w:szCs w:val="26"/>
        </w:rPr>
        <w:t>)</w:t>
      </w:r>
      <w:r w:rsidRPr="00A52496">
        <w:rPr>
          <w:b/>
          <w:bCs/>
          <w:sz w:val="26"/>
          <w:szCs w:val="26"/>
        </w:rPr>
        <w:tab/>
      </w:r>
      <w:r w:rsidR="00C92186" w:rsidRPr="00A52496">
        <w:rPr>
          <w:b/>
          <w:bCs/>
          <w:sz w:val="26"/>
          <w:szCs w:val="26"/>
        </w:rPr>
        <w:t xml:space="preserve">Positions of the Parties </w:t>
      </w:r>
    </w:p>
    <w:p w14:paraId="24DBE3A6" w14:textId="77777777" w:rsidR="00C92186" w:rsidRPr="00A52496" w:rsidRDefault="00C92186" w:rsidP="002E1D97">
      <w:pPr>
        <w:keepNext/>
        <w:widowControl/>
        <w:spacing w:line="360" w:lineRule="auto"/>
        <w:rPr>
          <w:sz w:val="26"/>
          <w:szCs w:val="26"/>
        </w:rPr>
      </w:pPr>
    </w:p>
    <w:p w14:paraId="22B922FC" w14:textId="77777777" w:rsidR="00C92186" w:rsidRPr="00C92186" w:rsidRDefault="00C92186" w:rsidP="002E1D97">
      <w:pPr>
        <w:keepNext/>
        <w:widowControl/>
        <w:spacing w:line="360" w:lineRule="auto"/>
        <w:ind w:firstLine="1440"/>
        <w:rPr>
          <w:rFonts w:eastAsia="SimSun"/>
          <w:sz w:val="26"/>
          <w:szCs w:val="26"/>
        </w:rPr>
      </w:pPr>
      <w:r w:rsidRPr="00C92186">
        <w:rPr>
          <w:rFonts w:eastAsia="SimSun"/>
          <w:sz w:val="26"/>
          <w:szCs w:val="26"/>
        </w:rPr>
        <w:t xml:space="preserve">In direct testimony, the OCA’s witness expressed concern that, should the Proposed Transaction prevent Aqua PA from continuing to acquire troubled systems, customers of troubled systems would be at risk of receiving inadequate water service.  </w:t>
      </w:r>
      <w:bookmarkStart w:id="152" w:name="_Hlk26524676"/>
      <w:r w:rsidRPr="00C92186">
        <w:rPr>
          <w:rFonts w:eastAsia="SimSun"/>
          <w:sz w:val="26"/>
          <w:szCs w:val="26"/>
        </w:rPr>
        <w:t xml:space="preserve">OCA St. 2 at 34-35.  </w:t>
      </w:r>
      <w:bookmarkEnd w:id="152"/>
      <w:r w:rsidRPr="00C92186">
        <w:rPr>
          <w:rFonts w:eastAsia="SimSun"/>
          <w:sz w:val="26"/>
          <w:szCs w:val="26"/>
        </w:rPr>
        <w:t xml:space="preserve">In rebuttal testimony, the Joint Applicants’ witness stated that the Proposed Transaction will not have any negative impact on Aqua PA’s ability to acquire troubled water and wastewater systems in the future and that Aqua America, as the parent company, is willing to commit to continue seeking the acquisition of these systems post-closing.  </w:t>
      </w:r>
      <w:bookmarkStart w:id="153" w:name="_Hlk26524684"/>
      <w:r w:rsidRPr="00C92186">
        <w:rPr>
          <w:rFonts w:eastAsia="SimSun"/>
          <w:sz w:val="26"/>
          <w:szCs w:val="26"/>
        </w:rPr>
        <w:t xml:space="preserve">Joint Applicants St. 1-R at 16-17.  </w:t>
      </w:r>
      <w:bookmarkEnd w:id="153"/>
    </w:p>
    <w:p w14:paraId="337FE28F" w14:textId="77777777" w:rsidR="00C92186" w:rsidRPr="00C92186" w:rsidRDefault="00C92186" w:rsidP="00B24187">
      <w:pPr>
        <w:widowControl/>
        <w:spacing w:line="360" w:lineRule="auto"/>
        <w:ind w:firstLine="1440"/>
        <w:rPr>
          <w:rFonts w:eastAsia="SimSun"/>
          <w:sz w:val="26"/>
          <w:szCs w:val="26"/>
        </w:rPr>
      </w:pPr>
    </w:p>
    <w:p w14:paraId="4C234697" w14:textId="77777777" w:rsidR="00C92186" w:rsidRPr="00C92186" w:rsidRDefault="00C92186" w:rsidP="00B24187">
      <w:pPr>
        <w:widowControl/>
        <w:spacing w:line="360" w:lineRule="auto"/>
        <w:ind w:firstLine="1440"/>
        <w:rPr>
          <w:sz w:val="26"/>
          <w:szCs w:val="26"/>
        </w:rPr>
      </w:pPr>
      <w:r w:rsidRPr="00C92186">
        <w:rPr>
          <w:rFonts w:eastAsia="SimSun"/>
          <w:sz w:val="26"/>
          <w:szCs w:val="26"/>
        </w:rPr>
        <w:t xml:space="preserve">The OCA submits that the Settlement, at ¶ 53, incorporates the commitments made by the Joint Applicants’ witness in his rebuttal testimony and that such provisions of the Settlement are in the public interest.  OCA Statement in Support at 21.  According to the Joint Applicants, this commitment confirms that Pennsylvanians will continue to benefit from Aqua PA’s efforts to acquire and rehabilitate troubled water and wastewater systems and that these efforts will not be hindered by the acquisition.  Joint Applicants Statement in Support at 19.  </w:t>
      </w:r>
      <w:r w:rsidRPr="00C92186">
        <w:rPr>
          <w:sz w:val="26"/>
          <w:szCs w:val="26"/>
        </w:rPr>
        <w:t xml:space="preserve">Neither the OSBA nor I&amp;E challenged these specific Settlement commitments, at ¶ 53 of the Settlement, except as generally addressed in their objections to the financial risks related to the Proposed Transaction.  </w:t>
      </w:r>
    </w:p>
    <w:p w14:paraId="0057E301" w14:textId="77777777" w:rsidR="00C92186" w:rsidRPr="00C92186" w:rsidRDefault="00C92186" w:rsidP="00B24187">
      <w:pPr>
        <w:widowControl/>
        <w:spacing w:line="360" w:lineRule="auto"/>
        <w:rPr>
          <w:sz w:val="26"/>
          <w:szCs w:val="26"/>
        </w:rPr>
      </w:pPr>
    </w:p>
    <w:p w14:paraId="46AC502A" w14:textId="77777777" w:rsidR="00C92186" w:rsidRPr="00C92186" w:rsidRDefault="00C92186" w:rsidP="00B24187">
      <w:pPr>
        <w:widowControl/>
        <w:spacing w:line="360" w:lineRule="auto"/>
        <w:ind w:firstLine="1440"/>
        <w:rPr>
          <w:rFonts w:eastAsia="SimSun"/>
          <w:sz w:val="26"/>
          <w:szCs w:val="26"/>
        </w:rPr>
      </w:pPr>
      <w:r w:rsidRPr="00C92186">
        <w:rPr>
          <w:rFonts w:eastAsia="SimSun"/>
          <w:sz w:val="26"/>
          <w:szCs w:val="26"/>
        </w:rPr>
        <w:t xml:space="preserve">In direct testimony, the OCA’s witness explained that the Peoples Companies historically have been willing to work with Pennsylvania ratepayers that are faced with potential abandonment by their current natural gas service provider.  OCA St. 4 at 8.  He explained that the Peoples Companies’ past practice included expending the time and resources necessary to maintain natural gas service for these customers despite having no obligation to do so.  The OCA’s witness expressed concern in his testimony that the amount of debt Aqua America would incur because of the Proposed Transaction </w:t>
      </w:r>
      <w:r w:rsidRPr="00C92186">
        <w:rPr>
          <w:rFonts w:eastAsia="SimSun"/>
          <w:sz w:val="26"/>
          <w:szCs w:val="26"/>
        </w:rPr>
        <w:lastRenderedPageBreak/>
        <w:t xml:space="preserve">may result in the Peoples Companies facing new constraints going forward in attempts to assist natural gas customers facing abandonment.  OCA St. 4 at 9.  The OCA’s witness recommended that the Peoples Companies be required to intervene, at the request of the statutory advocates, in proceedings involving the potential abandonment of natural gas service to customers served by natural gas systems in close proximity to the Peoples Companies.  OCA St. 4 at 9-10.  </w:t>
      </w:r>
    </w:p>
    <w:p w14:paraId="5B8C3AF1" w14:textId="77777777" w:rsidR="00C92186" w:rsidRPr="00C92186" w:rsidRDefault="00C92186" w:rsidP="00B24187">
      <w:pPr>
        <w:widowControl/>
        <w:spacing w:line="360" w:lineRule="auto"/>
        <w:ind w:firstLine="1440"/>
        <w:rPr>
          <w:rFonts w:eastAsia="SimSun"/>
          <w:sz w:val="26"/>
          <w:szCs w:val="26"/>
        </w:rPr>
      </w:pPr>
    </w:p>
    <w:p w14:paraId="2DBE160E" w14:textId="77777777" w:rsidR="00C92186" w:rsidRPr="00C92186" w:rsidRDefault="00C92186" w:rsidP="00B24187">
      <w:pPr>
        <w:widowControl/>
        <w:spacing w:line="360" w:lineRule="auto"/>
        <w:ind w:firstLine="1440"/>
        <w:rPr>
          <w:rFonts w:eastAsia="SimSun"/>
          <w:sz w:val="26"/>
          <w:szCs w:val="26"/>
        </w:rPr>
      </w:pPr>
      <w:r w:rsidRPr="00C92186">
        <w:rPr>
          <w:rFonts w:eastAsia="SimSun"/>
          <w:sz w:val="26"/>
          <w:szCs w:val="26"/>
        </w:rPr>
        <w:t xml:space="preserve">In rebuttal testimony, the Joint Applicants’ witness expressed concern over the OCA’s recommendation to require the Peoples Companies to intervene before having had a chance to evaluate the issues surrounding the abandonment or require the Peoples Companies to intervene in matters where the Peoples Companies are not authorized to serve.  Joint Applicants St. 6-R at 14-15.  In surrebuttal testimony, the OCA’s witness explained that the intention behind the recommendation was not to force or compel the Peoples Companies to acquire facilities without the opportunity for proper analysis and consideration.  OCA St. 4-SR at 4. </w:t>
      </w:r>
    </w:p>
    <w:p w14:paraId="7060DD24" w14:textId="77777777" w:rsidR="00C92186" w:rsidRPr="00C92186" w:rsidRDefault="00C92186" w:rsidP="00B24187">
      <w:pPr>
        <w:widowControl/>
        <w:spacing w:line="360" w:lineRule="auto"/>
        <w:ind w:firstLine="1440"/>
        <w:rPr>
          <w:rFonts w:eastAsia="SimSun"/>
          <w:sz w:val="26"/>
          <w:szCs w:val="26"/>
        </w:rPr>
      </w:pPr>
    </w:p>
    <w:p w14:paraId="4F10A7E9" w14:textId="77777777" w:rsidR="00C92186" w:rsidRPr="00C92186" w:rsidRDefault="00C92186" w:rsidP="00B24187">
      <w:pPr>
        <w:widowControl/>
        <w:spacing w:line="360" w:lineRule="auto"/>
        <w:ind w:firstLine="1440"/>
        <w:rPr>
          <w:rFonts w:eastAsia="SimSun"/>
          <w:sz w:val="26"/>
          <w:szCs w:val="26"/>
        </w:rPr>
      </w:pPr>
      <w:r w:rsidRPr="00C92186">
        <w:rPr>
          <w:rFonts w:eastAsia="SimSun"/>
          <w:sz w:val="26"/>
          <w:szCs w:val="26"/>
        </w:rPr>
        <w:t xml:space="preserve">The Joint Applicants agreed to include OCA’s recommendation in the Settlement.  Settlement </w:t>
      </w:r>
      <w:r w:rsidR="0021067A">
        <w:rPr>
          <w:rFonts w:eastAsia="SimSun"/>
          <w:sz w:val="26"/>
          <w:szCs w:val="26"/>
        </w:rPr>
        <w:t xml:space="preserve">at </w:t>
      </w:r>
      <w:r w:rsidRPr="00C92186">
        <w:rPr>
          <w:rFonts w:eastAsia="SimSun"/>
          <w:sz w:val="26"/>
          <w:szCs w:val="26"/>
        </w:rPr>
        <w:t xml:space="preserve">¶ 97.  The Joint Applicants believe the Peoples Companies’ intervention may benefit people and businesses currently served by small gas systems in Western Pennsylvania who might otherwise lose their gas service due to the inability of current owners to continue operations.  </w:t>
      </w:r>
      <w:r w:rsidRPr="00C92186">
        <w:rPr>
          <w:i/>
          <w:iCs/>
          <w:sz w:val="26"/>
          <w:szCs w:val="26"/>
        </w:rPr>
        <w:t xml:space="preserve">See </w:t>
      </w:r>
      <w:r w:rsidRPr="00C92186">
        <w:rPr>
          <w:sz w:val="26"/>
          <w:szCs w:val="26"/>
        </w:rPr>
        <w:t xml:space="preserve">Joint Applicants St. 6-R at 13-15; </w:t>
      </w:r>
      <w:r w:rsidRPr="00C92186">
        <w:rPr>
          <w:i/>
          <w:iCs/>
          <w:sz w:val="26"/>
          <w:szCs w:val="26"/>
        </w:rPr>
        <w:t>see also</w:t>
      </w:r>
      <w:r w:rsidRPr="00C92186">
        <w:rPr>
          <w:sz w:val="26"/>
          <w:szCs w:val="26"/>
        </w:rPr>
        <w:t xml:space="preserve"> Tr. at 154-156.  The OCA submits that this Settlement provision is in the public interest because it allows the Peoples Companies post-closing to continue evaluating opportunities to acquire natural gas distribution systems that are at risk of abandoning their customers and for ratepayers to potentially continue enjoying the benefits of natural gas.  OCA Statement in Support at 22. </w:t>
      </w:r>
    </w:p>
    <w:p w14:paraId="4D067CF8" w14:textId="77777777" w:rsidR="00C92186" w:rsidRPr="00C92186" w:rsidRDefault="00C92186" w:rsidP="00B24187">
      <w:pPr>
        <w:widowControl/>
        <w:spacing w:line="360" w:lineRule="auto"/>
        <w:ind w:firstLine="1440"/>
        <w:rPr>
          <w:rFonts w:eastAsia="SimSun"/>
          <w:sz w:val="26"/>
          <w:szCs w:val="26"/>
        </w:rPr>
      </w:pPr>
    </w:p>
    <w:p w14:paraId="0CF52272" w14:textId="77777777" w:rsidR="00C92186" w:rsidRPr="00C92186" w:rsidRDefault="00C92186" w:rsidP="00B24187">
      <w:pPr>
        <w:widowControl/>
        <w:spacing w:line="360" w:lineRule="auto"/>
        <w:ind w:firstLine="1440"/>
        <w:rPr>
          <w:rFonts w:eastAsia="SimSun"/>
          <w:sz w:val="26"/>
          <w:szCs w:val="26"/>
        </w:rPr>
      </w:pPr>
      <w:r w:rsidRPr="00C92186">
        <w:rPr>
          <w:rFonts w:eastAsia="SimSun"/>
          <w:sz w:val="26"/>
          <w:szCs w:val="26"/>
        </w:rPr>
        <w:t xml:space="preserve">I&amp;E challenges the provision, at ¶ 97, of the Settlement.  I&amp;E argues that the Settlement does not obligate the Peoples Companies to do anything of substance other </w:t>
      </w:r>
      <w:r w:rsidRPr="00C92186">
        <w:rPr>
          <w:rFonts w:eastAsia="SimSun"/>
          <w:sz w:val="26"/>
          <w:szCs w:val="26"/>
        </w:rPr>
        <w:lastRenderedPageBreak/>
        <w:t>than enter an appearance in an abandonment proceeding, and only if requested by a statutory advocate.  Further, I&amp;E argues that the commitments may be harmful to ratepayers because the Peoples Companies’ participation in abandonment proceedings will increase litigations costs borne by ratepayers, which I&amp;E asserts could be substantial, while the benefits of this commitment may be non-existent.  Therefore, according to I&amp;E, this provision of the Settlement is not a public benefit.  I&amp;E M.B. at 35; I&amp;E R.B. at 33.  The OCA disagrees, submitting that the Settlement solidifies the Peoples Companies’ current commitment to evaluating opportunities to acquire natural gas distribution systems that are at risk of abandoning their customers post-closing.  OCA R.B. at 28-29 (citing OCA St. 4 at 8-10).  The OCA submits that the Peoples Companies’ prior assistance in matters like these have been both cost effective and reasonable as to maintaining natural gas service for</w:t>
      </w:r>
      <w:r w:rsidRPr="00C92186">
        <w:rPr>
          <w:sz w:val="26"/>
          <w:szCs w:val="26"/>
        </w:rPr>
        <w:t xml:space="preserve"> Pennsylvania customers.  According to the OCA, this Settlement provision solidifies Aqua America’s commitment, as the parent company, to continue having the Peoples Companies, as the operating subsidiary, provide such assistance when necessary.  OCA M.B. at 29.</w:t>
      </w:r>
    </w:p>
    <w:p w14:paraId="3337158E" w14:textId="77777777" w:rsidR="00C92186" w:rsidRPr="005C3145" w:rsidRDefault="00C92186" w:rsidP="00B24187">
      <w:pPr>
        <w:widowControl/>
        <w:spacing w:line="360" w:lineRule="auto"/>
        <w:rPr>
          <w:sz w:val="26"/>
          <w:szCs w:val="26"/>
        </w:rPr>
      </w:pPr>
    </w:p>
    <w:p w14:paraId="6342AD85" w14:textId="77777777" w:rsidR="00C92186" w:rsidRPr="005C3145" w:rsidRDefault="00C607F2" w:rsidP="002E1D97">
      <w:pPr>
        <w:keepNext/>
        <w:widowControl/>
        <w:spacing w:line="360" w:lineRule="auto"/>
        <w:ind w:left="2880" w:hanging="720"/>
        <w:rPr>
          <w:b/>
          <w:bCs/>
          <w:sz w:val="26"/>
          <w:szCs w:val="26"/>
        </w:rPr>
      </w:pPr>
      <w:r w:rsidRPr="005C3145">
        <w:rPr>
          <w:b/>
          <w:bCs/>
          <w:sz w:val="26"/>
          <w:szCs w:val="26"/>
        </w:rPr>
        <w:t>(</w:t>
      </w:r>
      <w:r w:rsidR="005C3145">
        <w:rPr>
          <w:b/>
          <w:bCs/>
          <w:sz w:val="26"/>
          <w:szCs w:val="26"/>
        </w:rPr>
        <w:t>3</w:t>
      </w:r>
      <w:r w:rsidRPr="005C3145">
        <w:rPr>
          <w:b/>
          <w:bCs/>
          <w:sz w:val="26"/>
          <w:szCs w:val="26"/>
        </w:rPr>
        <w:t>)</w:t>
      </w:r>
      <w:r w:rsidRPr="005C3145">
        <w:rPr>
          <w:b/>
          <w:bCs/>
          <w:sz w:val="26"/>
          <w:szCs w:val="26"/>
        </w:rPr>
        <w:tab/>
      </w:r>
      <w:r w:rsidR="00C92186" w:rsidRPr="005C3145">
        <w:rPr>
          <w:b/>
          <w:bCs/>
          <w:sz w:val="26"/>
          <w:szCs w:val="26"/>
        </w:rPr>
        <w:t>Recommended Decision</w:t>
      </w:r>
    </w:p>
    <w:p w14:paraId="1007A55B" w14:textId="77777777" w:rsidR="00C92186" w:rsidRPr="005C3145" w:rsidRDefault="00C92186" w:rsidP="002E1D97">
      <w:pPr>
        <w:keepNext/>
        <w:widowControl/>
        <w:spacing w:line="360" w:lineRule="auto"/>
        <w:rPr>
          <w:sz w:val="26"/>
          <w:szCs w:val="26"/>
        </w:rPr>
      </w:pPr>
    </w:p>
    <w:p w14:paraId="105F45F7" w14:textId="357A5CAD" w:rsidR="00C92186" w:rsidRPr="00C92186" w:rsidRDefault="00C92186" w:rsidP="002E1D97">
      <w:pPr>
        <w:keepNext/>
        <w:widowControl/>
        <w:spacing w:line="360" w:lineRule="auto"/>
        <w:ind w:firstLine="1440"/>
        <w:rPr>
          <w:sz w:val="26"/>
          <w:szCs w:val="26"/>
        </w:rPr>
      </w:pPr>
      <w:r w:rsidRPr="00C92186">
        <w:rPr>
          <w:sz w:val="26"/>
          <w:szCs w:val="26"/>
        </w:rPr>
        <w:t xml:space="preserve">The ALJ found the Settlement provisions, at ¶¶ 53 and 97, to be </w:t>
      </w:r>
      <w:r w:rsidR="00612BC3">
        <w:rPr>
          <w:sz w:val="26"/>
          <w:szCs w:val="26"/>
        </w:rPr>
        <w:t>significant</w:t>
      </w:r>
      <w:r w:rsidRPr="00C92186">
        <w:rPr>
          <w:sz w:val="26"/>
          <w:szCs w:val="26"/>
        </w:rPr>
        <w:t xml:space="preserve"> measures to memorialize the important role played by Aqua PA and the Peoples Companies, respectively, in ensuring that customers of troubled water/wastewater and gas systems, respectively, have access to safe and reliable service.  The ALJ stated: “It is certainly a reason to approve the Settlement.  Any additional costs to ratepayers can be controlled in base rate proceedings...”  R.D. at 96.  However, the ALJ agreed with I&amp;E that for the purpose of evaluating whether these Settlement provisions provide affirmative public benefits pursuant to the </w:t>
      </w:r>
      <w:r w:rsidRPr="00C92186">
        <w:rPr>
          <w:i/>
          <w:iCs/>
          <w:sz w:val="26"/>
          <w:szCs w:val="26"/>
        </w:rPr>
        <w:t>City of York</w:t>
      </w:r>
      <w:r w:rsidRPr="00C92186">
        <w:rPr>
          <w:sz w:val="26"/>
          <w:szCs w:val="26"/>
        </w:rPr>
        <w:t xml:space="preserve">, the ALJ characterized these commitments as “neutral on balance.”  The ALJ explained that rather than adding a significant new policy for the utilities, these Settlement provisions ensure that the </w:t>
      </w:r>
      <w:r w:rsidRPr="00C92186">
        <w:rPr>
          <w:sz w:val="26"/>
          <w:szCs w:val="26"/>
        </w:rPr>
        <w:lastRenderedPageBreak/>
        <w:t xml:space="preserve">Proposed Transaction does not harm ratepayers by ensuring that these important programs continue after the consummation of the acquisition.  </w:t>
      </w:r>
      <w:r w:rsidRPr="00C92186">
        <w:rPr>
          <w:i/>
          <w:iCs/>
          <w:sz w:val="26"/>
          <w:szCs w:val="26"/>
        </w:rPr>
        <w:t>Id</w:t>
      </w:r>
      <w:r w:rsidRPr="00C92186">
        <w:rPr>
          <w:sz w:val="26"/>
          <w:szCs w:val="26"/>
        </w:rPr>
        <w:t>.</w:t>
      </w:r>
    </w:p>
    <w:p w14:paraId="320BC729" w14:textId="77777777" w:rsidR="00C92186" w:rsidRPr="005C3145" w:rsidRDefault="00C92186" w:rsidP="00B24187">
      <w:pPr>
        <w:widowControl/>
        <w:spacing w:line="360" w:lineRule="auto"/>
        <w:rPr>
          <w:sz w:val="26"/>
          <w:szCs w:val="26"/>
        </w:rPr>
      </w:pPr>
    </w:p>
    <w:p w14:paraId="08E42CBD" w14:textId="7FDEBD2F" w:rsidR="0078647B" w:rsidRPr="005C3145" w:rsidRDefault="00C607F2" w:rsidP="00364103">
      <w:pPr>
        <w:keepNext/>
        <w:widowControl/>
        <w:spacing w:line="360" w:lineRule="auto"/>
        <w:ind w:left="2880" w:hanging="720"/>
        <w:rPr>
          <w:b/>
          <w:bCs/>
          <w:sz w:val="26"/>
          <w:szCs w:val="26"/>
        </w:rPr>
      </w:pPr>
      <w:r w:rsidRPr="005C3145">
        <w:rPr>
          <w:b/>
          <w:bCs/>
          <w:sz w:val="26"/>
          <w:szCs w:val="26"/>
        </w:rPr>
        <w:t>(</w:t>
      </w:r>
      <w:r w:rsidR="005C3145">
        <w:rPr>
          <w:b/>
          <w:bCs/>
          <w:sz w:val="26"/>
          <w:szCs w:val="26"/>
        </w:rPr>
        <w:t>4</w:t>
      </w:r>
      <w:r w:rsidRPr="005C3145">
        <w:rPr>
          <w:b/>
          <w:bCs/>
          <w:sz w:val="26"/>
          <w:szCs w:val="26"/>
        </w:rPr>
        <w:t>)</w:t>
      </w:r>
      <w:r w:rsidRPr="005C3145">
        <w:rPr>
          <w:b/>
          <w:bCs/>
          <w:sz w:val="26"/>
          <w:szCs w:val="26"/>
        </w:rPr>
        <w:tab/>
      </w:r>
      <w:bookmarkStart w:id="154" w:name="_Hlk28537759"/>
      <w:r w:rsidR="009B2A8F" w:rsidRPr="005C3145">
        <w:rPr>
          <w:b/>
          <w:bCs/>
          <w:sz w:val="26"/>
          <w:szCs w:val="26"/>
        </w:rPr>
        <w:t xml:space="preserve">Exceptions and Replies </w:t>
      </w:r>
      <w:bookmarkEnd w:id="154"/>
    </w:p>
    <w:p w14:paraId="34951505" w14:textId="77777777" w:rsidR="009B2A8F" w:rsidRPr="005C3145" w:rsidRDefault="009B2A8F" w:rsidP="00364103">
      <w:pPr>
        <w:keepNext/>
        <w:widowControl/>
        <w:spacing w:line="360" w:lineRule="auto"/>
        <w:rPr>
          <w:sz w:val="26"/>
          <w:szCs w:val="26"/>
        </w:rPr>
      </w:pPr>
    </w:p>
    <w:p w14:paraId="565429CC" w14:textId="527E11CF" w:rsidR="00C92186" w:rsidRPr="00C92186" w:rsidRDefault="00C92186" w:rsidP="00364103">
      <w:pPr>
        <w:keepNext/>
        <w:widowControl/>
        <w:spacing w:line="360" w:lineRule="auto"/>
        <w:ind w:firstLine="1440"/>
        <w:rPr>
          <w:sz w:val="26"/>
          <w:szCs w:val="26"/>
        </w:rPr>
      </w:pPr>
      <w:r w:rsidRPr="00C92186">
        <w:rPr>
          <w:sz w:val="26"/>
          <w:szCs w:val="26"/>
        </w:rPr>
        <w:t>In its Exception No. 12, with regard to the commitments at ¶ 97 of the Settlement, I&amp;E argues that the ALJ’s statement that “</w:t>
      </w:r>
      <w:r w:rsidRPr="00C92186">
        <w:rPr>
          <w:color w:val="000000"/>
          <w:spacing w:val="7"/>
          <w:sz w:val="26"/>
          <w:szCs w:val="26"/>
        </w:rPr>
        <w:t xml:space="preserve">these commitments are neutral on balance” </w:t>
      </w:r>
      <w:r w:rsidRPr="00C92186">
        <w:rPr>
          <w:sz w:val="26"/>
          <w:szCs w:val="26"/>
        </w:rPr>
        <w:t>is “somewhat erroneous.”  I&amp;E’s position is that these commitments are “</w:t>
      </w:r>
      <w:r w:rsidRPr="00C92186">
        <w:rPr>
          <w:i/>
          <w:iCs/>
          <w:sz w:val="26"/>
          <w:szCs w:val="26"/>
        </w:rPr>
        <w:t>at best</w:t>
      </w:r>
      <w:r w:rsidRPr="00C92186">
        <w:rPr>
          <w:sz w:val="26"/>
          <w:szCs w:val="26"/>
        </w:rPr>
        <w:t xml:space="preserve"> neutral, but </w:t>
      </w:r>
      <w:r w:rsidRPr="00C92186">
        <w:rPr>
          <w:i/>
          <w:iCs/>
          <w:sz w:val="26"/>
          <w:szCs w:val="26"/>
        </w:rPr>
        <w:t>at worst</w:t>
      </w:r>
      <w:r w:rsidRPr="00C92186">
        <w:rPr>
          <w:sz w:val="26"/>
          <w:szCs w:val="26"/>
        </w:rPr>
        <w:t xml:space="preserve"> harmful to ratepayers.”  I&amp;E Exc. at 26</w:t>
      </w:r>
      <w:r w:rsidRPr="00C92186">
        <w:rPr>
          <w:color w:val="000000"/>
          <w:spacing w:val="7"/>
          <w:sz w:val="26"/>
          <w:szCs w:val="26"/>
        </w:rPr>
        <w:t xml:space="preserve"> (citing R.D. at 96)</w:t>
      </w:r>
      <w:r w:rsidRPr="00C92186">
        <w:rPr>
          <w:sz w:val="26"/>
          <w:szCs w:val="26"/>
        </w:rPr>
        <w:t xml:space="preserve"> (emphasis in the original).  I&amp;E reiterates that these commitments require Aqua America and the Peoples Companies to do nothing more than file a notice of appearance in these proceedings and only if requested by one of the statutory advocates.  I&amp;E emphasizes that the Settlement does not require the Peoples Companies to acquire the systems or do anything to assist these customers.  In addition, I&amp;E submits that these commitments will come at the cost of increased litigation expense which ratepayers will be expected to bear in utility rates.</w:t>
      </w:r>
      <w:r w:rsidR="003A591D">
        <w:rPr>
          <w:sz w:val="26"/>
          <w:szCs w:val="26"/>
        </w:rPr>
        <w:t xml:space="preserve">  </w:t>
      </w:r>
      <w:r w:rsidRPr="00C92186">
        <w:rPr>
          <w:sz w:val="26"/>
          <w:szCs w:val="26"/>
        </w:rPr>
        <w:t xml:space="preserve">I&amp;E Exc. at 26.  </w:t>
      </w:r>
    </w:p>
    <w:p w14:paraId="75D44DCC" w14:textId="77777777" w:rsidR="00C92186" w:rsidRPr="00C92186" w:rsidRDefault="00C92186" w:rsidP="00B24187">
      <w:pPr>
        <w:widowControl/>
        <w:spacing w:line="360" w:lineRule="auto"/>
        <w:ind w:firstLine="1440"/>
        <w:rPr>
          <w:sz w:val="26"/>
          <w:szCs w:val="26"/>
        </w:rPr>
      </w:pPr>
    </w:p>
    <w:p w14:paraId="6CB99161" w14:textId="187AD655" w:rsidR="00C92186" w:rsidRPr="00C92186" w:rsidRDefault="00C92186" w:rsidP="00B24187">
      <w:pPr>
        <w:widowControl/>
        <w:spacing w:line="360" w:lineRule="auto"/>
        <w:ind w:firstLine="1440"/>
        <w:rPr>
          <w:sz w:val="26"/>
          <w:szCs w:val="26"/>
        </w:rPr>
      </w:pPr>
      <w:r w:rsidRPr="00C92186">
        <w:rPr>
          <w:sz w:val="26"/>
          <w:szCs w:val="26"/>
        </w:rPr>
        <w:t xml:space="preserve">In its Replies, the Joint Applicants assert that the </w:t>
      </w:r>
      <w:r w:rsidR="0021067A" w:rsidRPr="00C92186">
        <w:rPr>
          <w:sz w:val="26"/>
          <w:szCs w:val="26"/>
        </w:rPr>
        <w:t>R</w:t>
      </w:r>
      <w:r w:rsidR="0021067A">
        <w:rPr>
          <w:sz w:val="26"/>
          <w:szCs w:val="26"/>
        </w:rPr>
        <w:t xml:space="preserve">ecommended </w:t>
      </w:r>
      <w:r w:rsidR="003A591D">
        <w:rPr>
          <w:sz w:val="26"/>
          <w:szCs w:val="26"/>
        </w:rPr>
        <w:t>Decision</w:t>
      </w:r>
      <w:r w:rsidR="003A591D" w:rsidRPr="00C92186">
        <w:rPr>
          <w:sz w:val="26"/>
          <w:szCs w:val="26"/>
        </w:rPr>
        <w:t xml:space="preserve"> properly</w:t>
      </w:r>
      <w:r w:rsidRPr="00C92186">
        <w:rPr>
          <w:sz w:val="26"/>
          <w:szCs w:val="26"/>
        </w:rPr>
        <w:t xml:space="preserve"> analyzed this commitment in the overall context of the transaction.  Joint Applicants R. Exc. at 22 (citing R.D. at 41, 95-96).  According to the Joint Applicants, the ALJ properly concluded that these commitments, evaluated against the Proposed Transaction and Settlement as a whole, support approval.  Joint Applicants R. Exc. at 22 (citing R.D. at 96).  Therefore, the Joint Applicants submit that I&amp;E’s Exception No. 12 should be denied.  Joint Applicants R. Exc. at 22.  </w:t>
      </w:r>
    </w:p>
    <w:p w14:paraId="260B2343" w14:textId="77777777" w:rsidR="00C92186" w:rsidRPr="00C92186" w:rsidRDefault="00C92186" w:rsidP="00B24187">
      <w:pPr>
        <w:widowControl/>
        <w:spacing w:line="360" w:lineRule="auto"/>
        <w:ind w:firstLine="1440"/>
        <w:rPr>
          <w:sz w:val="26"/>
          <w:szCs w:val="26"/>
        </w:rPr>
      </w:pPr>
    </w:p>
    <w:p w14:paraId="14547FE8" w14:textId="503C5EA1" w:rsidR="00C92186" w:rsidRDefault="00C92186" w:rsidP="00B24187">
      <w:pPr>
        <w:widowControl/>
        <w:spacing w:line="360" w:lineRule="auto"/>
        <w:ind w:firstLine="1440"/>
        <w:rPr>
          <w:sz w:val="24"/>
          <w:szCs w:val="24"/>
        </w:rPr>
      </w:pPr>
      <w:r w:rsidRPr="00C92186">
        <w:rPr>
          <w:sz w:val="26"/>
          <w:szCs w:val="26"/>
        </w:rPr>
        <w:t xml:space="preserve">In its Replies, the OCA notes that the Peoples Companies have previously assisted in customer abandonment matters without any legal obligation to participate.  OCA R. Exc. at 10 (citing OCA R.B. at 28).  However, the OCA submits that the Settlement memorializes the Peoples Companies’ willingness to continue assisting </w:t>
      </w:r>
      <w:r w:rsidRPr="00C92186">
        <w:rPr>
          <w:sz w:val="26"/>
          <w:szCs w:val="26"/>
        </w:rPr>
        <w:lastRenderedPageBreak/>
        <w:t>customers facing abandonment.  OCA R. Exc. at 10.  Furthermore, the OCA submits that I&amp;E’s concerns regarding ratepayers being harmed due to bearing the litigation expense associated with the Peoples Companies’ participation in an abandonment proceeding lacks merit.  OCA R. Exc. at 10.  First, the OCA submits that the ALJ properly analyzed the issue, stating that “[a]ny additional costs to ratepayers can be controlled in base rate proceedings</w:t>
      </w:r>
      <w:r w:rsidR="003A591D" w:rsidRPr="00C92186">
        <w:rPr>
          <w:sz w:val="26"/>
          <w:szCs w:val="26"/>
        </w:rPr>
        <w:t>[.]” OCA</w:t>
      </w:r>
      <w:r w:rsidRPr="00C92186">
        <w:rPr>
          <w:sz w:val="26"/>
          <w:szCs w:val="26"/>
        </w:rPr>
        <w:t xml:space="preserve"> R. Exc. at 10 (citing R.D. at 96).  Next, the OCA explained that </w:t>
      </w:r>
      <w:r w:rsidRPr="00C92186">
        <w:rPr>
          <w:rFonts w:eastAsia="SimSun"/>
          <w:sz w:val="26"/>
          <w:szCs w:val="26"/>
        </w:rPr>
        <w:t>the Peoples Companies’ prior assistance in such matters has historically been both cost effective and reasonable as to maintaining natural gas service for</w:t>
      </w:r>
      <w:r w:rsidRPr="00C92186">
        <w:rPr>
          <w:sz w:val="26"/>
          <w:szCs w:val="26"/>
        </w:rPr>
        <w:t xml:space="preserve"> Pennsylvania customers.  OCA R. Exc. at 10 (citing OCA R.B. at 29).  Finally, the OCA emphasizes that no evidence has been provided to demonstrate that ratepayers will experience harm as a result of this provision.  OCA R. Exc. at 10-11.  Based on the foregoing, the OCA submits that I&amp;E’s Exception No. 12 should be denied.  OCA R. Exc. at 11</w:t>
      </w:r>
      <w:r w:rsidRPr="00C92186">
        <w:rPr>
          <w:sz w:val="24"/>
          <w:szCs w:val="24"/>
        </w:rPr>
        <w:t xml:space="preserve">.  </w:t>
      </w:r>
    </w:p>
    <w:p w14:paraId="36C49356" w14:textId="77777777" w:rsidR="00D66EA5" w:rsidRPr="00C92186" w:rsidRDefault="00D66EA5" w:rsidP="00B24187">
      <w:pPr>
        <w:widowControl/>
        <w:spacing w:line="360" w:lineRule="auto"/>
        <w:ind w:firstLine="1440"/>
        <w:rPr>
          <w:sz w:val="24"/>
          <w:szCs w:val="24"/>
        </w:rPr>
      </w:pPr>
    </w:p>
    <w:p w14:paraId="2406C9CB" w14:textId="77777777" w:rsidR="00C92186" w:rsidRPr="005C3145" w:rsidRDefault="0078647B" w:rsidP="002E1D97">
      <w:pPr>
        <w:keepNext/>
        <w:widowControl/>
        <w:spacing w:line="360" w:lineRule="auto"/>
        <w:ind w:left="2880" w:hanging="720"/>
        <w:rPr>
          <w:b/>
          <w:bCs/>
          <w:sz w:val="26"/>
          <w:szCs w:val="26"/>
        </w:rPr>
      </w:pPr>
      <w:r w:rsidRPr="005C3145">
        <w:rPr>
          <w:b/>
          <w:bCs/>
          <w:sz w:val="26"/>
          <w:szCs w:val="26"/>
        </w:rPr>
        <w:t>(</w:t>
      </w:r>
      <w:r w:rsidR="005C3145" w:rsidRPr="005C3145">
        <w:rPr>
          <w:b/>
          <w:bCs/>
          <w:sz w:val="26"/>
          <w:szCs w:val="26"/>
        </w:rPr>
        <w:t>5</w:t>
      </w:r>
      <w:r w:rsidRPr="005C3145">
        <w:rPr>
          <w:b/>
          <w:bCs/>
          <w:sz w:val="26"/>
          <w:szCs w:val="26"/>
        </w:rPr>
        <w:t>)</w:t>
      </w:r>
      <w:r w:rsidR="009B2A8F" w:rsidRPr="005C3145">
        <w:rPr>
          <w:b/>
          <w:bCs/>
          <w:sz w:val="26"/>
          <w:szCs w:val="26"/>
        </w:rPr>
        <w:tab/>
      </w:r>
      <w:r w:rsidR="00C92186" w:rsidRPr="005C3145">
        <w:rPr>
          <w:b/>
          <w:bCs/>
          <w:sz w:val="26"/>
          <w:szCs w:val="26"/>
        </w:rPr>
        <w:t xml:space="preserve">Disposition </w:t>
      </w:r>
    </w:p>
    <w:p w14:paraId="337829B1" w14:textId="77777777" w:rsidR="00C92186" w:rsidRPr="005C3145" w:rsidRDefault="00C92186" w:rsidP="002E1D97">
      <w:pPr>
        <w:keepNext/>
        <w:widowControl/>
        <w:spacing w:line="360" w:lineRule="auto"/>
        <w:rPr>
          <w:sz w:val="26"/>
          <w:szCs w:val="26"/>
        </w:rPr>
      </w:pPr>
    </w:p>
    <w:p w14:paraId="23E446F1" w14:textId="77777777" w:rsidR="00C92186" w:rsidRPr="00C92186" w:rsidRDefault="00C92186" w:rsidP="002E1D97">
      <w:pPr>
        <w:keepNext/>
        <w:widowControl/>
        <w:spacing w:line="360" w:lineRule="auto"/>
        <w:ind w:firstLine="1440"/>
        <w:rPr>
          <w:sz w:val="26"/>
          <w:szCs w:val="26"/>
          <w:lang w:val="en"/>
        </w:rPr>
      </w:pPr>
      <w:r w:rsidRPr="005C3145">
        <w:rPr>
          <w:sz w:val="26"/>
          <w:szCs w:val="26"/>
        </w:rPr>
        <w:t>Upon review of the record, the</w:t>
      </w:r>
      <w:r w:rsidRPr="00C92186">
        <w:rPr>
          <w:sz w:val="26"/>
          <w:szCs w:val="26"/>
        </w:rPr>
        <w:t xml:space="preserve"> </w:t>
      </w:r>
      <w:r w:rsidR="0021067A" w:rsidRPr="00C92186">
        <w:rPr>
          <w:sz w:val="26"/>
          <w:szCs w:val="26"/>
        </w:rPr>
        <w:t>R</w:t>
      </w:r>
      <w:r w:rsidR="0021067A">
        <w:rPr>
          <w:sz w:val="26"/>
          <w:szCs w:val="26"/>
        </w:rPr>
        <w:t>ecommended Decision</w:t>
      </w:r>
      <w:r w:rsidRPr="00C92186">
        <w:rPr>
          <w:sz w:val="26"/>
          <w:szCs w:val="26"/>
        </w:rPr>
        <w:t xml:space="preserve">, the Exceptions and the Replies to Exceptions on these issues, we shall affirm the </w:t>
      </w:r>
      <w:r w:rsidR="0021067A" w:rsidRPr="00C92186">
        <w:rPr>
          <w:sz w:val="26"/>
          <w:szCs w:val="26"/>
        </w:rPr>
        <w:t>R</w:t>
      </w:r>
      <w:r w:rsidR="0021067A">
        <w:rPr>
          <w:sz w:val="26"/>
          <w:szCs w:val="26"/>
        </w:rPr>
        <w:t>ecommended Decision</w:t>
      </w:r>
      <w:r w:rsidRPr="00C92186">
        <w:rPr>
          <w:sz w:val="26"/>
          <w:szCs w:val="26"/>
        </w:rPr>
        <w:t xml:space="preserve">.  </w:t>
      </w:r>
      <w:r w:rsidRPr="00C92186">
        <w:rPr>
          <w:rFonts w:eastAsia="SimSun"/>
          <w:sz w:val="26"/>
          <w:szCs w:val="26"/>
        </w:rPr>
        <w:t xml:space="preserve">We concur with the </w:t>
      </w:r>
      <w:r w:rsidRPr="00C92186">
        <w:rPr>
          <w:sz w:val="26"/>
          <w:szCs w:val="26"/>
        </w:rPr>
        <w:t xml:space="preserve">ALJ that the Settlement provisions, at ¶¶ 53 and 97, are important commitments by Aqua America.  They memorialize beneficial existing practices by Aqua PA and the Peoples Companies in ensuring that customers of troubled water/wastewater and gas systems, respectively, have access to safe and reliable service.  However, we also concur with the ALJ that these commitments are neutral on balance because they ensure that the Proposed Transaction will not result in the adverse effect of discontinuing beneficial existing practices for the Commonwealth’s citizens post-closing.  </w:t>
      </w:r>
      <w:r w:rsidRPr="00C92186">
        <w:rPr>
          <w:i/>
          <w:sz w:val="26"/>
          <w:szCs w:val="26"/>
          <w:lang w:val="en"/>
        </w:rPr>
        <w:t>City of York</w:t>
      </w:r>
      <w:r w:rsidRPr="00C92186">
        <w:rPr>
          <w:sz w:val="26"/>
          <w:szCs w:val="26"/>
          <w:lang w:val="en"/>
        </w:rPr>
        <w:t xml:space="preserve">, 295 A.2d at 828 (overruling in part </w:t>
      </w:r>
      <w:r w:rsidRPr="00C92186">
        <w:rPr>
          <w:i/>
          <w:sz w:val="26"/>
          <w:szCs w:val="26"/>
          <w:lang w:val="en"/>
        </w:rPr>
        <w:t>Northern Pennsylvania Power Co</w:t>
      </w:r>
      <w:r w:rsidRPr="00C92186">
        <w:rPr>
          <w:sz w:val="26"/>
          <w:szCs w:val="26"/>
          <w:lang w:val="en"/>
        </w:rPr>
        <w:t xml:space="preserve">. </w:t>
      </w:r>
      <w:r w:rsidRPr="00C92186">
        <w:rPr>
          <w:i/>
          <w:iCs/>
          <w:sz w:val="26"/>
          <w:szCs w:val="26"/>
          <w:lang w:val="en"/>
        </w:rPr>
        <w:t>v. Pa. PUC</w:t>
      </w:r>
      <w:r w:rsidRPr="00C92186">
        <w:rPr>
          <w:sz w:val="26"/>
          <w:szCs w:val="26"/>
          <w:lang w:val="en"/>
        </w:rPr>
        <w:t>, 5 A.2d 133, 134 (Pa. 1939)</w:t>
      </w:r>
      <w:r w:rsidRPr="00C92186">
        <w:rPr>
          <w:i/>
          <w:sz w:val="26"/>
          <w:szCs w:val="26"/>
          <w:lang w:val="en"/>
        </w:rPr>
        <w:t>.</w:t>
      </w:r>
      <w:r w:rsidRPr="00C92186">
        <w:rPr>
          <w:sz w:val="26"/>
          <w:szCs w:val="26"/>
          <w:lang w:val="en"/>
        </w:rPr>
        <w:t xml:space="preserve">  </w:t>
      </w:r>
    </w:p>
    <w:p w14:paraId="078244A6" w14:textId="77777777" w:rsidR="00C92186" w:rsidRPr="00C92186" w:rsidRDefault="00C92186" w:rsidP="00B24187">
      <w:pPr>
        <w:widowControl/>
        <w:spacing w:line="360" w:lineRule="auto"/>
        <w:rPr>
          <w:sz w:val="26"/>
          <w:szCs w:val="26"/>
        </w:rPr>
      </w:pPr>
    </w:p>
    <w:p w14:paraId="2B905784" w14:textId="048F4293" w:rsidR="00C92186" w:rsidRPr="00C92186" w:rsidRDefault="00C92186" w:rsidP="00B24187">
      <w:pPr>
        <w:widowControl/>
        <w:spacing w:line="360" w:lineRule="auto"/>
        <w:ind w:firstLine="1440"/>
        <w:rPr>
          <w:rFonts w:eastAsia="SimSun"/>
          <w:sz w:val="26"/>
          <w:szCs w:val="26"/>
        </w:rPr>
      </w:pPr>
      <w:r w:rsidRPr="00C92186">
        <w:rPr>
          <w:rFonts w:eastAsia="SimSun"/>
          <w:sz w:val="26"/>
          <w:szCs w:val="26"/>
        </w:rPr>
        <w:t xml:space="preserve">No Party in this proceeding challenged Aqua America’s continuing commitment relating to </w:t>
      </w:r>
      <w:r w:rsidR="003A591D" w:rsidRPr="00C92186">
        <w:rPr>
          <w:rFonts w:eastAsia="SimSun"/>
          <w:sz w:val="26"/>
          <w:szCs w:val="26"/>
        </w:rPr>
        <w:t>troubled, water</w:t>
      </w:r>
      <w:r w:rsidRPr="00C92186">
        <w:rPr>
          <w:rFonts w:eastAsia="SimSun"/>
          <w:sz w:val="26"/>
          <w:szCs w:val="26"/>
        </w:rPr>
        <w:t xml:space="preserve"> and wastewater systems.  T</w:t>
      </w:r>
      <w:r w:rsidRPr="00C92186">
        <w:rPr>
          <w:sz w:val="26"/>
          <w:szCs w:val="26"/>
        </w:rPr>
        <w:t xml:space="preserve">his Settlement </w:t>
      </w:r>
      <w:r w:rsidRPr="00C92186">
        <w:rPr>
          <w:sz w:val="26"/>
          <w:szCs w:val="26"/>
        </w:rPr>
        <w:lastRenderedPageBreak/>
        <w:t xml:space="preserve">provision, at ¶ 53, is in the public interest as it ensures that Aqua PA’s important role will continue, as appropriate, in addressing troubled water/wastewater systems in Pennsylvania.  </w:t>
      </w:r>
      <w:r w:rsidRPr="00C92186">
        <w:rPr>
          <w:i/>
          <w:iCs/>
          <w:sz w:val="26"/>
          <w:szCs w:val="26"/>
        </w:rPr>
        <w:t xml:space="preserve">See </w:t>
      </w:r>
      <w:r w:rsidRPr="00C92186">
        <w:rPr>
          <w:rFonts w:eastAsia="SimSun"/>
          <w:sz w:val="26"/>
          <w:szCs w:val="26"/>
        </w:rPr>
        <w:t>OCA St. 2 at 34-35; Joint Applicants St. 1-R at 16-17.</w:t>
      </w:r>
      <w:r w:rsidR="003A591D">
        <w:rPr>
          <w:rFonts w:eastAsia="SimSun"/>
          <w:sz w:val="26"/>
          <w:szCs w:val="26"/>
        </w:rPr>
        <w:t xml:space="preserve">  </w:t>
      </w:r>
    </w:p>
    <w:p w14:paraId="5B7A3A2B" w14:textId="77777777" w:rsidR="00C92186" w:rsidRPr="00C92186" w:rsidRDefault="00C92186" w:rsidP="00B24187">
      <w:pPr>
        <w:widowControl/>
        <w:spacing w:line="360" w:lineRule="auto"/>
        <w:ind w:firstLine="1440"/>
        <w:rPr>
          <w:rFonts w:eastAsia="SimSun"/>
          <w:sz w:val="26"/>
          <w:szCs w:val="26"/>
        </w:rPr>
      </w:pPr>
    </w:p>
    <w:p w14:paraId="7B166DF1" w14:textId="77777777" w:rsidR="00C92186" w:rsidRPr="00C92186" w:rsidRDefault="00C92186" w:rsidP="00B24187">
      <w:pPr>
        <w:widowControl/>
        <w:spacing w:line="360" w:lineRule="auto"/>
        <w:ind w:firstLine="1440"/>
        <w:rPr>
          <w:rFonts w:eastAsia="SimSun"/>
          <w:sz w:val="26"/>
          <w:szCs w:val="26"/>
        </w:rPr>
      </w:pPr>
      <w:r w:rsidRPr="00C92186">
        <w:rPr>
          <w:sz w:val="26"/>
          <w:szCs w:val="26"/>
        </w:rPr>
        <w:t xml:space="preserve">I&amp;E’s main argument against the Settlement provision, at ¶ 97, is that the provision does not commit the Peoples Companies to take any action to assist customers facing service abandonment.  I&amp;E Exc. at 26.  We must reject this argument.  It would be improper and not in the public interest to tie the hands of the Peoples Companies in this proceeding to any type of action, such as an extension of facilities or acquisition of facilities, in future customer abandonment proceedings.  We do not see the value in disallowing the Peoples Companies to properly analyze and consider the unique situations and facts in each individual abandonment proceeding and to determine the appropriate course of action.  Factors to be considered in such analysis may likely include, for example, the costs, the resulting rate impact on the new and existing customers, and any economic test requirements governing line extensions that may be contained in the then-effective tariff terms and conditions relating to customer contributions or advances.  52 Pa. Code § 59.27.  We believe the Settlement provisions are appropriate because </w:t>
      </w:r>
      <w:r w:rsidRPr="00C92186">
        <w:rPr>
          <w:rFonts w:eastAsia="SimSun"/>
          <w:sz w:val="26"/>
          <w:szCs w:val="26"/>
        </w:rPr>
        <w:t xml:space="preserve">they memorialize the past practice of the Peoples Companies to examine customer abandonments and potential remedies without unreasonably forcing the Peoples Companies to extend or acquire facilities without the opportunity to make an appropriate decision based on a proper analysis, consideration and weighing of all pertinent facts.  Settlement at ¶ 97; </w:t>
      </w:r>
      <w:r w:rsidRPr="00C92186">
        <w:rPr>
          <w:rFonts w:eastAsia="SimSun"/>
          <w:i/>
          <w:iCs/>
          <w:sz w:val="26"/>
          <w:szCs w:val="26"/>
        </w:rPr>
        <w:t>see also</w:t>
      </w:r>
      <w:r w:rsidRPr="00C92186">
        <w:rPr>
          <w:rFonts w:eastAsia="SimSun"/>
          <w:sz w:val="26"/>
          <w:szCs w:val="26"/>
        </w:rPr>
        <w:t xml:space="preserve"> Joint Applicants St. 6-R at 14-15; OCA St. 4-SR at 4.  </w:t>
      </w:r>
    </w:p>
    <w:p w14:paraId="2684AD17" w14:textId="77777777" w:rsidR="00C92186" w:rsidRPr="00C92186" w:rsidRDefault="00C92186" w:rsidP="00B24187">
      <w:pPr>
        <w:widowControl/>
        <w:spacing w:line="360" w:lineRule="auto"/>
        <w:ind w:firstLine="1440"/>
        <w:rPr>
          <w:rFonts w:eastAsia="SimSun"/>
          <w:sz w:val="26"/>
          <w:szCs w:val="26"/>
        </w:rPr>
      </w:pPr>
    </w:p>
    <w:p w14:paraId="4AF10C9E" w14:textId="77777777" w:rsidR="00C92186" w:rsidRPr="00C92186" w:rsidRDefault="00C92186" w:rsidP="00B24187">
      <w:pPr>
        <w:widowControl/>
        <w:spacing w:line="360" w:lineRule="auto"/>
        <w:ind w:firstLine="1440"/>
        <w:rPr>
          <w:rFonts w:eastAsia="SimSun"/>
          <w:sz w:val="26"/>
          <w:szCs w:val="26"/>
        </w:rPr>
      </w:pPr>
      <w:r w:rsidRPr="00C92186">
        <w:rPr>
          <w:sz w:val="26"/>
          <w:szCs w:val="26"/>
        </w:rPr>
        <w:t xml:space="preserve">In addition, we reject I&amp;E’s argument that these commitments will harm ratepayers in the form of increased litigation expenses recovered in utility rates.  I&amp;E Exc. at 26.  First, there is no evidence in the record to support I&amp;E’s argument.  </w:t>
      </w:r>
      <w:r w:rsidRPr="00C92186">
        <w:rPr>
          <w:i/>
          <w:iCs/>
          <w:sz w:val="26"/>
          <w:szCs w:val="26"/>
        </w:rPr>
        <w:t>See</w:t>
      </w:r>
      <w:r w:rsidRPr="00C92186">
        <w:rPr>
          <w:sz w:val="26"/>
          <w:szCs w:val="26"/>
        </w:rPr>
        <w:t xml:space="preserve"> OCA R. Exc. at 10-11.  Second, as the ALJ correctly reasoned, the reasonableness of any additional costs to ratepayers and related recovery thereof can be addressed by the </w:t>
      </w:r>
      <w:r w:rsidRPr="00C92186">
        <w:rPr>
          <w:sz w:val="26"/>
          <w:szCs w:val="26"/>
        </w:rPr>
        <w:lastRenderedPageBreak/>
        <w:t xml:space="preserve">statutory advocates in future base rate proceedings.  R.D. at 96.  </w:t>
      </w:r>
      <w:r w:rsidRPr="00C92186">
        <w:rPr>
          <w:rFonts w:eastAsia="SimSun"/>
          <w:sz w:val="26"/>
          <w:szCs w:val="26"/>
        </w:rPr>
        <w:t xml:space="preserve">We find that the Settlement provision, at ¶ 97, is in the public interest </w:t>
      </w:r>
      <w:r w:rsidRPr="00C92186">
        <w:rPr>
          <w:sz w:val="26"/>
          <w:szCs w:val="26"/>
        </w:rPr>
        <w:t xml:space="preserve">as it ensures that the Peoples Companies’ important role will continue, as appropriate, in addressing troubled gas systems in Pennsylvania.  </w:t>
      </w:r>
      <w:r w:rsidRPr="00C92186">
        <w:rPr>
          <w:rFonts w:eastAsia="SimSun"/>
          <w:i/>
          <w:iCs/>
          <w:sz w:val="26"/>
          <w:szCs w:val="26"/>
        </w:rPr>
        <w:t>See</w:t>
      </w:r>
      <w:r w:rsidRPr="00C92186">
        <w:rPr>
          <w:rFonts w:eastAsia="SimSun"/>
          <w:sz w:val="26"/>
          <w:szCs w:val="26"/>
        </w:rPr>
        <w:t xml:space="preserve"> Joint Applicants St. 6-R at 14-15 OCA St. 4-SR at 4.  </w:t>
      </w:r>
    </w:p>
    <w:p w14:paraId="1C7DEB42" w14:textId="77777777" w:rsidR="00C92186" w:rsidRPr="00C92186" w:rsidRDefault="00C92186" w:rsidP="00B24187">
      <w:pPr>
        <w:widowControl/>
        <w:spacing w:line="360" w:lineRule="auto"/>
        <w:ind w:firstLine="1440"/>
        <w:rPr>
          <w:rFonts w:eastAsia="SimSun"/>
          <w:sz w:val="26"/>
          <w:szCs w:val="26"/>
        </w:rPr>
      </w:pPr>
    </w:p>
    <w:p w14:paraId="25B6FEFF" w14:textId="2E5509C8" w:rsidR="00C92186" w:rsidRDefault="00C92186" w:rsidP="00B24187">
      <w:pPr>
        <w:widowControl/>
        <w:spacing w:line="360" w:lineRule="auto"/>
        <w:ind w:firstLine="1440"/>
        <w:rPr>
          <w:sz w:val="26"/>
          <w:szCs w:val="26"/>
        </w:rPr>
      </w:pPr>
      <w:r w:rsidRPr="00C92186">
        <w:rPr>
          <w:sz w:val="26"/>
          <w:szCs w:val="26"/>
          <w:lang w:val="en"/>
        </w:rPr>
        <w:t>F</w:t>
      </w:r>
      <w:r w:rsidRPr="00C92186">
        <w:rPr>
          <w:sz w:val="26"/>
          <w:szCs w:val="26"/>
        </w:rPr>
        <w:t xml:space="preserve">or all the foregoing reasons, we shall approve the Settlement provisions, at ¶¶ 53 and 97, as being in the public interest and concur with the ALJ that these commitments support approval of the Proposed Transaction and </w:t>
      </w:r>
      <w:r w:rsidR="00612BC3">
        <w:rPr>
          <w:sz w:val="26"/>
          <w:szCs w:val="26"/>
        </w:rPr>
        <w:t xml:space="preserve">the </w:t>
      </w:r>
      <w:r w:rsidRPr="00C92186">
        <w:rPr>
          <w:sz w:val="26"/>
          <w:szCs w:val="26"/>
        </w:rPr>
        <w:t xml:space="preserve">Settlement as a whole. </w:t>
      </w:r>
    </w:p>
    <w:p w14:paraId="75B460D6" w14:textId="77777777" w:rsidR="00D66EA5" w:rsidRPr="00364103" w:rsidRDefault="00D66EA5" w:rsidP="002E1D97">
      <w:pPr>
        <w:keepNext/>
        <w:widowControl/>
        <w:spacing w:line="360" w:lineRule="auto"/>
        <w:ind w:firstLine="1440"/>
        <w:rPr>
          <w:sz w:val="26"/>
          <w:szCs w:val="26"/>
          <w:lang w:val="en"/>
        </w:rPr>
      </w:pPr>
    </w:p>
    <w:p w14:paraId="4656D97D" w14:textId="77777777" w:rsidR="00C92186" w:rsidRPr="00C92186" w:rsidRDefault="00C92186" w:rsidP="002E1D97">
      <w:pPr>
        <w:pStyle w:val="Heading4"/>
        <w:widowControl/>
        <w:spacing w:line="240" w:lineRule="auto"/>
        <w:ind w:left="2160" w:hanging="720"/>
      </w:pPr>
      <w:bookmarkStart w:id="155" w:name="_Toc29278248"/>
      <w:r w:rsidRPr="00C92186">
        <w:t>Community Connections and Charitable Contributions</w:t>
      </w:r>
      <w:bookmarkEnd w:id="155"/>
      <w:r w:rsidRPr="00C92186">
        <w:t xml:space="preserve">  </w:t>
      </w:r>
    </w:p>
    <w:p w14:paraId="0CE2630F" w14:textId="77777777" w:rsidR="00C92186" w:rsidRPr="005C3145" w:rsidRDefault="00C92186" w:rsidP="002E1D97">
      <w:pPr>
        <w:keepNext/>
        <w:widowControl/>
        <w:spacing w:line="360" w:lineRule="auto"/>
        <w:rPr>
          <w:sz w:val="26"/>
          <w:szCs w:val="26"/>
        </w:rPr>
      </w:pPr>
    </w:p>
    <w:p w14:paraId="63FEF756" w14:textId="77777777" w:rsidR="00C92186" w:rsidRPr="005C3145" w:rsidRDefault="00C740E7" w:rsidP="002E1D97">
      <w:pPr>
        <w:keepNext/>
        <w:widowControl/>
        <w:spacing w:line="360" w:lineRule="auto"/>
        <w:ind w:left="2880" w:hanging="720"/>
        <w:rPr>
          <w:b/>
          <w:bCs/>
          <w:sz w:val="26"/>
          <w:szCs w:val="26"/>
        </w:rPr>
      </w:pPr>
      <w:r w:rsidRPr="005C3145">
        <w:rPr>
          <w:b/>
          <w:bCs/>
          <w:sz w:val="26"/>
          <w:szCs w:val="26"/>
        </w:rPr>
        <w:t>(</w:t>
      </w:r>
      <w:r w:rsidR="005C3145" w:rsidRPr="005C3145">
        <w:rPr>
          <w:b/>
          <w:bCs/>
          <w:sz w:val="26"/>
          <w:szCs w:val="26"/>
        </w:rPr>
        <w:t>1</w:t>
      </w:r>
      <w:r w:rsidRPr="005C3145">
        <w:rPr>
          <w:b/>
          <w:bCs/>
          <w:sz w:val="26"/>
          <w:szCs w:val="26"/>
        </w:rPr>
        <w:t>)</w:t>
      </w:r>
      <w:r w:rsidRPr="005C3145">
        <w:rPr>
          <w:b/>
          <w:bCs/>
          <w:sz w:val="26"/>
          <w:szCs w:val="26"/>
        </w:rPr>
        <w:tab/>
      </w:r>
      <w:r w:rsidR="00C92186" w:rsidRPr="005C3145">
        <w:rPr>
          <w:b/>
          <w:bCs/>
          <w:sz w:val="26"/>
          <w:szCs w:val="26"/>
        </w:rPr>
        <w:t xml:space="preserve">Settlement Terms </w:t>
      </w:r>
    </w:p>
    <w:p w14:paraId="4763839F" w14:textId="77777777" w:rsidR="00C92186" w:rsidRPr="005C3145" w:rsidRDefault="00C92186" w:rsidP="002E1D97">
      <w:pPr>
        <w:keepNext/>
        <w:widowControl/>
        <w:spacing w:line="360" w:lineRule="auto"/>
        <w:rPr>
          <w:rFonts w:eastAsia="SimSun"/>
          <w:sz w:val="26"/>
          <w:szCs w:val="26"/>
        </w:rPr>
      </w:pPr>
    </w:p>
    <w:p w14:paraId="4FBD3B62" w14:textId="77777777" w:rsidR="00C92186" w:rsidRPr="00C92186" w:rsidRDefault="00C92186" w:rsidP="002E1D97">
      <w:pPr>
        <w:keepNext/>
        <w:widowControl/>
        <w:spacing w:line="360" w:lineRule="auto"/>
        <w:ind w:firstLine="1440"/>
        <w:rPr>
          <w:sz w:val="26"/>
          <w:szCs w:val="26"/>
        </w:rPr>
      </w:pPr>
      <w:r w:rsidRPr="00C92186">
        <w:rPr>
          <w:sz w:val="26"/>
          <w:szCs w:val="26"/>
        </w:rPr>
        <w:t xml:space="preserve">The Settlement provides as follows: </w:t>
      </w:r>
    </w:p>
    <w:p w14:paraId="299C0987" w14:textId="77777777" w:rsidR="00C92186" w:rsidRPr="00C92186" w:rsidRDefault="00C92186" w:rsidP="002E1D97">
      <w:pPr>
        <w:keepNext/>
        <w:widowControl/>
        <w:spacing w:line="360" w:lineRule="auto"/>
        <w:ind w:firstLine="1440"/>
        <w:rPr>
          <w:sz w:val="26"/>
          <w:szCs w:val="26"/>
        </w:rPr>
      </w:pPr>
    </w:p>
    <w:p w14:paraId="62263B3C" w14:textId="77777777" w:rsidR="00C92186" w:rsidRPr="00C92186" w:rsidRDefault="00C92186" w:rsidP="002E1D97">
      <w:pPr>
        <w:keepNext/>
        <w:widowControl/>
        <w:ind w:left="1440" w:right="1440"/>
        <w:rPr>
          <w:sz w:val="26"/>
          <w:szCs w:val="26"/>
        </w:rPr>
      </w:pPr>
      <w:r w:rsidRPr="00C92186">
        <w:rPr>
          <w:sz w:val="26"/>
          <w:szCs w:val="26"/>
        </w:rPr>
        <w:t>112.</w:t>
      </w:r>
      <w:r w:rsidRPr="00C92186">
        <w:rPr>
          <w:sz w:val="26"/>
          <w:szCs w:val="26"/>
        </w:rPr>
        <w:tab/>
        <w:t xml:space="preserve">The Peoples Companies will continue to comply with the Commission’s diversity policy, 52 Pa. Code Section 69.801-69.809. </w:t>
      </w:r>
    </w:p>
    <w:p w14:paraId="6FBB59AA" w14:textId="77777777" w:rsidR="00C92186" w:rsidRPr="00C92186" w:rsidRDefault="00C92186" w:rsidP="00B24187">
      <w:pPr>
        <w:widowControl/>
        <w:ind w:left="1440" w:right="1440"/>
        <w:rPr>
          <w:sz w:val="26"/>
          <w:szCs w:val="26"/>
        </w:rPr>
      </w:pPr>
    </w:p>
    <w:p w14:paraId="016BCC0B" w14:textId="3CA173CD" w:rsidR="00C92186" w:rsidRPr="00C92186" w:rsidRDefault="00C92186" w:rsidP="00B24187">
      <w:pPr>
        <w:widowControl/>
        <w:ind w:left="1440" w:right="1440"/>
        <w:rPr>
          <w:sz w:val="26"/>
          <w:szCs w:val="26"/>
        </w:rPr>
      </w:pPr>
      <w:r w:rsidRPr="00C92186">
        <w:rPr>
          <w:sz w:val="26"/>
          <w:szCs w:val="26"/>
        </w:rPr>
        <w:t>113.</w:t>
      </w:r>
      <w:r w:rsidRPr="00C92186">
        <w:rPr>
          <w:sz w:val="26"/>
          <w:szCs w:val="26"/>
        </w:rPr>
        <w:tab/>
        <w:t xml:space="preserve">Aqua America commits to spending at least one half of one percent of </w:t>
      </w:r>
      <w:r w:rsidR="003A591D" w:rsidRPr="00C92186">
        <w:rPr>
          <w:sz w:val="26"/>
          <w:szCs w:val="26"/>
        </w:rPr>
        <w:t>pretax</w:t>
      </w:r>
      <w:r w:rsidRPr="00C92186">
        <w:rPr>
          <w:sz w:val="26"/>
          <w:szCs w:val="26"/>
        </w:rPr>
        <w:t xml:space="preserve"> net income each year for charitable contributions with a goal of spending one percent of pretax net income for charitable contributions annually by the fifth anniversary of the closing.  The Peoples Companies shall commit to spending at least $2.7 million annually in corporate contributions for a period of not less than 5 years. </w:t>
      </w:r>
    </w:p>
    <w:p w14:paraId="1F7F6A16" w14:textId="77777777" w:rsidR="00C92186" w:rsidRPr="00C92186" w:rsidRDefault="00C92186" w:rsidP="00B24187">
      <w:pPr>
        <w:widowControl/>
        <w:ind w:left="1440" w:right="1440"/>
        <w:rPr>
          <w:sz w:val="26"/>
          <w:szCs w:val="26"/>
        </w:rPr>
      </w:pPr>
    </w:p>
    <w:p w14:paraId="76158849" w14:textId="77777777" w:rsidR="00C92186" w:rsidRPr="00C92186" w:rsidRDefault="00C92186" w:rsidP="00B24187">
      <w:pPr>
        <w:widowControl/>
        <w:ind w:left="1440" w:right="1440"/>
        <w:rPr>
          <w:sz w:val="26"/>
          <w:szCs w:val="26"/>
        </w:rPr>
      </w:pPr>
      <w:r w:rsidRPr="00C92186">
        <w:rPr>
          <w:sz w:val="26"/>
          <w:szCs w:val="26"/>
        </w:rPr>
        <w:t>114.</w:t>
      </w:r>
      <w:r w:rsidRPr="00C92186">
        <w:rPr>
          <w:sz w:val="26"/>
          <w:szCs w:val="26"/>
        </w:rPr>
        <w:tab/>
        <w:t>Aqua America will file an annual report of these contributions with the OCA, I&amp;E, and OSBA each year for five years and these contributions shall not be recovered in rates.</w:t>
      </w:r>
    </w:p>
    <w:p w14:paraId="331A4A00" w14:textId="77777777" w:rsidR="00C92186" w:rsidRPr="00C92186" w:rsidRDefault="00C92186" w:rsidP="00B24187">
      <w:pPr>
        <w:widowControl/>
        <w:spacing w:line="360" w:lineRule="auto"/>
        <w:rPr>
          <w:sz w:val="26"/>
          <w:szCs w:val="26"/>
        </w:rPr>
      </w:pPr>
    </w:p>
    <w:p w14:paraId="1295AC68" w14:textId="77777777" w:rsidR="00C92186" w:rsidRPr="00C92186" w:rsidRDefault="00C92186" w:rsidP="00B24187">
      <w:pPr>
        <w:widowControl/>
        <w:rPr>
          <w:sz w:val="26"/>
          <w:szCs w:val="26"/>
        </w:rPr>
      </w:pPr>
      <w:r w:rsidRPr="00C92186">
        <w:rPr>
          <w:sz w:val="26"/>
          <w:szCs w:val="26"/>
        </w:rPr>
        <w:t>Settlement at ¶¶ 112-114.</w:t>
      </w:r>
    </w:p>
    <w:p w14:paraId="1303D36C" w14:textId="77777777" w:rsidR="00C92186" w:rsidRPr="005C3145" w:rsidRDefault="00C92186" w:rsidP="00B24187">
      <w:pPr>
        <w:widowControl/>
        <w:spacing w:line="360" w:lineRule="auto"/>
        <w:rPr>
          <w:sz w:val="26"/>
          <w:szCs w:val="26"/>
        </w:rPr>
      </w:pPr>
    </w:p>
    <w:p w14:paraId="14D28E35" w14:textId="77777777" w:rsidR="00C92186" w:rsidRPr="005C3145" w:rsidRDefault="00C740E7" w:rsidP="00364103">
      <w:pPr>
        <w:keepNext/>
        <w:widowControl/>
        <w:spacing w:line="360" w:lineRule="auto"/>
        <w:ind w:left="2880" w:hanging="720"/>
        <w:rPr>
          <w:b/>
          <w:bCs/>
          <w:sz w:val="26"/>
          <w:szCs w:val="26"/>
        </w:rPr>
      </w:pPr>
      <w:r w:rsidRPr="005C3145">
        <w:rPr>
          <w:b/>
          <w:bCs/>
          <w:sz w:val="26"/>
          <w:szCs w:val="26"/>
        </w:rPr>
        <w:lastRenderedPageBreak/>
        <w:t>(</w:t>
      </w:r>
      <w:r w:rsidR="005C3145">
        <w:rPr>
          <w:b/>
          <w:bCs/>
          <w:sz w:val="26"/>
          <w:szCs w:val="26"/>
        </w:rPr>
        <w:t>2</w:t>
      </w:r>
      <w:r w:rsidRPr="005C3145">
        <w:rPr>
          <w:b/>
          <w:bCs/>
          <w:sz w:val="26"/>
          <w:szCs w:val="26"/>
        </w:rPr>
        <w:t>)</w:t>
      </w:r>
      <w:r w:rsidRPr="005C3145">
        <w:rPr>
          <w:b/>
          <w:bCs/>
          <w:sz w:val="26"/>
          <w:szCs w:val="26"/>
        </w:rPr>
        <w:tab/>
      </w:r>
      <w:r w:rsidR="00C92186" w:rsidRPr="005C3145">
        <w:rPr>
          <w:b/>
          <w:bCs/>
          <w:sz w:val="26"/>
          <w:szCs w:val="26"/>
        </w:rPr>
        <w:t xml:space="preserve">Positions of the Parties </w:t>
      </w:r>
    </w:p>
    <w:p w14:paraId="6CA65507" w14:textId="77777777" w:rsidR="00C92186" w:rsidRPr="005C3145" w:rsidRDefault="00C92186" w:rsidP="00364103">
      <w:pPr>
        <w:keepNext/>
        <w:widowControl/>
        <w:spacing w:line="360" w:lineRule="auto"/>
        <w:rPr>
          <w:sz w:val="26"/>
          <w:szCs w:val="26"/>
        </w:rPr>
      </w:pPr>
    </w:p>
    <w:p w14:paraId="4418DC36" w14:textId="61F40C7B" w:rsidR="00C92186" w:rsidRPr="00C92186" w:rsidRDefault="00C92186" w:rsidP="00364103">
      <w:pPr>
        <w:keepNext/>
        <w:widowControl/>
        <w:spacing w:line="360" w:lineRule="auto"/>
        <w:ind w:firstLine="1440"/>
        <w:rPr>
          <w:sz w:val="26"/>
          <w:szCs w:val="26"/>
        </w:rPr>
      </w:pPr>
      <w:r w:rsidRPr="00C92186">
        <w:rPr>
          <w:rFonts w:eastAsia="SimSun"/>
          <w:sz w:val="26"/>
          <w:szCs w:val="26"/>
        </w:rPr>
        <w:t>According to the Joint Applicants, the Settlement not only affirms existing commitments to the community but builds upon them.</w:t>
      </w:r>
      <w:r w:rsidRPr="00C92186">
        <w:rPr>
          <w:rFonts w:eastAsia="SimSun"/>
          <w:szCs w:val="26"/>
          <w:vertAlign w:val="superscript"/>
        </w:rPr>
        <w:footnoteReference w:id="39"/>
      </w:r>
      <w:r w:rsidRPr="00C92186">
        <w:rPr>
          <w:rFonts w:eastAsia="SimSun"/>
          <w:sz w:val="26"/>
          <w:szCs w:val="26"/>
        </w:rPr>
        <w:t xml:space="preserve">  Joint Applicants Statement in Support at 31 (citing </w:t>
      </w:r>
      <w:r w:rsidRPr="00C92186">
        <w:rPr>
          <w:sz w:val="26"/>
          <w:szCs w:val="26"/>
        </w:rPr>
        <w:t xml:space="preserve">Settlement at ¶¶ 112-114).  </w:t>
      </w:r>
      <w:r w:rsidRPr="00C92186">
        <w:rPr>
          <w:rFonts w:eastAsia="SimSun"/>
          <w:sz w:val="26"/>
          <w:szCs w:val="26"/>
        </w:rPr>
        <w:t>In particular, Aqua America will commit to increasing the percentage of pre</w:t>
      </w:r>
      <w:r w:rsidRPr="00C92186">
        <w:rPr>
          <w:rFonts w:eastAsia="SimSun"/>
          <w:sz w:val="26"/>
          <w:szCs w:val="26"/>
        </w:rPr>
        <w:noBreakHyphen/>
        <w:t xml:space="preserve">tax net income provided as charitable contributions over present levels and maintain the corporate contributions of the Peoples Companies at present levels for not less than five years.  Joint Applicants Statement in Support at 31-32 (citing </w:t>
      </w:r>
      <w:r w:rsidRPr="00C92186">
        <w:rPr>
          <w:sz w:val="26"/>
          <w:szCs w:val="26"/>
        </w:rPr>
        <w:t xml:space="preserve">Settlement at ¶ 113).  </w:t>
      </w:r>
      <w:r w:rsidR="00612BC3">
        <w:rPr>
          <w:sz w:val="26"/>
          <w:szCs w:val="26"/>
        </w:rPr>
        <w:t xml:space="preserve">Although </w:t>
      </w:r>
      <w:r w:rsidR="00612BC3">
        <w:rPr>
          <w:rFonts w:eastAsia="SimSun"/>
          <w:sz w:val="26"/>
          <w:szCs w:val="26"/>
        </w:rPr>
        <w:t>t</w:t>
      </w:r>
      <w:r w:rsidRPr="00C92186">
        <w:rPr>
          <w:rFonts w:eastAsia="SimSun"/>
          <w:sz w:val="26"/>
          <w:szCs w:val="26"/>
        </w:rPr>
        <w:t xml:space="preserve">he Peoples Companies’ commitments to provide specified levels of charitable contributions expire after </w:t>
      </w:r>
      <w:r w:rsidR="003A591D" w:rsidRPr="00C92186">
        <w:rPr>
          <w:rFonts w:eastAsia="SimSun"/>
          <w:sz w:val="26"/>
          <w:szCs w:val="26"/>
        </w:rPr>
        <w:t>2019</w:t>
      </w:r>
      <w:r w:rsidR="003A591D">
        <w:rPr>
          <w:rFonts w:eastAsia="SimSun"/>
          <w:sz w:val="26"/>
          <w:szCs w:val="26"/>
        </w:rPr>
        <w:t>,</w:t>
      </w:r>
      <w:r w:rsidR="003A591D" w:rsidRPr="00C92186">
        <w:rPr>
          <w:rFonts w:eastAsia="SimSun"/>
          <w:sz w:val="26"/>
          <w:szCs w:val="26"/>
        </w:rPr>
        <w:t xml:space="preserve"> the</w:t>
      </w:r>
      <w:r w:rsidRPr="00C92186">
        <w:rPr>
          <w:sz w:val="26"/>
          <w:szCs w:val="26"/>
        </w:rPr>
        <w:t xml:space="preserve"> Peoples Companies’ expiring commitments will be maintained post-closing.  </w:t>
      </w:r>
      <w:r w:rsidR="00612BC3" w:rsidRPr="00C92186">
        <w:rPr>
          <w:i/>
          <w:sz w:val="26"/>
          <w:szCs w:val="26"/>
        </w:rPr>
        <w:t xml:space="preserve">See </w:t>
      </w:r>
      <w:r w:rsidR="00612BC3" w:rsidRPr="00C92186">
        <w:rPr>
          <w:sz w:val="26"/>
          <w:szCs w:val="26"/>
        </w:rPr>
        <w:t xml:space="preserve">Settlement Parties Exh. 2 at 9.  </w:t>
      </w:r>
      <w:r w:rsidRPr="00C92186">
        <w:rPr>
          <w:sz w:val="26"/>
          <w:szCs w:val="26"/>
        </w:rPr>
        <w:t xml:space="preserve">The Joint Applicants assert that affirmative public benefits will result by maintaining and/or improving upon existing commitments in the communities served by the Joint Applicants.  Joint Applicants Statement in Support at 32.  </w:t>
      </w:r>
    </w:p>
    <w:p w14:paraId="08C4E866" w14:textId="77777777" w:rsidR="00C92186" w:rsidRPr="00C92186" w:rsidRDefault="00C92186" w:rsidP="00B24187">
      <w:pPr>
        <w:widowControl/>
        <w:spacing w:line="360" w:lineRule="auto"/>
        <w:ind w:firstLine="1440"/>
        <w:rPr>
          <w:sz w:val="26"/>
          <w:szCs w:val="26"/>
        </w:rPr>
      </w:pPr>
    </w:p>
    <w:p w14:paraId="0514504C" w14:textId="5A9B2E16" w:rsidR="00C92186" w:rsidRPr="00C92186" w:rsidRDefault="00C92186" w:rsidP="00B24187">
      <w:pPr>
        <w:widowControl/>
        <w:spacing w:line="360" w:lineRule="auto"/>
        <w:ind w:firstLine="1440"/>
        <w:rPr>
          <w:sz w:val="26"/>
          <w:szCs w:val="26"/>
        </w:rPr>
      </w:pPr>
      <w:r w:rsidRPr="00C92186">
        <w:rPr>
          <w:rFonts w:eastAsia="SimSun"/>
          <w:sz w:val="26"/>
          <w:szCs w:val="26"/>
        </w:rPr>
        <w:t xml:space="preserve">In direct testimony, the OCA’s witness testified that pre-closing levels of charitable contributions and community support should be maintained or increased post-closing.  OCA St. 2 at 65-66.  The OCA’s witness recommended that, for ten years post-closing, the Joint Applicants should contribute at least their highest annual amount during the five years pre-closing to public 501(c)(3) charities; that such contributions be reported; and that such contributions not be recovered through rates.  OCA St. at 66.  In </w:t>
      </w:r>
      <w:r w:rsidRPr="00C92186">
        <w:rPr>
          <w:rFonts w:eastAsia="SimSun"/>
          <w:sz w:val="26"/>
          <w:szCs w:val="26"/>
        </w:rPr>
        <w:lastRenderedPageBreak/>
        <w:t xml:space="preserve">surrebuttal testimony, the OCA witness indicated that the Joint Applicants had not yet committed to a minimum level of charitable contributions for any specific period of time post-closing.  OCA St. 2-SR at 10-11.  </w:t>
      </w:r>
      <w:r w:rsidRPr="00C92186">
        <w:rPr>
          <w:sz w:val="26"/>
          <w:szCs w:val="26"/>
        </w:rPr>
        <w:t>The OCA submits that the Settlement provisions, at ¶¶ 112-114, are in the public interest because they commit Aqua America and the Peoples Companies to specified charitable contributions amounts and to report these contributions to the statutory advocates each year for at least five years post-closing.  The OCA submits that, importantly, the provisions prohibit the Joint Applicants from recovering charitable contributions through customer rates.  OCA Statement in Support at</w:t>
      </w:r>
      <w:r w:rsidR="00364103">
        <w:rPr>
          <w:sz w:val="26"/>
          <w:szCs w:val="26"/>
        </w:rPr>
        <w:t> </w:t>
      </w:r>
      <w:r w:rsidRPr="00C92186">
        <w:rPr>
          <w:sz w:val="26"/>
          <w:szCs w:val="26"/>
        </w:rPr>
        <w:t xml:space="preserve">34. </w:t>
      </w:r>
    </w:p>
    <w:p w14:paraId="775932C5" w14:textId="77777777" w:rsidR="00C92186" w:rsidRPr="00C92186" w:rsidRDefault="00C92186" w:rsidP="00B24187">
      <w:pPr>
        <w:widowControl/>
        <w:spacing w:line="360" w:lineRule="auto"/>
        <w:ind w:firstLine="1440"/>
        <w:rPr>
          <w:sz w:val="26"/>
          <w:szCs w:val="26"/>
        </w:rPr>
      </w:pPr>
    </w:p>
    <w:p w14:paraId="33FDB47E" w14:textId="77777777" w:rsidR="00C92186" w:rsidRPr="00C92186" w:rsidRDefault="00C92186" w:rsidP="00B24187">
      <w:pPr>
        <w:widowControl/>
        <w:spacing w:line="360" w:lineRule="auto"/>
        <w:ind w:firstLine="1440"/>
        <w:rPr>
          <w:rFonts w:eastAsia="SimSun"/>
          <w:sz w:val="26"/>
          <w:szCs w:val="26"/>
        </w:rPr>
      </w:pPr>
      <w:r w:rsidRPr="00C92186">
        <w:rPr>
          <w:sz w:val="26"/>
          <w:szCs w:val="26"/>
        </w:rPr>
        <w:t>In direct testimony, CAUSE-PA’s witness pointed out that the Peoples Companies have been “a good corporate neighbor to many local nonprofits through its financial and corporate sponsorship over the years,” opining that such support should, at a minimum, continue post-closing.  CAUSE-PA Statement in Support at 15 (citing CAUSE-PA St. 1 at 5, 27-28).  CAUSE-PA submits that the commitments at ¶¶ 112-114 are in the public interest because they help ensure that the Peoples Companies’ established community presence will be maintained post-closing and provide direct financial benefit to the local community.</w:t>
      </w:r>
    </w:p>
    <w:p w14:paraId="2702023E" w14:textId="77777777" w:rsidR="00C92186" w:rsidRPr="005C3145" w:rsidRDefault="00C92186" w:rsidP="00B24187">
      <w:pPr>
        <w:widowControl/>
        <w:spacing w:line="360" w:lineRule="auto"/>
        <w:rPr>
          <w:sz w:val="26"/>
          <w:szCs w:val="26"/>
        </w:rPr>
      </w:pPr>
    </w:p>
    <w:p w14:paraId="131CCE68" w14:textId="615C82A6" w:rsidR="00C92186" w:rsidRPr="005C3145" w:rsidRDefault="00C740E7" w:rsidP="002E1D97">
      <w:pPr>
        <w:keepNext/>
        <w:widowControl/>
        <w:spacing w:line="360" w:lineRule="auto"/>
        <w:ind w:left="2880" w:hanging="720"/>
        <w:rPr>
          <w:b/>
          <w:bCs/>
          <w:sz w:val="26"/>
          <w:szCs w:val="26"/>
        </w:rPr>
      </w:pPr>
      <w:r w:rsidRPr="005C3145">
        <w:rPr>
          <w:b/>
          <w:bCs/>
          <w:sz w:val="26"/>
          <w:szCs w:val="26"/>
        </w:rPr>
        <w:t>(</w:t>
      </w:r>
      <w:r w:rsidR="005C3145">
        <w:rPr>
          <w:b/>
          <w:bCs/>
          <w:sz w:val="26"/>
          <w:szCs w:val="26"/>
        </w:rPr>
        <w:t>3</w:t>
      </w:r>
      <w:r w:rsidRPr="005C3145">
        <w:rPr>
          <w:b/>
          <w:bCs/>
          <w:sz w:val="26"/>
          <w:szCs w:val="26"/>
        </w:rPr>
        <w:t>)</w:t>
      </w:r>
      <w:r w:rsidRPr="005C3145">
        <w:rPr>
          <w:b/>
          <w:bCs/>
          <w:sz w:val="26"/>
          <w:szCs w:val="26"/>
        </w:rPr>
        <w:tab/>
      </w:r>
      <w:r w:rsidR="00C92186" w:rsidRPr="005C3145">
        <w:rPr>
          <w:b/>
          <w:bCs/>
          <w:sz w:val="26"/>
          <w:szCs w:val="26"/>
        </w:rPr>
        <w:t>Recommended Decision</w:t>
      </w:r>
    </w:p>
    <w:p w14:paraId="53272301" w14:textId="77777777" w:rsidR="00C92186" w:rsidRPr="005C3145" w:rsidRDefault="00C92186" w:rsidP="002E1D97">
      <w:pPr>
        <w:keepNext/>
        <w:widowControl/>
        <w:spacing w:line="360" w:lineRule="auto"/>
        <w:rPr>
          <w:b/>
          <w:bCs/>
          <w:sz w:val="26"/>
          <w:szCs w:val="26"/>
        </w:rPr>
      </w:pPr>
    </w:p>
    <w:p w14:paraId="1F76B22F" w14:textId="23F3EC54" w:rsidR="00C92186" w:rsidRDefault="00C92186" w:rsidP="002E1D97">
      <w:pPr>
        <w:keepNext/>
        <w:widowControl/>
        <w:spacing w:line="360" w:lineRule="auto"/>
        <w:ind w:firstLine="1440"/>
        <w:rPr>
          <w:sz w:val="26"/>
          <w:szCs w:val="26"/>
        </w:rPr>
      </w:pPr>
      <w:r w:rsidRPr="00C92186">
        <w:rPr>
          <w:rFonts w:eastAsia="SimSun"/>
          <w:sz w:val="26"/>
          <w:szCs w:val="26"/>
        </w:rPr>
        <w:t xml:space="preserve">The ALJ stated that these commitments in the Settlement will affirmatively benefit the public by maintaining and improving upon the Joint Applicants’ existing commitments and involvement in the communities they serve.  R.D. at 97.  The ALJ cited to a previous Commission merger approval where certain commitments to charitable contributions, when viewed as a whole, were found to provide substantial, affirmative public benefits because such commitments were not otherwise required.  R.D. at 97 (citing </w:t>
      </w:r>
      <w:r w:rsidRPr="00C92186">
        <w:rPr>
          <w:i/>
          <w:iCs/>
          <w:sz w:val="26"/>
          <w:szCs w:val="26"/>
        </w:rPr>
        <w:t xml:space="preserve">Joint Application of PECO Energy Company and Public Service Electric and Gas Company for Approval of the Merger of Public Service Enterprise Group Incorporated </w:t>
      </w:r>
      <w:r w:rsidRPr="00C92186">
        <w:rPr>
          <w:i/>
          <w:iCs/>
          <w:sz w:val="26"/>
          <w:szCs w:val="26"/>
        </w:rPr>
        <w:lastRenderedPageBreak/>
        <w:t>with and into Exelon</w:t>
      </w:r>
      <w:r w:rsidRPr="00C92186">
        <w:rPr>
          <w:sz w:val="26"/>
          <w:szCs w:val="26"/>
        </w:rPr>
        <w:t>, Docket No. A-110550F0160 (Order entered February 1, 2006), at 28) (</w:t>
      </w:r>
      <w:r w:rsidRPr="00C92186">
        <w:rPr>
          <w:i/>
          <w:iCs/>
          <w:sz w:val="26"/>
          <w:szCs w:val="26"/>
        </w:rPr>
        <w:t>PECO Energy Co</w:t>
      </w:r>
      <w:r w:rsidRPr="00C92186">
        <w:rPr>
          <w:sz w:val="26"/>
          <w:szCs w:val="26"/>
        </w:rPr>
        <w:t>.).</w:t>
      </w:r>
    </w:p>
    <w:p w14:paraId="5FBE0C49" w14:textId="77777777" w:rsidR="00D66EA5" w:rsidRPr="00C92186" w:rsidRDefault="00D66EA5" w:rsidP="00B24187">
      <w:pPr>
        <w:widowControl/>
        <w:spacing w:line="360" w:lineRule="auto"/>
        <w:ind w:firstLine="1440"/>
        <w:rPr>
          <w:sz w:val="26"/>
          <w:szCs w:val="26"/>
        </w:rPr>
      </w:pPr>
    </w:p>
    <w:p w14:paraId="06AA1208" w14:textId="5D9FA096" w:rsidR="00C92186" w:rsidRPr="005C3145" w:rsidRDefault="000E2616" w:rsidP="007A3861">
      <w:pPr>
        <w:keepNext/>
        <w:widowControl/>
        <w:spacing w:line="360" w:lineRule="auto"/>
        <w:ind w:left="2160"/>
        <w:rPr>
          <w:b/>
          <w:bCs/>
          <w:sz w:val="26"/>
          <w:szCs w:val="26"/>
        </w:rPr>
      </w:pPr>
      <w:r w:rsidRPr="005C3145">
        <w:rPr>
          <w:b/>
          <w:bCs/>
          <w:sz w:val="26"/>
          <w:szCs w:val="26"/>
        </w:rPr>
        <w:t>(</w:t>
      </w:r>
      <w:r w:rsidR="005C3145">
        <w:rPr>
          <w:b/>
          <w:bCs/>
          <w:sz w:val="26"/>
          <w:szCs w:val="26"/>
        </w:rPr>
        <w:t>4</w:t>
      </w:r>
      <w:r w:rsidRPr="005C3145">
        <w:rPr>
          <w:b/>
          <w:bCs/>
          <w:sz w:val="26"/>
          <w:szCs w:val="26"/>
        </w:rPr>
        <w:t>)</w:t>
      </w:r>
      <w:r w:rsidRPr="005C3145">
        <w:rPr>
          <w:b/>
          <w:bCs/>
          <w:sz w:val="26"/>
          <w:szCs w:val="26"/>
        </w:rPr>
        <w:tab/>
      </w:r>
      <w:bookmarkStart w:id="156" w:name="_Hlk28538097"/>
      <w:r w:rsidR="009B2A8F" w:rsidRPr="005C3145">
        <w:rPr>
          <w:b/>
          <w:bCs/>
          <w:sz w:val="26"/>
          <w:szCs w:val="26"/>
        </w:rPr>
        <w:t xml:space="preserve">Exceptions and Replies </w:t>
      </w:r>
      <w:bookmarkEnd w:id="156"/>
    </w:p>
    <w:p w14:paraId="45827208" w14:textId="77777777" w:rsidR="009B2A8F" w:rsidRPr="005C3145" w:rsidRDefault="009B2A8F" w:rsidP="002E1D97">
      <w:pPr>
        <w:keepNext/>
        <w:widowControl/>
        <w:spacing w:line="360" w:lineRule="auto"/>
        <w:rPr>
          <w:sz w:val="26"/>
          <w:szCs w:val="26"/>
        </w:rPr>
      </w:pPr>
    </w:p>
    <w:p w14:paraId="385D6E6E" w14:textId="77777777" w:rsidR="00C92186" w:rsidRPr="00C92186" w:rsidRDefault="00C92186" w:rsidP="002E1D97">
      <w:pPr>
        <w:keepNext/>
        <w:widowControl/>
        <w:spacing w:line="360" w:lineRule="auto"/>
        <w:ind w:firstLine="1440"/>
        <w:rPr>
          <w:sz w:val="26"/>
          <w:szCs w:val="26"/>
        </w:rPr>
      </w:pPr>
      <w:r w:rsidRPr="00C92186">
        <w:rPr>
          <w:sz w:val="26"/>
          <w:szCs w:val="26"/>
        </w:rPr>
        <w:t xml:space="preserve">In I&amp;E’s Exception No. 6, I&amp;E argues that the R.D. did not properly analyze the financial impacts of the costs of other commitments and the lack of control ratepayers have over the charitable contribution commitments in the Settlement.  I&amp;E Exc. at 20 (citing I&amp;E M.B. at 20).  </w:t>
      </w:r>
    </w:p>
    <w:p w14:paraId="73623D69" w14:textId="77777777" w:rsidR="00C92186" w:rsidRPr="00C92186" w:rsidRDefault="00C92186" w:rsidP="00B24187">
      <w:pPr>
        <w:widowControl/>
        <w:spacing w:line="360" w:lineRule="auto"/>
        <w:ind w:firstLine="1440"/>
        <w:rPr>
          <w:sz w:val="26"/>
          <w:szCs w:val="26"/>
        </w:rPr>
      </w:pPr>
    </w:p>
    <w:p w14:paraId="1ADAE1FA" w14:textId="77777777" w:rsidR="00C92186" w:rsidRPr="00C92186" w:rsidRDefault="00C92186" w:rsidP="00B24187">
      <w:pPr>
        <w:widowControl/>
        <w:spacing w:line="360" w:lineRule="auto"/>
        <w:ind w:firstLine="1440"/>
        <w:rPr>
          <w:sz w:val="26"/>
          <w:szCs w:val="26"/>
        </w:rPr>
      </w:pPr>
      <w:r w:rsidRPr="00C92186">
        <w:rPr>
          <w:sz w:val="26"/>
          <w:szCs w:val="26"/>
        </w:rPr>
        <w:t>In the OSBA’s Exception No. 22, the OSBA asserts that these commitments in the Settlement provide no public benefit because there is no evidence that Aqua America’s contributions represent an increase in funding and fall short of maintaining the status quo.  According to the OSBA, the charitable contributions alone will not offset the costs of other commitments.  The OSBA takes issue that Aqua America is committing to charitable contributions rather than committing to alleviate the financial burden to ratepayers that will result from the other commitments (e.g. the costs associated with the G/T Systems remediation and accelerated LTIIP spending).  OSBA Exc. at 30-31.</w:t>
      </w:r>
    </w:p>
    <w:p w14:paraId="5A1BFEF9" w14:textId="77777777" w:rsidR="00C92186" w:rsidRPr="00C92186" w:rsidRDefault="00C92186" w:rsidP="00B24187">
      <w:pPr>
        <w:widowControl/>
        <w:spacing w:line="360" w:lineRule="auto"/>
        <w:ind w:firstLine="1440"/>
        <w:rPr>
          <w:sz w:val="26"/>
          <w:szCs w:val="26"/>
        </w:rPr>
      </w:pPr>
    </w:p>
    <w:p w14:paraId="7F117769" w14:textId="350748A0" w:rsidR="00C92186" w:rsidRPr="00C92186" w:rsidRDefault="00C92186" w:rsidP="00B24187">
      <w:pPr>
        <w:widowControl/>
        <w:spacing w:line="360" w:lineRule="auto"/>
        <w:ind w:firstLine="1440"/>
        <w:rPr>
          <w:sz w:val="26"/>
          <w:szCs w:val="26"/>
        </w:rPr>
      </w:pPr>
      <w:r w:rsidRPr="00C92186">
        <w:rPr>
          <w:sz w:val="26"/>
          <w:szCs w:val="26"/>
        </w:rPr>
        <w:t xml:space="preserve">In Replies, the Joint Applicants argue that the R.D. properly recognized that these charitable contributions are not </w:t>
      </w:r>
      <w:r w:rsidR="003A591D" w:rsidRPr="00C92186">
        <w:rPr>
          <w:sz w:val="26"/>
          <w:szCs w:val="26"/>
        </w:rPr>
        <w:t xml:space="preserve">required </w:t>
      </w:r>
      <w:r w:rsidR="003A591D">
        <w:rPr>
          <w:sz w:val="26"/>
          <w:szCs w:val="26"/>
        </w:rPr>
        <w:t>except</w:t>
      </w:r>
      <w:r w:rsidRPr="00C92186">
        <w:rPr>
          <w:sz w:val="26"/>
          <w:szCs w:val="26"/>
        </w:rPr>
        <w:t xml:space="preserve"> for the Settlement.  Joint Applicants R. Exc. at 22.</w:t>
      </w:r>
      <w:r w:rsidR="003A591D">
        <w:rPr>
          <w:sz w:val="26"/>
          <w:szCs w:val="26"/>
        </w:rPr>
        <w:t xml:space="preserve">  </w:t>
      </w:r>
      <w:r w:rsidRPr="00C92186">
        <w:rPr>
          <w:sz w:val="26"/>
          <w:szCs w:val="26"/>
        </w:rPr>
        <w:t xml:space="preserve">Furthermore, the Joint Applicants submit that I&amp;E’s argument that ratepayers “have no say” on which charities receive funds is irrelevant.  I&amp;E cites </w:t>
      </w:r>
      <w:r w:rsidR="00612BC3">
        <w:rPr>
          <w:sz w:val="26"/>
          <w:szCs w:val="26"/>
        </w:rPr>
        <w:t xml:space="preserve">to </w:t>
      </w:r>
      <w:r w:rsidRPr="00C92186">
        <w:rPr>
          <w:sz w:val="26"/>
          <w:szCs w:val="26"/>
        </w:rPr>
        <w:t xml:space="preserve">no precedent that imposes this requirement.  The record is clear that these charitable contributions will benefit the areas where the Peoples Companies and Aqua PA serve, thus benefitting customers.  </w:t>
      </w:r>
      <w:r w:rsidR="00046D9C">
        <w:rPr>
          <w:sz w:val="26"/>
          <w:szCs w:val="26"/>
        </w:rPr>
        <w:t xml:space="preserve">Joint Applicants </w:t>
      </w:r>
      <w:r w:rsidRPr="00C92186">
        <w:rPr>
          <w:sz w:val="26"/>
          <w:szCs w:val="26"/>
        </w:rPr>
        <w:t xml:space="preserve">R. Exc. at 22 (citing Joint Applicants M.B. at 28-29).  In addition, the Joint Applicants assert that the OSBA’s argument that the charitable contributions alone will not offset the costs of other commitments is flawed.  </w:t>
      </w:r>
      <w:r w:rsidRPr="00C92186">
        <w:rPr>
          <w:sz w:val="26"/>
          <w:szCs w:val="26"/>
        </w:rPr>
        <w:lastRenderedPageBreak/>
        <w:t>The Joint Applicants assert that the OSBA continues to attempt to compare one benefit of the Settlement to certain of the alleged “costs” of the transaction.  The Joint Applicants assert that the R.D. properly analyzed the Proposed Transaction and Settlement as a whole.  Joint Applicants R. Exc. at 22 (citing R.D. at 41, 102-103).  The Joint Applicant requests the OSBA’s Exception be denied.  Joint Applicants R. Exc. at 21.</w:t>
      </w:r>
    </w:p>
    <w:p w14:paraId="5C1EF8FE" w14:textId="77777777" w:rsidR="00C92186" w:rsidRPr="00C92186" w:rsidRDefault="00C92186" w:rsidP="00B24187">
      <w:pPr>
        <w:widowControl/>
        <w:spacing w:line="360" w:lineRule="auto"/>
        <w:ind w:firstLine="1440"/>
        <w:rPr>
          <w:sz w:val="26"/>
          <w:szCs w:val="26"/>
        </w:rPr>
      </w:pPr>
    </w:p>
    <w:p w14:paraId="2B43203C" w14:textId="12351304" w:rsidR="00C92186" w:rsidRPr="00C92186" w:rsidRDefault="00C92186" w:rsidP="00B24187">
      <w:pPr>
        <w:widowControl/>
        <w:spacing w:line="360" w:lineRule="auto"/>
        <w:ind w:firstLine="1440"/>
        <w:rPr>
          <w:sz w:val="26"/>
          <w:szCs w:val="26"/>
        </w:rPr>
      </w:pPr>
      <w:r w:rsidRPr="00C92186">
        <w:rPr>
          <w:sz w:val="26"/>
          <w:szCs w:val="26"/>
        </w:rPr>
        <w:t xml:space="preserve">In its Replies, the OCA argues that the OSBA’s Exception is misplaced.  OCA R. Exc. at 19-20.  The OCA points to the following ALJ statement: “These commitments will affirmatively benefit the public by maintaining and/or improving upon the Joint Applicants’ existing commitments and involvement in the communities they serve.”  R.D. at 97.  The OCA cites to </w:t>
      </w:r>
      <w:r w:rsidRPr="00C92186">
        <w:rPr>
          <w:i/>
          <w:iCs/>
          <w:sz w:val="26"/>
          <w:szCs w:val="26"/>
        </w:rPr>
        <w:t>PECO Energy Co</w:t>
      </w:r>
      <w:r w:rsidRPr="00C92186">
        <w:rPr>
          <w:sz w:val="26"/>
          <w:szCs w:val="26"/>
        </w:rPr>
        <w:t xml:space="preserve">., </w:t>
      </w:r>
      <w:r w:rsidRPr="00C92186">
        <w:rPr>
          <w:i/>
          <w:iCs/>
          <w:sz w:val="26"/>
          <w:szCs w:val="26"/>
        </w:rPr>
        <w:t>supra</w:t>
      </w:r>
      <w:r w:rsidRPr="00C92186">
        <w:rPr>
          <w:sz w:val="26"/>
          <w:szCs w:val="26"/>
        </w:rPr>
        <w:t>, to explain that the Commission determined in that case that charitable contributions are a benefit to the public.  The OCA further asserts that the OSBA has not demonstrated that the Joint Applicants’ customers will be so financially burdened that charitable contributions need be curtailed.  Therefore, the OCA submits that OSBA’s Exception No. 22 should be denied.</w:t>
      </w:r>
      <w:r w:rsidR="00046D9C">
        <w:rPr>
          <w:sz w:val="26"/>
          <w:szCs w:val="26"/>
        </w:rPr>
        <w:t xml:space="preserve">  OCA R. Exc. at</w:t>
      </w:r>
      <w:r w:rsidR="0025201F">
        <w:rPr>
          <w:sz w:val="26"/>
          <w:szCs w:val="26"/>
        </w:rPr>
        <w:t xml:space="preserve"> 20.</w:t>
      </w:r>
    </w:p>
    <w:p w14:paraId="49387038" w14:textId="77777777" w:rsidR="00C92186" w:rsidRPr="00C92186" w:rsidRDefault="00C92186" w:rsidP="00B24187">
      <w:pPr>
        <w:widowControl/>
        <w:spacing w:line="360" w:lineRule="auto"/>
        <w:ind w:firstLine="1440"/>
        <w:rPr>
          <w:sz w:val="26"/>
          <w:szCs w:val="26"/>
        </w:rPr>
      </w:pPr>
    </w:p>
    <w:p w14:paraId="1535E6B1" w14:textId="77777777" w:rsidR="00C92186" w:rsidRPr="00C92186" w:rsidRDefault="00C92186" w:rsidP="00364103">
      <w:pPr>
        <w:widowControl/>
        <w:spacing w:line="360" w:lineRule="auto"/>
        <w:ind w:firstLine="1440"/>
        <w:rPr>
          <w:sz w:val="26"/>
          <w:szCs w:val="26"/>
        </w:rPr>
      </w:pPr>
      <w:r w:rsidRPr="00C92186">
        <w:rPr>
          <w:sz w:val="26"/>
          <w:szCs w:val="26"/>
        </w:rPr>
        <w:t xml:space="preserve">In its Replies, CAUSE-PA states that the low-income commitments combined with the community commitments and quality of service commitments in the Settlement create an affirmative public benefit to the Joint Applicants’ respective customer base and the community as a whole.  CAUSE-PA R. Exc. at 7 (citing, </w:t>
      </w:r>
      <w:r w:rsidRPr="00C92186">
        <w:rPr>
          <w:i/>
          <w:iCs/>
          <w:sz w:val="26"/>
          <w:szCs w:val="26"/>
        </w:rPr>
        <w:t>inter alia</w:t>
      </w:r>
      <w:r w:rsidRPr="00C92186">
        <w:rPr>
          <w:sz w:val="26"/>
          <w:szCs w:val="26"/>
        </w:rPr>
        <w:t>, Settlement at ¶¶ 112-114).</w:t>
      </w:r>
    </w:p>
    <w:p w14:paraId="4FDFDFAE" w14:textId="77777777" w:rsidR="00C92186" w:rsidRPr="005C3145" w:rsidRDefault="00C92186" w:rsidP="00364103">
      <w:pPr>
        <w:widowControl/>
        <w:spacing w:line="360" w:lineRule="auto"/>
        <w:rPr>
          <w:sz w:val="26"/>
          <w:szCs w:val="26"/>
        </w:rPr>
      </w:pPr>
    </w:p>
    <w:p w14:paraId="5A94E5B5" w14:textId="77777777" w:rsidR="00C92186" w:rsidRPr="005C3145" w:rsidRDefault="000E2616" w:rsidP="002E1D97">
      <w:pPr>
        <w:keepNext/>
        <w:widowControl/>
        <w:spacing w:line="360" w:lineRule="auto"/>
        <w:ind w:left="2880" w:hanging="720"/>
        <w:rPr>
          <w:b/>
          <w:bCs/>
          <w:sz w:val="26"/>
          <w:szCs w:val="26"/>
        </w:rPr>
      </w:pPr>
      <w:r w:rsidRPr="005C3145">
        <w:rPr>
          <w:b/>
          <w:bCs/>
          <w:sz w:val="26"/>
          <w:szCs w:val="26"/>
        </w:rPr>
        <w:t>(</w:t>
      </w:r>
      <w:r w:rsidR="005C3145">
        <w:rPr>
          <w:b/>
          <w:bCs/>
          <w:sz w:val="26"/>
          <w:szCs w:val="26"/>
        </w:rPr>
        <w:t>5</w:t>
      </w:r>
      <w:r w:rsidRPr="005C3145">
        <w:rPr>
          <w:b/>
          <w:bCs/>
          <w:sz w:val="26"/>
          <w:szCs w:val="26"/>
        </w:rPr>
        <w:t>)</w:t>
      </w:r>
      <w:r w:rsidR="009E4D22" w:rsidRPr="005C3145">
        <w:rPr>
          <w:b/>
          <w:bCs/>
          <w:sz w:val="26"/>
          <w:szCs w:val="26"/>
        </w:rPr>
        <w:tab/>
      </w:r>
      <w:r w:rsidR="00C92186" w:rsidRPr="005C3145">
        <w:rPr>
          <w:b/>
          <w:bCs/>
          <w:sz w:val="26"/>
          <w:szCs w:val="26"/>
        </w:rPr>
        <w:t xml:space="preserve">Disposition </w:t>
      </w:r>
    </w:p>
    <w:p w14:paraId="1D3D463E" w14:textId="77777777" w:rsidR="00C92186" w:rsidRPr="005C3145" w:rsidRDefault="00C92186" w:rsidP="002E1D97">
      <w:pPr>
        <w:keepNext/>
        <w:widowControl/>
        <w:spacing w:line="360" w:lineRule="auto"/>
        <w:rPr>
          <w:b/>
          <w:bCs/>
          <w:sz w:val="26"/>
          <w:szCs w:val="26"/>
        </w:rPr>
      </w:pPr>
    </w:p>
    <w:p w14:paraId="52BC8B2B" w14:textId="77777777" w:rsidR="00C92186" w:rsidRPr="00C92186" w:rsidRDefault="00C92186" w:rsidP="002E1D97">
      <w:pPr>
        <w:keepNext/>
        <w:widowControl/>
        <w:spacing w:line="360" w:lineRule="auto"/>
        <w:ind w:firstLine="1440"/>
        <w:rPr>
          <w:sz w:val="26"/>
          <w:szCs w:val="26"/>
        </w:rPr>
      </w:pPr>
      <w:r w:rsidRPr="00C92186">
        <w:rPr>
          <w:sz w:val="26"/>
          <w:szCs w:val="26"/>
        </w:rPr>
        <w:t xml:space="preserve">Upon review of the record, the R.D., the Exceptions and the Replies to Exceptions on this issue, we shall affirm the ALJ’s R.D and deny the Exceptions.  In our opinion, the R.D. properly recognized that the charitable contributions commitments are not required but for the Settlement.  Furthermore, I&amp;E’s argument that ratepayers have </w:t>
      </w:r>
      <w:r w:rsidRPr="00C92186">
        <w:rPr>
          <w:sz w:val="26"/>
          <w:szCs w:val="26"/>
        </w:rPr>
        <w:lastRenderedPageBreak/>
        <w:t xml:space="preserve">no control over which charities receive funds lacks merit.  In our opinion, it is important that the record is clear in this proceeding that these charitable contributions will benefit the communities where the Peoples Companies and Aqua PA serve, thus benefitting customers.  In addition, the OSBA’s argument that the charitable contributions alone will not offset the costs of other commitments is a flawed comparison.  Like the $10 million rate credit, the charitable contributions commitments are affirmative public benefits, among others, that weigh in favor of the Commission’s approval of the Proposed Transaction.  In our opinion, the R.D. properly analyzed the Proposed Transaction and Settlement, as a whole, and determined that the community and charitable commitments in the Settlement create an affirmative public benefit to the Joint Applicants’ respective customer bases and communities.  </w:t>
      </w:r>
    </w:p>
    <w:p w14:paraId="2633D7E0" w14:textId="77777777" w:rsidR="0078013F" w:rsidRPr="005C3145" w:rsidRDefault="0078013F" w:rsidP="00B24187">
      <w:pPr>
        <w:widowControl/>
        <w:spacing w:line="360" w:lineRule="auto"/>
        <w:rPr>
          <w:rFonts w:eastAsiaTheme="minorHAnsi"/>
          <w:b/>
          <w:bCs/>
          <w:sz w:val="26"/>
          <w:szCs w:val="26"/>
        </w:rPr>
      </w:pPr>
    </w:p>
    <w:p w14:paraId="2DED6B64" w14:textId="77777777" w:rsidR="00534F4F" w:rsidRPr="005C3145" w:rsidRDefault="00A35313" w:rsidP="002E1D97">
      <w:pPr>
        <w:pStyle w:val="Heading2"/>
        <w:widowControl/>
        <w:ind w:hanging="720"/>
      </w:pPr>
      <w:bookmarkStart w:id="157" w:name="_Toc27899880"/>
      <w:bookmarkStart w:id="158" w:name="_Toc29278249"/>
      <w:bookmarkStart w:id="159" w:name="_Toc25233053"/>
      <w:bookmarkEnd w:id="80"/>
      <w:r w:rsidRPr="005C3145">
        <w:t>S</w:t>
      </w:r>
      <w:r w:rsidR="00534F4F" w:rsidRPr="005C3145">
        <w:t>ection 2210</w:t>
      </w:r>
      <w:bookmarkEnd w:id="157"/>
      <w:bookmarkEnd w:id="158"/>
      <w:r w:rsidR="00534F4F" w:rsidRPr="005C3145">
        <w:t xml:space="preserve"> </w:t>
      </w:r>
    </w:p>
    <w:p w14:paraId="083DABF4" w14:textId="77777777" w:rsidR="00534F4F" w:rsidRPr="005C3145" w:rsidRDefault="00534F4F" w:rsidP="002E1D97">
      <w:pPr>
        <w:keepNext/>
        <w:widowControl/>
        <w:spacing w:line="360" w:lineRule="auto"/>
        <w:rPr>
          <w:sz w:val="26"/>
          <w:szCs w:val="26"/>
        </w:rPr>
      </w:pPr>
    </w:p>
    <w:p w14:paraId="40FA7433" w14:textId="77777777" w:rsidR="00534F4F" w:rsidRDefault="00534F4F" w:rsidP="002E1D97">
      <w:pPr>
        <w:keepNext/>
        <w:widowControl/>
        <w:spacing w:line="360" w:lineRule="auto"/>
        <w:ind w:firstLine="1440"/>
        <w:rPr>
          <w:sz w:val="26"/>
          <w:szCs w:val="26"/>
        </w:rPr>
      </w:pPr>
      <w:r w:rsidRPr="005C3145">
        <w:rPr>
          <w:sz w:val="26"/>
          <w:szCs w:val="26"/>
        </w:rPr>
        <w:t>As noted</w:t>
      </w:r>
      <w:r w:rsidRPr="00F7662E">
        <w:rPr>
          <w:sz w:val="26"/>
          <w:szCs w:val="26"/>
        </w:rPr>
        <w:t xml:space="preserve">, </w:t>
      </w:r>
      <w:r w:rsidRPr="00F7662E">
        <w:rPr>
          <w:i/>
          <w:sz w:val="26"/>
          <w:szCs w:val="26"/>
        </w:rPr>
        <w:t>supra.</w:t>
      </w:r>
      <w:r w:rsidRPr="00F7662E">
        <w:rPr>
          <w:sz w:val="26"/>
          <w:szCs w:val="26"/>
        </w:rPr>
        <w:t>, in exercising our authority to approve the proposed transfer of ownership of an NGDC, we are required to evaluate the Proposed Transaction, subject to the terms and conditions contained in the Settlement to determine: 1) if it is likely to result in anticompetitive or discriminatory conduct, including the exercise of market power, which will prevent retail gas customers from obtaining the benefits of a properly functioning and effective competitive retail natural gas market; and 2) the effect of the Proposed Transaction on the employees of the natural gas distribution company and on any authorized collective bargaining agent representing those employees.  66 Pa. C.S. § 2210 (a)(1) and (2).</w:t>
      </w:r>
      <w:r w:rsidRPr="00F7662E">
        <w:t xml:space="preserve"> </w:t>
      </w:r>
      <w:r w:rsidRPr="00F7662E">
        <w:rPr>
          <w:sz w:val="26"/>
          <w:szCs w:val="26"/>
        </w:rPr>
        <w:t xml:space="preserve"> </w:t>
      </w:r>
    </w:p>
    <w:p w14:paraId="6348AA15" w14:textId="77777777" w:rsidR="005C3145" w:rsidRPr="00F7662E" w:rsidRDefault="005C3145" w:rsidP="00B24187">
      <w:pPr>
        <w:widowControl/>
        <w:spacing w:line="360" w:lineRule="auto"/>
        <w:ind w:firstLine="1440"/>
        <w:rPr>
          <w:sz w:val="26"/>
          <w:szCs w:val="26"/>
        </w:rPr>
      </w:pPr>
    </w:p>
    <w:p w14:paraId="75B1D47F" w14:textId="77777777" w:rsidR="00534F4F" w:rsidRPr="00F7662E" w:rsidRDefault="00534F4F" w:rsidP="002E1D97">
      <w:pPr>
        <w:pStyle w:val="Heading3"/>
        <w:keepNext/>
        <w:numPr>
          <w:ilvl w:val="0"/>
          <w:numId w:val="37"/>
        </w:numPr>
        <w:ind w:left="1440" w:hanging="720"/>
      </w:pPr>
      <w:bookmarkStart w:id="160" w:name="_Toc29278250"/>
      <w:r w:rsidRPr="00F7662E">
        <w:t>Section 2210(a)(1) – Anti-Competitive and Discriminatory Conduct</w:t>
      </w:r>
      <w:bookmarkEnd w:id="160"/>
    </w:p>
    <w:p w14:paraId="4232096B" w14:textId="77777777" w:rsidR="00534F4F" w:rsidRPr="00F7662E" w:rsidRDefault="00534F4F" w:rsidP="002E1D97">
      <w:pPr>
        <w:keepNext/>
        <w:widowControl/>
        <w:spacing w:line="360" w:lineRule="auto"/>
        <w:rPr>
          <w:b/>
          <w:sz w:val="26"/>
          <w:szCs w:val="26"/>
        </w:rPr>
      </w:pPr>
    </w:p>
    <w:p w14:paraId="14A01C53" w14:textId="77777777" w:rsidR="00534F4F" w:rsidRPr="00F7662E" w:rsidRDefault="00534F4F" w:rsidP="002E1D97">
      <w:pPr>
        <w:keepNext/>
        <w:widowControl/>
        <w:spacing w:line="360" w:lineRule="auto"/>
        <w:rPr>
          <w:sz w:val="26"/>
          <w:szCs w:val="26"/>
        </w:rPr>
      </w:pPr>
      <w:r w:rsidRPr="00F7662E">
        <w:rPr>
          <w:sz w:val="26"/>
          <w:szCs w:val="26"/>
        </w:rPr>
        <w:tab/>
      </w:r>
      <w:r w:rsidRPr="00F7662E">
        <w:rPr>
          <w:sz w:val="26"/>
          <w:szCs w:val="26"/>
        </w:rPr>
        <w:tab/>
        <w:t xml:space="preserve">The ALJ concluded that the Joint Applicants demonstrated that the Proposed Transaction would not have an anticompetitive impact on retail gas competition, because all rates, terms and conditions that have an impact on retail </w:t>
      </w:r>
      <w:r w:rsidRPr="00F7662E">
        <w:rPr>
          <w:sz w:val="26"/>
          <w:szCs w:val="26"/>
        </w:rPr>
        <w:lastRenderedPageBreak/>
        <w:t xml:space="preserve">competition in the Peoples Companies’ respective territories would remain unaffected by the Proposed Transaction.  R.D. at 97-98.  Furthermore, the ALJ found that, as the owner of water and wastewater utilities with no natural gas operations, Aqua America will not create anti-competitive or discriminatory conditions.  R.D. at 98 (citing Joint Applicants Exh. DJS-1 at 20).  In so ruling, the ALJ noted that no party had asserted that the Proposed Transaction would create such anti-competitive or discriminatory conditions.  R.D. at 98 (citing I&amp;E M.B. at 37-38; OSBA M.B. at 29).  </w:t>
      </w:r>
    </w:p>
    <w:p w14:paraId="5D6B5672" w14:textId="77777777" w:rsidR="00534F4F" w:rsidRPr="00F7662E" w:rsidRDefault="00534F4F" w:rsidP="00B24187">
      <w:pPr>
        <w:widowControl/>
        <w:spacing w:line="360" w:lineRule="auto"/>
        <w:ind w:firstLine="1440"/>
        <w:rPr>
          <w:sz w:val="26"/>
          <w:szCs w:val="26"/>
        </w:rPr>
      </w:pPr>
    </w:p>
    <w:p w14:paraId="79E03963" w14:textId="63F816EC" w:rsidR="00534F4F" w:rsidRPr="00F7662E" w:rsidRDefault="00534F4F" w:rsidP="00B24187">
      <w:pPr>
        <w:widowControl/>
        <w:spacing w:line="360" w:lineRule="auto"/>
        <w:ind w:firstLine="1440"/>
        <w:rPr>
          <w:sz w:val="26"/>
          <w:szCs w:val="26"/>
        </w:rPr>
      </w:pPr>
      <w:r w:rsidRPr="00F7662E">
        <w:rPr>
          <w:sz w:val="26"/>
          <w:szCs w:val="26"/>
        </w:rPr>
        <w:t>We note that no party has raised an Exception to the Recommended Decision with regard to the Section 2210(a)(1) mandate.  We also observe that the record contains substantial evidence to support a finding that no anti-competitive or discriminatory conditions will be created.  Importantly, the Settlement includes numerous supplier provisions which bolster a conclusion th</w:t>
      </w:r>
      <w:r w:rsidR="008B14D2">
        <w:rPr>
          <w:sz w:val="26"/>
          <w:szCs w:val="26"/>
        </w:rPr>
        <w:t>e</w:t>
      </w:r>
      <w:r w:rsidRPr="00F7662E">
        <w:rPr>
          <w:sz w:val="26"/>
          <w:szCs w:val="26"/>
        </w:rPr>
        <w:t xml:space="preserve"> Joint Applicants have established that the Proposed Transaction, subject to the terms and conditions agreed to, comports with a finding of 2210(a)(1) compliance.  </w:t>
      </w:r>
      <w:r w:rsidRPr="00F7662E">
        <w:rPr>
          <w:i/>
          <w:iCs/>
          <w:sz w:val="26"/>
          <w:szCs w:val="26"/>
        </w:rPr>
        <w:t>See</w:t>
      </w:r>
      <w:r w:rsidRPr="00F7662E">
        <w:rPr>
          <w:sz w:val="26"/>
          <w:szCs w:val="26"/>
        </w:rPr>
        <w:t xml:space="preserve"> Settlement at ¶¶ 115-128.  Finally, the Settlement enjoys the support of Intervenors Direct Energy, the NGS Parties, and RESA, the most vocal proponents of supplier issues on the Peoples Companies’ system.  Thus, we affirm the ALJ’s ruling on this issue.</w:t>
      </w:r>
    </w:p>
    <w:p w14:paraId="2A069356" w14:textId="77777777" w:rsidR="00534F4F" w:rsidRPr="00F7662E" w:rsidRDefault="00534F4F" w:rsidP="00B24187">
      <w:pPr>
        <w:widowControl/>
        <w:spacing w:line="360" w:lineRule="auto"/>
        <w:ind w:firstLine="1440"/>
        <w:rPr>
          <w:sz w:val="26"/>
          <w:szCs w:val="26"/>
        </w:rPr>
      </w:pPr>
    </w:p>
    <w:p w14:paraId="594F1432" w14:textId="77777777" w:rsidR="00534F4F" w:rsidRPr="00F7662E" w:rsidRDefault="00534F4F" w:rsidP="002E1D97">
      <w:pPr>
        <w:pStyle w:val="Heading3"/>
        <w:keepNext/>
        <w:spacing w:line="240" w:lineRule="auto"/>
        <w:ind w:left="1440" w:hanging="720"/>
      </w:pPr>
      <w:bookmarkStart w:id="161" w:name="_Toc29278251"/>
      <w:r w:rsidRPr="00F7662E">
        <w:t xml:space="preserve">Section 2210(a)(2) – Unreasonable Adverse Effect on Employees </w:t>
      </w:r>
      <w:r w:rsidRPr="00F7662E">
        <w:tab/>
        <w:t>or Bargaining Agent</w:t>
      </w:r>
      <w:bookmarkEnd w:id="161"/>
    </w:p>
    <w:p w14:paraId="49C6A6B8" w14:textId="77777777" w:rsidR="00534F4F" w:rsidRPr="00F7662E" w:rsidRDefault="00534F4F" w:rsidP="002E1D97">
      <w:pPr>
        <w:keepNext/>
        <w:widowControl/>
        <w:spacing w:line="360" w:lineRule="auto"/>
        <w:ind w:firstLine="1440"/>
        <w:rPr>
          <w:sz w:val="26"/>
          <w:szCs w:val="26"/>
        </w:rPr>
      </w:pPr>
    </w:p>
    <w:p w14:paraId="64F6B18A" w14:textId="77777777" w:rsidR="00534F4F" w:rsidRPr="00F7662E" w:rsidRDefault="00534F4F" w:rsidP="002E1D97">
      <w:pPr>
        <w:keepNext/>
        <w:widowControl/>
        <w:spacing w:line="360" w:lineRule="auto"/>
        <w:ind w:firstLine="1440"/>
        <w:rPr>
          <w:sz w:val="26"/>
          <w:szCs w:val="26"/>
        </w:rPr>
      </w:pPr>
      <w:r w:rsidRPr="00F7662E">
        <w:rPr>
          <w:sz w:val="26"/>
          <w:szCs w:val="26"/>
        </w:rPr>
        <w:t xml:space="preserve">Consistent with our mandate under Section 2210(a)(2), 66 Pa. C.S. </w:t>
      </w:r>
    </w:p>
    <w:p w14:paraId="6705ED06" w14:textId="77777777" w:rsidR="00534F4F" w:rsidRPr="00F7662E" w:rsidRDefault="00534F4F" w:rsidP="00B24187">
      <w:pPr>
        <w:widowControl/>
        <w:spacing w:line="360" w:lineRule="auto"/>
        <w:rPr>
          <w:sz w:val="26"/>
          <w:szCs w:val="26"/>
        </w:rPr>
      </w:pPr>
      <w:r w:rsidRPr="00F7662E">
        <w:rPr>
          <w:sz w:val="26"/>
          <w:szCs w:val="26"/>
        </w:rPr>
        <w:t xml:space="preserve">§ 2210(a)(2), we also have carefully considered the effect that the Proposed Transaction, subject to the terms and conditions of the Settlement, will have on the Peoples Companies’ and Aqua PA’s employees and the collective bargaining agent representing those employees.  </w:t>
      </w:r>
    </w:p>
    <w:p w14:paraId="6962DC9D" w14:textId="77777777" w:rsidR="00534F4F" w:rsidRPr="00F7662E" w:rsidRDefault="00534F4F" w:rsidP="00B24187">
      <w:pPr>
        <w:widowControl/>
        <w:spacing w:line="360" w:lineRule="auto"/>
        <w:ind w:firstLine="1440"/>
        <w:rPr>
          <w:sz w:val="26"/>
          <w:szCs w:val="26"/>
        </w:rPr>
      </w:pPr>
    </w:p>
    <w:p w14:paraId="10B66049" w14:textId="77777777" w:rsidR="00534F4F" w:rsidRPr="00F7662E" w:rsidRDefault="00534F4F" w:rsidP="002E1D97">
      <w:pPr>
        <w:pStyle w:val="Heading4"/>
        <w:widowControl/>
        <w:numPr>
          <w:ilvl w:val="0"/>
          <w:numId w:val="38"/>
        </w:numPr>
        <w:ind w:left="2160" w:hanging="720"/>
      </w:pPr>
      <w:bookmarkStart w:id="162" w:name="_Toc29278252"/>
      <w:r w:rsidRPr="00F7662E">
        <w:lastRenderedPageBreak/>
        <w:t>Positions of the Parties</w:t>
      </w:r>
      <w:bookmarkEnd w:id="162"/>
    </w:p>
    <w:p w14:paraId="3F987D8D" w14:textId="77777777" w:rsidR="00534F4F" w:rsidRPr="00F7662E" w:rsidRDefault="00534F4F" w:rsidP="002E1D97">
      <w:pPr>
        <w:keepNext/>
        <w:widowControl/>
        <w:spacing w:line="360" w:lineRule="auto"/>
        <w:rPr>
          <w:b/>
          <w:sz w:val="26"/>
          <w:szCs w:val="26"/>
        </w:rPr>
      </w:pPr>
    </w:p>
    <w:p w14:paraId="58156A6E" w14:textId="77777777" w:rsidR="00534F4F" w:rsidRPr="00F7662E" w:rsidRDefault="00534F4F" w:rsidP="002E1D97">
      <w:pPr>
        <w:keepNext/>
        <w:widowControl/>
        <w:spacing w:line="360" w:lineRule="auto"/>
        <w:ind w:firstLine="1440"/>
        <w:rPr>
          <w:sz w:val="26"/>
          <w:szCs w:val="26"/>
        </w:rPr>
      </w:pPr>
      <w:r w:rsidRPr="00F7662E">
        <w:rPr>
          <w:sz w:val="26"/>
          <w:szCs w:val="26"/>
        </w:rPr>
        <w:t>The Joint Applicants argued that they adequately demonstrated that the Proposed Transaction, as conditioned by the Settlement, would have a positive effect on the employees of the Peoples Companies and Aqua PA.  Joint Applicants M.B. at 29-31.  The Joint Applicants noted that the Settlement would maintain jobs in Pennsylvania and expand job opportunities for both gas and water/wastewater employees under Aqua America ownership.  Joint Applicants M.B. at 31-32.</w:t>
      </w:r>
    </w:p>
    <w:p w14:paraId="48A0E07E" w14:textId="77777777" w:rsidR="00534F4F" w:rsidRPr="00F7662E" w:rsidRDefault="00534F4F" w:rsidP="00B24187">
      <w:pPr>
        <w:widowControl/>
        <w:spacing w:line="360" w:lineRule="auto"/>
        <w:ind w:firstLine="1440"/>
        <w:rPr>
          <w:sz w:val="26"/>
          <w:szCs w:val="26"/>
        </w:rPr>
      </w:pPr>
    </w:p>
    <w:p w14:paraId="416A9AF0" w14:textId="16DEC0B0" w:rsidR="00534F4F" w:rsidRPr="00F7662E" w:rsidRDefault="00534F4F" w:rsidP="00B24187">
      <w:pPr>
        <w:widowControl/>
        <w:spacing w:line="360" w:lineRule="auto"/>
        <w:ind w:firstLine="1440"/>
        <w:rPr>
          <w:b/>
          <w:sz w:val="26"/>
          <w:szCs w:val="26"/>
        </w:rPr>
      </w:pPr>
      <w:r w:rsidRPr="00F7662E">
        <w:rPr>
          <w:sz w:val="26"/>
          <w:szCs w:val="26"/>
        </w:rPr>
        <w:t xml:space="preserve">I&amp;E insisted that there will be a negative impact on the Peoples Companies’ employees if this Commission approves the proposed transaction, as conditioned by the Settlement.  I&amp;E M.B. at 38.  Referencing the testimony of its witness, I&amp;E pointed out that one of the initial selling points of the transaction was the public assertion that the Peoples Companies would remain exactly as </w:t>
      </w:r>
      <w:r w:rsidR="008C1750">
        <w:rPr>
          <w:sz w:val="26"/>
          <w:szCs w:val="26"/>
        </w:rPr>
        <w:t>they are</w:t>
      </w:r>
      <w:r w:rsidRPr="00F7662E">
        <w:rPr>
          <w:sz w:val="26"/>
          <w:szCs w:val="26"/>
        </w:rPr>
        <w:t xml:space="preserve"> with current leadership in place.  I&amp;E M.B. at 38; I&amp;E St. 1 at 15.  [</w:t>
      </w:r>
      <w:r w:rsidRPr="00F7662E">
        <w:rPr>
          <w:b/>
          <w:sz w:val="26"/>
          <w:szCs w:val="26"/>
        </w:rPr>
        <w:t>BEGIN CONFIDENTIAL]</w:t>
      </w:r>
      <w:r w:rsidRPr="00F7662E">
        <w:rPr>
          <w:sz w:val="26"/>
          <w:szCs w:val="26"/>
        </w:rPr>
        <w:t xml:space="preserve"> </w:t>
      </w:r>
      <w:r w:rsidR="008C1750">
        <w:rPr>
          <w:sz w:val="26"/>
          <w:szCs w:val="26"/>
        </w:rPr>
        <w:t xml:space="preserve"> </w:t>
      </w:r>
      <w:r w:rsidRPr="00F7662E">
        <w:rPr>
          <w:sz w:val="26"/>
          <w:szCs w:val="26"/>
        </w:rPr>
        <w:t>[</w:t>
      </w:r>
      <w:r w:rsidRPr="00F7662E">
        <w:rPr>
          <w:b/>
          <w:sz w:val="26"/>
          <w:szCs w:val="26"/>
        </w:rPr>
        <w:t>END CONFIDENTIAL]</w:t>
      </w:r>
    </w:p>
    <w:p w14:paraId="31C6BD2F" w14:textId="77777777" w:rsidR="00534F4F" w:rsidRPr="00F7662E" w:rsidRDefault="00534F4F" w:rsidP="00B24187">
      <w:pPr>
        <w:widowControl/>
        <w:spacing w:line="360" w:lineRule="auto"/>
        <w:ind w:firstLine="1440"/>
        <w:rPr>
          <w:sz w:val="26"/>
          <w:szCs w:val="26"/>
        </w:rPr>
      </w:pPr>
    </w:p>
    <w:p w14:paraId="0F48335C" w14:textId="77777777" w:rsidR="00493D8F" w:rsidRDefault="00493D8F">
      <w:pPr>
        <w:widowControl/>
        <w:rPr>
          <w:sz w:val="26"/>
          <w:szCs w:val="26"/>
        </w:rPr>
      </w:pPr>
      <w:r>
        <w:rPr>
          <w:sz w:val="26"/>
          <w:szCs w:val="26"/>
        </w:rPr>
        <w:br w:type="page"/>
      </w:r>
    </w:p>
    <w:p w14:paraId="30547F4E" w14:textId="2D36181F" w:rsidR="00534F4F" w:rsidRPr="00F7662E" w:rsidRDefault="00534F4F" w:rsidP="00B24187">
      <w:pPr>
        <w:widowControl/>
        <w:spacing w:line="360" w:lineRule="auto"/>
        <w:ind w:firstLine="1440"/>
        <w:rPr>
          <w:sz w:val="26"/>
          <w:szCs w:val="26"/>
        </w:rPr>
      </w:pPr>
      <w:r w:rsidRPr="00F7662E">
        <w:rPr>
          <w:sz w:val="26"/>
          <w:szCs w:val="26"/>
        </w:rPr>
        <w:lastRenderedPageBreak/>
        <w:t xml:space="preserve">OSBA added that Joint Applicants had, at best, committed to maintaining the status quo of the operations already in place at Aqua </w:t>
      </w:r>
      <w:r w:rsidR="00443752">
        <w:rPr>
          <w:sz w:val="26"/>
          <w:szCs w:val="26"/>
        </w:rPr>
        <w:t xml:space="preserve">America </w:t>
      </w:r>
      <w:r w:rsidRPr="00F7662E">
        <w:rPr>
          <w:sz w:val="26"/>
          <w:szCs w:val="26"/>
        </w:rPr>
        <w:t xml:space="preserve">and </w:t>
      </w:r>
      <w:r w:rsidR="00443752">
        <w:rPr>
          <w:sz w:val="26"/>
          <w:szCs w:val="26"/>
        </w:rPr>
        <w:t xml:space="preserve">the </w:t>
      </w:r>
      <w:r w:rsidRPr="00F7662E">
        <w:rPr>
          <w:sz w:val="26"/>
          <w:szCs w:val="26"/>
        </w:rPr>
        <w:t>Peoples</w:t>
      </w:r>
      <w:r w:rsidR="00443752">
        <w:rPr>
          <w:sz w:val="26"/>
          <w:szCs w:val="26"/>
        </w:rPr>
        <w:t xml:space="preserve"> Companies</w:t>
      </w:r>
      <w:r w:rsidRPr="00F7662E">
        <w:rPr>
          <w:sz w:val="26"/>
          <w:szCs w:val="26"/>
        </w:rPr>
        <w:t>, and without more, had failed to demonstrate any affirmative public benefit from the Proposed Transaction as it relates to the effect on employees.  OSBA M.B. at</w:t>
      </w:r>
      <w:r w:rsidR="00D11FD1">
        <w:rPr>
          <w:sz w:val="26"/>
          <w:szCs w:val="26"/>
        </w:rPr>
        <w:t> </w:t>
      </w:r>
      <w:r w:rsidRPr="00F7662E">
        <w:rPr>
          <w:sz w:val="26"/>
          <w:szCs w:val="26"/>
        </w:rPr>
        <w:t>29-30.</w:t>
      </w:r>
    </w:p>
    <w:p w14:paraId="34A494E6" w14:textId="77777777" w:rsidR="00534F4F" w:rsidRPr="00F7662E" w:rsidRDefault="00534F4F" w:rsidP="00B24187">
      <w:pPr>
        <w:widowControl/>
        <w:spacing w:line="360" w:lineRule="auto"/>
        <w:rPr>
          <w:sz w:val="26"/>
          <w:szCs w:val="26"/>
        </w:rPr>
      </w:pPr>
    </w:p>
    <w:p w14:paraId="28F112EC" w14:textId="77777777" w:rsidR="00534F4F" w:rsidRPr="00F7662E" w:rsidRDefault="00534F4F" w:rsidP="002E1D97">
      <w:pPr>
        <w:pStyle w:val="Heading4"/>
        <w:widowControl/>
        <w:ind w:left="2160" w:hanging="720"/>
      </w:pPr>
      <w:bookmarkStart w:id="163" w:name="_Toc29278253"/>
      <w:r w:rsidRPr="00F7662E">
        <w:t>Recommended Decision</w:t>
      </w:r>
      <w:bookmarkEnd w:id="163"/>
    </w:p>
    <w:p w14:paraId="436FB9A2" w14:textId="77777777" w:rsidR="00534F4F" w:rsidRPr="00F7662E" w:rsidRDefault="00534F4F" w:rsidP="002E1D97">
      <w:pPr>
        <w:keepNext/>
        <w:widowControl/>
        <w:spacing w:line="360" w:lineRule="auto"/>
        <w:rPr>
          <w:b/>
          <w:sz w:val="26"/>
          <w:szCs w:val="26"/>
        </w:rPr>
      </w:pPr>
    </w:p>
    <w:p w14:paraId="6E049855" w14:textId="1F6DE5A7" w:rsidR="00493D8F" w:rsidRDefault="00534F4F" w:rsidP="002E1D97">
      <w:pPr>
        <w:keepNext/>
        <w:widowControl/>
        <w:spacing w:line="360" w:lineRule="auto"/>
        <w:rPr>
          <w:sz w:val="26"/>
          <w:szCs w:val="26"/>
        </w:rPr>
      </w:pPr>
      <w:r w:rsidRPr="00F7662E">
        <w:rPr>
          <w:b/>
          <w:sz w:val="26"/>
          <w:szCs w:val="26"/>
        </w:rPr>
        <w:tab/>
      </w:r>
      <w:r w:rsidRPr="00F7662E">
        <w:rPr>
          <w:b/>
          <w:sz w:val="26"/>
          <w:szCs w:val="26"/>
        </w:rPr>
        <w:tab/>
      </w:r>
      <w:r w:rsidRPr="00F7662E">
        <w:rPr>
          <w:sz w:val="26"/>
          <w:szCs w:val="26"/>
        </w:rPr>
        <w:t>The ALJ observed that the Settlement specifically addressed the issue of union labor at the Peoples Companies,</w:t>
      </w:r>
      <w:r w:rsidRPr="00F7662E">
        <w:rPr>
          <w:sz w:val="26"/>
          <w:szCs w:val="26"/>
          <w:vertAlign w:val="superscript"/>
        </w:rPr>
        <w:footnoteReference w:id="40"/>
      </w:r>
      <w:r w:rsidRPr="00F7662E">
        <w:rPr>
          <w:sz w:val="26"/>
          <w:szCs w:val="26"/>
        </w:rPr>
        <w:t xml:space="preserve"> and contains other provisions supporting regular employee functions, but noted that I&amp;E and the OSBA raised concerns about overall employment at the Peoples Companies.  R.D. at 98.  The ALJ detailed the arguments set forth above and concluded that the Joint Applicants had established that there was no evidence that the Proposed Transaction, as modified by the Settlement, would have a negative effect on employment.  The ALJ explained that, </w:t>
      </w:r>
      <w:r w:rsidRPr="00F7662E">
        <w:rPr>
          <w:b/>
          <w:sz w:val="26"/>
          <w:szCs w:val="26"/>
        </w:rPr>
        <w:t>[BEGIN HIGHLY CONFIDENTIAL-STATUTORY ADVOCATES ONLY]</w:t>
      </w:r>
      <w:r w:rsidR="00DC01C3">
        <w:rPr>
          <w:b/>
          <w:sz w:val="26"/>
          <w:szCs w:val="26"/>
        </w:rPr>
        <w:t xml:space="preserve"> </w:t>
      </w:r>
      <w:r w:rsidRPr="00F7662E">
        <w:rPr>
          <w:sz w:val="26"/>
          <w:szCs w:val="26"/>
        </w:rPr>
        <w:t xml:space="preserve"> </w:t>
      </w:r>
      <w:r w:rsidRPr="00F7662E">
        <w:rPr>
          <w:b/>
          <w:sz w:val="26"/>
          <w:szCs w:val="26"/>
        </w:rPr>
        <w:t>[END HIGHLY CONFIDENTIAL-STATUTORY ADVOCATES ONLY]</w:t>
      </w:r>
      <w:r w:rsidRPr="00F7662E">
        <w:rPr>
          <w:sz w:val="26"/>
          <w:szCs w:val="26"/>
        </w:rPr>
        <w:t xml:space="preserve"> The ALJ ruled that the concerns of I&amp;E and the </w:t>
      </w:r>
    </w:p>
    <w:p w14:paraId="71231134" w14:textId="77777777" w:rsidR="00493D8F" w:rsidRDefault="00493D8F">
      <w:pPr>
        <w:widowControl/>
        <w:rPr>
          <w:sz w:val="26"/>
          <w:szCs w:val="26"/>
        </w:rPr>
      </w:pPr>
      <w:r>
        <w:rPr>
          <w:sz w:val="26"/>
          <w:szCs w:val="26"/>
        </w:rPr>
        <w:br w:type="page"/>
      </w:r>
    </w:p>
    <w:p w14:paraId="303143C9" w14:textId="4154E6B2" w:rsidR="00534F4F" w:rsidRPr="00F7662E" w:rsidRDefault="00534F4F" w:rsidP="002E1D97">
      <w:pPr>
        <w:keepNext/>
        <w:widowControl/>
        <w:spacing w:line="360" w:lineRule="auto"/>
        <w:rPr>
          <w:sz w:val="26"/>
          <w:szCs w:val="26"/>
        </w:rPr>
      </w:pPr>
      <w:r w:rsidRPr="00F7662E">
        <w:rPr>
          <w:sz w:val="26"/>
          <w:szCs w:val="26"/>
        </w:rPr>
        <w:lastRenderedPageBreak/>
        <w:t>OSBA were founded only in speculation and ignored measures put in place for succession planning and the preservation of technical expertise at the Peoples Companies.  R.D. at 101.  The ALJ thus ruled that the requirements of Section 2210(a)(2) were satisfied and there was no evidence that the Proposed Transaction will have an unduly negative effect on employees.</w:t>
      </w:r>
    </w:p>
    <w:p w14:paraId="6D0237E1" w14:textId="77777777" w:rsidR="00534F4F" w:rsidRPr="00F7662E" w:rsidRDefault="00534F4F" w:rsidP="00B24187">
      <w:pPr>
        <w:widowControl/>
        <w:spacing w:line="360" w:lineRule="auto"/>
        <w:rPr>
          <w:sz w:val="26"/>
          <w:szCs w:val="26"/>
        </w:rPr>
      </w:pPr>
    </w:p>
    <w:p w14:paraId="0926A5FB" w14:textId="77777777" w:rsidR="00534F4F" w:rsidRPr="00F7662E" w:rsidRDefault="00534F4F" w:rsidP="002E1D97">
      <w:pPr>
        <w:pStyle w:val="Heading4"/>
        <w:widowControl/>
        <w:ind w:left="2160" w:hanging="720"/>
      </w:pPr>
      <w:bookmarkStart w:id="164" w:name="_Toc29278254"/>
      <w:r w:rsidRPr="00F7662E">
        <w:t>Exceptions and Replies to Exceptions</w:t>
      </w:r>
      <w:bookmarkEnd w:id="164"/>
    </w:p>
    <w:p w14:paraId="2ABA4FBF" w14:textId="77777777" w:rsidR="00534F4F" w:rsidRPr="00F7662E" w:rsidRDefault="00534F4F" w:rsidP="002E1D97">
      <w:pPr>
        <w:keepNext/>
        <w:widowControl/>
        <w:spacing w:line="360" w:lineRule="auto"/>
        <w:rPr>
          <w:b/>
          <w:sz w:val="26"/>
          <w:szCs w:val="26"/>
        </w:rPr>
      </w:pPr>
    </w:p>
    <w:p w14:paraId="3B7D7EF6" w14:textId="2EF3622D" w:rsidR="00DC01C3" w:rsidRDefault="00534F4F" w:rsidP="00DC01C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firstLine="720"/>
        <w:rPr>
          <w:sz w:val="26"/>
          <w:szCs w:val="26"/>
        </w:rPr>
      </w:pPr>
      <w:r w:rsidRPr="00F7662E">
        <w:rPr>
          <w:sz w:val="26"/>
          <w:szCs w:val="26"/>
        </w:rPr>
        <w:tab/>
        <w:t xml:space="preserve">I&amp;E argues in its Exceptions that one of the key selling points of this acquisition was that current leadership would continue to stay in place.  I&amp;E Exc. at 29.  I&amp;E stressed that key personnel, namely </w:t>
      </w:r>
      <w:r w:rsidRPr="00F7662E">
        <w:rPr>
          <w:b/>
          <w:bCs/>
          <w:sz w:val="26"/>
          <w:szCs w:val="26"/>
        </w:rPr>
        <w:t xml:space="preserve">[BEGIN CONFIDENTIAL] </w:t>
      </w:r>
      <w:r w:rsidR="00DC01C3">
        <w:rPr>
          <w:b/>
          <w:bCs/>
          <w:sz w:val="26"/>
          <w:szCs w:val="26"/>
        </w:rPr>
        <w:t xml:space="preserve"> </w:t>
      </w:r>
      <w:r w:rsidRPr="00F7662E">
        <w:rPr>
          <w:b/>
          <w:sz w:val="26"/>
          <w:szCs w:val="26"/>
        </w:rPr>
        <w:t xml:space="preserve">[END CONFIDENTIAL]  </w:t>
      </w:r>
      <w:r w:rsidRPr="00F7662E">
        <w:rPr>
          <w:sz w:val="26"/>
          <w:szCs w:val="26"/>
        </w:rPr>
        <w:t xml:space="preserve">I&amp;E closes by stating the effect on </w:t>
      </w:r>
    </w:p>
    <w:p w14:paraId="3721D6DD" w14:textId="77777777" w:rsidR="00DC01C3" w:rsidRDefault="00DC01C3">
      <w:pPr>
        <w:widowControl/>
        <w:rPr>
          <w:sz w:val="26"/>
          <w:szCs w:val="26"/>
        </w:rPr>
      </w:pPr>
      <w:r>
        <w:rPr>
          <w:sz w:val="26"/>
          <w:szCs w:val="26"/>
        </w:rPr>
        <w:br w:type="page"/>
      </w:r>
    </w:p>
    <w:p w14:paraId="25727206" w14:textId="587C6454" w:rsidR="00534F4F" w:rsidRPr="00F7662E" w:rsidRDefault="00534F4F" w:rsidP="00DC01C3">
      <w:pPr>
        <w:widowControl/>
        <w:spacing w:line="360" w:lineRule="auto"/>
        <w:rPr>
          <w:sz w:val="26"/>
          <w:szCs w:val="26"/>
        </w:rPr>
      </w:pPr>
      <w:r w:rsidRPr="00F7662E">
        <w:rPr>
          <w:sz w:val="26"/>
          <w:szCs w:val="26"/>
        </w:rPr>
        <w:lastRenderedPageBreak/>
        <w:t>employees is unclear and that retention of jobs at the Peoples Companies is not a substantial benefit, and for all of these reasons, the ALJ’s finding of no adverse employee effect of the transaction should be reversed.</w:t>
      </w:r>
      <w:r w:rsidR="001A440D">
        <w:rPr>
          <w:sz w:val="26"/>
          <w:szCs w:val="26"/>
        </w:rPr>
        <w:t xml:space="preserve">  </w:t>
      </w:r>
      <w:r w:rsidR="001A440D" w:rsidRPr="00C226E2">
        <w:rPr>
          <w:i/>
          <w:iCs/>
          <w:sz w:val="26"/>
          <w:szCs w:val="26"/>
        </w:rPr>
        <w:t>Id.</w:t>
      </w:r>
      <w:r w:rsidR="001A440D">
        <w:rPr>
          <w:sz w:val="26"/>
          <w:szCs w:val="26"/>
        </w:rPr>
        <w:t xml:space="preserve"> at </w:t>
      </w:r>
      <w:r w:rsidR="00B91F28">
        <w:rPr>
          <w:sz w:val="26"/>
          <w:szCs w:val="26"/>
        </w:rPr>
        <w:t>31</w:t>
      </w:r>
      <w:r w:rsidR="001A440D">
        <w:rPr>
          <w:sz w:val="26"/>
          <w:szCs w:val="26"/>
        </w:rPr>
        <w:t>.</w:t>
      </w:r>
    </w:p>
    <w:p w14:paraId="328D120B" w14:textId="77777777" w:rsidR="00534F4F" w:rsidRPr="00F7662E" w:rsidRDefault="00534F4F" w:rsidP="00B241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firstLine="720"/>
        <w:rPr>
          <w:sz w:val="26"/>
          <w:szCs w:val="26"/>
        </w:rPr>
      </w:pPr>
    </w:p>
    <w:p w14:paraId="5A7DB4D0" w14:textId="0EE0B664" w:rsidR="00534F4F" w:rsidRDefault="00534F4F" w:rsidP="00B241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firstLine="720"/>
        <w:rPr>
          <w:sz w:val="26"/>
          <w:szCs w:val="26"/>
        </w:rPr>
      </w:pPr>
      <w:r w:rsidRPr="00F7662E">
        <w:rPr>
          <w:sz w:val="26"/>
          <w:szCs w:val="26"/>
        </w:rPr>
        <w:tab/>
        <w:t xml:space="preserve">In its Replies to Exceptions, the Joint Applicants </w:t>
      </w:r>
      <w:r w:rsidRPr="00F7662E">
        <w:rPr>
          <w:b/>
          <w:sz w:val="26"/>
          <w:szCs w:val="26"/>
        </w:rPr>
        <w:t>[BEGIN CONFIDENTIAL]</w:t>
      </w:r>
      <w:r w:rsidRPr="00F7662E">
        <w:rPr>
          <w:sz w:val="26"/>
          <w:szCs w:val="26"/>
        </w:rPr>
        <w:t xml:space="preserve">  </w:t>
      </w:r>
      <w:r w:rsidRPr="00F7662E">
        <w:rPr>
          <w:b/>
          <w:sz w:val="26"/>
          <w:szCs w:val="26"/>
        </w:rPr>
        <w:t>[END CONFIDENTIAL]</w:t>
      </w:r>
      <w:r w:rsidRPr="00F7662E">
        <w:rPr>
          <w:sz w:val="26"/>
          <w:szCs w:val="26"/>
        </w:rPr>
        <w:t xml:space="preserve">  </w:t>
      </w:r>
    </w:p>
    <w:p w14:paraId="238E69B4" w14:textId="77777777" w:rsidR="001A440D" w:rsidRPr="00F7662E" w:rsidRDefault="001A440D" w:rsidP="00B241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firstLine="720"/>
        <w:rPr>
          <w:sz w:val="26"/>
          <w:szCs w:val="26"/>
        </w:rPr>
      </w:pPr>
    </w:p>
    <w:p w14:paraId="2979E593" w14:textId="2554055A" w:rsidR="00534F4F" w:rsidRPr="00F7662E" w:rsidRDefault="00534F4F" w:rsidP="007A3861">
      <w:pPr>
        <w:widowControl/>
        <w:spacing w:line="360" w:lineRule="auto"/>
        <w:ind w:firstLine="1440"/>
        <w:rPr>
          <w:sz w:val="26"/>
          <w:szCs w:val="26"/>
        </w:rPr>
      </w:pPr>
      <w:r w:rsidRPr="00F7662E">
        <w:rPr>
          <w:sz w:val="26"/>
          <w:szCs w:val="26"/>
        </w:rPr>
        <w:t xml:space="preserve">The Joint Applicants also continue to claim that they have demonstrated no negative impact on existing employees as a result of the Transaction.  Joint Applicants R. Exc. at 25.  The Joint Applicants assert that the Recommended Decision appropriately rejected I&amp;E’s arguments that were based on speculation and ignore the terms of the Settlement incorporating important governance measures that preserve technical expertise at the Peoples Companies.  Joint Applicants R. Exc. at 25.  The Joint Applicants thus request that I&amp;E’s Section 2210 Exception be denied.  </w:t>
      </w:r>
    </w:p>
    <w:p w14:paraId="4469014F" w14:textId="77777777" w:rsidR="00534F4F" w:rsidRPr="00F7662E" w:rsidRDefault="00534F4F" w:rsidP="00B24187">
      <w:pPr>
        <w:widowControl/>
        <w:spacing w:line="360" w:lineRule="auto"/>
        <w:rPr>
          <w:sz w:val="26"/>
          <w:szCs w:val="26"/>
        </w:rPr>
      </w:pPr>
    </w:p>
    <w:p w14:paraId="022BE485" w14:textId="77777777" w:rsidR="00DC01C3" w:rsidRDefault="00DC01C3">
      <w:pPr>
        <w:widowControl/>
        <w:rPr>
          <w:rFonts w:eastAsiaTheme="majorEastAsia"/>
          <w:b/>
          <w:bCs/>
          <w:color w:val="000000" w:themeColor="text1"/>
          <w:sz w:val="26"/>
          <w:szCs w:val="26"/>
        </w:rPr>
      </w:pPr>
      <w:bookmarkStart w:id="165" w:name="_Toc29278255"/>
      <w:r>
        <w:br w:type="page"/>
      </w:r>
    </w:p>
    <w:p w14:paraId="0B64036D" w14:textId="4A0A24A0" w:rsidR="00534F4F" w:rsidRPr="00F7662E" w:rsidRDefault="00534F4F" w:rsidP="002E1D97">
      <w:pPr>
        <w:pStyle w:val="Heading4"/>
        <w:widowControl/>
        <w:ind w:left="2160" w:hanging="720"/>
      </w:pPr>
      <w:r w:rsidRPr="00F7662E">
        <w:lastRenderedPageBreak/>
        <w:t>Disposition</w:t>
      </w:r>
      <w:bookmarkEnd w:id="165"/>
    </w:p>
    <w:p w14:paraId="16E42A44" w14:textId="77777777" w:rsidR="00534F4F" w:rsidRPr="00F7662E" w:rsidRDefault="00534F4F" w:rsidP="002E1D97">
      <w:pPr>
        <w:keepNext/>
        <w:widowControl/>
        <w:spacing w:line="360" w:lineRule="auto"/>
        <w:rPr>
          <w:sz w:val="26"/>
          <w:szCs w:val="26"/>
        </w:rPr>
      </w:pPr>
    </w:p>
    <w:p w14:paraId="4A3638FC" w14:textId="77777777" w:rsidR="00534F4F" w:rsidRPr="00F7662E" w:rsidRDefault="00534F4F" w:rsidP="002E1D97">
      <w:pPr>
        <w:keepNext/>
        <w:widowControl/>
        <w:spacing w:line="360" w:lineRule="auto"/>
        <w:ind w:firstLine="1440"/>
        <w:rPr>
          <w:sz w:val="26"/>
          <w:szCs w:val="26"/>
        </w:rPr>
      </w:pPr>
      <w:r w:rsidRPr="00F7662E">
        <w:rPr>
          <w:sz w:val="26"/>
          <w:szCs w:val="26"/>
        </w:rPr>
        <w:t xml:space="preserve">Consistent with our 2210(a)(2) mandate to consider the effect of the transaction on employees, we have carefully reviewed all of the evidence presented and the Settlement terms.  As noted by the ALJ, the Settlement contains numerous provisions that provide employee protections, such as the retention of call center and field operations center jobs, Settlement at ¶¶ 94-95, the maintenance of field staffing levels for five years, Settlement at ¶ 76, and no planned reductions in workforce for the Peoples Companies or Aqua PA.  Joint Applicants Exh. DJS-1 at 20-21, 30-31; Joint Applicants St. 1 Revised at 12.  Furthermore, adherence to collective bargaining agreements for both the Peoples Companies and Aqua PA, Settlement at ¶ 77, and maintaining the current Peoples Companies headquarters at its present location through at least January 31, 2029 and seeking Commission approval to move it thereafter, Settlement at ¶¶ 81-82, all demonstrate a commitment to positive employee impact.  </w:t>
      </w:r>
    </w:p>
    <w:p w14:paraId="1D3503ED" w14:textId="77777777" w:rsidR="00534F4F" w:rsidRPr="00F7662E" w:rsidRDefault="00534F4F" w:rsidP="00B24187">
      <w:pPr>
        <w:widowControl/>
        <w:spacing w:line="360" w:lineRule="auto"/>
        <w:ind w:firstLine="1440"/>
        <w:rPr>
          <w:sz w:val="26"/>
          <w:szCs w:val="26"/>
        </w:rPr>
      </w:pPr>
    </w:p>
    <w:p w14:paraId="724B639D" w14:textId="66862C15" w:rsidR="00DC01C3" w:rsidRDefault="0043381E" w:rsidP="00E34097">
      <w:pPr>
        <w:keepNext/>
        <w:widowControl/>
        <w:spacing w:line="360" w:lineRule="auto"/>
        <w:rPr>
          <w:sz w:val="26"/>
          <w:szCs w:val="26"/>
        </w:rPr>
      </w:pPr>
      <w:r>
        <w:rPr>
          <w:sz w:val="26"/>
          <w:szCs w:val="26"/>
        </w:rPr>
        <w:tab/>
      </w:r>
      <w:r>
        <w:rPr>
          <w:sz w:val="26"/>
          <w:szCs w:val="26"/>
        </w:rPr>
        <w:tab/>
      </w:r>
      <w:r w:rsidR="00E34097">
        <w:rPr>
          <w:sz w:val="26"/>
          <w:szCs w:val="26"/>
        </w:rPr>
        <w:t xml:space="preserve">We have considered carefully I&amp;E’s claims of potential detrimental effects on </w:t>
      </w:r>
      <w:r w:rsidR="00534F4F" w:rsidRPr="00F7662E">
        <w:rPr>
          <w:sz w:val="26"/>
          <w:szCs w:val="26"/>
        </w:rPr>
        <w:t xml:space="preserve">employees of </w:t>
      </w:r>
      <w:r w:rsidR="00534F4F" w:rsidRPr="00F7662E">
        <w:rPr>
          <w:b/>
          <w:sz w:val="26"/>
          <w:szCs w:val="26"/>
        </w:rPr>
        <w:t>[BEGIN HIGHLY CONFIDENTIAL-STATUTORY ADVOCATES ONLY]</w:t>
      </w:r>
      <w:r w:rsidR="00534F4F" w:rsidRPr="00F7662E">
        <w:rPr>
          <w:sz w:val="26"/>
          <w:szCs w:val="26"/>
        </w:rPr>
        <w:t xml:space="preserve"> </w:t>
      </w:r>
      <w:r w:rsidR="00DC01C3">
        <w:rPr>
          <w:sz w:val="26"/>
          <w:szCs w:val="26"/>
        </w:rPr>
        <w:t xml:space="preserve"> </w:t>
      </w:r>
      <w:r w:rsidR="00E34097" w:rsidRPr="00F7662E">
        <w:rPr>
          <w:b/>
          <w:sz w:val="26"/>
          <w:szCs w:val="26"/>
        </w:rPr>
        <w:t>[END HIGHLY CONFIDENTIAL-STATUTORY ADVOCATES ONLY]</w:t>
      </w:r>
      <w:r w:rsidR="00E34097">
        <w:rPr>
          <w:sz w:val="26"/>
          <w:szCs w:val="26"/>
        </w:rPr>
        <w:t xml:space="preserve"> </w:t>
      </w:r>
    </w:p>
    <w:p w14:paraId="22E0FC30" w14:textId="77777777" w:rsidR="00DC01C3" w:rsidRDefault="00DC01C3">
      <w:pPr>
        <w:widowControl/>
        <w:rPr>
          <w:sz w:val="26"/>
          <w:szCs w:val="26"/>
        </w:rPr>
      </w:pPr>
      <w:r>
        <w:rPr>
          <w:sz w:val="26"/>
          <w:szCs w:val="26"/>
        </w:rPr>
        <w:br w:type="page"/>
      </w:r>
    </w:p>
    <w:p w14:paraId="7326901F" w14:textId="51396B94" w:rsidR="00E34097" w:rsidRDefault="00E34097" w:rsidP="00E34097">
      <w:pPr>
        <w:keepNext/>
        <w:widowControl/>
        <w:spacing w:line="360" w:lineRule="auto"/>
        <w:rPr>
          <w:sz w:val="26"/>
          <w:szCs w:val="26"/>
        </w:rPr>
      </w:pPr>
      <w:r>
        <w:rPr>
          <w:sz w:val="26"/>
          <w:szCs w:val="26"/>
        </w:rPr>
        <w:lastRenderedPageBreak/>
        <w:t>We agree with t</w:t>
      </w:r>
      <w:r w:rsidRPr="00F7662E">
        <w:rPr>
          <w:sz w:val="26"/>
          <w:szCs w:val="26"/>
        </w:rPr>
        <w:t xml:space="preserve">he ALJ that the concerns of I&amp;E and the OSBA </w:t>
      </w:r>
      <w:r>
        <w:rPr>
          <w:sz w:val="26"/>
          <w:szCs w:val="26"/>
        </w:rPr>
        <w:t>a</w:t>
      </w:r>
      <w:r w:rsidRPr="00F7662E">
        <w:rPr>
          <w:sz w:val="26"/>
          <w:szCs w:val="26"/>
        </w:rPr>
        <w:t xml:space="preserve">re founded in speculation and ignore </w:t>
      </w:r>
      <w:r>
        <w:rPr>
          <w:sz w:val="26"/>
          <w:szCs w:val="26"/>
        </w:rPr>
        <w:t xml:space="preserve">extensive </w:t>
      </w:r>
      <w:r w:rsidRPr="00F7662E">
        <w:rPr>
          <w:sz w:val="26"/>
          <w:szCs w:val="26"/>
        </w:rPr>
        <w:t xml:space="preserve">measures put in place for succession planning and the preservation of technical expertise at the Peoples Companies.  R.D. at 101.  </w:t>
      </w:r>
      <w:r>
        <w:rPr>
          <w:sz w:val="26"/>
          <w:szCs w:val="26"/>
        </w:rPr>
        <w:t xml:space="preserve">Accordingly, we conclude that </w:t>
      </w:r>
      <w:r w:rsidRPr="00F7662E">
        <w:rPr>
          <w:sz w:val="26"/>
          <w:szCs w:val="26"/>
        </w:rPr>
        <w:t xml:space="preserve">the requirements of Section 2210(a)(2) </w:t>
      </w:r>
      <w:r>
        <w:rPr>
          <w:sz w:val="26"/>
          <w:szCs w:val="26"/>
        </w:rPr>
        <w:t>a</w:t>
      </w:r>
      <w:r w:rsidRPr="00F7662E">
        <w:rPr>
          <w:sz w:val="26"/>
          <w:szCs w:val="26"/>
        </w:rPr>
        <w:t xml:space="preserve">re satisfied and there </w:t>
      </w:r>
      <w:r>
        <w:rPr>
          <w:sz w:val="26"/>
          <w:szCs w:val="26"/>
        </w:rPr>
        <w:t>is</w:t>
      </w:r>
      <w:r w:rsidRPr="00F7662E">
        <w:rPr>
          <w:sz w:val="26"/>
          <w:szCs w:val="26"/>
        </w:rPr>
        <w:t xml:space="preserve"> no evidence that the Proposed Transaction will have an unduly negative effect on employees.</w:t>
      </w:r>
    </w:p>
    <w:p w14:paraId="2DD04BE9" w14:textId="77777777" w:rsidR="000C3503" w:rsidRPr="00F7662E" w:rsidRDefault="000C3503" w:rsidP="00E34097">
      <w:pPr>
        <w:keepNext/>
        <w:widowControl/>
        <w:spacing w:line="360" w:lineRule="auto"/>
        <w:rPr>
          <w:sz w:val="26"/>
          <w:szCs w:val="26"/>
        </w:rPr>
      </w:pPr>
    </w:p>
    <w:p w14:paraId="348B3A83" w14:textId="11F2B330" w:rsidR="00DC01C3" w:rsidRDefault="000D6D63" w:rsidP="00B24187">
      <w:pPr>
        <w:widowControl/>
        <w:spacing w:line="360" w:lineRule="auto"/>
        <w:ind w:firstLine="1440"/>
        <w:rPr>
          <w:sz w:val="26"/>
          <w:szCs w:val="26"/>
        </w:rPr>
      </w:pPr>
      <w:r w:rsidRPr="00CE549B">
        <w:rPr>
          <w:b/>
          <w:bCs/>
          <w:sz w:val="26"/>
          <w:szCs w:val="26"/>
        </w:rPr>
        <w:t>[BEGIN</w:t>
      </w:r>
      <w:r w:rsidR="009A2F6D" w:rsidRPr="00CE549B">
        <w:rPr>
          <w:b/>
          <w:bCs/>
          <w:sz w:val="26"/>
          <w:szCs w:val="26"/>
        </w:rPr>
        <w:t xml:space="preserve"> HIGHLY CONFIDENTIAL</w:t>
      </w:r>
      <w:r w:rsidR="008B3FA8" w:rsidRPr="00CE549B">
        <w:rPr>
          <w:b/>
          <w:bCs/>
          <w:sz w:val="26"/>
          <w:szCs w:val="26"/>
        </w:rPr>
        <w:t>-STATUTORY ADVOCATES ONLY</w:t>
      </w:r>
      <w:r w:rsidR="00871996" w:rsidRPr="00CE549B">
        <w:rPr>
          <w:b/>
          <w:bCs/>
          <w:sz w:val="26"/>
          <w:szCs w:val="26"/>
        </w:rPr>
        <w:t>]</w:t>
      </w:r>
      <w:r w:rsidR="00871996">
        <w:rPr>
          <w:sz w:val="26"/>
          <w:szCs w:val="26"/>
        </w:rPr>
        <w:t xml:space="preserve">  </w:t>
      </w:r>
      <w:r w:rsidR="009C4CC6" w:rsidRPr="00CE549B">
        <w:rPr>
          <w:b/>
          <w:bCs/>
          <w:sz w:val="26"/>
          <w:szCs w:val="26"/>
        </w:rPr>
        <w:t>[END</w:t>
      </w:r>
      <w:r w:rsidR="009C4CC6" w:rsidRPr="00F1577D">
        <w:rPr>
          <w:b/>
          <w:bCs/>
          <w:sz w:val="26"/>
          <w:szCs w:val="26"/>
        </w:rPr>
        <w:t xml:space="preserve"> HIGHLY CONFIDENTIAL-STATUTORY ADVOCATES ONLY]</w:t>
      </w:r>
      <w:r w:rsidR="009C4CC6">
        <w:rPr>
          <w:sz w:val="26"/>
          <w:szCs w:val="26"/>
        </w:rPr>
        <w:t xml:space="preserve"> </w:t>
      </w:r>
    </w:p>
    <w:p w14:paraId="1906A9DE" w14:textId="77777777" w:rsidR="00DC01C3" w:rsidRDefault="00DC01C3">
      <w:pPr>
        <w:widowControl/>
        <w:rPr>
          <w:sz w:val="26"/>
          <w:szCs w:val="26"/>
        </w:rPr>
      </w:pPr>
      <w:r>
        <w:rPr>
          <w:sz w:val="26"/>
          <w:szCs w:val="26"/>
        </w:rPr>
        <w:br w:type="page"/>
      </w:r>
    </w:p>
    <w:p w14:paraId="2C5925DF" w14:textId="5C508B8E" w:rsidR="00534F4F" w:rsidRPr="00F7662E" w:rsidRDefault="00E34097" w:rsidP="00B24187">
      <w:pPr>
        <w:widowControl/>
        <w:spacing w:line="360" w:lineRule="auto"/>
        <w:ind w:firstLine="1440"/>
        <w:rPr>
          <w:sz w:val="26"/>
          <w:szCs w:val="26"/>
        </w:rPr>
      </w:pPr>
      <w:r>
        <w:rPr>
          <w:sz w:val="26"/>
          <w:szCs w:val="26"/>
        </w:rPr>
        <w:lastRenderedPageBreak/>
        <w:t xml:space="preserve">The fact that Mr. Gregorini has been with the Peoples Companies for </w:t>
      </w:r>
      <w:r w:rsidR="00723296">
        <w:rPr>
          <w:sz w:val="26"/>
          <w:szCs w:val="26"/>
        </w:rPr>
        <w:t>thirty-one</w:t>
      </w:r>
      <w:r>
        <w:rPr>
          <w:sz w:val="26"/>
          <w:szCs w:val="26"/>
        </w:rPr>
        <w:t xml:space="preserve"> years is a beneficial, stabilizing factor that cannot be discounted.  </w:t>
      </w:r>
    </w:p>
    <w:p w14:paraId="730EAF41" w14:textId="77777777" w:rsidR="00534F4F" w:rsidRPr="00F7662E" w:rsidRDefault="00534F4F" w:rsidP="00B24187">
      <w:pPr>
        <w:widowControl/>
        <w:spacing w:line="360" w:lineRule="auto"/>
        <w:ind w:firstLine="1440"/>
        <w:rPr>
          <w:sz w:val="26"/>
          <w:szCs w:val="26"/>
        </w:rPr>
      </w:pPr>
    </w:p>
    <w:p w14:paraId="15664940" w14:textId="1C7304F9" w:rsidR="00534F4F" w:rsidRPr="00F7662E" w:rsidRDefault="00534F4F" w:rsidP="00B24187">
      <w:pPr>
        <w:widowControl/>
        <w:spacing w:line="360" w:lineRule="auto"/>
        <w:rPr>
          <w:b/>
          <w:sz w:val="26"/>
          <w:szCs w:val="26"/>
        </w:rPr>
      </w:pPr>
      <w:r w:rsidRPr="00F7662E">
        <w:rPr>
          <w:sz w:val="26"/>
          <w:szCs w:val="26"/>
        </w:rPr>
        <w:tab/>
      </w:r>
      <w:r w:rsidRPr="00F7662E">
        <w:rPr>
          <w:sz w:val="26"/>
          <w:szCs w:val="26"/>
        </w:rPr>
        <w:tab/>
      </w:r>
      <w:r w:rsidR="009C4CC6" w:rsidRPr="00F1577D">
        <w:rPr>
          <w:b/>
          <w:bCs/>
          <w:sz w:val="26"/>
          <w:szCs w:val="26"/>
        </w:rPr>
        <w:t>[BEGIN HIGHLY CONFIDENTIAL-STATUTORY ADVOCATES ONLY]</w:t>
      </w:r>
      <w:r w:rsidRPr="00F7662E">
        <w:rPr>
          <w:sz w:val="26"/>
          <w:szCs w:val="26"/>
        </w:rPr>
        <w:t xml:space="preserve">  </w:t>
      </w:r>
      <w:r w:rsidRPr="00F7662E">
        <w:rPr>
          <w:b/>
          <w:sz w:val="26"/>
          <w:szCs w:val="26"/>
        </w:rPr>
        <w:t>[END HIGHLY CONFIDENTIAL-STATUTORY ADVOCATES ONLY]</w:t>
      </w:r>
    </w:p>
    <w:p w14:paraId="1014E0D0" w14:textId="77777777" w:rsidR="00534F4F" w:rsidRPr="00F7662E" w:rsidRDefault="00534F4F" w:rsidP="00B24187">
      <w:pPr>
        <w:widowControl/>
      </w:pPr>
    </w:p>
    <w:p w14:paraId="0C0146C2" w14:textId="13199321" w:rsidR="00534F4F" w:rsidRDefault="00796FE5" w:rsidP="00B24187">
      <w:pPr>
        <w:widowControl/>
        <w:spacing w:line="360" w:lineRule="auto"/>
        <w:ind w:firstLine="1440"/>
        <w:rPr>
          <w:b/>
          <w:sz w:val="26"/>
          <w:szCs w:val="26"/>
        </w:rPr>
      </w:pPr>
      <w:r>
        <w:rPr>
          <w:sz w:val="26"/>
          <w:szCs w:val="26"/>
        </w:rPr>
        <w:t>Furthermore, a</w:t>
      </w:r>
      <w:r w:rsidR="00534F4F" w:rsidRPr="00F7662E">
        <w:rPr>
          <w:sz w:val="26"/>
          <w:szCs w:val="26"/>
        </w:rPr>
        <w:t xml:space="preserve">s pointed out by </w:t>
      </w:r>
      <w:r w:rsidR="00D6649C">
        <w:rPr>
          <w:sz w:val="26"/>
          <w:szCs w:val="26"/>
        </w:rPr>
        <w:t xml:space="preserve">the </w:t>
      </w:r>
      <w:r w:rsidR="00534F4F" w:rsidRPr="00F7662E">
        <w:rPr>
          <w:sz w:val="26"/>
          <w:szCs w:val="26"/>
        </w:rPr>
        <w:t xml:space="preserve">OCA in its Replies to Exceptions, the proposed transaction, as modified by the Settlement, does not involve reductions in workforces for either </w:t>
      </w:r>
      <w:r w:rsidR="00D6649C">
        <w:rPr>
          <w:sz w:val="26"/>
          <w:szCs w:val="26"/>
        </w:rPr>
        <w:t xml:space="preserve">the </w:t>
      </w:r>
      <w:r w:rsidR="00534F4F" w:rsidRPr="00F7662E">
        <w:rPr>
          <w:sz w:val="26"/>
          <w:szCs w:val="26"/>
        </w:rPr>
        <w:t xml:space="preserve">Peoples </w:t>
      </w:r>
      <w:r w:rsidR="00D6649C">
        <w:rPr>
          <w:sz w:val="26"/>
          <w:szCs w:val="26"/>
        </w:rPr>
        <w:t xml:space="preserve">Companies </w:t>
      </w:r>
      <w:r w:rsidR="00534F4F" w:rsidRPr="00F7662E">
        <w:rPr>
          <w:sz w:val="26"/>
          <w:szCs w:val="26"/>
        </w:rPr>
        <w:t xml:space="preserve">or Aqua PA.  OCA R. Exc. at 16.  In addition, the labor union parties are signatories to the Settlement.  </w:t>
      </w:r>
      <w:r w:rsidR="00534F4F" w:rsidRPr="00F7662E">
        <w:rPr>
          <w:i/>
          <w:sz w:val="26"/>
          <w:szCs w:val="26"/>
        </w:rPr>
        <w:t xml:space="preserve">Id. </w:t>
      </w:r>
      <w:r w:rsidR="00534F4F" w:rsidRPr="00F7662E">
        <w:rPr>
          <w:sz w:val="26"/>
          <w:szCs w:val="26"/>
        </w:rPr>
        <w:t xml:space="preserve"> The Joint Applicants also note that Aqua America intends to retain existing Peoples Companies</w:t>
      </w:r>
      <w:r w:rsidR="00612BC3">
        <w:rPr>
          <w:sz w:val="26"/>
          <w:szCs w:val="26"/>
        </w:rPr>
        <w:t>’</w:t>
      </w:r>
      <w:r w:rsidR="00534F4F" w:rsidRPr="00F7662E">
        <w:rPr>
          <w:sz w:val="26"/>
          <w:szCs w:val="26"/>
        </w:rPr>
        <w:t xml:space="preserve"> employees and management, has put measures in place for succession planning, and </w:t>
      </w:r>
      <w:r w:rsidR="00534F4F" w:rsidRPr="00F7662E">
        <w:rPr>
          <w:b/>
          <w:sz w:val="26"/>
          <w:szCs w:val="26"/>
        </w:rPr>
        <w:t>[BEGIN CONFIDENTIAL]</w:t>
      </w:r>
      <w:r w:rsidR="00534F4F" w:rsidRPr="00F7662E">
        <w:rPr>
          <w:sz w:val="26"/>
          <w:szCs w:val="26"/>
        </w:rPr>
        <w:t xml:space="preserve">  </w:t>
      </w:r>
      <w:r w:rsidR="00EE43A5" w:rsidRPr="00F7662E">
        <w:rPr>
          <w:b/>
          <w:sz w:val="26"/>
          <w:szCs w:val="26"/>
        </w:rPr>
        <w:t>[END CONFIDENTIAL]</w:t>
      </w:r>
      <w:r w:rsidR="00EE43A5">
        <w:rPr>
          <w:b/>
          <w:sz w:val="26"/>
          <w:szCs w:val="26"/>
        </w:rPr>
        <w:t xml:space="preserve"> </w:t>
      </w:r>
      <w:r w:rsidR="00534F4F" w:rsidRPr="00F7662E">
        <w:rPr>
          <w:sz w:val="26"/>
          <w:szCs w:val="26"/>
        </w:rPr>
        <w:t>On balance, we determine that</w:t>
      </w:r>
      <w:r w:rsidR="009A37F0">
        <w:rPr>
          <w:sz w:val="26"/>
          <w:szCs w:val="26"/>
        </w:rPr>
        <w:t xml:space="preserve"> </w:t>
      </w:r>
      <w:r w:rsidR="00534F4F" w:rsidRPr="00F7662E">
        <w:rPr>
          <w:sz w:val="26"/>
          <w:szCs w:val="26"/>
        </w:rPr>
        <w:t>the effect of the Transaction on employees has been adequately considered under Section 2210(a)(2) of the Code.</w:t>
      </w:r>
      <w:r w:rsidR="003A591D">
        <w:rPr>
          <w:sz w:val="26"/>
          <w:szCs w:val="26"/>
        </w:rPr>
        <w:t xml:space="preserve">  </w:t>
      </w:r>
    </w:p>
    <w:bookmarkEnd w:id="159"/>
    <w:p w14:paraId="47240877" w14:textId="77777777" w:rsidR="00534F4F" w:rsidRPr="00F7662E" w:rsidRDefault="00534F4F" w:rsidP="00B24187">
      <w:pPr>
        <w:widowControl/>
        <w:spacing w:line="360" w:lineRule="auto"/>
        <w:ind w:firstLine="1440"/>
        <w:rPr>
          <w:sz w:val="26"/>
          <w:szCs w:val="26"/>
        </w:rPr>
      </w:pPr>
    </w:p>
    <w:p w14:paraId="37F0C373" w14:textId="77777777" w:rsidR="00DC01C3" w:rsidRDefault="00DC01C3">
      <w:pPr>
        <w:widowControl/>
        <w:rPr>
          <w:rFonts w:eastAsiaTheme="minorHAnsi"/>
          <w:b/>
          <w:bCs/>
          <w:sz w:val="26"/>
          <w:szCs w:val="26"/>
        </w:rPr>
      </w:pPr>
      <w:bookmarkStart w:id="166" w:name="_Toc29278256"/>
      <w:r>
        <w:rPr>
          <w:rFonts w:eastAsiaTheme="minorHAnsi"/>
        </w:rPr>
        <w:br w:type="page"/>
      </w:r>
    </w:p>
    <w:p w14:paraId="4C658BAE" w14:textId="3948C66B" w:rsidR="0039712D" w:rsidRPr="009B795C" w:rsidRDefault="0039712D" w:rsidP="00DC01C3">
      <w:pPr>
        <w:pStyle w:val="Heading2"/>
        <w:widowControl/>
        <w:spacing w:line="240" w:lineRule="auto"/>
        <w:ind w:hanging="720"/>
        <w:rPr>
          <w:rFonts w:eastAsiaTheme="minorHAnsi"/>
          <w:w w:val="105"/>
        </w:rPr>
      </w:pPr>
      <w:r w:rsidRPr="009B795C">
        <w:rPr>
          <w:rFonts w:eastAsiaTheme="minorHAnsi"/>
        </w:rPr>
        <w:lastRenderedPageBreak/>
        <w:t>Conclusion on Proposed Transaction</w:t>
      </w:r>
      <w:r>
        <w:rPr>
          <w:rFonts w:eastAsiaTheme="minorHAnsi"/>
        </w:rPr>
        <w:t xml:space="preserve"> as Modified by the Settlement</w:t>
      </w:r>
      <w:r w:rsidR="00E83171">
        <w:rPr>
          <w:rFonts w:eastAsiaTheme="minorHAnsi"/>
        </w:rPr>
        <w:t>, and Modifications to the Settlement in this Opinion and Order</w:t>
      </w:r>
      <w:bookmarkEnd w:id="166"/>
      <w:r w:rsidR="00E83171">
        <w:rPr>
          <w:rFonts w:eastAsiaTheme="minorHAnsi"/>
        </w:rPr>
        <w:t xml:space="preserve"> </w:t>
      </w:r>
      <w:r w:rsidRPr="009B795C">
        <w:rPr>
          <w:rFonts w:eastAsiaTheme="minorHAnsi"/>
        </w:rPr>
        <w:t xml:space="preserve"> </w:t>
      </w:r>
    </w:p>
    <w:p w14:paraId="6EAC72DE" w14:textId="77777777" w:rsidR="0039712D" w:rsidRPr="009B795C" w:rsidRDefault="0039712D" w:rsidP="00DC01C3">
      <w:pPr>
        <w:keepNext/>
        <w:widowControl/>
        <w:spacing w:line="360" w:lineRule="auto"/>
        <w:rPr>
          <w:rFonts w:eastAsiaTheme="minorHAnsi"/>
          <w:w w:val="105"/>
          <w:sz w:val="26"/>
          <w:szCs w:val="24"/>
        </w:rPr>
      </w:pPr>
    </w:p>
    <w:p w14:paraId="68BF94A0" w14:textId="6A10861E" w:rsidR="0039712D" w:rsidRDefault="0039712D" w:rsidP="00B24187">
      <w:pPr>
        <w:pStyle w:val="Heading3"/>
        <w:numPr>
          <w:ilvl w:val="0"/>
          <w:numId w:val="39"/>
        </w:numPr>
        <w:ind w:left="1440" w:hanging="720"/>
        <w:rPr>
          <w:rFonts w:eastAsiaTheme="minorHAnsi"/>
        </w:rPr>
      </w:pPr>
      <w:bookmarkStart w:id="167" w:name="_Toc29278257"/>
      <w:r w:rsidRPr="00CF2A9F">
        <w:rPr>
          <w:rFonts w:eastAsiaTheme="minorHAnsi"/>
        </w:rPr>
        <w:t>ALJ’s Recommendation</w:t>
      </w:r>
      <w:bookmarkEnd w:id="167"/>
    </w:p>
    <w:p w14:paraId="16F61A99" w14:textId="77777777" w:rsidR="00D66EA5" w:rsidRPr="00D66EA5" w:rsidRDefault="00D66EA5" w:rsidP="00B24187">
      <w:pPr>
        <w:widowControl/>
        <w:rPr>
          <w:rFonts w:eastAsiaTheme="minorHAnsi"/>
        </w:rPr>
      </w:pPr>
    </w:p>
    <w:p w14:paraId="0ACFE22E" w14:textId="63166AE6" w:rsidR="0039712D" w:rsidRPr="009B795C" w:rsidRDefault="0039712D" w:rsidP="00B24187">
      <w:pPr>
        <w:widowControl/>
        <w:spacing w:before="33" w:line="360" w:lineRule="auto"/>
        <w:ind w:right="216" w:firstLine="720"/>
        <w:textAlignment w:val="baseline"/>
        <w:rPr>
          <w:rFonts w:eastAsiaTheme="minorHAnsi" w:cstheme="minorBidi"/>
          <w:sz w:val="26"/>
          <w:szCs w:val="22"/>
        </w:rPr>
      </w:pPr>
      <w:r w:rsidRPr="009B795C">
        <w:rPr>
          <w:rFonts w:eastAsiaTheme="minorHAnsi" w:cstheme="minorBidi"/>
          <w:sz w:val="26"/>
          <w:szCs w:val="22"/>
        </w:rPr>
        <w:tab/>
        <w:t>In the Initial Decision, the ALJ recommended approval of the Proposed Transaction, as modified by the Settlement terms.  The ALJ determined that the Joint Applicants satisfied their burden of proving that Aqua America’s acquisition of the Peoples Companies provides substantial affirmative benefits to the public.  R.D. at 104,</w:t>
      </w:r>
      <w:r w:rsidR="00A20C31">
        <w:rPr>
          <w:rFonts w:eastAsiaTheme="minorHAnsi" w:cstheme="minorBidi"/>
          <w:sz w:val="26"/>
          <w:szCs w:val="22"/>
        </w:rPr>
        <w:t> </w:t>
      </w:r>
      <w:r w:rsidRPr="009B795C">
        <w:rPr>
          <w:rFonts w:eastAsiaTheme="minorHAnsi" w:cstheme="minorBidi"/>
          <w:sz w:val="26"/>
          <w:szCs w:val="22"/>
        </w:rPr>
        <w:t>105.</w:t>
      </w:r>
    </w:p>
    <w:p w14:paraId="6424B8C7" w14:textId="77777777" w:rsidR="0039712D" w:rsidRPr="009B795C" w:rsidRDefault="0039712D" w:rsidP="00B24187">
      <w:pPr>
        <w:widowControl/>
        <w:spacing w:before="33" w:line="360" w:lineRule="auto"/>
        <w:ind w:right="216" w:firstLine="720"/>
        <w:textAlignment w:val="baseline"/>
        <w:rPr>
          <w:rFonts w:eastAsiaTheme="minorHAnsi" w:cstheme="minorBidi"/>
          <w:sz w:val="26"/>
          <w:szCs w:val="22"/>
        </w:rPr>
      </w:pPr>
    </w:p>
    <w:p w14:paraId="6FD1A1BA" w14:textId="12C41C9F" w:rsidR="0039712D" w:rsidRPr="009B795C" w:rsidRDefault="0039712D" w:rsidP="00B24187">
      <w:pPr>
        <w:widowControl/>
        <w:spacing w:line="360" w:lineRule="auto"/>
        <w:ind w:right="-29" w:firstLine="1440"/>
        <w:textAlignment w:val="baseline"/>
        <w:rPr>
          <w:rFonts w:asciiTheme="minorHAnsi" w:hAnsiTheme="minorHAnsi" w:cstheme="minorBidi"/>
          <w:color w:val="000000"/>
          <w:sz w:val="26"/>
          <w:szCs w:val="22"/>
        </w:rPr>
      </w:pPr>
      <w:r w:rsidRPr="009B795C">
        <w:rPr>
          <w:rFonts w:eastAsiaTheme="minorHAnsi" w:cstheme="minorBidi"/>
          <w:sz w:val="26"/>
          <w:szCs w:val="22"/>
        </w:rPr>
        <w:t>In analyzing the Proposed Transaction, the ALJ observed that it is correct</w:t>
      </w:r>
      <w:r w:rsidR="003A591D">
        <w:rPr>
          <w:rFonts w:eastAsiaTheme="minorHAnsi" w:cstheme="minorBidi"/>
          <w:sz w:val="26"/>
          <w:szCs w:val="22"/>
        </w:rPr>
        <w:t xml:space="preserve"> </w:t>
      </w:r>
      <w:r w:rsidRPr="009B795C">
        <w:rPr>
          <w:rFonts w:cstheme="minorBidi"/>
          <w:color w:val="000000"/>
          <w:sz w:val="26"/>
          <w:szCs w:val="22"/>
        </w:rPr>
        <w:t xml:space="preserve">that the transaction benefits must be paid for, at least in part by ratepayers, and it is this concern for costs to ratepayers that informs the I&amp;E and the OSBA’s objections to the Proposed Transaction.  The ALJ agreed that while the financial implications to ratepayers are important, this narrow focus disregards the significant improvements to service and reliability offered by the Proposed Transaction, as well as provisions established in the Settlement to mitigate some of the potential negative impacts on ratepayers.  The ALJ concluded that the most significant benefit is the proposal for the expeditious remediation of the G/T Systems, as it will preserve gas service for a significant number of customers and provide significant benefits to gas producers.  The ALJ also found significant Aqua America’s commitment to the accelerated replacement of at-risk pipeline on the Peoples Companies’ system.  The ALJ further noted that Aqua PA’s customers will be benefitted by improved customer service and universal service programs, as well as the improvements that will result from the upgrade to an SAP system.  The ALJ concluded that, taken as a whole, these commitments to service and reliability improvements will benefit ratepayers.  The ALJ emphasized that the ratemaking process will provide a check on the rate and nature of the spending to achieve these benefits.  R.D. at 102.  </w:t>
      </w:r>
    </w:p>
    <w:p w14:paraId="58364AF0" w14:textId="77777777" w:rsidR="0057518D" w:rsidRDefault="0057518D" w:rsidP="00B24187">
      <w:pPr>
        <w:widowControl/>
        <w:spacing w:line="360" w:lineRule="auto"/>
        <w:ind w:right="-29" w:firstLine="1440"/>
        <w:textAlignment w:val="baseline"/>
        <w:rPr>
          <w:rFonts w:cstheme="minorBidi"/>
          <w:color w:val="000000"/>
          <w:spacing w:val="3"/>
          <w:sz w:val="26"/>
          <w:szCs w:val="22"/>
        </w:rPr>
      </w:pPr>
    </w:p>
    <w:p w14:paraId="35E5C875" w14:textId="1B40C721" w:rsidR="0039712D" w:rsidRPr="009B795C" w:rsidRDefault="0057518D" w:rsidP="00B24187">
      <w:pPr>
        <w:widowControl/>
        <w:spacing w:line="360" w:lineRule="auto"/>
        <w:ind w:right="-29" w:firstLine="1440"/>
        <w:textAlignment w:val="baseline"/>
        <w:rPr>
          <w:rFonts w:asciiTheme="minorHAnsi" w:hAnsiTheme="minorHAnsi" w:cstheme="minorBidi"/>
          <w:color w:val="000000"/>
          <w:spacing w:val="4"/>
          <w:sz w:val="26"/>
          <w:szCs w:val="22"/>
        </w:rPr>
      </w:pPr>
      <w:r>
        <w:rPr>
          <w:rFonts w:cstheme="minorBidi"/>
          <w:color w:val="000000"/>
          <w:spacing w:val="3"/>
          <w:sz w:val="26"/>
          <w:szCs w:val="22"/>
        </w:rPr>
        <w:lastRenderedPageBreak/>
        <w:t>T</w:t>
      </w:r>
      <w:r w:rsidR="0039712D" w:rsidRPr="009B795C">
        <w:rPr>
          <w:rFonts w:cstheme="minorBidi"/>
          <w:color w:val="000000"/>
          <w:spacing w:val="3"/>
          <w:sz w:val="26"/>
          <w:szCs w:val="22"/>
        </w:rPr>
        <w:t xml:space="preserve">he ALJ stated that while it is accurate that Aqua America’s </w:t>
      </w:r>
      <w:r w:rsidR="003A591D" w:rsidRPr="009B795C">
        <w:rPr>
          <w:rFonts w:cstheme="minorBidi"/>
          <w:color w:val="000000"/>
          <w:spacing w:val="3"/>
          <w:sz w:val="26"/>
          <w:szCs w:val="22"/>
        </w:rPr>
        <w:t>shareholders will</w:t>
      </w:r>
      <w:r w:rsidR="0039712D" w:rsidRPr="009B795C">
        <w:rPr>
          <w:rFonts w:cstheme="minorBidi"/>
          <w:color w:val="000000"/>
          <w:spacing w:val="3"/>
          <w:sz w:val="26"/>
          <w:szCs w:val="22"/>
        </w:rPr>
        <w:t xml:space="preserve"> make money as Aqua America evolves into an infrastructure company, this by itself is not a negative impact of the Proposed Transaction.  The ALJ concluded that as reflected by Aqua America stock’s strong performance in the market, shareholder profit will incentivize Aqua America to continue to make important infrastructure investments in its gas and water utility subsidiaries.  The ALJ also found that the Proposed Transaction, as modified by the Settlement, demonstrates a commitment to the stability of the Peoples Companies and Aqua PA, noting that Aqua America is committed to retaining the technical expertise of the current Peoples Companies and integrating this expertise into Aqua America’s Board.  The ALJ further observed the </w:t>
      </w:r>
      <w:r w:rsidR="0039712D" w:rsidRPr="009B795C">
        <w:rPr>
          <w:rFonts w:cstheme="minorBidi"/>
          <w:color w:val="000000"/>
          <w:spacing w:val="4"/>
          <w:sz w:val="26"/>
          <w:szCs w:val="22"/>
        </w:rPr>
        <w:t xml:space="preserve">variety of stakeholders and interests that support the Commission’s approval of the Proposed Transaction and Settlement.  </w:t>
      </w:r>
      <w:r w:rsidR="0039712D" w:rsidRPr="009B795C">
        <w:rPr>
          <w:rFonts w:cstheme="minorBidi"/>
          <w:i/>
          <w:iCs/>
          <w:color w:val="000000"/>
          <w:spacing w:val="4"/>
          <w:sz w:val="26"/>
          <w:szCs w:val="22"/>
        </w:rPr>
        <w:t>Id</w:t>
      </w:r>
      <w:r w:rsidR="0039712D" w:rsidRPr="009B795C">
        <w:rPr>
          <w:rFonts w:cstheme="minorBidi"/>
          <w:color w:val="000000"/>
          <w:spacing w:val="4"/>
          <w:sz w:val="26"/>
          <w:szCs w:val="22"/>
        </w:rPr>
        <w:t>. at 103.</w:t>
      </w:r>
    </w:p>
    <w:p w14:paraId="4B48003A" w14:textId="77777777" w:rsidR="0039712D" w:rsidRPr="009B795C" w:rsidRDefault="0039712D" w:rsidP="00B24187">
      <w:pPr>
        <w:widowControl/>
        <w:spacing w:before="33" w:line="360" w:lineRule="auto"/>
        <w:ind w:right="216" w:firstLine="720"/>
        <w:textAlignment w:val="baseline"/>
        <w:rPr>
          <w:rFonts w:eastAsiaTheme="minorHAnsi" w:cstheme="minorBidi"/>
          <w:sz w:val="26"/>
          <w:szCs w:val="22"/>
        </w:rPr>
      </w:pPr>
    </w:p>
    <w:p w14:paraId="243D951A" w14:textId="77777777" w:rsidR="0039712D" w:rsidRPr="009B795C" w:rsidRDefault="0039712D" w:rsidP="00A20C31">
      <w:pPr>
        <w:pStyle w:val="Heading3"/>
        <w:keepNext/>
        <w:ind w:left="1440" w:hanging="630"/>
        <w:rPr>
          <w:rFonts w:eastAsiaTheme="minorHAnsi"/>
        </w:rPr>
      </w:pPr>
      <w:bookmarkStart w:id="168" w:name="_Toc29278258"/>
      <w:r w:rsidRPr="009B795C">
        <w:rPr>
          <w:rFonts w:eastAsiaTheme="minorHAnsi"/>
        </w:rPr>
        <w:t>Exceptions and Replies</w:t>
      </w:r>
      <w:bookmarkEnd w:id="168"/>
    </w:p>
    <w:p w14:paraId="698DCCBA" w14:textId="77777777" w:rsidR="0039712D" w:rsidRPr="009B795C" w:rsidRDefault="0039712D" w:rsidP="00A20C31">
      <w:pPr>
        <w:keepNext/>
        <w:widowControl/>
        <w:spacing w:before="33" w:line="360" w:lineRule="auto"/>
        <w:ind w:right="216" w:firstLine="720"/>
        <w:textAlignment w:val="baseline"/>
        <w:rPr>
          <w:rFonts w:eastAsiaTheme="minorHAnsi" w:cstheme="minorBidi"/>
          <w:sz w:val="26"/>
          <w:szCs w:val="22"/>
        </w:rPr>
      </w:pPr>
    </w:p>
    <w:p w14:paraId="7FF3E3F1" w14:textId="6C938EF0" w:rsidR="0039712D" w:rsidRDefault="0039712D" w:rsidP="005047CC">
      <w:pPr>
        <w:keepNext/>
        <w:widowControl/>
        <w:spacing w:before="33" w:line="360" w:lineRule="auto"/>
        <w:ind w:right="216" w:firstLine="1440"/>
        <w:textAlignment w:val="baseline"/>
        <w:rPr>
          <w:rFonts w:cstheme="minorBidi"/>
          <w:sz w:val="26"/>
          <w:szCs w:val="22"/>
        </w:rPr>
      </w:pPr>
      <w:r w:rsidRPr="009B795C">
        <w:rPr>
          <w:rFonts w:eastAsiaTheme="minorHAnsi" w:cstheme="minorBidi"/>
          <w:sz w:val="26"/>
          <w:szCs w:val="22"/>
        </w:rPr>
        <w:t xml:space="preserve">I&amp;E contends that the </w:t>
      </w:r>
      <w:r w:rsidRPr="009B795C">
        <w:rPr>
          <w:rFonts w:cstheme="minorBidi"/>
          <w:spacing w:val="7"/>
          <w:sz w:val="26"/>
          <w:szCs w:val="22"/>
        </w:rPr>
        <w:t xml:space="preserve">purported benefits in the Settlement are insufficient to overcome the detriments of the Proposed Transaction.  I&amp;E Exc. at 27.  I&amp;E states that as OSBA witness Knecht testified, because the Joint Applicants did not offer any substantial affirmative benefits in the Application, the Parties attempted to create their own affirmative public benefits in the Settlement.  </w:t>
      </w:r>
      <w:r w:rsidRPr="009B795C">
        <w:rPr>
          <w:rFonts w:cstheme="minorBidi"/>
          <w:i/>
          <w:iCs/>
          <w:spacing w:val="7"/>
          <w:sz w:val="26"/>
          <w:szCs w:val="22"/>
        </w:rPr>
        <w:t>Id</w:t>
      </w:r>
      <w:r w:rsidRPr="009B795C">
        <w:rPr>
          <w:rFonts w:cstheme="minorBidi"/>
          <w:spacing w:val="7"/>
          <w:sz w:val="26"/>
          <w:szCs w:val="22"/>
        </w:rPr>
        <w:t xml:space="preserve">. (citing OSBA St. 1-S at 3).  I&amp;E avers that the </w:t>
      </w:r>
      <w:r w:rsidRPr="009B795C">
        <w:rPr>
          <w:rFonts w:cstheme="minorBidi"/>
          <w:spacing w:val="9"/>
          <w:sz w:val="26"/>
          <w:szCs w:val="22"/>
        </w:rPr>
        <w:t xml:space="preserve">Peoples Companies are advocating that the 2013 Equitable Settlement which the Commission approved should be ignored, and under the circumstances, it is concerning that the ALJ did not give the instant Settlement more scrutiny.  I&amp;E </w:t>
      </w:r>
      <w:r w:rsidRPr="009B795C">
        <w:rPr>
          <w:rFonts w:cstheme="minorBidi"/>
          <w:spacing w:val="9"/>
          <w:sz w:val="26"/>
          <w:szCs w:val="22"/>
        </w:rPr>
        <w:lastRenderedPageBreak/>
        <w:t xml:space="preserve">Exc. at 27.  I&amp;E believes that </w:t>
      </w:r>
      <w:r w:rsidR="00D6649C">
        <w:rPr>
          <w:rFonts w:cstheme="minorBidi"/>
          <w:spacing w:val="9"/>
          <w:sz w:val="26"/>
          <w:szCs w:val="22"/>
        </w:rPr>
        <w:t xml:space="preserve">there </w:t>
      </w:r>
      <w:r w:rsidRPr="009B795C">
        <w:rPr>
          <w:rFonts w:cstheme="minorBidi"/>
          <w:spacing w:val="9"/>
          <w:sz w:val="26"/>
          <w:szCs w:val="22"/>
        </w:rPr>
        <w:t>is nothing in the instant proceeding to ensure the Settling Parties’ commitments will be followed</w:t>
      </w:r>
      <w:r w:rsidRPr="009B795C">
        <w:rPr>
          <w:rFonts w:cstheme="minorBidi"/>
          <w:sz w:val="26"/>
          <w:szCs w:val="22"/>
        </w:rPr>
        <w:t xml:space="preserve">.  </w:t>
      </w:r>
      <w:r w:rsidRPr="009B795C">
        <w:rPr>
          <w:rFonts w:cstheme="minorBidi"/>
          <w:i/>
          <w:iCs/>
          <w:sz w:val="26"/>
          <w:szCs w:val="22"/>
        </w:rPr>
        <w:t>Id</w:t>
      </w:r>
      <w:r w:rsidRPr="009B795C">
        <w:rPr>
          <w:rFonts w:cstheme="minorBidi"/>
          <w:sz w:val="26"/>
          <w:szCs w:val="22"/>
        </w:rPr>
        <w:t xml:space="preserve">. at 27-28.  </w:t>
      </w:r>
    </w:p>
    <w:p w14:paraId="734F9747" w14:textId="77777777" w:rsidR="00A20C31" w:rsidRPr="009B795C" w:rsidRDefault="00A20C31" w:rsidP="00A20C31">
      <w:pPr>
        <w:keepNext/>
        <w:widowControl/>
        <w:spacing w:before="33" w:line="360" w:lineRule="auto"/>
        <w:ind w:right="216" w:firstLine="720"/>
        <w:textAlignment w:val="baseline"/>
        <w:rPr>
          <w:rFonts w:cstheme="minorBidi"/>
          <w:sz w:val="26"/>
          <w:szCs w:val="22"/>
        </w:rPr>
      </w:pPr>
    </w:p>
    <w:p w14:paraId="2888E01B" w14:textId="20D26CC6" w:rsidR="0039712D" w:rsidRPr="009B795C" w:rsidRDefault="0039712D" w:rsidP="005047CC">
      <w:pPr>
        <w:widowControl/>
        <w:spacing w:before="20" w:line="360" w:lineRule="auto"/>
        <w:ind w:right="216" w:firstLine="1440"/>
        <w:textAlignment w:val="baseline"/>
        <w:rPr>
          <w:rFonts w:cstheme="minorBidi"/>
          <w:spacing w:val="6"/>
          <w:sz w:val="26"/>
          <w:szCs w:val="22"/>
        </w:rPr>
      </w:pPr>
      <w:r w:rsidRPr="009B795C">
        <w:rPr>
          <w:rFonts w:cstheme="minorBidi"/>
          <w:spacing w:val="6"/>
          <w:sz w:val="26"/>
          <w:szCs w:val="22"/>
        </w:rPr>
        <w:t xml:space="preserve">I&amp;E asserts that, instead, there are identifiable detriments to this Proposed Transaction.  I&amp;E avers that in order to carry out this Proposed Transaction, indebtedness at Aqua America will necessarily increase and with increased indebtedness comes increased risk.  I&amp;E states that there will be no additional revenue streams and, as the Joint Applicants pointed out, this is not a synergy-based transaction, so no real cost savings will be achieved. Regarding goodwill, I&amp;E argues that the real benefits of this Proposed Transaction will go to SteelRiver, and any of the purported benefits of this transaction </w:t>
      </w:r>
      <w:r w:rsidR="003A591D" w:rsidRPr="009B795C">
        <w:rPr>
          <w:rFonts w:cstheme="minorBidi"/>
          <w:spacing w:val="6"/>
          <w:sz w:val="26"/>
          <w:szCs w:val="22"/>
        </w:rPr>
        <w:t>are things</w:t>
      </w:r>
      <w:r w:rsidRPr="009B795C">
        <w:rPr>
          <w:rFonts w:cstheme="minorBidi"/>
          <w:spacing w:val="6"/>
          <w:sz w:val="26"/>
          <w:szCs w:val="22"/>
        </w:rPr>
        <w:t xml:space="preserve"> for which ratepayers are expected to pay.  I&amp;E contends that ratepayers are receiving a less stable parent company and an increase in uneconomic infrastructure replacements that they will pay for.  I&amp;E Exc. at 28.  On the other hand, I&amp;E states that SteelRiver will be paid over $4 billion dollars and bear no responsibility for the condition of the G/T Systems, and Aqua America will have more rate base put in place in the Peoples Companies through the accelerated LTIIP and replacement of the G/T Systems through which it will be able to recoup some of the $2 billion in goodwill it paid as part of the Proposed Transaction.  </w:t>
      </w:r>
      <w:r w:rsidRPr="009B795C">
        <w:rPr>
          <w:rFonts w:cstheme="minorBidi"/>
          <w:i/>
          <w:iCs/>
          <w:spacing w:val="6"/>
          <w:sz w:val="26"/>
          <w:szCs w:val="22"/>
        </w:rPr>
        <w:t>Id</w:t>
      </w:r>
      <w:r w:rsidRPr="009B795C">
        <w:rPr>
          <w:rFonts w:cstheme="minorBidi"/>
          <w:spacing w:val="6"/>
          <w:sz w:val="26"/>
          <w:szCs w:val="22"/>
        </w:rPr>
        <w:t xml:space="preserve">. at 28-29.  </w:t>
      </w:r>
    </w:p>
    <w:p w14:paraId="260A35FD" w14:textId="77777777" w:rsidR="0039712D" w:rsidRPr="009B795C" w:rsidRDefault="0039712D" w:rsidP="00B24187">
      <w:pPr>
        <w:widowControl/>
        <w:spacing w:before="20" w:line="360" w:lineRule="auto"/>
        <w:ind w:right="216" w:firstLine="720"/>
        <w:textAlignment w:val="baseline"/>
        <w:rPr>
          <w:rFonts w:cstheme="minorBidi"/>
          <w:spacing w:val="6"/>
          <w:sz w:val="26"/>
          <w:szCs w:val="22"/>
        </w:rPr>
      </w:pPr>
    </w:p>
    <w:p w14:paraId="70C5FE01" w14:textId="410D0921" w:rsidR="0039712D" w:rsidRPr="009B795C" w:rsidRDefault="0039712D" w:rsidP="00BA1FE9">
      <w:pPr>
        <w:widowControl/>
        <w:spacing w:line="360" w:lineRule="auto"/>
        <w:ind w:right="-30" w:firstLine="1440"/>
        <w:textAlignment w:val="baseline"/>
        <w:rPr>
          <w:rFonts w:cstheme="minorBidi"/>
          <w:color w:val="000000"/>
          <w:sz w:val="26"/>
          <w:szCs w:val="22"/>
        </w:rPr>
      </w:pPr>
      <w:r w:rsidRPr="009B795C">
        <w:rPr>
          <w:rFonts w:cstheme="minorBidi"/>
          <w:spacing w:val="6"/>
          <w:sz w:val="26"/>
          <w:szCs w:val="22"/>
        </w:rPr>
        <w:t>In its Exception No. 23, the OSBA</w:t>
      </w:r>
      <w:r w:rsidRPr="009B795C">
        <w:rPr>
          <w:rFonts w:cstheme="minorBidi"/>
          <w:color w:val="000000"/>
          <w:sz w:val="26"/>
          <w:szCs w:val="22"/>
        </w:rPr>
        <w:t xml:space="preserve"> avers that the ALJ erred in finding that its objections to the Proposed Transaction are just based on the cost to ratepayers.  The OSBA explains that its concerns are also based on the Joint Applicants’ failure to meet its burden of proving that the Proposed Transaction will affirmatively promote the service, accommodation, convenience, or safety of the public in some substantial way as required by </w:t>
      </w:r>
      <w:r w:rsidRPr="009B795C">
        <w:rPr>
          <w:rFonts w:cstheme="minorBidi"/>
          <w:i/>
          <w:color w:val="000000"/>
          <w:sz w:val="26"/>
          <w:szCs w:val="22"/>
        </w:rPr>
        <w:t>City of York</w:t>
      </w:r>
      <w:r w:rsidRPr="009B795C">
        <w:rPr>
          <w:rFonts w:cstheme="minorBidi"/>
          <w:color w:val="000000"/>
          <w:sz w:val="26"/>
          <w:szCs w:val="22"/>
        </w:rPr>
        <w:t xml:space="preserve">.  OSBA Exc. at 31.  The OSBA notes that </w:t>
      </w:r>
      <w:r w:rsidR="00237965">
        <w:rPr>
          <w:rFonts w:cstheme="minorBidi"/>
          <w:color w:val="000000"/>
          <w:sz w:val="26"/>
          <w:szCs w:val="22"/>
        </w:rPr>
        <w:t>it</w:t>
      </w:r>
      <w:r w:rsidRPr="009B795C">
        <w:rPr>
          <w:rFonts w:cstheme="minorBidi"/>
          <w:color w:val="000000"/>
          <w:sz w:val="26"/>
          <w:szCs w:val="22"/>
        </w:rPr>
        <w:t xml:space="preserve"> has expressed a concern that adding a massive non-revenue-producing goodwill asset to Aqua PA’s books, with a significant increase in associated debt, will materially increase the financial riskiness of Aqua America, and</w:t>
      </w:r>
      <w:r w:rsidR="005E2CD5">
        <w:rPr>
          <w:rFonts w:cstheme="minorBidi"/>
          <w:color w:val="000000"/>
          <w:sz w:val="26"/>
          <w:szCs w:val="22"/>
        </w:rPr>
        <w:t>,</w:t>
      </w:r>
      <w:r w:rsidRPr="009B795C">
        <w:rPr>
          <w:rFonts w:cstheme="minorBidi"/>
          <w:color w:val="000000"/>
          <w:sz w:val="26"/>
          <w:szCs w:val="22"/>
        </w:rPr>
        <w:t xml:space="preserve"> thus</w:t>
      </w:r>
      <w:r w:rsidR="005E2CD5">
        <w:rPr>
          <w:rFonts w:cstheme="minorBidi"/>
          <w:color w:val="000000"/>
          <w:sz w:val="26"/>
          <w:szCs w:val="22"/>
        </w:rPr>
        <w:t>,</w:t>
      </w:r>
      <w:r w:rsidRPr="009B795C">
        <w:rPr>
          <w:rFonts w:cstheme="minorBidi"/>
          <w:color w:val="000000"/>
          <w:sz w:val="26"/>
          <w:szCs w:val="22"/>
        </w:rPr>
        <w:t xml:space="preserve"> the riskiness of its two Pennsylvania utility subsidiaries.  </w:t>
      </w:r>
      <w:r w:rsidRPr="009B795C">
        <w:rPr>
          <w:rFonts w:cstheme="minorBidi"/>
          <w:i/>
          <w:iCs/>
          <w:color w:val="000000"/>
          <w:sz w:val="26"/>
          <w:szCs w:val="22"/>
        </w:rPr>
        <w:t>Id</w:t>
      </w:r>
      <w:r w:rsidRPr="009B795C">
        <w:rPr>
          <w:rFonts w:cstheme="minorBidi"/>
          <w:color w:val="000000"/>
          <w:sz w:val="26"/>
          <w:szCs w:val="22"/>
        </w:rPr>
        <w:t xml:space="preserve">. </w:t>
      </w:r>
      <w:r w:rsidRPr="009B795C">
        <w:rPr>
          <w:rFonts w:cstheme="minorBidi"/>
          <w:color w:val="000000"/>
          <w:sz w:val="26"/>
          <w:szCs w:val="22"/>
        </w:rPr>
        <w:lastRenderedPageBreak/>
        <w:t xml:space="preserve">(citing OSBA M.B. at 12-15).  The OSBA also explains that while its main concern associated with this risk is its impact on ratepayers, increasing the overall riskiness of two large Pennsylvania utilities may also have a negative impact on other stakeholders, particularly workers and suppliers, and potential impacts on government tax revenues.  OSBA Exc. at 31.  </w:t>
      </w:r>
    </w:p>
    <w:p w14:paraId="76AE570F" w14:textId="77777777" w:rsidR="0039712D" w:rsidRPr="009B795C" w:rsidRDefault="0039712D" w:rsidP="00BA1FE9">
      <w:pPr>
        <w:widowControl/>
        <w:spacing w:line="360" w:lineRule="auto"/>
        <w:ind w:right="-30" w:firstLine="1440"/>
        <w:textAlignment w:val="baseline"/>
        <w:rPr>
          <w:rFonts w:cstheme="minorBidi"/>
          <w:color w:val="000000"/>
          <w:sz w:val="26"/>
          <w:szCs w:val="22"/>
        </w:rPr>
      </w:pPr>
    </w:p>
    <w:p w14:paraId="194ECD78" w14:textId="2C240B49" w:rsidR="0039712D" w:rsidRPr="009B795C" w:rsidRDefault="0039712D" w:rsidP="00BA1FE9">
      <w:pPr>
        <w:widowControl/>
        <w:spacing w:line="360" w:lineRule="auto"/>
        <w:ind w:firstLine="1440"/>
        <w:textAlignment w:val="baseline"/>
        <w:rPr>
          <w:rFonts w:cstheme="minorBidi"/>
          <w:sz w:val="26"/>
          <w:szCs w:val="22"/>
        </w:rPr>
      </w:pPr>
      <w:r w:rsidRPr="009B795C">
        <w:rPr>
          <w:rFonts w:cstheme="minorBidi"/>
          <w:color w:val="000000"/>
          <w:sz w:val="26"/>
          <w:szCs w:val="22"/>
        </w:rPr>
        <w:t xml:space="preserve">In its Exception No. 24, the OSBA states that the ALJ erred in finding that the Proposed Transaction and Settlement are in the public interest and supported by substantial evidence.  The OSBA believes that the </w:t>
      </w:r>
      <w:r w:rsidRPr="009B795C">
        <w:rPr>
          <w:rFonts w:cstheme="minorBidi"/>
          <w:spacing w:val="-1"/>
          <w:sz w:val="26"/>
          <w:szCs w:val="22"/>
        </w:rPr>
        <w:t>Proposed Transaction and Settlement</w:t>
      </w:r>
      <w:r w:rsidRPr="009B795C">
        <w:rPr>
          <w:rFonts w:cstheme="minorBidi"/>
          <w:i/>
          <w:spacing w:val="-1"/>
          <w:sz w:val="26"/>
          <w:szCs w:val="22"/>
        </w:rPr>
        <w:t xml:space="preserve"> </w:t>
      </w:r>
      <w:r w:rsidRPr="009B795C">
        <w:rPr>
          <w:rFonts w:cstheme="minorBidi"/>
          <w:spacing w:val="-1"/>
          <w:sz w:val="26"/>
          <w:szCs w:val="22"/>
        </w:rPr>
        <w:t xml:space="preserve">are not in the public interest because Aqua America is paying $2 billion in goodwill to SteelRiver, which it believes is a large price premium that will be detrimental to ratepayers.  The OSBA is also concerned that the Settlement proposes to increase LTIIP spending by $30 million a year, to be paid for by ratepayers, and to replace the G/T Systems, the cost of which will be largely borne by ratepayers.  OSBA Exc. at 32.  The OSBA contends that </w:t>
      </w:r>
      <w:r w:rsidRPr="009B795C">
        <w:rPr>
          <w:rFonts w:cstheme="minorBidi"/>
          <w:sz w:val="26"/>
          <w:szCs w:val="22"/>
        </w:rPr>
        <w:t xml:space="preserve">the Proposed Transaction and Settlement are only in SteelRiver and Aqua America shareholders’ interests.  </w:t>
      </w:r>
      <w:r w:rsidRPr="009B795C">
        <w:rPr>
          <w:rFonts w:cstheme="minorBidi"/>
          <w:i/>
          <w:iCs/>
          <w:sz w:val="26"/>
          <w:szCs w:val="22"/>
        </w:rPr>
        <w:t>Id</w:t>
      </w:r>
      <w:r w:rsidRPr="009B795C">
        <w:rPr>
          <w:rFonts w:cstheme="minorBidi"/>
          <w:sz w:val="26"/>
          <w:szCs w:val="22"/>
        </w:rPr>
        <w:t xml:space="preserve">. (citing OSBA M.B. at 6, 13,15, 25, 30; OSBA R.B. at 10-12, 18, 20-21, 22, 25).  </w:t>
      </w:r>
    </w:p>
    <w:p w14:paraId="7F2D212C" w14:textId="77777777" w:rsidR="0039712D" w:rsidRPr="009B795C" w:rsidRDefault="0039712D" w:rsidP="00BA1FE9">
      <w:pPr>
        <w:widowControl/>
        <w:spacing w:line="360" w:lineRule="auto"/>
        <w:ind w:right="720" w:firstLine="1440"/>
        <w:textAlignment w:val="baseline"/>
        <w:rPr>
          <w:rFonts w:cstheme="minorBidi"/>
          <w:sz w:val="26"/>
          <w:szCs w:val="22"/>
        </w:rPr>
      </w:pPr>
    </w:p>
    <w:p w14:paraId="015E981D" w14:textId="7DD1B041" w:rsidR="0039712D" w:rsidRDefault="0039712D" w:rsidP="00BA1FE9">
      <w:pPr>
        <w:widowControl/>
        <w:spacing w:line="360" w:lineRule="auto"/>
        <w:ind w:right="-30" w:firstLine="1440"/>
        <w:textAlignment w:val="baseline"/>
        <w:rPr>
          <w:rFonts w:cstheme="minorBidi"/>
          <w:sz w:val="26"/>
          <w:szCs w:val="22"/>
        </w:rPr>
      </w:pPr>
      <w:r w:rsidRPr="009B795C">
        <w:rPr>
          <w:rFonts w:cstheme="minorBidi"/>
          <w:sz w:val="26"/>
          <w:szCs w:val="22"/>
        </w:rPr>
        <w:t xml:space="preserve">In its Exception No. 25, the OSBA argues that the ALJ erred in finding that the Joint Applicants demonstrated that the Proposed Transaction, as conditioned by the Settlement, will affirmatively promote the service, accommodation, convenience, and safety of the public in some substantial way as required by </w:t>
      </w:r>
      <w:r w:rsidRPr="009B795C">
        <w:rPr>
          <w:rFonts w:cstheme="minorBidi"/>
          <w:i/>
          <w:iCs/>
          <w:sz w:val="26"/>
          <w:szCs w:val="22"/>
        </w:rPr>
        <w:t>City of York</w:t>
      </w:r>
      <w:r w:rsidRPr="009B795C">
        <w:rPr>
          <w:rFonts w:cstheme="minorBidi"/>
          <w:sz w:val="26"/>
          <w:szCs w:val="22"/>
        </w:rPr>
        <w:t xml:space="preserve"> and </w:t>
      </w:r>
      <w:r w:rsidRPr="009B795C">
        <w:rPr>
          <w:rFonts w:cstheme="minorBidi"/>
          <w:i/>
          <w:iCs/>
          <w:sz w:val="26"/>
          <w:szCs w:val="22"/>
        </w:rPr>
        <w:t>Popowsky</w:t>
      </w:r>
      <w:r w:rsidRPr="009B795C">
        <w:rPr>
          <w:rFonts w:cstheme="minorBidi"/>
          <w:sz w:val="26"/>
          <w:szCs w:val="22"/>
        </w:rPr>
        <w:t>.</w:t>
      </w:r>
      <w:r w:rsidR="003A591D">
        <w:rPr>
          <w:rFonts w:cstheme="minorBidi"/>
          <w:sz w:val="26"/>
          <w:szCs w:val="22"/>
        </w:rPr>
        <w:t xml:space="preserve">  </w:t>
      </w:r>
      <w:r w:rsidRPr="009B795C">
        <w:rPr>
          <w:rFonts w:cstheme="minorBidi"/>
          <w:sz w:val="26"/>
          <w:szCs w:val="22"/>
        </w:rPr>
        <w:t xml:space="preserve">The OSBA posits that the Proposed Transaction does not provide any net quantifiable or verifiable benefits, and many of the commitments the Joint Applicants claim are affirmative public benefits are vague, unenforceable, or a continuation of the status quo operations of the current Peoples Companies and Aqua PA.  The OSBA avers that to the extent there are modest public benefits in the Settlement, they are outweighed by the negative impacts of the Proposed Transaction and the commitments in the Settlement.  The OSBA highlights the concerns it has voiced in this proceeding.  The OSBA states </w:t>
      </w:r>
      <w:r w:rsidRPr="009B795C">
        <w:rPr>
          <w:rFonts w:cstheme="minorBidi"/>
          <w:sz w:val="26"/>
          <w:szCs w:val="22"/>
        </w:rPr>
        <w:lastRenderedPageBreak/>
        <w:t>that the Proposed Transaction will increase the financial risk of the combined resulting entity by increasing the riskiness of Aqua America debt.  The OSBA also states that the Peoples Companies’ commitment</w:t>
      </w:r>
      <w:r w:rsidRPr="009B795C">
        <w:rPr>
          <w:rFonts w:cstheme="minorBidi"/>
          <w:i/>
          <w:sz w:val="26"/>
          <w:szCs w:val="22"/>
        </w:rPr>
        <w:t xml:space="preserve"> </w:t>
      </w:r>
      <w:r w:rsidRPr="009B795C">
        <w:rPr>
          <w:rFonts w:cstheme="minorBidi"/>
          <w:sz w:val="26"/>
          <w:szCs w:val="22"/>
        </w:rPr>
        <w:t>to filing a modified LTIIP which, if approved, will result in customers paying for an additional $30 million annually in rate base.  The OSBA further states that customers will be responsible for paying the lion’s share of the G/T Systems’ remediation under the Settlement.  OSBA Exc. at 33.</w:t>
      </w:r>
      <w:r w:rsidR="003A591D">
        <w:rPr>
          <w:rFonts w:cstheme="minorBidi"/>
          <w:sz w:val="26"/>
          <w:szCs w:val="22"/>
        </w:rPr>
        <w:t xml:space="preserve">  </w:t>
      </w:r>
    </w:p>
    <w:p w14:paraId="5EDFFD4B" w14:textId="77777777" w:rsidR="00D66EA5" w:rsidRPr="009B795C" w:rsidRDefault="00D66EA5" w:rsidP="00BA1FE9">
      <w:pPr>
        <w:widowControl/>
        <w:spacing w:line="360" w:lineRule="auto"/>
        <w:ind w:right="-30" w:firstLine="1440"/>
        <w:textAlignment w:val="baseline"/>
        <w:rPr>
          <w:rFonts w:cstheme="minorBidi"/>
          <w:sz w:val="26"/>
          <w:szCs w:val="22"/>
        </w:rPr>
      </w:pPr>
    </w:p>
    <w:p w14:paraId="48CC010A" w14:textId="7063AB6A" w:rsidR="0039712D" w:rsidRDefault="0039712D" w:rsidP="00BA1FE9">
      <w:pPr>
        <w:widowControl/>
        <w:spacing w:line="360" w:lineRule="auto"/>
        <w:ind w:firstLine="1440"/>
        <w:textAlignment w:val="baseline"/>
        <w:rPr>
          <w:rFonts w:cstheme="minorBidi"/>
          <w:sz w:val="26"/>
          <w:szCs w:val="22"/>
        </w:rPr>
      </w:pPr>
      <w:r w:rsidRPr="009B795C">
        <w:rPr>
          <w:rFonts w:cstheme="minorBidi"/>
          <w:sz w:val="26"/>
          <w:szCs w:val="22"/>
        </w:rPr>
        <w:t xml:space="preserve">In response to the OSBA’s Exception No. 23, the Joint Applicants aver that it is not the OSBA’s concerns for costs that make its arguments flawed but, rather, it is the OSBA’s view of costs and disregard for the accompanying benefits of the Proposed Transaction that undermine its analysis.  Joint Applicants R. Exc. at 22.  The Joint Applicants state that the OSBA mischaracterizes how the costs of the transaction will be treated, because the Joint Applicants explained in their testimony and the Settlement that good will would not be recorded on the books of Aqua PA or the Peoples Companies.  </w:t>
      </w:r>
      <w:r w:rsidRPr="009B795C">
        <w:rPr>
          <w:rFonts w:cstheme="minorBidi"/>
          <w:i/>
          <w:iCs/>
          <w:sz w:val="26"/>
          <w:szCs w:val="22"/>
        </w:rPr>
        <w:t>Id</w:t>
      </w:r>
      <w:r w:rsidRPr="009B795C">
        <w:rPr>
          <w:rFonts w:cstheme="minorBidi"/>
          <w:sz w:val="26"/>
          <w:szCs w:val="22"/>
        </w:rPr>
        <w:t>. (citing Joint Applicants St. 2-R at 13; Settlement</w:t>
      </w:r>
      <w:r w:rsidR="00E63754">
        <w:rPr>
          <w:rFonts w:cstheme="minorBidi"/>
          <w:sz w:val="26"/>
          <w:szCs w:val="22"/>
        </w:rPr>
        <w:t xml:space="preserve"> at </w:t>
      </w:r>
      <w:r w:rsidRPr="009B795C">
        <w:rPr>
          <w:sz w:val="26"/>
          <w:szCs w:val="22"/>
        </w:rPr>
        <w:t>¶</w:t>
      </w:r>
      <w:r w:rsidRPr="009B795C">
        <w:rPr>
          <w:rFonts w:cstheme="minorBidi"/>
          <w:sz w:val="26"/>
          <w:szCs w:val="22"/>
        </w:rPr>
        <w:t xml:space="preserve"> 45).  </w:t>
      </w:r>
    </w:p>
    <w:p w14:paraId="5550BCBA" w14:textId="77777777" w:rsidR="00CF2A9F" w:rsidRPr="009B795C" w:rsidRDefault="00CF2A9F" w:rsidP="00BA1FE9">
      <w:pPr>
        <w:widowControl/>
        <w:spacing w:line="360" w:lineRule="auto"/>
        <w:ind w:firstLine="1440"/>
        <w:textAlignment w:val="baseline"/>
        <w:rPr>
          <w:rFonts w:cstheme="minorBidi"/>
          <w:sz w:val="26"/>
          <w:szCs w:val="22"/>
        </w:rPr>
      </w:pPr>
    </w:p>
    <w:p w14:paraId="156516DF" w14:textId="3AB400D0" w:rsidR="0039712D" w:rsidRPr="009B795C" w:rsidRDefault="0039712D" w:rsidP="00BA1FE9">
      <w:pPr>
        <w:widowControl/>
        <w:spacing w:line="360" w:lineRule="auto"/>
        <w:ind w:firstLine="1440"/>
        <w:rPr>
          <w:rFonts w:eastAsiaTheme="minorHAnsi" w:cstheme="minorBidi"/>
          <w:sz w:val="26"/>
          <w:szCs w:val="24"/>
        </w:rPr>
      </w:pPr>
      <w:r w:rsidRPr="009B795C">
        <w:rPr>
          <w:rFonts w:cstheme="minorBidi"/>
          <w:sz w:val="26"/>
          <w:szCs w:val="24"/>
        </w:rPr>
        <w:t xml:space="preserve">Additionally, in response to I&amp;E’s Exception No. 13 and the OSBA’s Exceptions Nos. 24 and 25, the Joint Applicants state that the ALJ correctly weighed the benefits and alleged costs of the Proposed Transaction in determining that the </w:t>
      </w:r>
      <w:r w:rsidRPr="009B795C">
        <w:rPr>
          <w:rFonts w:cstheme="minorBidi"/>
          <w:i/>
          <w:iCs/>
          <w:sz w:val="26"/>
          <w:szCs w:val="24"/>
        </w:rPr>
        <w:t>City of York</w:t>
      </w:r>
      <w:r w:rsidRPr="009B795C">
        <w:rPr>
          <w:rFonts w:cstheme="minorBidi"/>
          <w:sz w:val="26"/>
          <w:szCs w:val="24"/>
        </w:rPr>
        <w:t xml:space="preserve"> standard is satisfied.  The Joint Applicants argue that I&amp;E </w:t>
      </w:r>
      <w:r w:rsidRPr="009B795C">
        <w:rPr>
          <w:rFonts w:eastAsiaTheme="minorHAnsi" w:cstheme="minorBidi"/>
          <w:sz w:val="26"/>
          <w:szCs w:val="24"/>
        </w:rPr>
        <w:t xml:space="preserve">misstates the riskiness of the transaction financing, misrepresents the stability of Aqua America, and mischaracterizes the purchase price.  </w:t>
      </w:r>
      <w:bookmarkStart w:id="169" w:name="_BA_Cite_DBF3A5_000033"/>
      <w:bookmarkEnd w:id="169"/>
      <w:r w:rsidRPr="009B795C">
        <w:rPr>
          <w:rFonts w:eastAsiaTheme="minorHAnsi" w:cstheme="minorBidi"/>
          <w:sz w:val="26"/>
          <w:szCs w:val="24"/>
        </w:rPr>
        <w:t>The Joint Applicants also argue that both I&amp;E and the OSBA misstate the law and misrepresent the facts in this proceeding.  The Joint Applicants aver that the Proposed Transaction and Settlement provide substantial public benefits and should be approved.  Joint Applicants R. Exc. at 23.</w:t>
      </w:r>
      <w:r w:rsidR="003A591D">
        <w:rPr>
          <w:rFonts w:eastAsiaTheme="minorHAnsi" w:cstheme="minorBidi"/>
          <w:sz w:val="26"/>
          <w:szCs w:val="24"/>
        </w:rPr>
        <w:t xml:space="preserve">  </w:t>
      </w:r>
    </w:p>
    <w:p w14:paraId="622B20AF" w14:textId="77777777" w:rsidR="0039712D" w:rsidRPr="009B795C" w:rsidRDefault="0039712D" w:rsidP="00BA1FE9">
      <w:pPr>
        <w:widowControl/>
        <w:spacing w:line="360" w:lineRule="auto"/>
        <w:ind w:firstLine="1440"/>
        <w:textAlignment w:val="baseline"/>
        <w:rPr>
          <w:rFonts w:cstheme="minorBidi"/>
          <w:sz w:val="26"/>
          <w:szCs w:val="22"/>
        </w:rPr>
      </w:pPr>
    </w:p>
    <w:p w14:paraId="2B91B1D7" w14:textId="268FF66B" w:rsidR="0039712D" w:rsidRDefault="0039712D" w:rsidP="00BA1FE9">
      <w:pPr>
        <w:widowControl/>
        <w:spacing w:line="360" w:lineRule="auto"/>
        <w:ind w:firstLine="1440"/>
        <w:textAlignment w:val="baseline"/>
        <w:rPr>
          <w:rFonts w:cstheme="minorBidi"/>
          <w:color w:val="000000"/>
          <w:spacing w:val="-2"/>
          <w:sz w:val="26"/>
          <w:szCs w:val="22"/>
        </w:rPr>
      </w:pPr>
      <w:r w:rsidRPr="009B795C">
        <w:rPr>
          <w:rFonts w:cstheme="minorBidi"/>
          <w:sz w:val="26"/>
          <w:szCs w:val="22"/>
        </w:rPr>
        <w:t xml:space="preserve">In its Replies to Exceptions, the OCA states that the </w:t>
      </w:r>
      <w:r w:rsidRPr="009B795C">
        <w:rPr>
          <w:rFonts w:cstheme="minorBidi"/>
          <w:color w:val="000000"/>
          <w:sz w:val="26"/>
          <w:szCs w:val="22"/>
        </w:rPr>
        <w:t xml:space="preserve">ALJ properly found that the Settlement and Proposed Transaction are in the public interest and supported by substantial evidence.  In response to the OSBA’s Exception No. 24, the OCA avers that </w:t>
      </w:r>
      <w:r w:rsidRPr="009B795C">
        <w:rPr>
          <w:rFonts w:cstheme="minorBidi"/>
          <w:color w:val="000000"/>
          <w:spacing w:val="-1"/>
          <w:sz w:val="26"/>
          <w:szCs w:val="22"/>
        </w:rPr>
        <w:lastRenderedPageBreak/>
        <w:t xml:space="preserve">the Settlement requires that the transaction premium paid by Aqua to SteelRiver be </w:t>
      </w:r>
      <w:r w:rsidRPr="009B795C">
        <w:rPr>
          <w:rFonts w:cstheme="minorBidi"/>
          <w:iCs/>
          <w:color w:val="000000"/>
          <w:spacing w:val="-1"/>
          <w:sz w:val="26"/>
          <w:szCs w:val="22"/>
        </w:rPr>
        <w:t>permanently excluded</w:t>
      </w:r>
      <w:r w:rsidRPr="009B795C">
        <w:rPr>
          <w:rFonts w:cstheme="minorBidi"/>
          <w:i/>
          <w:color w:val="000000"/>
          <w:spacing w:val="-1"/>
          <w:sz w:val="26"/>
          <w:szCs w:val="22"/>
        </w:rPr>
        <w:t xml:space="preserve"> </w:t>
      </w:r>
      <w:r w:rsidRPr="009B795C">
        <w:rPr>
          <w:rFonts w:cstheme="minorBidi"/>
          <w:color w:val="000000"/>
          <w:spacing w:val="-1"/>
          <w:sz w:val="26"/>
          <w:szCs w:val="22"/>
        </w:rPr>
        <w:t xml:space="preserve">from rate base going forward.  OCA R. Exc. at 23.  Therefore, the OCA explains that the transaction premium cannot be detrimental to ratepayers because ratepayers will not bear the burden of paying for the </w:t>
      </w:r>
      <w:r w:rsidRPr="009B795C">
        <w:rPr>
          <w:rFonts w:cstheme="minorBidi"/>
          <w:color w:val="000000"/>
          <w:spacing w:val="-2"/>
          <w:sz w:val="26"/>
          <w:szCs w:val="22"/>
        </w:rPr>
        <w:t xml:space="preserve">premium.  </w:t>
      </w:r>
      <w:r w:rsidRPr="009B795C">
        <w:rPr>
          <w:rFonts w:cstheme="minorBidi"/>
          <w:i/>
          <w:iCs/>
          <w:color w:val="000000"/>
          <w:spacing w:val="-2"/>
          <w:sz w:val="26"/>
          <w:szCs w:val="22"/>
        </w:rPr>
        <w:t>Id</w:t>
      </w:r>
      <w:r w:rsidRPr="009B795C">
        <w:rPr>
          <w:rFonts w:cstheme="minorBidi"/>
          <w:color w:val="000000"/>
          <w:spacing w:val="-2"/>
          <w:sz w:val="26"/>
          <w:szCs w:val="22"/>
        </w:rPr>
        <w:t xml:space="preserve">. at 23-24.  The OCA also believes that the OSBA fails to appreciate the rate credits and public policy goals advanced by the accelerated LTIIP and G/T Systems remediation plan.  The OCA notes that while the $23 million in rate credits being offered to ratepayers under the Settlement will not offset every dollar of increased spending, such credits amount to a significant reduction in the amount of spending that ratepayers must cover.  The OCA also notes that the accelerated LTIIP and G/T Systems remediation plans advance important public policy by increasing the replacement of old, decaying, dangerous pipes and ensuring that customers are not abandoned in the process.  </w:t>
      </w:r>
      <w:r w:rsidRPr="009B795C">
        <w:rPr>
          <w:rFonts w:cstheme="minorBidi"/>
          <w:i/>
          <w:iCs/>
          <w:color w:val="000000"/>
          <w:spacing w:val="-2"/>
          <w:sz w:val="26"/>
          <w:szCs w:val="22"/>
        </w:rPr>
        <w:t>Id</w:t>
      </w:r>
      <w:r w:rsidRPr="009B795C">
        <w:rPr>
          <w:rFonts w:cstheme="minorBidi"/>
          <w:color w:val="000000"/>
          <w:spacing w:val="-2"/>
          <w:sz w:val="26"/>
          <w:szCs w:val="22"/>
        </w:rPr>
        <w:t xml:space="preserve">. at 24.  </w:t>
      </w:r>
    </w:p>
    <w:p w14:paraId="0F605DE6" w14:textId="77777777" w:rsidR="009A3CCB" w:rsidRDefault="009A3CCB" w:rsidP="00B24187">
      <w:pPr>
        <w:widowControl/>
        <w:spacing w:line="360" w:lineRule="auto"/>
        <w:ind w:firstLine="720"/>
        <w:textAlignment w:val="baseline"/>
        <w:rPr>
          <w:rFonts w:cstheme="minorBidi"/>
          <w:color w:val="000000"/>
          <w:spacing w:val="-2"/>
          <w:sz w:val="26"/>
          <w:szCs w:val="22"/>
        </w:rPr>
      </w:pPr>
    </w:p>
    <w:p w14:paraId="7EFEFD65" w14:textId="77777777" w:rsidR="0039712D" w:rsidRDefault="0039712D" w:rsidP="00364103">
      <w:pPr>
        <w:pStyle w:val="Heading3"/>
        <w:keepNext/>
        <w:ind w:left="1440" w:hanging="720"/>
      </w:pPr>
      <w:bookmarkStart w:id="170" w:name="_Toc29278259"/>
      <w:r w:rsidRPr="00E34EFC">
        <w:t>Disposition</w:t>
      </w:r>
      <w:bookmarkEnd w:id="170"/>
    </w:p>
    <w:p w14:paraId="174BF86A" w14:textId="77777777" w:rsidR="009A3CCB" w:rsidRPr="00E34EFC" w:rsidRDefault="009A3CCB" w:rsidP="00364103">
      <w:pPr>
        <w:keepNext/>
        <w:widowControl/>
        <w:spacing w:line="360" w:lineRule="auto"/>
        <w:ind w:firstLine="720"/>
        <w:textAlignment w:val="baseline"/>
        <w:rPr>
          <w:rFonts w:cstheme="minorBidi"/>
          <w:b/>
          <w:bCs/>
          <w:color w:val="000000"/>
          <w:spacing w:val="-2"/>
          <w:sz w:val="26"/>
          <w:szCs w:val="22"/>
        </w:rPr>
      </w:pPr>
    </w:p>
    <w:p w14:paraId="5885C390" w14:textId="7BED2BF4" w:rsidR="0039712D" w:rsidRDefault="0039712D" w:rsidP="00BA1FE9">
      <w:pPr>
        <w:keepNext/>
        <w:widowControl/>
        <w:spacing w:line="360" w:lineRule="auto"/>
        <w:ind w:firstLine="1440"/>
        <w:textAlignment w:val="baseline"/>
        <w:rPr>
          <w:rFonts w:eastAsiaTheme="minorHAnsi" w:cstheme="minorBidi"/>
          <w:sz w:val="26"/>
          <w:szCs w:val="26"/>
        </w:rPr>
      </w:pPr>
      <w:r>
        <w:rPr>
          <w:rFonts w:cstheme="minorBidi"/>
          <w:color w:val="000000"/>
          <w:spacing w:val="-2"/>
          <w:sz w:val="26"/>
          <w:szCs w:val="22"/>
        </w:rPr>
        <w:t xml:space="preserve">We have reviewed the Proposed Transaction, as modified by the Settlement, as a whole and have weighed the benefits and </w:t>
      </w:r>
      <w:r w:rsidRPr="006F3BD1">
        <w:rPr>
          <w:rFonts w:eastAsiaTheme="minorHAnsi" w:cstheme="minorBidi"/>
          <w:sz w:val="26"/>
          <w:szCs w:val="26"/>
        </w:rPr>
        <w:t xml:space="preserve">detriments of the acquisition as they impact all affected parties, </w:t>
      </w:r>
      <w:r>
        <w:rPr>
          <w:rFonts w:eastAsiaTheme="minorHAnsi" w:cstheme="minorBidi"/>
          <w:sz w:val="26"/>
          <w:szCs w:val="26"/>
        </w:rPr>
        <w:t xml:space="preserve">consistent with </w:t>
      </w:r>
      <w:r w:rsidRPr="000A42AD">
        <w:rPr>
          <w:rFonts w:eastAsiaTheme="minorHAnsi" w:cstheme="minorBidi"/>
          <w:i/>
          <w:iCs/>
          <w:sz w:val="26"/>
          <w:szCs w:val="26"/>
        </w:rPr>
        <w:t>Middletown Township</w:t>
      </w:r>
      <w:r>
        <w:rPr>
          <w:rFonts w:eastAsiaTheme="minorHAnsi" w:cstheme="minorBidi"/>
          <w:sz w:val="26"/>
          <w:szCs w:val="26"/>
        </w:rPr>
        <w:t>.  Based on the substantial evidence in the record, we find that the Proposed Transaction, as modified by the Settlement, provides substantial affirmative public benefits</w:t>
      </w:r>
      <w:r w:rsidR="00452665">
        <w:rPr>
          <w:rFonts w:eastAsiaTheme="minorHAnsi" w:cstheme="minorBidi"/>
          <w:sz w:val="26"/>
          <w:szCs w:val="26"/>
        </w:rPr>
        <w:t>.  Accordingly,</w:t>
      </w:r>
      <w:r>
        <w:rPr>
          <w:rFonts w:eastAsiaTheme="minorHAnsi" w:cstheme="minorBidi"/>
          <w:sz w:val="26"/>
          <w:szCs w:val="26"/>
        </w:rPr>
        <w:t xml:space="preserve"> we shall approve the Proposed Transaction, as modified by the Settlement, </w:t>
      </w:r>
      <w:r w:rsidR="00DF65E6">
        <w:rPr>
          <w:rFonts w:eastAsiaTheme="minorHAnsi" w:cstheme="minorBidi"/>
          <w:sz w:val="26"/>
          <w:szCs w:val="26"/>
        </w:rPr>
        <w:t xml:space="preserve">subject to </w:t>
      </w:r>
      <w:r w:rsidR="005F71C0">
        <w:rPr>
          <w:rFonts w:eastAsiaTheme="minorHAnsi" w:cstheme="minorBidi"/>
          <w:sz w:val="26"/>
          <w:szCs w:val="26"/>
        </w:rPr>
        <w:t xml:space="preserve">the </w:t>
      </w:r>
      <w:r>
        <w:rPr>
          <w:rFonts w:eastAsiaTheme="minorHAnsi" w:cstheme="minorBidi"/>
          <w:sz w:val="26"/>
          <w:szCs w:val="26"/>
        </w:rPr>
        <w:t xml:space="preserve">modifications to </w:t>
      </w:r>
      <w:r w:rsidR="00DF65E6">
        <w:rPr>
          <w:rFonts w:eastAsiaTheme="minorHAnsi" w:cstheme="minorBidi"/>
          <w:sz w:val="26"/>
          <w:szCs w:val="26"/>
        </w:rPr>
        <w:t xml:space="preserve">Paragraphs </w:t>
      </w:r>
      <w:r w:rsidR="00577C43">
        <w:rPr>
          <w:rFonts w:eastAsiaTheme="minorHAnsi" w:cstheme="minorBidi"/>
          <w:sz w:val="26"/>
          <w:szCs w:val="26"/>
        </w:rPr>
        <w:t xml:space="preserve">33, 41, and 69 of </w:t>
      </w:r>
      <w:r>
        <w:rPr>
          <w:rFonts w:eastAsiaTheme="minorHAnsi" w:cstheme="minorBidi"/>
          <w:sz w:val="26"/>
          <w:szCs w:val="26"/>
        </w:rPr>
        <w:t xml:space="preserve">the Settlement that we </w:t>
      </w:r>
      <w:r w:rsidR="00AF4478">
        <w:rPr>
          <w:rFonts w:eastAsiaTheme="minorHAnsi" w:cstheme="minorBidi"/>
          <w:sz w:val="26"/>
          <w:szCs w:val="26"/>
        </w:rPr>
        <w:t xml:space="preserve">have </w:t>
      </w:r>
      <w:r>
        <w:rPr>
          <w:rFonts w:eastAsiaTheme="minorHAnsi" w:cstheme="minorBidi"/>
          <w:sz w:val="26"/>
          <w:szCs w:val="26"/>
        </w:rPr>
        <w:t xml:space="preserve">made herein.  </w:t>
      </w:r>
    </w:p>
    <w:p w14:paraId="1EAC48FA" w14:textId="77777777" w:rsidR="00234394" w:rsidRDefault="00234394" w:rsidP="00364103">
      <w:pPr>
        <w:widowControl/>
        <w:spacing w:line="360" w:lineRule="auto"/>
        <w:textAlignment w:val="baseline"/>
        <w:rPr>
          <w:rFonts w:eastAsiaTheme="minorHAnsi" w:cstheme="minorBidi"/>
          <w:sz w:val="26"/>
          <w:szCs w:val="26"/>
        </w:rPr>
      </w:pPr>
    </w:p>
    <w:p w14:paraId="5278543E" w14:textId="52467533" w:rsidR="0039712D" w:rsidRDefault="0039712D" w:rsidP="00B24187">
      <w:pPr>
        <w:widowControl/>
        <w:spacing w:line="360" w:lineRule="auto"/>
        <w:contextualSpacing/>
        <w:rPr>
          <w:sz w:val="26"/>
          <w:szCs w:val="26"/>
        </w:rPr>
      </w:pPr>
      <w:r>
        <w:rPr>
          <w:rFonts w:eastAsiaTheme="minorHAnsi" w:cstheme="minorBidi"/>
          <w:sz w:val="26"/>
          <w:szCs w:val="26"/>
        </w:rPr>
        <w:tab/>
      </w:r>
      <w:r>
        <w:rPr>
          <w:rFonts w:eastAsiaTheme="minorHAnsi" w:cstheme="minorBidi"/>
          <w:sz w:val="26"/>
          <w:szCs w:val="26"/>
        </w:rPr>
        <w:tab/>
        <w:t xml:space="preserve">We conclude that </w:t>
      </w:r>
      <w:r>
        <w:rPr>
          <w:sz w:val="26"/>
          <w:szCs w:val="26"/>
        </w:rPr>
        <w:t xml:space="preserve">the Joint Applicants have demonstrated that Aqua America is legally fit.  We also conclude that Aqua America is technically fit to operate the Peoples Companies and that the Proposed Transaction, as modified by the Settlement, complies with </w:t>
      </w:r>
      <w:r w:rsidRPr="006F3BD1">
        <w:rPr>
          <w:rFonts w:eastAsiaTheme="minorHAnsi" w:cstheme="minorBidi"/>
          <w:sz w:val="26"/>
          <w:szCs w:val="26"/>
        </w:rPr>
        <w:t>Section 2210 of the Code, 66 Pa. C.S. § 2210</w:t>
      </w:r>
      <w:r w:rsidR="00C85EF2">
        <w:rPr>
          <w:rFonts w:eastAsiaTheme="minorHAnsi" w:cstheme="minorBidi"/>
          <w:sz w:val="26"/>
          <w:szCs w:val="26"/>
        </w:rPr>
        <w:t>.</w:t>
      </w:r>
      <w:r>
        <w:rPr>
          <w:sz w:val="26"/>
          <w:szCs w:val="26"/>
        </w:rPr>
        <w:t xml:space="preserve">  We further conclude that </w:t>
      </w:r>
      <w:r w:rsidRPr="00851365">
        <w:rPr>
          <w:sz w:val="26"/>
          <w:szCs w:val="26"/>
        </w:rPr>
        <w:t>Aqua America possesses the requisite financial fitness that is necessary to own and operate the assets it seeks to acquire from the Peoples Companies</w:t>
      </w:r>
      <w:r>
        <w:rPr>
          <w:sz w:val="26"/>
          <w:szCs w:val="26"/>
        </w:rPr>
        <w:t xml:space="preserve">.  Moreover, </w:t>
      </w:r>
      <w:r w:rsidRPr="00F4071A">
        <w:rPr>
          <w:sz w:val="26"/>
          <w:szCs w:val="26"/>
        </w:rPr>
        <w:t xml:space="preserve">we </w:t>
      </w:r>
      <w:r>
        <w:rPr>
          <w:sz w:val="26"/>
          <w:szCs w:val="26"/>
        </w:rPr>
        <w:lastRenderedPageBreak/>
        <w:t xml:space="preserve">disagree with </w:t>
      </w:r>
      <w:r w:rsidRPr="00F4071A">
        <w:rPr>
          <w:sz w:val="26"/>
          <w:szCs w:val="26"/>
        </w:rPr>
        <w:t xml:space="preserve">I&amp;E and the OSBA that the purchase price of the Proposed Transaction will have a detrimental effect on ratepayers.  The Settlement provides that </w:t>
      </w:r>
      <w:bookmarkStart w:id="171" w:name="_Hlk27740400"/>
      <w:r w:rsidRPr="00F4071A">
        <w:rPr>
          <w:sz w:val="26"/>
          <w:szCs w:val="26"/>
        </w:rPr>
        <w:t>no equity or debt issued to finance the acquisition premium or goodwill will be included in the ratemaking capital structure of either Aqua PA or the Peoples Companies</w:t>
      </w:r>
      <w:bookmarkEnd w:id="171"/>
      <w:r>
        <w:rPr>
          <w:sz w:val="26"/>
          <w:szCs w:val="26"/>
        </w:rPr>
        <w:t xml:space="preserve">, and that </w:t>
      </w:r>
      <w:r w:rsidRPr="00F4071A">
        <w:rPr>
          <w:sz w:val="26"/>
          <w:szCs w:val="26"/>
        </w:rPr>
        <w:t xml:space="preserve">all goodwill associated with the Proposed Transaction will be permanently excluded from the base rates of Aqua America’s Pennsylvania utility subsidiaries.  Settlement at ¶¶ 45, 54.  </w:t>
      </w:r>
      <w:r>
        <w:rPr>
          <w:sz w:val="26"/>
          <w:szCs w:val="26"/>
        </w:rPr>
        <w:t>T</w:t>
      </w:r>
      <w:r w:rsidRPr="00F4071A">
        <w:rPr>
          <w:sz w:val="26"/>
          <w:szCs w:val="26"/>
        </w:rPr>
        <w:t xml:space="preserve">he record </w:t>
      </w:r>
      <w:r>
        <w:rPr>
          <w:sz w:val="26"/>
          <w:szCs w:val="26"/>
        </w:rPr>
        <w:t xml:space="preserve">also demonstrates that </w:t>
      </w:r>
      <w:r w:rsidRPr="00F4071A">
        <w:rPr>
          <w:sz w:val="26"/>
          <w:szCs w:val="26"/>
        </w:rPr>
        <w:t xml:space="preserve">the premium to book value being paid </w:t>
      </w:r>
      <w:r>
        <w:rPr>
          <w:sz w:val="26"/>
          <w:szCs w:val="26"/>
        </w:rPr>
        <w:t>in this</w:t>
      </w:r>
      <w:r w:rsidRPr="00F4071A">
        <w:rPr>
          <w:sz w:val="26"/>
          <w:szCs w:val="26"/>
        </w:rPr>
        <w:t xml:space="preserve"> </w:t>
      </w:r>
      <w:r>
        <w:rPr>
          <w:sz w:val="26"/>
          <w:szCs w:val="26"/>
        </w:rPr>
        <w:t>t</w:t>
      </w:r>
      <w:r w:rsidRPr="00F4071A">
        <w:rPr>
          <w:sz w:val="26"/>
          <w:szCs w:val="26"/>
        </w:rPr>
        <w:t xml:space="preserve">ransaction is consistent with other recent utility transactions and that the increased goodwill experienced by Aqua America is within the range of increased goodwill experienced in other comparable acquisitions.  </w:t>
      </w:r>
      <w:r>
        <w:rPr>
          <w:sz w:val="26"/>
          <w:szCs w:val="26"/>
        </w:rPr>
        <w:t xml:space="preserve">Joint Applicants </w:t>
      </w:r>
      <w:r w:rsidRPr="00F4071A">
        <w:rPr>
          <w:sz w:val="26"/>
          <w:szCs w:val="26"/>
        </w:rPr>
        <w:t>Exhs.</w:t>
      </w:r>
      <w:r w:rsidRPr="00F4071A">
        <w:rPr>
          <w:i/>
          <w:iCs/>
          <w:sz w:val="26"/>
          <w:szCs w:val="26"/>
        </w:rPr>
        <w:t xml:space="preserve"> </w:t>
      </w:r>
      <w:r w:rsidRPr="00F4071A">
        <w:rPr>
          <w:sz w:val="26"/>
          <w:szCs w:val="26"/>
        </w:rPr>
        <w:t xml:space="preserve">DJS-2R and DJS-5R.  Therefore, we </w:t>
      </w:r>
      <w:r>
        <w:rPr>
          <w:sz w:val="26"/>
          <w:szCs w:val="26"/>
        </w:rPr>
        <w:t>determine t</w:t>
      </w:r>
      <w:r w:rsidRPr="00F4071A">
        <w:rPr>
          <w:sz w:val="26"/>
          <w:szCs w:val="26"/>
        </w:rPr>
        <w:t>hat ratepayers will be adequately protected from the purchase price of the Proposed Transaction and that the negotiated purchase price and the premium above book value in the Proposed Transaction are consistent with market pricing.</w:t>
      </w:r>
    </w:p>
    <w:p w14:paraId="6D44BBEB" w14:textId="77777777" w:rsidR="0039712D" w:rsidRDefault="0039712D" w:rsidP="00B24187">
      <w:pPr>
        <w:widowControl/>
        <w:spacing w:line="360" w:lineRule="auto"/>
        <w:contextualSpacing/>
        <w:rPr>
          <w:sz w:val="26"/>
          <w:szCs w:val="26"/>
        </w:rPr>
      </w:pPr>
    </w:p>
    <w:p w14:paraId="00EA07B5" w14:textId="77777777" w:rsidR="0039712D" w:rsidRDefault="0039712D" w:rsidP="00B24187">
      <w:pPr>
        <w:pStyle w:val="ListParagraph"/>
        <w:widowControl/>
        <w:spacing w:line="360" w:lineRule="auto"/>
        <w:ind w:left="0" w:firstLine="1440"/>
        <w:rPr>
          <w:sz w:val="26"/>
          <w:szCs w:val="26"/>
        </w:rPr>
      </w:pPr>
      <w:r>
        <w:rPr>
          <w:sz w:val="26"/>
          <w:szCs w:val="26"/>
        </w:rPr>
        <w:t xml:space="preserve">We further determine that the Joint Applicants have demonstrated, by a preponderance of the evidence that the Proposed Transaction, as modified by the Settlement, offers many substantial affirmative public benefits, as discussed in detail herein.  We find significant the public safety benefits that will stem from the Joint Applicant’s efficient, seven-year plan to remediate the troubled G/T systems.  The safety benefits in the Settlement include: (1) providing the Commission’s Pipeline Safety Division access to the G/T Systems to inspect and monitor their remediation (Settlement at ¶ 35); (2) adherence to a plan for monitoring and reducing UFG levels on the G/T Systems, which includes increasing the frequency at which Peoples Natural Gas will perform leak surveys from once every three years, to once a year (Settlement at ¶ 37); and (3) a focus on repairing leaks near houses, replacing service lines and moving inside meters outside (Settlement at ¶ 38-40).  Additionally, the replacement of all the bare steel pipe of the G/T Systems will benefit the public by avoiding abandonment and conversion of 1,700 existing customers to potentially higher cost alternative fuel sources.  We similarly find significant the Joint Applicants’ commitment to </w:t>
      </w:r>
      <w:r w:rsidRPr="009B795C">
        <w:rPr>
          <w:rFonts w:cstheme="minorBidi"/>
          <w:color w:val="000000"/>
          <w:spacing w:val="-2"/>
          <w:sz w:val="26"/>
          <w:szCs w:val="22"/>
        </w:rPr>
        <w:t>accelerate</w:t>
      </w:r>
      <w:r>
        <w:rPr>
          <w:rFonts w:cstheme="minorBidi"/>
          <w:color w:val="000000"/>
          <w:spacing w:val="-2"/>
          <w:sz w:val="26"/>
          <w:szCs w:val="22"/>
        </w:rPr>
        <w:t xml:space="preserve"> its LTIIP,</w:t>
      </w:r>
      <w:r w:rsidRPr="009B795C">
        <w:rPr>
          <w:rFonts w:cstheme="minorBidi"/>
          <w:color w:val="000000"/>
          <w:spacing w:val="-2"/>
          <w:sz w:val="26"/>
          <w:szCs w:val="22"/>
        </w:rPr>
        <w:t xml:space="preserve"> </w:t>
      </w:r>
      <w:r>
        <w:rPr>
          <w:rFonts w:cstheme="minorBidi"/>
          <w:color w:val="000000"/>
          <w:spacing w:val="-2"/>
          <w:sz w:val="26"/>
          <w:szCs w:val="22"/>
        </w:rPr>
        <w:t xml:space="preserve">which </w:t>
      </w:r>
      <w:r>
        <w:rPr>
          <w:rFonts w:cstheme="minorBidi"/>
          <w:color w:val="000000"/>
          <w:spacing w:val="-2"/>
          <w:sz w:val="26"/>
          <w:szCs w:val="22"/>
        </w:rPr>
        <w:lastRenderedPageBreak/>
        <w:t>will</w:t>
      </w:r>
      <w:r w:rsidRPr="009B795C">
        <w:rPr>
          <w:rFonts w:cstheme="minorBidi"/>
          <w:color w:val="000000"/>
          <w:spacing w:val="-2"/>
          <w:sz w:val="26"/>
          <w:szCs w:val="22"/>
        </w:rPr>
        <w:t xml:space="preserve"> increas</w:t>
      </w:r>
      <w:r>
        <w:rPr>
          <w:rFonts w:cstheme="minorBidi"/>
          <w:color w:val="000000"/>
          <w:spacing w:val="-2"/>
          <w:sz w:val="26"/>
          <w:szCs w:val="22"/>
        </w:rPr>
        <w:t>e</w:t>
      </w:r>
      <w:r w:rsidRPr="009B795C">
        <w:rPr>
          <w:rFonts w:cstheme="minorBidi"/>
          <w:color w:val="000000"/>
          <w:spacing w:val="-2"/>
          <w:sz w:val="26"/>
          <w:szCs w:val="22"/>
        </w:rPr>
        <w:t xml:space="preserve"> the replacement of old, decaying, </w:t>
      </w:r>
      <w:r>
        <w:rPr>
          <w:rFonts w:cstheme="minorBidi"/>
          <w:color w:val="000000"/>
          <w:spacing w:val="-2"/>
          <w:sz w:val="26"/>
          <w:szCs w:val="22"/>
        </w:rPr>
        <w:t xml:space="preserve">and </w:t>
      </w:r>
      <w:r w:rsidRPr="009B795C">
        <w:rPr>
          <w:rFonts w:cstheme="minorBidi"/>
          <w:color w:val="000000"/>
          <w:spacing w:val="-2"/>
          <w:sz w:val="26"/>
          <w:szCs w:val="22"/>
        </w:rPr>
        <w:t>dangerous pipes</w:t>
      </w:r>
      <w:r>
        <w:rPr>
          <w:rFonts w:cstheme="minorBidi"/>
          <w:color w:val="000000"/>
          <w:spacing w:val="-2"/>
          <w:sz w:val="26"/>
          <w:szCs w:val="22"/>
        </w:rPr>
        <w:t>.  As w</w:t>
      </w:r>
      <w:r>
        <w:rPr>
          <w:sz w:val="26"/>
          <w:szCs w:val="26"/>
        </w:rPr>
        <w:t>e noted previously, the accelerated LTIIP is an affirmative benefit, as it levelizes the at-risk pipe replacement to address more higher risk pipe sooner and will create the potential hiring of 100 additional employees, inclusive of contracted labor and Peoples Companies’ employees.</w:t>
      </w:r>
    </w:p>
    <w:p w14:paraId="2D365C6F" w14:textId="77777777" w:rsidR="0039712D" w:rsidRDefault="0039712D" w:rsidP="00B24187">
      <w:pPr>
        <w:pStyle w:val="ListParagraph"/>
        <w:widowControl/>
        <w:spacing w:line="360" w:lineRule="auto"/>
        <w:ind w:left="0" w:firstLine="1440"/>
        <w:rPr>
          <w:sz w:val="26"/>
          <w:szCs w:val="26"/>
        </w:rPr>
      </w:pPr>
    </w:p>
    <w:p w14:paraId="1984D237" w14:textId="77777777" w:rsidR="0039712D" w:rsidRDefault="0039712D" w:rsidP="00B24187">
      <w:pPr>
        <w:pStyle w:val="ListParagraph"/>
        <w:widowControl/>
        <w:spacing w:line="360" w:lineRule="auto"/>
        <w:ind w:left="0" w:firstLine="1440"/>
        <w:rPr>
          <w:sz w:val="26"/>
          <w:szCs w:val="26"/>
        </w:rPr>
      </w:pPr>
      <w:r>
        <w:rPr>
          <w:sz w:val="26"/>
          <w:szCs w:val="26"/>
        </w:rPr>
        <w:t xml:space="preserve">The Proposed Transaction, as modified by the Settlement, also provides for service and reliability improvements that will benefit ratepayers as described in detail herein, including improvements to customer service and universal service programs, as well as upgrades to an SAP system.  </w:t>
      </w:r>
      <w:r w:rsidR="005F30A1">
        <w:rPr>
          <w:sz w:val="26"/>
          <w:szCs w:val="26"/>
        </w:rPr>
        <w:t>Like</w:t>
      </w:r>
      <w:r>
        <w:rPr>
          <w:sz w:val="26"/>
          <w:szCs w:val="26"/>
        </w:rPr>
        <w:t xml:space="preserve"> I&amp;E and the OSBA, we </w:t>
      </w:r>
      <w:r w:rsidR="005F30A1">
        <w:rPr>
          <w:sz w:val="26"/>
          <w:szCs w:val="26"/>
        </w:rPr>
        <w:t xml:space="preserve">also </w:t>
      </w:r>
      <w:r>
        <w:rPr>
          <w:sz w:val="26"/>
          <w:szCs w:val="26"/>
        </w:rPr>
        <w:t xml:space="preserve">find significant any potential financial implications to ratepayers </w:t>
      </w:r>
      <w:r w:rsidR="005F30A1">
        <w:rPr>
          <w:sz w:val="26"/>
          <w:szCs w:val="26"/>
        </w:rPr>
        <w:t>that may</w:t>
      </w:r>
      <w:r>
        <w:rPr>
          <w:sz w:val="26"/>
          <w:szCs w:val="26"/>
        </w:rPr>
        <w:t xml:space="preserve"> result f</w:t>
      </w:r>
      <w:r w:rsidR="005F30A1">
        <w:rPr>
          <w:sz w:val="26"/>
          <w:szCs w:val="26"/>
        </w:rPr>
        <w:t>rom</w:t>
      </w:r>
      <w:r>
        <w:rPr>
          <w:sz w:val="26"/>
          <w:szCs w:val="26"/>
        </w:rPr>
        <w:t xml:space="preserve"> this transaction; however, in considering this transaction as a whole, we observe the Settlement provisions that mitigate the potential financial implications to ratepayers.  For instance, we find value in the two rate credits associated with this transaction that will be quickly realized by ratepayers upon the closing of this transaction.  We have also determined that any rate impacts will be properly addressed in a future base rate proceeding that will provide interested parties with an opportunity to be heard on these issues.  </w:t>
      </w:r>
    </w:p>
    <w:p w14:paraId="17813654" w14:textId="77777777" w:rsidR="0039712D" w:rsidRDefault="0039712D" w:rsidP="00B24187">
      <w:pPr>
        <w:pStyle w:val="ListParagraph"/>
        <w:widowControl/>
        <w:spacing w:line="360" w:lineRule="auto"/>
        <w:ind w:left="0" w:firstLine="1440"/>
        <w:rPr>
          <w:sz w:val="26"/>
          <w:szCs w:val="26"/>
        </w:rPr>
      </w:pPr>
    </w:p>
    <w:p w14:paraId="530DE209" w14:textId="01C8FCFA" w:rsidR="0039712D" w:rsidRPr="00D91337" w:rsidRDefault="0039712D" w:rsidP="00D53626">
      <w:pPr>
        <w:widowControl/>
        <w:spacing w:line="360" w:lineRule="auto"/>
        <w:ind w:firstLine="1440"/>
        <w:rPr>
          <w:sz w:val="26"/>
          <w:szCs w:val="24"/>
          <w:highlight w:val="yellow"/>
        </w:rPr>
      </w:pPr>
      <w:r>
        <w:rPr>
          <w:sz w:val="26"/>
          <w:szCs w:val="26"/>
        </w:rPr>
        <w:t xml:space="preserve">While we are approving the Proposed Transaction, as modified by the Settlement, we are also making some clarifications and modifications to the Settlement as delineated in this Opinion and Order.  </w:t>
      </w:r>
      <w:r w:rsidRPr="00F74D7B">
        <w:rPr>
          <w:sz w:val="26"/>
          <w:szCs w:val="26"/>
        </w:rPr>
        <w:t xml:space="preserve">These modifications are contained in Settlement Paragraphs 33, 41, </w:t>
      </w:r>
      <w:r w:rsidR="002E772A">
        <w:rPr>
          <w:sz w:val="26"/>
          <w:szCs w:val="26"/>
        </w:rPr>
        <w:t xml:space="preserve">and </w:t>
      </w:r>
      <w:r w:rsidR="00966722" w:rsidRPr="00F74D7B">
        <w:rPr>
          <w:sz w:val="26"/>
          <w:szCs w:val="26"/>
        </w:rPr>
        <w:t>69</w:t>
      </w:r>
      <w:r w:rsidR="00F74D7B">
        <w:rPr>
          <w:sz w:val="26"/>
          <w:szCs w:val="26"/>
        </w:rPr>
        <w:t xml:space="preserve"> and are discussed in Sections </w:t>
      </w:r>
      <w:r w:rsidR="002E772A">
        <w:rPr>
          <w:sz w:val="26"/>
          <w:szCs w:val="26"/>
        </w:rPr>
        <w:t>III.</w:t>
      </w:r>
      <w:r w:rsidR="00F74D7B">
        <w:rPr>
          <w:sz w:val="26"/>
          <w:szCs w:val="26"/>
        </w:rPr>
        <w:t>C.1., C.9</w:t>
      </w:r>
      <w:r w:rsidRPr="00F74D7B">
        <w:rPr>
          <w:sz w:val="26"/>
          <w:szCs w:val="26"/>
        </w:rPr>
        <w:t>.</w:t>
      </w:r>
      <w:r w:rsidR="00F74D7B">
        <w:rPr>
          <w:sz w:val="26"/>
          <w:szCs w:val="26"/>
        </w:rPr>
        <w:t xml:space="preserve">, </w:t>
      </w:r>
      <w:r w:rsidR="002E772A">
        <w:rPr>
          <w:sz w:val="26"/>
          <w:szCs w:val="26"/>
        </w:rPr>
        <w:t xml:space="preserve">and </w:t>
      </w:r>
      <w:r w:rsidR="00F74D7B">
        <w:rPr>
          <w:sz w:val="26"/>
          <w:szCs w:val="26"/>
        </w:rPr>
        <w:t>C.2., respectively, of this Opinion and Order.</w:t>
      </w:r>
      <w:r>
        <w:rPr>
          <w:sz w:val="26"/>
          <w:szCs w:val="26"/>
        </w:rPr>
        <w:t xml:space="preserve">  </w:t>
      </w:r>
      <w:r w:rsidRPr="00D91337">
        <w:rPr>
          <w:sz w:val="26"/>
          <w:szCs w:val="24"/>
        </w:rPr>
        <w:t xml:space="preserve">We recognize that the </w:t>
      </w:r>
      <w:r>
        <w:rPr>
          <w:sz w:val="26"/>
          <w:szCs w:val="24"/>
        </w:rPr>
        <w:t xml:space="preserve">Settling </w:t>
      </w:r>
      <w:r w:rsidRPr="00D91337">
        <w:rPr>
          <w:sz w:val="26"/>
          <w:szCs w:val="26"/>
        </w:rPr>
        <w:t xml:space="preserve">Parties have the right, under the Settlement, to withdraw from the Settlement if the Commission does not approve it as filed.  </w:t>
      </w:r>
      <w:r>
        <w:rPr>
          <w:sz w:val="26"/>
          <w:szCs w:val="26"/>
        </w:rPr>
        <w:t xml:space="preserve">Settlement at ¶ 129.  </w:t>
      </w:r>
      <w:r w:rsidRPr="00D91337">
        <w:rPr>
          <w:sz w:val="26"/>
          <w:szCs w:val="26"/>
        </w:rPr>
        <w:t xml:space="preserve">If any Party wishes to withdraw from the Settlement, it shall file with the Secretary of the Commission, and serve on all Parties to this proceeding, an election to withdraw within </w:t>
      </w:r>
      <w:r>
        <w:rPr>
          <w:sz w:val="26"/>
          <w:szCs w:val="26"/>
        </w:rPr>
        <w:t>five</w:t>
      </w:r>
      <w:r w:rsidRPr="00D91337">
        <w:rPr>
          <w:sz w:val="26"/>
          <w:szCs w:val="26"/>
        </w:rPr>
        <w:t xml:space="preserve"> </w:t>
      </w:r>
      <w:r>
        <w:rPr>
          <w:sz w:val="26"/>
          <w:szCs w:val="26"/>
        </w:rPr>
        <w:t xml:space="preserve">business </w:t>
      </w:r>
      <w:r w:rsidRPr="00D91337">
        <w:rPr>
          <w:sz w:val="26"/>
          <w:szCs w:val="26"/>
        </w:rPr>
        <w:t xml:space="preserve">days from the date that this Opinion and Order is entered.  If such an election to withdraw is filed, the Settlement shall be disapproved, without further action by this Commission, and this matter shall be </w:t>
      </w:r>
      <w:r w:rsidRPr="00D91337">
        <w:rPr>
          <w:sz w:val="26"/>
          <w:szCs w:val="26"/>
        </w:rPr>
        <w:lastRenderedPageBreak/>
        <w:t xml:space="preserve">returned to </w:t>
      </w:r>
      <w:r>
        <w:rPr>
          <w:sz w:val="26"/>
          <w:szCs w:val="26"/>
        </w:rPr>
        <w:t>the Office of Administrative Law Judge</w:t>
      </w:r>
      <w:r w:rsidRPr="00D91337">
        <w:rPr>
          <w:sz w:val="26"/>
          <w:szCs w:val="26"/>
        </w:rPr>
        <w:t xml:space="preserve"> for further action as deemed appropriate.  If no Party elects to withdraw from the Settlement within </w:t>
      </w:r>
      <w:r>
        <w:rPr>
          <w:sz w:val="26"/>
          <w:szCs w:val="26"/>
        </w:rPr>
        <w:t>five business</w:t>
      </w:r>
      <w:r w:rsidRPr="00D91337">
        <w:rPr>
          <w:sz w:val="26"/>
          <w:szCs w:val="26"/>
        </w:rPr>
        <w:t xml:space="preserve"> days from the entry date of this Opinion and Order, then this Opinion and Order shall become final, and the Settlement, with the modification</w:t>
      </w:r>
      <w:r>
        <w:rPr>
          <w:sz w:val="26"/>
          <w:szCs w:val="26"/>
        </w:rPr>
        <w:t>s</w:t>
      </w:r>
      <w:r w:rsidRPr="00D91337">
        <w:rPr>
          <w:sz w:val="26"/>
          <w:szCs w:val="26"/>
        </w:rPr>
        <w:t xml:space="preserve"> discussed herein, will be approved, all without further action by this Commission.  </w:t>
      </w:r>
    </w:p>
    <w:p w14:paraId="56A5473A" w14:textId="77777777" w:rsidR="00534F4F" w:rsidRDefault="00534F4F" w:rsidP="00D53626">
      <w:pPr>
        <w:widowControl/>
        <w:spacing w:line="360" w:lineRule="auto"/>
        <w:rPr>
          <w:sz w:val="26"/>
          <w:szCs w:val="26"/>
        </w:rPr>
      </w:pPr>
    </w:p>
    <w:p w14:paraId="1DAA5709" w14:textId="1DA3C5C2" w:rsidR="00037A2F" w:rsidRPr="000E0D5C" w:rsidRDefault="00037A2F" w:rsidP="00D53626">
      <w:pPr>
        <w:pStyle w:val="Heading1"/>
        <w:keepNext/>
        <w:ind w:left="0" w:firstLine="0"/>
        <w:rPr>
          <w:lang w:val="en"/>
        </w:rPr>
      </w:pPr>
      <w:bookmarkStart w:id="172" w:name="_Toc29278260"/>
      <w:r w:rsidRPr="000E0D5C">
        <w:rPr>
          <w:lang w:val="en"/>
        </w:rPr>
        <w:t>Conclusion</w:t>
      </w:r>
      <w:bookmarkEnd w:id="172"/>
    </w:p>
    <w:p w14:paraId="2AD9BB61" w14:textId="77777777" w:rsidR="00037A2F" w:rsidRPr="008472BD" w:rsidRDefault="00037A2F" w:rsidP="00D53626">
      <w:pPr>
        <w:keepNext/>
        <w:keepLines/>
        <w:widowControl/>
        <w:autoSpaceDE w:val="0"/>
        <w:autoSpaceDN w:val="0"/>
        <w:adjustRightInd w:val="0"/>
        <w:spacing w:line="360" w:lineRule="auto"/>
        <w:contextualSpacing/>
        <w:jc w:val="center"/>
        <w:rPr>
          <w:sz w:val="26"/>
          <w:szCs w:val="26"/>
          <w:lang w:val="en"/>
        </w:rPr>
      </w:pPr>
    </w:p>
    <w:p w14:paraId="7DF63A2C" w14:textId="7206C7D8" w:rsidR="00037A2F" w:rsidRDefault="00AE6707" w:rsidP="00D53626">
      <w:pPr>
        <w:keepNext/>
        <w:widowControl/>
        <w:spacing w:line="360" w:lineRule="auto"/>
        <w:rPr>
          <w:sz w:val="26"/>
          <w:szCs w:val="26"/>
        </w:rPr>
      </w:pPr>
      <w:r>
        <w:rPr>
          <w:sz w:val="26"/>
          <w:szCs w:val="26"/>
        </w:rPr>
        <w:tab/>
      </w:r>
      <w:r>
        <w:rPr>
          <w:sz w:val="26"/>
          <w:szCs w:val="26"/>
        </w:rPr>
        <w:tab/>
      </w:r>
      <w:r w:rsidR="00037A2F" w:rsidRPr="000E0D5C">
        <w:rPr>
          <w:sz w:val="26"/>
          <w:szCs w:val="26"/>
        </w:rPr>
        <w:t>Based on our review of the record,</w:t>
      </w:r>
      <w:r w:rsidR="0037144B">
        <w:rPr>
          <w:sz w:val="26"/>
          <w:szCs w:val="26"/>
        </w:rPr>
        <w:t xml:space="preserve"> the positions of the Parties, and the applicable law, we </w:t>
      </w:r>
      <w:r w:rsidR="00037A2F" w:rsidRPr="000E0D5C">
        <w:rPr>
          <w:sz w:val="26"/>
          <w:szCs w:val="26"/>
        </w:rPr>
        <w:t>shall</w:t>
      </w:r>
      <w:r w:rsidR="00115CE5">
        <w:rPr>
          <w:sz w:val="26"/>
          <w:szCs w:val="26"/>
        </w:rPr>
        <w:t>:  (1)</w:t>
      </w:r>
      <w:r w:rsidR="0037144B">
        <w:rPr>
          <w:sz w:val="26"/>
          <w:szCs w:val="26"/>
        </w:rPr>
        <w:t xml:space="preserve"> </w:t>
      </w:r>
      <w:r w:rsidR="00C85EF2">
        <w:rPr>
          <w:sz w:val="26"/>
          <w:szCs w:val="26"/>
        </w:rPr>
        <w:t>deny</w:t>
      </w:r>
      <w:r w:rsidR="0037144B" w:rsidRPr="0037144B">
        <w:rPr>
          <w:sz w:val="26"/>
        </w:rPr>
        <w:t xml:space="preserve"> </w:t>
      </w:r>
      <w:r w:rsidR="0037144B">
        <w:rPr>
          <w:sz w:val="26"/>
        </w:rPr>
        <w:t>I&amp;E and the OSBA’s Exceptions</w:t>
      </w:r>
      <w:r w:rsidR="00115CE5">
        <w:rPr>
          <w:sz w:val="26"/>
        </w:rPr>
        <w:t xml:space="preserve">; (2) </w:t>
      </w:r>
      <w:r w:rsidR="007B72C6">
        <w:rPr>
          <w:sz w:val="26"/>
        </w:rPr>
        <w:t xml:space="preserve">adopt </w:t>
      </w:r>
      <w:r w:rsidR="00115CE5">
        <w:rPr>
          <w:sz w:val="26"/>
        </w:rPr>
        <w:t xml:space="preserve"> the Recommended Decision</w:t>
      </w:r>
      <w:r w:rsidR="007B72C6">
        <w:rPr>
          <w:sz w:val="26"/>
        </w:rPr>
        <w:t xml:space="preserve"> as modified by this Opinion and Order</w:t>
      </w:r>
      <w:r w:rsidR="00115CE5">
        <w:rPr>
          <w:sz w:val="26"/>
        </w:rPr>
        <w:t xml:space="preserve">; </w:t>
      </w:r>
      <w:r w:rsidR="002E772A" w:rsidRPr="002E772A">
        <w:rPr>
          <w:sz w:val="26"/>
        </w:rPr>
        <w:t>(3) approve the Joint Application; and (4) approve the terms of the Settlement, as modified by this Opinion and Order</w:t>
      </w:r>
      <w:r w:rsidR="002E772A" w:rsidRPr="002E772A">
        <w:rPr>
          <w:sz w:val="26"/>
          <w:szCs w:val="26"/>
        </w:rPr>
        <w:t>, all co</w:t>
      </w:r>
      <w:r w:rsidR="002E772A">
        <w:rPr>
          <w:sz w:val="26"/>
          <w:szCs w:val="26"/>
        </w:rPr>
        <w:t>nsistent with this Opinion and Order</w:t>
      </w:r>
      <w:r w:rsidR="004971C6">
        <w:rPr>
          <w:sz w:val="26"/>
          <w:szCs w:val="26"/>
        </w:rPr>
        <w:t xml:space="preserve">.  </w:t>
      </w:r>
      <w:r w:rsidR="00B04F40">
        <w:rPr>
          <w:sz w:val="26"/>
          <w:szCs w:val="26"/>
        </w:rPr>
        <w:t xml:space="preserve">We have also enumerated in the Ordering Paragraphs below </w:t>
      </w:r>
      <w:r w:rsidR="007B0D21">
        <w:rPr>
          <w:sz w:val="26"/>
          <w:szCs w:val="26"/>
        </w:rPr>
        <w:t xml:space="preserve">various reporting requirements and </w:t>
      </w:r>
      <w:r w:rsidR="00BF37D9">
        <w:rPr>
          <w:sz w:val="26"/>
          <w:szCs w:val="26"/>
        </w:rPr>
        <w:t>regulatory obligations necessary to carry out this transaction and to ensure this transaction is in the public interest</w:t>
      </w:r>
      <w:r w:rsidR="00037A2F">
        <w:rPr>
          <w:sz w:val="26"/>
          <w:szCs w:val="26"/>
        </w:rPr>
        <w:t xml:space="preserve">; </w:t>
      </w:r>
      <w:r w:rsidR="00037A2F" w:rsidRPr="000E0D5C">
        <w:rPr>
          <w:b/>
          <w:sz w:val="26"/>
          <w:szCs w:val="26"/>
        </w:rPr>
        <w:t>THEREFORE,</w:t>
      </w:r>
      <w:r w:rsidR="00037A2F" w:rsidRPr="000E0D5C">
        <w:rPr>
          <w:sz w:val="26"/>
          <w:szCs w:val="26"/>
        </w:rPr>
        <w:t xml:space="preserve"> </w:t>
      </w:r>
    </w:p>
    <w:p w14:paraId="6A22A431" w14:textId="77777777" w:rsidR="00037A2F" w:rsidRDefault="00037A2F" w:rsidP="00B24187">
      <w:pPr>
        <w:widowControl/>
        <w:autoSpaceDE w:val="0"/>
        <w:autoSpaceDN w:val="0"/>
        <w:adjustRightInd w:val="0"/>
        <w:spacing w:line="360" w:lineRule="auto"/>
        <w:ind w:firstLine="1440"/>
        <w:contextualSpacing/>
        <w:rPr>
          <w:sz w:val="26"/>
          <w:szCs w:val="26"/>
        </w:rPr>
      </w:pPr>
    </w:p>
    <w:p w14:paraId="4E01CF88" w14:textId="77777777" w:rsidR="00037A2F" w:rsidRDefault="00037A2F" w:rsidP="00B24187">
      <w:pPr>
        <w:widowControl/>
        <w:autoSpaceDE w:val="0"/>
        <w:autoSpaceDN w:val="0"/>
        <w:adjustRightInd w:val="0"/>
        <w:spacing w:line="360" w:lineRule="auto"/>
        <w:ind w:firstLine="1440"/>
        <w:contextualSpacing/>
        <w:rPr>
          <w:b/>
          <w:sz w:val="26"/>
          <w:szCs w:val="26"/>
        </w:rPr>
      </w:pPr>
      <w:r w:rsidRPr="000E0D5C">
        <w:rPr>
          <w:b/>
          <w:sz w:val="26"/>
          <w:szCs w:val="26"/>
        </w:rPr>
        <w:t>IT IS ORDERED:</w:t>
      </w:r>
    </w:p>
    <w:p w14:paraId="3683652E" w14:textId="77777777" w:rsidR="00037A2F" w:rsidRDefault="00037A2F" w:rsidP="00B24187">
      <w:pPr>
        <w:widowControl/>
        <w:autoSpaceDE w:val="0"/>
        <w:autoSpaceDN w:val="0"/>
        <w:adjustRightInd w:val="0"/>
        <w:spacing w:line="360" w:lineRule="auto"/>
        <w:ind w:firstLine="1440"/>
        <w:contextualSpacing/>
        <w:rPr>
          <w:b/>
          <w:sz w:val="26"/>
          <w:szCs w:val="26"/>
        </w:rPr>
      </w:pPr>
    </w:p>
    <w:p w14:paraId="69CD6834" w14:textId="0B8CBD91" w:rsidR="00037A2F" w:rsidRDefault="00037A2F" w:rsidP="00B24187">
      <w:pPr>
        <w:widowControl/>
        <w:autoSpaceDE w:val="0"/>
        <w:autoSpaceDN w:val="0"/>
        <w:adjustRightInd w:val="0"/>
        <w:spacing w:line="360" w:lineRule="auto"/>
        <w:ind w:firstLine="1440"/>
        <w:contextualSpacing/>
        <w:rPr>
          <w:sz w:val="26"/>
          <w:szCs w:val="26"/>
        </w:rPr>
      </w:pPr>
      <w:r w:rsidRPr="00A3568B">
        <w:rPr>
          <w:color w:val="000000"/>
          <w:sz w:val="26"/>
          <w:szCs w:val="26"/>
        </w:rPr>
        <w:t>1.</w:t>
      </w:r>
      <w:r w:rsidRPr="00A3568B">
        <w:rPr>
          <w:color w:val="000000"/>
          <w:sz w:val="26"/>
          <w:szCs w:val="26"/>
        </w:rPr>
        <w:tab/>
      </w:r>
      <w:r w:rsidR="00391780">
        <w:rPr>
          <w:color w:val="000000"/>
          <w:sz w:val="26"/>
          <w:szCs w:val="26"/>
        </w:rPr>
        <w:t>That the Exceptions filed by the Commission’s Bureau of Investigation and Enforcement o</w:t>
      </w:r>
      <w:r w:rsidR="00391780">
        <w:rPr>
          <w:sz w:val="26"/>
        </w:rPr>
        <w:t xml:space="preserve">n November 18, 2019, </w:t>
      </w:r>
      <w:r>
        <w:rPr>
          <w:sz w:val="26"/>
          <w:szCs w:val="26"/>
        </w:rPr>
        <w:t xml:space="preserve">are </w:t>
      </w:r>
      <w:r w:rsidR="00C85EF2">
        <w:rPr>
          <w:sz w:val="26"/>
          <w:szCs w:val="26"/>
        </w:rPr>
        <w:t>denied</w:t>
      </w:r>
      <w:r>
        <w:rPr>
          <w:sz w:val="26"/>
          <w:szCs w:val="26"/>
        </w:rPr>
        <w:t xml:space="preserve">, </w:t>
      </w:r>
      <w:r w:rsidRPr="00A3568B">
        <w:rPr>
          <w:sz w:val="26"/>
          <w:szCs w:val="26"/>
        </w:rPr>
        <w:t>consistent with this Opinion and Order.</w:t>
      </w:r>
    </w:p>
    <w:p w14:paraId="08239292" w14:textId="77777777" w:rsidR="00037A2F" w:rsidRDefault="00037A2F" w:rsidP="00B24187">
      <w:pPr>
        <w:widowControl/>
        <w:autoSpaceDE w:val="0"/>
        <w:autoSpaceDN w:val="0"/>
        <w:adjustRightInd w:val="0"/>
        <w:spacing w:line="360" w:lineRule="auto"/>
        <w:ind w:firstLine="1440"/>
        <w:contextualSpacing/>
        <w:rPr>
          <w:sz w:val="26"/>
          <w:szCs w:val="26"/>
        </w:rPr>
      </w:pPr>
    </w:p>
    <w:p w14:paraId="57BAB24B" w14:textId="7B07DA5D" w:rsidR="00391780" w:rsidRDefault="00391780" w:rsidP="00B24187">
      <w:pPr>
        <w:widowControl/>
        <w:autoSpaceDE w:val="0"/>
        <w:autoSpaceDN w:val="0"/>
        <w:adjustRightInd w:val="0"/>
        <w:spacing w:line="360" w:lineRule="auto"/>
        <w:ind w:firstLine="1440"/>
        <w:contextualSpacing/>
        <w:rPr>
          <w:sz w:val="26"/>
          <w:szCs w:val="26"/>
        </w:rPr>
      </w:pPr>
      <w:r>
        <w:rPr>
          <w:sz w:val="26"/>
          <w:szCs w:val="26"/>
        </w:rPr>
        <w:t>2.</w:t>
      </w:r>
      <w:r>
        <w:rPr>
          <w:sz w:val="26"/>
          <w:szCs w:val="26"/>
        </w:rPr>
        <w:tab/>
        <w:t xml:space="preserve">That the Exceptions filed by the Office of Small Business Advocate on </w:t>
      </w:r>
      <w:r>
        <w:rPr>
          <w:sz w:val="26"/>
        </w:rPr>
        <w:t xml:space="preserve">November 18, 2019, </w:t>
      </w:r>
      <w:r>
        <w:rPr>
          <w:sz w:val="26"/>
          <w:szCs w:val="26"/>
        </w:rPr>
        <w:t xml:space="preserve">are </w:t>
      </w:r>
      <w:r w:rsidR="00C85EF2">
        <w:rPr>
          <w:sz w:val="26"/>
          <w:szCs w:val="26"/>
        </w:rPr>
        <w:t>denied</w:t>
      </w:r>
      <w:r>
        <w:rPr>
          <w:sz w:val="26"/>
          <w:szCs w:val="26"/>
        </w:rPr>
        <w:t xml:space="preserve">, </w:t>
      </w:r>
      <w:r w:rsidRPr="00A3568B">
        <w:rPr>
          <w:sz w:val="26"/>
          <w:szCs w:val="26"/>
        </w:rPr>
        <w:t>consistent with this Opinion and Order.</w:t>
      </w:r>
    </w:p>
    <w:p w14:paraId="3056DD7C" w14:textId="77777777" w:rsidR="00391780" w:rsidRDefault="00391780" w:rsidP="00B24187">
      <w:pPr>
        <w:widowControl/>
        <w:autoSpaceDE w:val="0"/>
        <w:autoSpaceDN w:val="0"/>
        <w:adjustRightInd w:val="0"/>
        <w:spacing w:line="360" w:lineRule="auto"/>
        <w:ind w:firstLine="1440"/>
        <w:contextualSpacing/>
        <w:rPr>
          <w:sz w:val="26"/>
          <w:szCs w:val="26"/>
        </w:rPr>
      </w:pPr>
    </w:p>
    <w:p w14:paraId="0F7BA9A7" w14:textId="0A9B56A7" w:rsidR="00037A2F" w:rsidRDefault="00037A2F" w:rsidP="00B24187">
      <w:pPr>
        <w:widowControl/>
        <w:spacing w:line="360" w:lineRule="auto"/>
        <w:ind w:firstLine="1440"/>
        <w:contextualSpacing/>
        <w:rPr>
          <w:sz w:val="26"/>
        </w:rPr>
      </w:pPr>
      <w:r>
        <w:rPr>
          <w:sz w:val="26"/>
          <w:szCs w:val="26"/>
        </w:rPr>
        <w:t>3</w:t>
      </w:r>
      <w:r w:rsidRPr="000E0D5C">
        <w:rPr>
          <w:sz w:val="26"/>
          <w:szCs w:val="26"/>
        </w:rPr>
        <w:t>.</w:t>
      </w:r>
      <w:r w:rsidRPr="000E0D5C">
        <w:rPr>
          <w:sz w:val="26"/>
          <w:szCs w:val="26"/>
        </w:rPr>
        <w:tab/>
        <w:t>That the Recommended Decision of Administrative Law Judge</w:t>
      </w:r>
      <w:r w:rsidR="00391780">
        <w:rPr>
          <w:sz w:val="26"/>
          <w:szCs w:val="26"/>
        </w:rPr>
        <w:t xml:space="preserve"> Mary D. Long</w:t>
      </w:r>
      <w:r>
        <w:rPr>
          <w:sz w:val="26"/>
        </w:rPr>
        <w:t xml:space="preserve">, </w:t>
      </w:r>
      <w:r w:rsidR="00391780">
        <w:rPr>
          <w:sz w:val="26"/>
        </w:rPr>
        <w:t>served on October 28, 2019,</w:t>
      </w:r>
      <w:r>
        <w:rPr>
          <w:sz w:val="26"/>
        </w:rPr>
        <w:t xml:space="preserve"> is</w:t>
      </w:r>
      <w:r w:rsidRPr="000E0D5C">
        <w:rPr>
          <w:sz w:val="26"/>
        </w:rPr>
        <w:t xml:space="preserve"> </w:t>
      </w:r>
      <w:r w:rsidR="00E650F6">
        <w:rPr>
          <w:sz w:val="26"/>
        </w:rPr>
        <w:t xml:space="preserve">adopted as </w:t>
      </w:r>
      <w:r>
        <w:rPr>
          <w:sz w:val="26"/>
        </w:rPr>
        <w:t>modified</w:t>
      </w:r>
      <w:r w:rsidR="00E73DE4">
        <w:rPr>
          <w:sz w:val="26"/>
        </w:rPr>
        <w:t xml:space="preserve"> </w:t>
      </w:r>
      <w:r w:rsidR="00E650F6">
        <w:rPr>
          <w:sz w:val="26"/>
        </w:rPr>
        <w:t>by</w:t>
      </w:r>
      <w:r w:rsidRPr="000E0D5C">
        <w:rPr>
          <w:sz w:val="26"/>
        </w:rPr>
        <w:t xml:space="preserve"> this Opinion and Order.</w:t>
      </w:r>
    </w:p>
    <w:p w14:paraId="162829B6" w14:textId="77777777" w:rsidR="00612BC3" w:rsidRDefault="00612BC3" w:rsidP="00B24187">
      <w:pPr>
        <w:widowControl/>
        <w:spacing w:line="360" w:lineRule="auto"/>
        <w:ind w:firstLine="1440"/>
        <w:contextualSpacing/>
        <w:rPr>
          <w:sz w:val="26"/>
        </w:rPr>
      </w:pPr>
    </w:p>
    <w:p w14:paraId="11D1C547" w14:textId="24D41CCF" w:rsidR="00FA1938" w:rsidRDefault="00FA1938" w:rsidP="00FA1938">
      <w:pPr>
        <w:widowControl/>
        <w:autoSpaceDE w:val="0"/>
        <w:autoSpaceDN w:val="0"/>
        <w:spacing w:line="360" w:lineRule="auto"/>
        <w:ind w:firstLine="1440"/>
        <w:rPr>
          <w:sz w:val="26"/>
          <w:szCs w:val="26"/>
        </w:rPr>
      </w:pPr>
      <w:r w:rsidRPr="00FA1938">
        <w:rPr>
          <w:sz w:val="26"/>
          <w:szCs w:val="26"/>
        </w:rPr>
        <w:t>4.</w:t>
      </w:r>
      <w:r w:rsidR="00D53626">
        <w:rPr>
          <w:sz w:val="26"/>
          <w:szCs w:val="26"/>
        </w:rPr>
        <w:tab/>
      </w:r>
      <w:r w:rsidRPr="00FA1938">
        <w:rPr>
          <w:sz w:val="26"/>
          <w:szCs w:val="26"/>
        </w:rPr>
        <w:t>That the Joint Application of Aqua America, Inc., Aqua Pennsylvania, Inc., Aqua Pennsylvania Wastewater, Inc., Peoples Natural Gas Company LLC, Peoples Natural Gas Company LLC – Equitable Division, and Peoples Gas Company, LLC For All Of The Authority And Necessary Certificates Of Public Convenience To Approve A Change In Control of Peoples Natural Gas company LLC And Peoples Gas Company LLC By Way Of The Purchase Of LDC Funding LLC’s Membership Interests By Aqua America, Inc., and issue all Certificates of Public Convenience to the Joint Applicants necessary to effect its approval, is hereby approved subject to the terms and conditions of the Joint Petition for Settlement.  </w:t>
      </w:r>
    </w:p>
    <w:p w14:paraId="14CB0B24" w14:textId="77777777" w:rsidR="00E93F50" w:rsidRPr="00FA1938" w:rsidRDefault="00E93F50" w:rsidP="00FA1938">
      <w:pPr>
        <w:widowControl/>
        <w:autoSpaceDE w:val="0"/>
        <w:autoSpaceDN w:val="0"/>
        <w:spacing w:line="360" w:lineRule="auto"/>
        <w:ind w:firstLine="1440"/>
        <w:rPr>
          <w:rFonts w:ascii="Calibri" w:hAnsi="Calibri" w:cs="Calibri"/>
          <w:sz w:val="22"/>
          <w:szCs w:val="22"/>
        </w:rPr>
      </w:pPr>
    </w:p>
    <w:p w14:paraId="7FD994DC" w14:textId="66FD18B5" w:rsidR="006B70C1" w:rsidRDefault="00343742" w:rsidP="0086319C">
      <w:pPr>
        <w:widowControl/>
        <w:spacing w:line="360" w:lineRule="auto"/>
        <w:ind w:firstLine="1440"/>
        <w:rPr>
          <w:sz w:val="26"/>
          <w:szCs w:val="26"/>
        </w:rPr>
      </w:pPr>
      <w:r w:rsidRPr="00343742">
        <w:rPr>
          <w:sz w:val="26"/>
        </w:rPr>
        <w:t>5.</w:t>
      </w:r>
      <w:r w:rsidRPr="00343742">
        <w:rPr>
          <w:sz w:val="26"/>
        </w:rPr>
        <w:tab/>
      </w:r>
      <w:r w:rsidR="00DF51A6" w:rsidRPr="00343742">
        <w:rPr>
          <w:sz w:val="26"/>
        </w:rPr>
        <w:t xml:space="preserve">That the Joint Petition for Approval of Non-Unanimous, Complete Settlement entered into and filed by </w:t>
      </w:r>
      <w:bookmarkStart w:id="173" w:name="_Hlk30600789"/>
      <w:r w:rsidRPr="00DF51A6">
        <w:rPr>
          <w:sz w:val="26"/>
        </w:rPr>
        <w:t>Aqua America, Inc., Aqua Pennsylvania, Inc., Aqua Pennsylvania Wastewater, Inc., Peoples Natural Gas Company LLC</w:t>
      </w:r>
      <w:r>
        <w:rPr>
          <w:sz w:val="26"/>
        </w:rPr>
        <w:t>,</w:t>
      </w:r>
      <w:r w:rsidRPr="00DF51A6">
        <w:rPr>
          <w:sz w:val="26"/>
        </w:rPr>
        <w:t xml:space="preserve"> Peoples Gas Company, LLC</w:t>
      </w:r>
      <w:bookmarkEnd w:id="173"/>
      <w:r>
        <w:rPr>
          <w:sz w:val="26"/>
        </w:rPr>
        <w:t>,</w:t>
      </w:r>
      <w:r w:rsidRPr="00DF51A6">
        <w:rPr>
          <w:sz w:val="26"/>
        </w:rPr>
        <w:t xml:space="preserve"> </w:t>
      </w:r>
      <w:r>
        <w:rPr>
          <w:sz w:val="26"/>
        </w:rPr>
        <w:t>the Office of Consumer Advocate,</w:t>
      </w:r>
      <w:r w:rsidR="00DF51A6" w:rsidRPr="00343742">
        <w:rPr>
          <w:sz w:val="26"/>
        </w:rPr>
        <w:t xml:space="preserve"> </w:t>
      </w:r>
      <w:r w:rsidR="00DC06DF">
        <w:rPr>
          <w:sz w:val="26"/>
        </w:rPr>
        <w:t>Coalition f</w:t>
      </w:r>
      <w:r w:rsidR="00B97493">
        <w:rPr>
          <w:sz w:val="26"/>
        </w:rPr>
        <w:t>or</w:t>
      </w:r>
      <w:r w:rsidR="00DC06DF">
        <w:rPr>
          <w:sz w:val="26"/>
        </w:rPr>
        <w:t xml:space="preserve"> Affordable Utility Service and Energy Efficiency in Pennsylvania</w:t>
      </w:r>
      <w:r w:rsidR="00DF51A6" w:rsidRPr="00343742">
        <w:rPr>
          <w:sz w:val="26"/>
        </w:rPr>
        <w:t xml:space="preserve">, </w:t>
      </w:r>
      <w:r w:rsidR="00DC06DF">
        <w:rPr>
          <w:sz w:val="26"/>
        </w:rPr>
        <w:t xml:space="preserve">Direct Energy Business Marketing, LLC and Direct Energy Small Business Marketing, LLC, </w:t>
      </w:r>
      <w:r w:rsidR="00DC06DF">
        <w:rPr>
          <w:sz w:val="26"/>
          <w:szCs w:val="26"/>
        </w:rPr>
        <w:t xml:space="preserve">Dominion Energy Solutions, Inc. and Shipley Choice LLC d/b/a Shipley Energy, Retail Energy Supply Association, Pennsylvania Independent Oil &amp; Gas Association, the Laborers’ District Council of Western Pennsylvania, and Utility Workers Union of America, Local 612 </w:t>
      </w:r>
      <w:r w:rsidR="006B70C1" w:rsidRPr="006B70C1">
        <w:rPr>
          <w:sz w:val="26"/>
          <w:szCs w:val="26"/>
        </w:rPr>
        <w:t xml:space="preserve">is approved, as modified by this Opinion and Order, subject to the condition set forth in Ordering Paragraph No. </w:t>
      </w:r>
      <w:r w:rsidR="00E05F59">
        <w:rPr>
          <w:sz w:val="26"/>
          <w:szCs w:val="26"/>
        </w:rPr>
        <w:t>7</w:t>
      </w:r>
      <w:r w:rsidR="006B70C1">
        <w:rPr>
          <w:sz w:val="26"/>
          <w:szCs w:val="26"/>
        </w:rPr>
        <w:t>, below</w:t>
      </w:r>
      <w:r w:rsidR="006B70C1" w:rsidRPr="006B70C1">
        <w:rPr>
          <w:sz w:val="26"/>
          <w:szCs w:val="26"/>
        </w:rPr>
        <w:t>.</w:t>
      </w:r>
      <w:r w:rsidR="006B70C1">
        <w:rPr>
          <w:sz w:val="26"/>
          <w:szCs w:val="26"/>
        </w:rPr>
        <w:t xml:space="preserve">  </w:t>
      </w:r>
    </w:p>
    <w:p w14:paraId="43D8717F" w14:textId="6186FA37" w:rsidR="00E05F59" w:rsidRDefault="00E05F59" w:rsidP="0086319C">
      <w:pPr>
        <w:widowControl/>
        <w:spacing w:line="360" w:lineRule="auto"/>
        <w:ind w:firstLine="1440"/>
        <w:rPr>
          <w:sz w:val="26"/>
          <w:szCs w:val="26"/>
        </w:rPr>
      </w:pPr>
    </w:p>
    <w:p w14:paraId="1239EB19" w14:textId="08DF524D" w:rsidR="00E05F59" w:rsidRDefault="00E05F59" w:rsidP="0086319C">
      <w:pPr>
        <w:widowControl/>
        <w:spacing w:line="360" w:lineRule="auto"/>
        <w:ind w:firstLine="1440"/>
        <w:rPr>
          <w:sz w:val="26"/>
          <w:szCs w:val="26"/>
        </w:rPr>
      </w:pPr>
      <w:r>
        <w:rPr>
          <w:sz w:val="26"/>
          <w:szCs w:val="26"/>
        </w:rPr>
        <w:t>6.</w:t>
      </w:r>
      <w:r>
        <w:rPr>
          <w:sz w:val="26"/>
          <w:szCs w:val="26"/>
        </w:rPr>
        <w:tab/>
        <w:t xml:space="preserve">The </w:t>
      </w:r>
      <w:r w:rsidR="002635F2" w:rsidRPr="00343742">
        <w:rPr>
          <w:sz w:val="26"/>
        </w:rPr>
        <w:t xml:space="preserve">Joint Petition for Approval of Non-Unanimous, Complete Settlement entered into and filed by </w:t>
      </w:r>
      <w:r w:rsidR="002635F2" w:rsidRPr="00DF51A6">
        <w:rPr>
          <w:sz w:val="26"/>
        </w:rPr>
        <w:t>Aqua America, Inc., Aqua Pennsylvania, Inc., Aqua Pennsylvania Wastewater, Inc., Peoples Natural Gas Company LLC</w:t>
      </w:r>
      <w:r w:rsidR="002635F2">
        <w:rPr>
          <w:sz w:val="26"/>
        </w:rPr>
        <w:t>,</w:t>
      </w:r>
      <w:r w:rsidR="002635F2" w:rsidRPr="00DF51A6">
        <w:rPr>
          <w:sz w:val="26"/>
        </w:rPr>
        <w:t xml:space="preserve"> Peoples Gas Company, LLC</w:t>
      </w:r>
      <w:r w:rsidR="002635F2">
        <w:rPr>
          <w:sz w:val="26"/>
        </w:rPr>
        <w:t>,</w:t>
      </w:r>
      <w:r w:rsidR="002635F2" w:rsidRPr="00DF51A6">
        <w:rPr>
          <w:sz w:val="26"/>
        </w:rPr>
        <w:t xml:space="preserve"> </w:t>
      </w:r>
      <w:r w:rsidR="002635F2">
        <w:rPr>
          <w:sz w:val="26"/>
        </w:rPr>
        <w:t>the Office of Consumer Advocate,</w:t>
      </w:r>
      <w:r w:rsidR="002635F2" w:rsidRPr="00343742">
        <w:rPr>
          <w:sz w:val="26"/>
        </w:rPr>
        <w:t xml:space="preserve"> </w:t>
      </w:r>
      <w:r w:rsidR="002635F2">
        <w:rPr>
          <w:sz w:val="26"/>
        </w:rPr>
        <w:t>Coalition for Affordable Utility Service and Energy Efficiency in Pennsylvania</w:t>
      </w:r>
      <w:r w:rsidR="002635F2" w:rsidRPr="00343742">
        <w:rPr>
          <w:sz w:val="26"/>
        </w:rPr>
        <w:t xml:space="preserve">, </w:t>
      </w:r>
      <w:r w:rsidR="002635F2">
        <w:rPr>
          <w:sz w:val="26"/>
        </w:rPr>
        <w:t xml:space="preserve">Direct Energy Business Marketing, LLC and Direct Energy Small Business Marketing, LLC, </w:t>
      </w:r>
      <w:r w:rsidR="002635F2">
        <w:rPr>
          <w:sz w:val="26"/>
          <w:szCs w:val="26"/>
        </w:rPr>
        <w:t xml:space="preserve">Dominion Energy Solutions, Inc. and </w:t>
      </w:r>
      <w:r w:rsidR="002635F2">
        <w:rPr>
          <w:sz w:val="26"/>
          <w:szCs w:val="26"/>
        </w:rPr>
        <w:lastRenderedPageBreak/>
        <w:t>Shipley Choice LLC d/b/a Shipley Energy, Retail Energy Supply Association, Pennsylvania Independent Oil &amp; Gas Association, the Laborers’ District Council of Western Pennsylvania, and Utility Workers Union of America, Local 612</w:t>
      </w:r>
      <w:r w:rsidR="002850A1">
        <w:rPr>
          <w:sz w:val="26"/>
          <w:szCs w:val="26"/>
        </w:rPr>
        <w:t xml:space="preserve"> is modified </w:t>
      </w:r>
      <w:r w:rsidR="0034444E">
        <w:rPr>
          <w:sz w:val="26"/>
          <w:szCs w:val="26"/>
        </w:rPr>
        <w:t xml:space="preserve">as follows:  </w:t>
      </w:r>
    </w:p>
    <w:p w14:paraId="7A650A84" w14:textId="11517326" w:rsidR="0034444E" w:rsidRDefault="0034444E" w:rsidP="0086319C">
      <w:pPr>
        <w:widowControl/>
        <w:spacing w:line="360" w:lineRule="auto"/>
        <w:ind w:firstLine="1440"/>
        <w:rPr>
          <w:sz w:val="26"/>
          <w:szCs w:val="26"/>
        </w:rPr>
      </w:pPr>
    </w:p>
    <w:p w14:paraId="7A4FE08F" w14:textId="6C371B84" w:rsidR="00506989" w:rsidRPr="002C6D99" w:rsidRDefault="00506989" w:rsidP="00506989">
      <w:pPr>
        <w:widowControl/>
        <w:ind w:left="1440" w:right="1440"/>
        <w:rPr>
          <w:sz w:val="26"/>
          <w:szCs w:val="26"/>
        </w:rPr>
      </w:pPr>
      <w:r w:rsidRPr="002C6D99">
        <w:rPr>
          <w:sz w:val="26"/>
          <w:szCs w:val="26"/>
        </w:rPr>
        <w:t>33.</w:t>
      </w:r>
      <w:r w:rsidRPr="002C6D99">
        <w:rPr>
          <w:sz w:val="26"/>
          <w:szCs w:val="26"/>
        </w:rPr>
        <w:tab/>
      </w:r>
      <w:r w:rsidRPr="00826A59">
        <w:rPr>
          <w:sz w:val="26"/>
          <w:szCs w:val="26"/>
        </w:rPr>
        <w:t xml:space="preserve">Complete rehabilitation of the bare steel in the system is estimated to cost $120 million in present dollars.  </w:t>
      </w:r>
      <w:r w:rsidRPr="00CE549B">
        <w:rPr>
          <w:sz w:val="26"/>
          <w:szCs w:val="26"/>
        </w:rPr>
        <w:t>Up to $120 million for the rehabilitation of the bare steel in the system is eligible for full recovery subject to Commission scrutiny and approval in a base rate proceeding.</w:t>
      </w:r>
      <w:r w:rsidRPr="002C6D99">
        <w:rPr>
          <w:sz w:val="26"/>
          <w:szCs w:val="26"/>
        </w:rPr>
        <w:t xml:space="preserve"> </w:t>
      </w:r>
      <w:r w:rsidRPr="00356295">
        <w:rPr>
          <w:sz w:val="26"/>
          <w:szCs w:val="26"/>
        </w:rPr>
        <w:t xml:space="preserve"> </w:t>
      </w:r>
      <w:r w:rsidRPr="00826A59">
        <w:rPr>
          <w:sz w:val="26"/>
          <w:szCs w:val="26"/>
        </w:rPr>
        <w:t>During the repair and replacement of the system, if it becomes apparent that this estimate is no longer s</w:t>
      </w:r>
      <w:r w:rsidRPr="002C6D99">
        <w:rPr>
          <w:sz w:val="26"/>
          <w:szCs w:val="26"/>
        </w:rPr>
        <w:t xml:space="preserve">ufficient, based on the actual extent of the rehabilitation effort, the Peoples Companies and the statutory advocates will meet to discuss.  If an agreement cannot be reached, the Peoples Companies will submit a filing to the Commission for decision for those amounts over the $120 million.  All parties will retain their rights to either challenge or support such a filing. Regardless of the actual capital spent to rehabilitate the systems, Aqua America agrees to provide all Peoples Companies’ customers a rate credit of $13 million.  The rate credit will appear on the Peoples Companies’ customers’ bills </w:t>
      </w:r>
      <w:r w:rsidRPr="00CE549B">
        <w:rPr>
          <w:sz w:val="26"/>
          <w:szCs w:val="26"/>
        </w:rPr>
        <w:t xml:space="preserve">within a prompt and reasonable time period following the closing date of the Proposed Transaction, but in no event later than the end of the year in which the Proposed Transaction is closed.  The Joint Applicants will file a written notification with the </w:t>
      </w:r>
      <w:r w:rsidRPr="00CE549B">
        <w:rPr>
          <w:rFonts w:eastAsia="SimSun"/>
          <w:sz w:val="26"/>
          <w:szCs w:val="26"/>
        </w:rPr>
        <w:t>Commission’s Secretary to inform the Commission when the rate credit begins appearing on customers’ bills.</w:t>
      </w:r>
    </w:p>
    <w:p w14:paraId="7A66529E" w14:textId="052966D2" w:rsidR="00506989" w:rsidRDefault="00506989" w:rsidP="00506989">
      <w:pPr>
        <w:widowControl/>
        <w:ind w:left="1440" w:right="1440"/>
        <w:rPr>
          <w:sz w:val="26"/>
          <w:szCs w:val="26"/>
        </w:rPr>
      </w:pPr>
      <w:r w:rsidRPr="00FD543A">
        <w:rPr>
          <w:sz w:val="26"/>
          <w:szCs w:val="26"/>
        </w:rPr>
        <w:t xml:space="preserve"> </w:t>
      </w:r>
    </w:p>
    <w:p w14:paraId="098957EB" w14:textId="2F5E5B40" w:rsidR="003600FA" w:rsidRPr="00CE549B" w:rsidRDefault="003600FA" w:rsidP="003600FA">
      <w:pPr>
        <w:widowControl/>
        <w:ind w:left="1440" w:right="1440"/>
        <w:rPr>
          <w:rFonts w:eastAsia="SimSun"/>
          <w:sz w:val="26"/>
          <w:szCs w:val="26"/>
        </w:rPr>
      </w:pPr>
      <w:r w:rsidRPr="00826A59">
        <w:rPr>
          <w:sz w:val="26"/>
          <w:szCs w:val="26"/>
        </w:rPr>
        <w:t>41.</w:t>
      </w:r>
      <w:r w:rsidRPr="00826A59">
        <w:rPr>
          <w:sz w:val="26"/>
          <w:szCs w:val="26"/>
        </w:rPr>
        <w:tab/>
        <w:t>Separate and apart from the $13 million rate credit provided in Paragraph 33 above, Aqua America will provide a one-time $10 million rate credit to the Peoples Companies’ natural gas customers, Aqua PA Water customers, and Aqua PA Wastewater customers.</w:t>
      </w:r>
      <w:r w:rsidRPr="00BF40B5">
        <w:rPr>
          <w:sz w:val="26"/>
          <w:szCs w:val="26"/>
        </w:rPr>
        <w:t xml:space="preserve">  The rate credit will appear on customer bills </w:t>
      </w:r>
      <w:r w:rsidRPr="00CE549B">
        <w:rPr>
          <w:sz w:val="26"/>
          <w:szCs w:val="26"/>
        </w:rPr>
        <w:t xml:space="preserve">within a prompt and reasonable time period following the closing date, but in no event later than the end of the year in which the Proposed Transaction is closed.  The Joint Applicants will file a written notification with the </w:t>
      </w:r>
      <w:r w:rsidRPr="00CE549B">
        <w:rPr>
          <w:rFonts w:eastAsia="SimSun"/>
          <w:sz w:val="26"/>
          <w:szCs w:val="26"/>
        </w:rPr>
        <w:t>Commission’s Secretary to inform the Commission when the rate credit begins appearing on customers’ bills.</w:t>
      </w:r>
    </w:p>
    <w:p w14:paraId="427C6791" w14:textId="77777777" w:rsidR="00506989" w:rsidRDefault="00506989" w:rsidP="00506989">
      <w:pPr>
        <w:pStyle w:val="ListParagraph"/>
        <w:widowControl/>
        <w:spacing w:line="360" w:lineRule="auto"/>
        <w:ind w:left="0" w:firstLine="1440"/>
        <w:rPr>
          <w:sz w:val="26"/>
          <w:szCs w:val="26"/>
        </w:rPr>
      </w:pPr>
    </w:p>
    <w:p w14:paraId="082A10D5" w14:textId="77777777" w:rsidR="00BF40B5" w:rsidRPr="00BF40B5" w:rsidRDefault="00BF40B5" w:rsidP="00BF40B5">
      <w:pPr>
        <w:widowControl/>
        <w:ind w:left="1440" w:right="1440"/>
        <w:rPr>
          <w:sz w:val="26"/>
        </w:rPr>
      </w:pPr>
      <w:r w:rsidRPr="00BF40B5">
        <w:rPr>
          <w:color w:val="000000"/>
          <w:sz w:val="26"/>
          <w:szCs w:val="26"/>
        </w:rPr>
        <w:t>69.</w:t>
      </w:r>
      <w:r w:rsidRPr="00BF40B5">
        <w:rPr>
          <w:color w:val="000000"/>
          <w:sz w:val="26"/>
          <w:szCs w:val="26"/>
        </w:rPr>
        <w:tab/>
        <w:t xml:space="preserve">Aqua America commits to continue to meet the Peoples Companies’ Combined Distribution Long Term Infrastructure Improvement Plan (“LTIIP”).  In addition, Aqua America </w:t>
      </w:r>
      <w:r w:rsidRPr="00BF40B5">
        <w:rPr>
          <w:color w:val="000000"/>
          <w:spacing w:val="-1"/>
          <w:sz w:val="26"/>
          <w:szCs w:val="26"/>
        </w:rPr>
        <w:t xml:space="preserve">commits to further accelerate the replacement of higher risk pipe, with a focus on its distribution assets totaling at least $30 million per year and approximately 25 miles per year of distribution pipe.  In order to accomplish this, the Peoples Companies will file a modified LTIIP </w:t>
      </w:r>
      <w:r w:rsidRPr="00CE549B">
        <w:rPr>
          <w:color w:val="000000"/>
          <w:spacing w:val="-1"/>
          <w:sz w:val="26"/>
          <w:szCs w:val="26"/>
        </w:rPr>
        <w:t>within six months</w:t>
      </w:r>
      <w:r w:rsidRPr="00BF40B5">
        <w:rPr>
          <w:color w:val="000000"/>
          <w:spacing w:val="-1"/>
          <w:sz w:val="26"/>
          <w:szCs w:val="26"/>
        </w:rPr>
        <w:t xml:space="preserve"> </w:t>
      </w:r>
      <w:r w:rsidRPr="00D628EB">
        <w:rPr>
          <w:color w:val="000000"/>
          <w:spacing w:val="-1"/>
          <w:sz w:val="26"/>
          <w:szCs w:val="26"/>
        </w:rPr>
        <w:t xml:space="preserve">after closing that will propose this further </w:t>
      </w:r>
      <w:r w:rsidRPr="00BF40B5">
        <w:rPr>
          <w:color w:val="000000"/>
          <w:spacing w:val="-1"/>
          <w:sz w:val="26"/>
          <w:szCs w:val="26"/>
        </w:rPr>
        <w:t>acceleration of the replacement of high-risk pipe.  The Peoples Companies will plan for pipe replacement needs in connection with the Peoples Companies’ modified LTIIP and associated in-house and sub-contractor staffing.  The Peoples Companies will submit a detailed five-year plan explaining staffing needs matched to projected annual projects and work will commence in 2021 after PUC review and approval of the modified LTIIP.  This modified LTIIP filing is in addition to the plant replacement discussed under Section III.A</w:t>
      </w:r>
    </w:p>
    <w:p w14:paraId="71543DEE" w14:textId="328029A9" w:rsidR="00AD77A2" w:rsidRPr="00AD77A2" w:rsidRDefault="000E29F9" w:rsidP="003A591D">
      <w:pPr>
        <w:widowControl/>
        <w:spacing w:before="383" w:line="419" w:lineRule="exact"/>
        <w:ind w:right="72" w:firstLine="1440"/>
        <w:textAlignment w:val="baseline"/>
        <w:rPr>
          <w:sz w:val="26"/>
          <w:szCs w:val="26"/>
        </w:rPr>
      </w:pPr>
      <w:r>
        <w:rPr>
          <w:sz w:val="26"/>
          <w:szCs w:val="26"/>
        </w:rPr>
        <w:t>7</w:t>
      </w:r>
      <w:r w:rsidR="00AD77A2" w:rsidRPr="00AD77A2">
        <w:rPr>
          <w:sz w:val="26"/>
          <w:szCs w:val="26"/>
        </w:rPr>
        <w:t>.</w:t>
      </w:r>
      <w:r w:rsidR="00AD77A2" w:rsidRPr="00AD77A2">
        <w:rPr>
          <w:sz w:val="26"/>
          <w:szCs w:val="26"/>
        </w:rPr>
        <w:tab/>
        <w:t xml:space="preserve">That, if </w:t>
      </w:r>
      <w:r w:rsidR="00DA4B01">
        <w:rPr>
          <w:sz w:val="26"/>
          <w:szCs w:val="26"/>
        </w:rPr>
        <w:t>any</w:t>
      </w:r>
      <w:r w:rsidR="00AD77A2" w:rsidRPr="00AD77A2">
        <w:rPr>
          <w:sz w:val="26"/>
          <w:szCs w:val="26"/>
        </w:rPr>
        <w:t xml:space="preserve"> of the Parties wishes to withdraw from the Settlement, that Party shall </w:t>
      </w:r>
      <w:r w:rsidR="00C67CE3">
        <w:rPr>
          <w:sz w:val="26"/>
          <w:szCs w:val="26"/>
        </w:rPr>
        <w:t>e</w:t>
      </w:r>
      <w:r w:rsidR="00AD77A2" w:rsidRPr="00AD77A2">
        <w:rPr>
          <w:sz w:val="26"/>
          <w:szCs w:val="26"/>
        </w:rPr>
        <w:t>file</w:t>
      </w:r>
      <w:r w:rsidR="00C67CE3">
        <w:rPr>
          <w:sz w:val="26"/>
          <w:szCs w:val="26"/>
        </w:rPr>
        <w:t xml:space="preserve"> or hand deliver to</w:t>
      </w:r>
      <w:r w:rsidR="00AD77A2" w:rsidRPr="00AD77A2">
        <w:rPr>
          <w:sz w:val="26"/>
          <w:szCs w:val="26"/>
        </w:rPr>
        <w:t xml:space="preserve"> the Secretary of the Commission and serve on all Parties to this proceeding an election to withdraw within </w:t>
      </w:r>
      <w:r w:rsidR="00DA4B01">
        <w:rPr>
          <w:sz w:val="26"/>
          <w:szCs w:val="26"/>
        </w:rPr>
        <w:t>five</w:t>
      </w:r>
      <w:r w:rsidR="00AD77A2" w:rsidRPr="00AD77A2">
        <w:rPr>
          <w:sz w:val="26"/>
          <w:szCs w:val="26"/>
        </w:rPr>
        <w:t xml:space="preserve"> (</w:t>
      </w:r>
      <w:r w:rsidR="00DA4B01">
        <w:rPr>
          <w:sz w:val="26"/>
          <w:szCs w:val="26"/>
        </w:rPr>
        <w:t>5</w:t>
      </w:r>
      <w:r w:rsidR="00AD77A2" w:rsidRPr="00AD77A2">
        <w:rPr>
          <w:sz w:val="26"/>
          <w:szCs w:val="26"/>
        </w:rPr>
        <w:t xml:space="preserve">) </w:t>
      </w:r>
      <w:r w:rsidR="00DA4B01">
        <w:rPr>
          <w:sz w:val="26"/>
          <w:szCs w:val="26"/>
        </w:rPr>
        <w:t xml:space="preserve">business </w:t>
      </w:r>
      <w:r w:rsidR="00AD77A2" w:rsidRPr="00AD77A2">
        <w:rPr>
          <w:sz w:val="26"/>
          <w:szCs w:val="26"/>
        </w:rPr>
        <w:t xml:space="preserve">days from the date that this Opinion and Order is entered.  If such an election to withdraw is filed, the Settlement shall be disapproved, without further action by this Commission, and this matter shall be returned to the Commission’s </w:t>
      </w:r>
      <w:r w:rsidR="00DA4B01">
        <w:rPr>
          <w:sz w:val="26"/>
          <w:szCs w:val="26"/>
        </w:rPr>
        <w:t>Office of Administrative Law Judge</w:t>
      </w:r>
      <w:r w:rsidR="00AD77A2" w:rsidRPr="00AD77A2">
        <w:rPr>
          <w:sz w:val="26"/>
          <w:szCs w:val="26"/>
        </w:rPr>
        <w:t xml:space="preserve"> for further action as deemed appropriate. </w:t>
      </w:r>
      <w:r w:rsidR="003A591D">
        <w:rPr>
          <w:sz w:val="26"/>
          <w:szCs w:val="26"/>
        </w:rPr>
        <w:t xml:space="preserve"> </w:t>
      </w:r>
    </w:p>
    <w:p w14:paraId="47D8D011" w14:textId="77777777" w:rsidR="00AD77A2" w:rsidRPr="00AD77A2" w:rsidRDefault="00AD77A2" w:rsidP="00B24187">
      <w:pPr>
        <w:widowControl/>
        <w:spacing w:line="360" w:lineRule="auto"/>
        <w:rPr>
          <w:sz w:val="26"/>
          <w:szCs w:val="26"/>
        </w:rPr>
      </w:pPr>
    </w:p>
    <w:p w14:paraId="5FDB8E14" w14:textId="4A95E06C" w:rsidR="00DF51A6" w:rsidRPr="00CE4554" w:rsidRDefault="00846CA7" w:rsidP="00CE4554">
      <w:pPr>
        <w:widowControl/>
        <w:spacing w:line="360" w:lineRule="auto"/>
        <w:ind w:firstLine="1440"/>
        <w:rPr>
          <w:sz w:val="26"/>
          <w:szCs w:val="26"/>
        </w:rPr>
      </w:pPr>
      <w:r>
        <w:rPr>
          <w:sz w:val="26"/>
          <w:szCs w:val="26"/>
        </w:rPr>
        <w:t>8</w:t>
      </w:r>
      <w:r w:rsidR="00AD77A2" w:rsidRPr="00AD77A2">
        <w:rPr>
          <w:sz w:val="26"/>
          <w:szCs w:val="26"/>
        </w:rPr>
        <w:t>.</w:t>
      </w:r>
      <w:r w:rsidR="00AD77A2" w:rsidRPr="00AD77A2">
        <w:rPr>
          <w:sz w:val="26"/>
          <w:szCs w:val="26"/>
        </w:rPr>
        <w:tab/>
        <w:t xml:space="preserve">That, if no elections to withdraw are filed pursuant to Ordering Paragraph No. </w:t>
      </w:r>
      <w:r w:rsidR="00A364D8">
        <w:rPr>
          <w:sz w:val="26"/>
          <w:szCs w:val="26"/>
        </w:rPr>
        <w:t>7</w:t>
      </w:r>
      <w:r w:rsidR="00AD77A2" w:rsidRPr="00AD77A2">
        <w:rPr>
          <w:sz w:val="26"/>
          <w:szCs w:val="26"/>
        </w:rPr>
        <w:t xml:space="preserve">, this Opinion and Order shall </w:t>
      </w:r>
      <w:r w:rsidR="005E2F6A">
        <w:rPr>
          <w:sz w:val="26"/>
          <w:szCs w:val="26"/>
        </w:rPr>
        <w:t>remain</w:t>
      </w:r>
      <w:r w:rsidR="00AD77A2" w:rsidRPr="00AD77A2">
        <w:rPr>
          <w:sz w:val="26"/>
          <w:szCs w:val="26"/>
        </w:rPr>
        <w:t xml:space="preserve"> final without further Commission action, and it is further ordered:  </w:t>
      </w:r>
    </w:p>
    <w:p w14:paraId="04E670FB" w14:textId="77777777" w:rsidR="00B939D5" w:rsidRPr="00E23209" w:rsidRDefault="00B939D5" w:rsidP="00B24187">
      <w:pPr>
        <w:widowControl/>
        <w:spacing w:line="360" w:lineRule="auto"/>
        <w:rPr>
          <w:sz w:val="26"/>
        </w:rPr>
      </w:pPr>
    </w:p>
    <w:p w14:paraId="17890D40" w14:textId="5827B79C" w:rsidR="00DF51A6" w:rsidRDefault="00B939D5" w:rsidP="00B24187">
      <w:pPr>
        <w:widowControl/>
        <w:spacing w:line="360" w:lineRule="auto"/>
        <w:rPr>
          <w:color w:val="000000"/>
          <w:sz w:val="26"/>
          <w:szCs w:val="26"/>
        </w:rPr>
      </w:pPr>
      <w:r>
        <w:tab/>
      </w:r>
      <w:r>
        <w:tab/>
      </w:r>
      <w:r w:rsidR="00DF51A6" w:rsidRPr="00B939D5">
        <w:rPr>
          <w:color w:val="000000"/>
          <w:sz w:val="26"/>
          <w:szCs w:val="26"/>
        </w:rPr>
        <w:t>That</w:t>
      </w:r>
      <w:r w:rsidR="00E13201">
        <w:rPr>
          <w:color w:val="000000"/>
          <w:sz w:val="26"/>
          <w:szCs w:val="26"/>
        </w:rPr>
        <w:t xml:space="preserve"> a Certificate of Public Convenience shall be issued </w:t>
      </w:r>
      <w:r w:rsidR="00D74BC2">
        <w:rPr>
          <w:color w:val="000000"/>
          <w:sz w:val="26"/>
          <w:szCs w:val="26"/>
        </w:rPr>
        <w:t>pursuant to Section 1102(a)(3) of the Public Utility Code, 66 Pa. C.S. § 1102(a)(3)</w:t>
      </w:r>
      <w:r w:rsidR="004773D3">
        <w:rPr>
          <w:color w:val="000000"/>
          <w:sz w:val="26"/>
          <w:szCs w:val="26"/>
        </w:rPr>
        <w:t xml:space="preserve">, authorizing the </w:t>
      </w:r>
      <w:r w:rsidR="00BC3712">
        <w:rPr>
          <w:color w:val="000000"/>
          <w:sz w:val="26"/>
          <w:szCs w:val="26"/>
        </w:rPr>
        <w:t xml:space="preserve">transfer of control of </w:t>
      </w:r>
      <w:r w:rsidR="009D1456">
        <w:rPr>
          <w:color w:val="000000"/>
          <w:sz w:val="26"/>
          <w:szCs w:val="26"/>
        </w:rPr>
        <w:t>Peoples Natural Gas Company</w:t>
      </w:r>
      <w:r w:rsidR="00FF7ECC">
        <w:rPr>
          <w:color w:val="000000"/>
          <w:sz w:val="26"/>
          <w:szCs w:val="26"/>
        </w:rPr>
        <w:t xml:space="preserve"> LLC, </w:t>
      </w:r>
      <w:r w:rsidR="007C3BA6">
        <w:rPr>
          <w:color w:val="000000"/>
          <w:sz w:val="26"/>
          <w:szCs w:val="26"/>
        </w:rPr>
        <w:t>Peoples Natural Gas Company</w:t>
      </w:r>
      <w:r w:rsidR="008F68C2">
        <w:rPr>
          <w:color w:val="000000"/>
          <w:sz w:val="26"/>
          <w:szCs w:val="26"/>
        </w:rPr>
        <w:t xml:space="preserve"> LLC</w:t>
      </w:r>
      <w:r w:rsidR="007C3BA6">
        <w:rPr>
          <w:color w:val="000000"/>
          <w:sz w:val="26"/>
          <w:szCs w:val="26"/>
        </w:rPr>
        <w:t xml:space="preserve"> </w:t>
      </w:r>
      <w:r w:rsidR="005F768E">
        <w:rPr>
          <w:color w:val="000000"/>
          <w:sz w:val="26"/>
          <w:szCs w:val="26"/>
        </w:rPr>
        <w:t>–</w:t>
      </w:r>
      <w:r w:rsidR="008F68C2">
        <w:rPr>
          <w:color w:val="000000"/>
          <w:sz w:val="26"/>
          <w:szCs w:val="26"/>
        </w:rPr>
        <w:t xml:space="preserve"> </w:t>
      </w:r>
      <w:r w:rsidR="005F768E">
        <w:rPr>
          <w:color w:val="000000"/>
          <w:sz w:val="26"/>
          <w:szCs w:val="26"/>
        </w:rPr>
        <w:lastRenderedPageBreak/>
        <w:t xml:space="preserve">Equitable Division, and </w:t>
      </w:r>
      <w:r w:rsidR="00621DD4">
        <w:rPr>
          <w:color w:val="000000"/>
          <w:sz w:val="26"/>
          <w:szCs w:val="26"/>
        </w:rPr>
        <w:t>Peoples Gas Company LLC</w:t>
      </w:r>
      <w:r w:rsidR="009D7B23">
        <w:rPr>
          <w:color w:val="000000"/>
          <w:sz w:val="26"/>
          <w:szCs w:val="26"/>
        </w:rPr>
        <w:t xml:space="preserve"> to Aqua America, Inc.</w:t>
      </w:r>
      <w:r w:rsidR="00CF1311">
        <w:rPr>
          <w:color w:val="000000"/>
          <w:sz w:val="26"/>
          <w:szCs w:val="26"/>
        </w:rPr>
        <w:t xml:space="preserve"> by </w:t>
      </w:r>
      <w:r w:rsidR="007A03ED">
        <w:rPr>
          <w:color w:val="000000"/>
          <w:sz w:val="26"/>
          <w:szCs w:val="26"/>
        </w:rPr>
        <w:t xml:space="preserve">way of the purchase of </w:t>
      </w:r>
      <w:r w:rsidR="00E95A26">
        <w:rPr>
          <w:color w:val="000000"/>
          <w:sz w:val="26"/>
          <w:szCs w:val="26"/>
        </w:rPr>
        <w:t xml:space="preserve">all of </w:t>
      </w:r>
      <w:r w:rsidR="007E0A27">
        <w:rPr>
          <w:color w:val="000000"/>
          <w:sz w:val="26"/>
          <w:szCs w:val="26"/>
        </w:rPr>
        <w:t xml:space="preserve">LDC </w:t>
      </w:r>
      <w:r w:rsidR="00AB4C40">
        <w:rPr>
          <w:color w:val="000000"/>
          <w:sz w:val="26"/>
          <w:szCs w:val="26"/>
        </w:rPr>
        <w:t>Funding</w:t>
      </w:r>
      <w:r w:rsidR="0090096F">
        <w:rPr>
          <w:color w:val="000000"/>
          <w:sz w:val="26"/>
          <w:szCs w:val="26"/>
        </w:rPr>
        <w:t xml:space="preserve"> LLC’s </w:t>
      </w:r>
      <w:r w:rsidR="00585C62">
        <w:rPr>
          <w:color w:val="000000"/>
          <w:sz w:val="26"/>
          <w:szCs w:val="26"/>
        </w:rPr>
        <w:t xml:space="preserve">Membership </w:t>
      </w:r>
      <w:r w:rsidR="001B1052">
        <w:rPr>
          <w:color w:val="000000"/>
          <w:sz w:val="26"/>
          <w:szCs w:val="26"/>
        </w:rPr>
        <w:t xml:space="preserve">Interests by </w:t>
      </w:r>
      <w:r w:rsidR="00C324B4">
        <w:rPr>
          <w:color w:val="000000"/>
          <w:sz w:val="26"/>
          <w:szCs w:val="26"/>
        </w:rPr>
        <w:t>Aqua America, Inc.</w:t>
      </w:r>
      <w:r w:rsidR="00E13201">
        <w:rPr>
          <w:color w:val="000000"/>
          <w:sz w:val="26"/>
          <w:szCs w:val="26"/>
        </w:rPr>
        <w:t xml:space="preserve"> </w:t>
      </w:r>
      <w:r w:rsidR="00DF51A6" w:rsidRPr="00B939D5">
        <w:rPr>
          <w:color w:val="000000"/>
          <w:sz w:val="26"/>
          <w:szCs w:val="26"/>
        </w:rPr>
        <w:t xml:space="preserve"> </w:t>
      </w:r>
    </w:p>
    <w:p w14:paraId="1A5818F6" w14:textId="40C24DCA" w:rsidR="00CA6F88" w:rsidRDefault="00CA6F88" w:rsidP="00B24187">
      <w:pPr>
        <w:widowControl/>
        <w:spacing w:line="360" w:lineRule="auto"/>
        <w:rPr>
          <w:color w:val="000000"/>
          <w:sz w:val="26"/>
          <w:szCs w:val="26"/>
        </w:rPr>
      </w:pPr>
    </w:p>
    <w:p w14:paraId="792F0F9A" w14:textId="72DAE8B4" w:rsidR="00CA6F88" w:rsidRDefault="00FA5778" w:rsidP="00B24187">
      <w:pPr>
        <w:widowControl/>
        <w:spacing w:line="360" w:lineRule="auto"/>
        <w:rPr>
          <w:sz w:val="26"/>
          <w:szCs w:val="26"/>
        </w:rPr>
      </w:pPr>
      <w:r>
        <w:rPr>
          <w:color w:val="000000"/>
          <w:sz w:val="26"/>
          <w:szCs w:val="26"/>
        </w:rPr>
        <w:tab/>
      </w:r>
      <w:r>
        <w:rPr>
          <w:color w:val="000000"/>
          <w:sz w:val="26"/>
          <w:szCs w:val="26"/>
        </w:rPr>
        <w:tab/>
        <w:t>9.</w:t>
      </w:r>
      <w:r>
        <w:rPr>
          <w:color w:val="000000"/>
          <w:sz w:val="26"/>
          <w:szCs w:val="26"/>
        </w:rPr>
        <w:tab/>
      </w:r>
      <w:r w:rsidR="00A364D8" w:rsidRPr="00AD77A2">
        <w:rPr>
          <w:sz w:val="26"/>
          <w:szCs w:val="26"/>
        </w:rPr>
        <w:t xml:space="preserve">That, if no elections to withdraw are filed pursuant to Ordering Paragraph No. </w:t>
      </w:r>
      <w:r w:rsidR="00A364D8">
        <w:rPr>
          <w:sz w:val="26"/>
          <w:szCs w:val="26"/>
        </w:rPr>
        <w:t xml:space="preserve">7, then the following reporting requirements and </w:t>
      </w:r>
      <w:r w:rsidR="0030423F">
        <w:rPr>
          <w:sz w:val="26"/>
          <w:szCs w:val="26"/>
        </w:rPr>
        <w:t>regulatory obligations apply</w:t>
      </w:r>
      <w:r w:rsidR="007C18C2">
        <w:rPr>
          <w:sz w:val="26"/>
          <w:szCs w:val="26"/>
        </w:rPr>
        <w:t>:</w:t>
      </w:r>
    </w:p>
    <w:p w14:paraId="2C97D810" w14:textId="5848A764" w:rsidR="007C18C2" w:rsidRDefault="007C18C2" w:rsidP="00B24187">
      <w:pPr>
        <w:widowControl/>
        <w:spacing w:line="360" w:lineRule="auto"/>
        <w:rPr>
          <w:sz w:val="26"/>
          <w:szCs w:val="26"/>
        </w:rPr>
      </w:pPr>
    </w:p>
    <w:p w14:paraId="764A8F67" w14:textId="3F93E632" w:rsidR="007C18C2" w:rsidRDefault="007C18C2" w:rsidP="00E7677E">
      <w:pPr>
        <w:widowControl/>
        <w:ind w:left="1440" w:right="1440"/>
        <w:rPr>
          <w:color w:val="000000"/>
          <w:sz w:val="26"/>
          <w:szCs w:val="26"/>
        </w:rPr>
      </w:pPr>
      <w:r>
        <w:rPr>
          <w:sz w:val="26"/>
          <w:szCs w:val="26"/>
        </w:rPr>
        <w:t>a.</w:t>
      </w:r>
      <w:r>
        <w:rPr>
          <w:sz w:val="26"/>
          <w:szCs w:val="26"/>
        </w:rPr>
        <w:tab/>
      </w:r>
      <w:r w:rsidR="00C65373">
        <w:rPr>
          <w:sz w:val="26"/>
          <w:szCs w:val="26"/>
        </w:rPr>
        <w:t>That</w:t>
      </w:r>
      <w:r w:rsidR="00836768">
        <w:rPr>
          <w:sz w:val="26"/>
          <w:szCs w:val="26"/>
        </w:rPr>
        <w:t xml:space="preserve"> </w:t>
      </w:r>
      <w:r w:rsidR="00836768" w:rsidRPr="00DF51A6">
        <w:rPr>
          <w:sz w:val="26"/>
        </w:rPr>
        <w:t>Aqua Pennsylvania, Inc., Aqua Pennsylvania Wastewater, Inc., Peoples Natural Gas Company LLC</w:t>
      </w:r>
      <w:r w:rsidR="00836768">
        <w:rPr>
          <w:sz w:val="26"/>
        </w:rPr>
        <w:t>,</w:t>
      </w:r>
      <w:r w:rsidR="00836768" w:rsidRPr="00DF51A6">
        <w:rPr>
          <w:sz w:val="26"/>
        </w:rPr>
        <w:t xml:space="preserve"> </w:t>
      </w:r>
      <w:r w:rsidR="00105BFC">
        <w:rPr>
          <w:sz w:val="26"/>
        </w:rPr>
        <w:t xml:space="preserve">and </w:t>
      </w:r>
      <w:r w:rsidR="00836768" w:rsidRPr="00DF51A6">
        <w:rPr>
          <w:sz w:val="26"/>
        </w:rPr>
        <w:t>Peoples Gas Company, LLC</w:t>
      </w:r>
      <w:r w:rsidR="00C65CE3">
        <w:rPr>
          <w:sz w:val="26"/>
        </w:rPr>
        <w:t xml:space="preserve">, as applicable, shall file with </w:t>
      </w:r>
      <w:r w:rsidR="004B7635">
        <w:rPr>
          <w:sz w:val="26"/>
        </w:rPr>
        <w:t xml:space="preserve">the Secretary of the Commission, with a copy served on </w:t>
      </w:r>
      <w:r w:rsidR="00485CEB">
        <w:rPr>
          <w:sz w:val="26"/>
        </w:rPr>
        <w:t xml:space="preserve">the Commission’s Bureau of Technical Utility Services, </w:t>
      </w:r>
      <w:r w:rsidR="002460C4">
        <w:rPr>
          <w:sz w:val="26"/>
        </w:rPr>
        <w:t xml:space="preserve">an annual report on the status of compliance </w:t>
      </w:r>
      <w:r w:rsidR="00FD5428">
        <w:rPr>
          <w:sz w:val="26"/>
        </w:rPr>
        <w:t>with all</w:t>
      </w:r>
      <w:r w:rsidR="003103D5">
        <w:rPr>
          <w:sz w:val="26"/>
        </w:rPr>
        <w:t xml:space="preserve"> Settlement terms by January 31</w:t>
      </w:r>
      <w:r w:rsidR="00761B2A">
        <w:rPr>
          <w:sz w:val="26"/>
        </w:rPr>
        <w:t xml:space="preserve"> of each year</w:t>
      </w:r>
      <w:r w:rsidR="00CA260D">
        <w:rPr>
          <w:sz w:val="26"/>
        </w:rPr>
        <w:t>,</w:t>
      </w:r>
      <w:r w:rsidR="00761B2A">
        <w:rPr>
          <w:sz w:val="26"/>
        </w:rPr>
        <w:t xml:space="preserve"> beginning with the first</w:t>
      </w:r>
      <w:r w:rsidR="00CA260D">
        <w:rPr>
          <w:sz w:val="26"/>
        </w:rPr>
        <w:t xml:space="preserve"> annual report </w:t>
      </w:r>
      <w:r w:rsidR="00235A90">
        <w:rPr>
          <w:sz w:val="26"/>
        </w:rPr>
        <w:t xml:space="preserve">due on January </w:t>
      </w:r>
      <w:r w:rsidR="00811E48">
        <w:rPr>
          <w:sz w:val="26"/>
        </w:rPr>
        <w:t xml:space="preserve">31, 2021, until such time as all Settlement </w:t>
      </w:r>
      <w:r w:rsidR="00E06FBA">
        <w:rPr>
          <w:sz w:val="26"/>
        </w:rPr>
        <w:t>terms are satisfied or the Commission</w:t>
      </w:r>
      <w:r w:rsidR="00BF1C4D">
        <w:rPr>
          <w:sz w:val="26"/>
        </w:rPr>
        <w:t xml:space="preserve"> determines the reports may </w:t>
      </w:r>
      <w:r w:rsidR="00A92251">
        <w:rPr>
          <w:sz w:val="26"/>
        </w:rPr>
        <w:t>cease.</w:t>
      </w:r>
      <w:r w:rsidR="00E06FBA">
        <w:rPr>
          <w:sz w:val="26"/>
        </w:rPr>
        <w:t xml:space="preserve"> </w:t>
      </w:r>
      <w:r w:rsidR="00761B2A">
        <w:rPr>
          <w:sz w:val="26"/>
        </w:rPr>
        <w:t xml:space="preserve"> </w:t>
      </w:r>
    </w:p>
    <w:p w14:paraId="268A8A87" w14:textId="65039595" w:rsidR="00D66EA5" w:rsidRDefault="00D66EA5" w:rsidP="00E7677E">
      <w:pPr>
        <w:keepNext/>
        <w:widowControl/>
        <w:tabs>
          <w:tab w:val="left" w:pos="720"/>
          <w:tab w:val="left" w:pos="1440"/>
          <w:tab w:val="left" w:pos="2160"/>
        </w:tabs>
        <w:ind w:left="1440" w:right="1440"/>
        <w:textAlignment w:val="baseline"/>
        <w:rPr>
          <w:color w:val="000000"/>
          <w:sz w:val="26"/>
          <w:szCs w:val="26"/>
        </w:rPr>
      </w:pPr>
    </w:p>
    <w:p w14:paraId="0FCF198B" w14:textId="27F2EFE6" w:rsidR="003C34D6" w:rsidRDefault="0029250C" w:rsidP="00E7677E">
      <w:pPr>
        <w:keepNext/>
        <w:widowControl/>
        <w:tabs>
          <w:tab w:val="left" w:pos="720"/>
          <w:tab w:val="left" w:pos="1440"/>
          <w:tab w:val="left" w:pos="2160"/>
        </w:tabs>
        <w:ind w:left="1440" w:right="1440"/>
        <w:textAlignment w:val="baseline"/>
        <w:rPr>
          <w:sz w:val="26"/>
        </w:rPr>
      </w:pPr>
      <w:r>
        <w:rPr>
          <w:color w:val="000000"/>
          <w:sz w:val="26"/>
          <w:szCs w:val="26"/>
        </w:rPr>
        <w:t>b.</w:t>
      </w:r>
      <w:r>
        <w:rPr>
          <w:color w:val="000000"/>
          <w:sz w:val="26"/>
          <w:szCs w:val="26"/>
        </w:rPr>
        <w:tab/>
        <w:t xml:space="preserve">That pursuant to the </w:t>
      </w:r>
      <w:r w:rsidR="00EF5682">
        <w:rPr>
          <w:color w:val="000000"/>
          <w:sz w:val="26"/>
          <w:szCs w:val="26"/>
        </w:rPr>
        <w:t xml:space="preserve">time frames set forth in </w:t>
      </w:r>
      <w:r w:rsidR="00826E88">
        <w:rPr>
          <w:color w:val="000000"/>
          <w:sz w:val="26"/>
          <w:szCs w:val="26"/>
        </w:rPr>
        <w:t xml:space="preserve">modified Settlement Paragraph Numbers </w:t>
      </w:r>
      <w:r w:rsidR="00F07803">
        <w:rPr>
          <w:color w:val="000000"/>
          <w:sz w:val="26"/>
          <w:szCs w:val="26"/>
        </w:rPr>
        <w:t>33 and 41</w:t>
      </w:r>
      <w:r w:rsidR="00946916">
        <w:rPr>
          <w:color w:val="000000"/>
          <w:sz w:val="26"/>
          <w:szCs w:val="26"/>
        </w:rPr>
        <w:t xml:space="preserve">, </w:t>
      </w:r>
      <w:r w:rsidR="00946916" w:rsidRPr="00DF51A6">
        <w:rPr>
          <w:sz w:val="26"/>
        </w:rPr>
        <w:t>Aqua Pennsylvania, Inc., Aqua Pennsylvania Wastewater, Inc., Peoples Natural Gas Company LLC</w:t>
      </w:r>
      <w:r w:rsidR="00946916">
        <w:rPr>
          <w:sz w:val="26"/>
        </w:rPr>
        <w:t>,</w:t>
      </w:r>
      <w:r w:rsidR="00946916" w:rsidRPr="00DF51A6">
        <w:rPr>
          <w:sz w:val="26"/>
        </w:rPr>
        <w:t xml:space="preserve"> </w:t>
      </w:r>
      <w:r w:rsidR="00946916">
        <w:rPr>
          <w:sz w:val="26"/>
        </w:rPr>
        <w:t xml:space="preserve">and </w:t>
      </w:r>
      <w:r w:rsidR="00946916" w:rsidRPr="00DF51A6">
        <w:rPr>
          <w:sz w:val="26"/>
        </w:rPr>
        <w:t>Peoples Gas Company, LLC</w:t>
      </w:r>
      <w:r w:rsidR="00946916">
        <w:rPr>
          <w:sz w:val="26"/>
        </w:rPr>
        <w:t xml:space="preserve"> shall</w:t>
      </w:r>
      <w:r w:rsidR="00464CD5">
        <w:rPr>
          <w:sz w:val="26"/>
        </w:rPr>
        <w:t xml:space="preserve">, within sixty </w:t>
      </w:r>
      <w:r w:rsidR="00D93DE4">
        <w:rPr>
          <w:sz w:val="26"/>
        </w:rPr>
        <w:t xml:space="preserve">(60) </w:t>
      </w:r>
      <w:r w:rsidR="00464CD5">
        <w:rPr>
          <w:sz w:val="26"/>
        </w:rPr>
        <w:t>days</w:t>
      </w:r>
      <w:r w:rsidR="00946916">
        <w:rPr>
          <w:sz w:val="26"/>
        </w:rPr>
        <w:t xml:space="preserve"> </w:t>
      </w:r>
      <w:r w:rsidR="00E66555">
        <w:rPr>
          <w:sz w:val="26"/>
        </w:rPr>
        <w:t xml:space="preserve">prior to </w:t>
      </w:r>
      <w:r w:rsidR="00783A54">
        <w:rPr>
          <w:sz w:val="26"/>
        </w:rPr>
        <w:t xml:space="preserve">the rate credits </w:t>
      </w:r>
      <w:r w:rsidR="00ED4170">
        <w:rPr>
          <w:sz w:val="26"/>
        </w:rPr>
        <w:t xml:space="preserve">appearing on customers’ bills, </w:t>
      </w:r>
      <w:r w:rsidR="00946916">
        <w:rPr>
          <w:sz w:val="26"/>
        </w:rPr>
        <w:t>file</w:t>
      </w:r>
      <w:r w:rsidR="00C22FE6">
        <w:rPr>
          <w:sz w:val="26"/>
        </w:rPr>
        <w:t xml:space="preserve"> with the </w:t>
      </w:r>
      <w:r w:rsidR="002F1D79">
        <w:rPr>
          <w:sz w:val="26"/>
        </w:rPr>
        <w:t>Secretary of the Commission, with a copy served on the Commission’s Bureau of Technical Utility Services</w:t>
      </w:r>
      <w:r w:rsidR="001B70FA">
        <w:rPr>
          <w:sz w:val="26"/>
        </w:rPr>
        <w:t xml:space="preserve">, a document </w:t>
      </w:r>
      <w:r w:rsidR="000C3425">
        <w:rPr>
          <w:sz w:val="26"/>
        </w:rPr>
        <w:t>detailing how the rate credits will be calculated</w:t>
      </w:r>
      <w:r w:rsidR="009722B2">
        <w:rPr>
          <w:sz w:val="26"/>
        </w:rPr>
        <w:t xml:space="preserve"> and applied to customer</w:t>
      </w:r>
      <w:r w:rsidR="00C53A1C">
        <w:rPr>
          <w:sz w:val="26"/>
        </w:rPr>
        <w:t>s’ bills</w:t>
      </w:r>
      <w:r w:rsidR="00ED4170">
        <w:rPr>
          <w:sz w:val="26"/>
        </w:rPr>
        <w:t>.</w:t>
      </w:r>
    </w:p>
    <w:p w14:paraId="69CF87B8" w14:textId="77777777" w:rsidR="003C34D6" w:rsidRDefault="003C34D6" w:rsidP="00E7677E">
      <w:pPr>
        <w:keepNext/>
        <w:widowControl/>
        <w:tabs>
          <w:tab w:val="left" w:pos="720"/>
          <w:tab w:val="left" w:pos="1440"/>
          <w:tab w:val="left" w:pos="2160"/>
        </w:tabs>
        <w:ind w:left="1440" w:right="1440"/>
        <w:textAlignment w:val="baseline"/>
        <w:rPr>
          <w:sz w:val="26"/>
        </w:rPr>
      </w:pPr>
    </w:p>
    <w:p w14:paraId="558E5E54" w14:textId="2DEA0BF8" w:rsidR="00A206A4" w:rsidRDefault="003C34D6" w:rsidP="00E7677E">
      <w:pPr>
        <w:keepNext/>
        <w:widowControl/>
        <w:tabs>
          <w:tab w:val="left" w:pos="720"/>
          <w:tab w:val="left" w:pos="1440"/>
          <w:tab w:val="left" w:pos="2160"/>
        </w:tabs>
        <w:ind w:left="1440" w:right="1440"/>
        <w:textAlignment w:val="baseline"/>
        <w:rPr>
          <w:color w:val="000000"/>
          <w:sz w:val="26"/>
          <w:szCs w:val="26"/>
        </w:rPr>
      </w:pPr>
      <w:r>
        <w:rPr>
          <w:sz w:val="26"/>
        </w:rPr>
        <w:t>c.</w:t>
      </w:r>
      <w:r>
        <w:rPr>
          <w:sz w:val="26"/>
        </w:rPr>
        <w:tab/>
        <w:t xml:space="preserve">That within sixty (60) days </w:t>
      </w:r>
      <w:r w:rsidR="002D7E39">
        <w:rPr>
          <w:sz w:val="26"/>
        </w:rPr>
        <w:t xml:space="preserve">of the closing of the transaction approved </w:t>
      </w:r>
      <w:r w:rsidR="004E5ED3">
        <w:rPr>
          <w:sz w:val="26"/>
        </w:rPr>
        <w:t xml:space="preserve">in </w:t>
      </w:r>
      <w:r w:rsidR="0078758D">
        <w:rPr>
          <w:sz w:val="26"/>
        </w:rPr>
        <w:t>Ordering Paragraph</w:t>
      </w:r>
      <w:r w:rsidR="00C4746C">
        <w:rPr>
          <w:sz w:val="26"/>
        </w:rPr>
        <w:t xml:space="preserve"> No. 4</w:t>
      </w:r>
      <w:r w:rsidR="00577DAA">
        <w:rPr>
          <w:sz w:val="26"/>
        </w:rPr>
        <w:t xml:space="preserve">, pursuant to </w:t>
      </w:r>
      <w:r w:rsidR="00463545">
        <w:rPr>
          <w:sz w:val="26"/>
        </w:rPr>
        <w:t xml:space="preserve">Settlement Paragraph Number </w:t>
      </w:r>
      <w:r w:rsidR="00D05709">
        <w:rPr>
          <w:sz w:val="26"/>
        </w:rPr>
        <w:t xml:space="preserve">44, </w:t>
      </w:r>
      <w:r w:rsidR="00D05709" w:rsidRPr="00DF51A6">
        <w:rPr>
          <w:sz w:val="26"/>
        </w:rPr>
        <w:t>Aqua Pennsylvania, Inc., Aqua Pennsylvania Wastewater, Inc., Peoples Natural Gas</w:t>
      </w:r>
      <w:r w:rsidR="00BC7784">
        <w:rPr>
          <w:sz w:val="26"/>
        </w:rPr>
        <w:t xml:space="preserve"> </w:t>
      </w:r>
      <w:r w:rsidR="00366A58">
        <w:rPr>
          <w:sz w:val="26"/>
        </w:rPr>
        <w:t>Co</w:t>
      </w:r>
      <w:r w:rsidR="00D05709" w:rsidRPr="00DF51A6">
        <w:rPr>
          <w:sz w:val="26"/>
        </w:rPr>
        <w:t>mpany LLC</w:t>
      </w:r>
      <w:r w:rsidR="00D05709">
        <w:rPr>
          <w:sz w:val="26"/>
        </w:rPr>
        <w:t>,</w:t>
      </w:r>
      <w:r w:rsidR="00D05709" w:rsidRPr="00DF51A6">
        <w:rPr>
          <w:sz w:val="26"/>
        </w:rPr>
        <w:t xml:space="preserve"> </w:t>
      </w:r>
      <w:r w:rsidR="00D05709">
        <w:rPr>
          <w:sz w:val="26"/>
        </w:rPr>
        <w:t xml:space="preserve">and </w:t>
      </w:r>
      <w:r w:rsidR="00D05709" w:rsidRPr="00DF51A6">
        <w:rPr>
          <w:sz w:val="26"/>
        </w:rPr>
        <w:t>Peoples Gas Company, LLC</w:t>
      </w:r>
      <w:r w:rsidR="00D05709">
        <w:rPr>
          <w:sz w:val="26"/>
        </w:rPr>
        <w:t xml:space="preserve"> shall</w:t>
      </w:r>
      <w:r w:rsidR="00FD526B">
        <w:rPr>
          <w:sz w:val="26"/>
        </w:rPr>
        <w:t xml:space="preserve"> file </w:t>
      </w:r>
      <w:r w:rsidR="00FF1A68">
        <w:rPr>
          <w:sz w:val="26"/>
        </w:rPr>
        <w:t>with the Commission</w:t>
      </w:r>
      <w:r w:rsidR="00F0675A">
        <w:rPr>
          <w:sz w:val="26"/>
        </w:rPr>
        <w:t xml:space="preserve"> </w:t>
      </w:r>
      <w:r w:rsidR="00FD526B">
        <w:rPr>
          <w:sz w:val="26"/>
        </w:rPr>
        <w:t xml:space="preserve">all necessary </w:t>
      </w:r>
      <w:r w:rsidR="001E7425">
        <w:rPr>
          <w:sz w:val="26"/>
        </w:rPr>
        <w:t xml:space="preserve">new or amended </w:t>
      </w:r>
      <w:r w:rsidR="00B27897">
        <w:rPr>
          <w:sz w:val="26"/>
        </w:rPr>
        <w:lastRenderedPageBreak/>
        <w:t xml:space="preserve">agreements with </w:t>
      </w:r>
      <w:r w:rsidR="006D54E2">
        <w:rPr>
          <w:sz w:val="26"/>
        </w:rPr>
        <w:t>affiliated interests</w:t>
      </w:r>
      <w:r w:rsidR="001578BE">
        <w:rPr>
          <w:sz w:val="26"/>
        </w:rPr>
        <w:t xml:space="preserve"> consistent with Chapter 21 of the Public Utility Code.</w:t>
      </w:r>
    </w:p>
    <w:p w14:paraId="14F5973F" w14:textId="70386D84" w:rsidR="0029250C" w:rsidRDefault="0029250C" w:rsidP="00E7677E">
      <w:pPr>
        <w:keepNext/>
        <w:widowControl/>
        <w:tabs>
          <w:tab w:val="left" w:pos="720"/>
          <w:tab w:val="left" w:pos="1440"/>
          <w:tab w:val="left" w:pos="2160"/>
        </w:tabs>
        <w:ind w:left="1440" w:right="1440"/>
        <w:textAlignment w:val="baseline"/>
        <w:rPr>
          <w:color w:val="000000"/>
          <w:sz w:val="26"/>
          <w:szCs w:val="26"/>
        </w:rPr>
      </w:pPr>
    </w:p>
    <w:p w14:paraId="3FCE56BE" w14:textId="06D9F287" w:rsidR="00473834" w:rsidRDefault="00473834" w:rsidP="00E7677E">
      <w:pPr>
        <w:keepNext/>
        <w:widowControl/>
        <w:tabs>
          <w:tab w:val="left" w:pos="720"/>
          <w:tab w:val="left" w:pos="1440"/>
          <w:tab w:val="left" w:pos="2160"/>
        </w:tabs>
        <w:ind w:left="1440" w:right="1440"/>
        <w:textAlignment w:val="baseline"/>
        <w:rPr>
          <w:color w:val="000000"/>
          <w:sz w:val="26"/>
          <w:szCs w:val="26"/>
        </w:rPr>
      </w:pPr>
      <w:r>
        <w:rPr>
          <w:color w:val="000000"/>
          <w:sz w:val="26"/>
          <w:szCs w:val="26"/>
        </w:rPr>
        <w:t>d.</w:t>
      </w:r>
      <w:r>
        <w:rPr>
          <w:color w:val="000000"/>
          <w:sz w:val="26"/>
          <w:szCs w:val="26"/>
        </w:rPr>
        <w:tab/>
        <w:t xml:space="preserve">That </w:t>
      </w:r>
      <w:r w:rsidRPr="00DF51A6">
        <w:rPr>
          <w:sz w:val="26"/>
        </w:rPr>
        <w:t>Aqua Pennsylvania, Inc., Aqua Pennsylvania Wastewater, Inc., Peoples Natural Gas</w:t>
      </w:r>
      <w:r>
        <w:rPr>
          <w:sz w:val="26"/>
        </w:rPr>
        <w:t xml:space="preserve"> Co</w:t>
      </w:r>
      <w:r w:rsidRPr="00DF51A6">
        <w:rPr>
          <w:sz w:val="26"/>
        </w:rPr>
        <w:t>mpany LLC</w:t>
      </w:r>
      <w:r>
        <w:rPr>
          <w:sz w:val="26"/>
        </w:rPr>
        <w:t>,</w:t>
      </w:r>
      <w:r w:rsidRPr="00DF51A6">
        <w:rPr>
          <w:sz w:val="26"/>
        </w:rPr>
        <w:t xml:space="preserve"> </w:t>
      </w:r>
      <w:r>
        <w:rPr>
          <w:sz w:val="26"/>
        </w:rPr>
        <w:t xml:space="preserve">and </w:t>
      </w:r>
      <w:r w:rsidRPr="00DF51A6">
        <w:rPr>
          <w:sz w:val="26"/>
        </w:rPr>
        <w:t>Peoples Gas Company, LLC</w:t>
      </w:r>
      <w:r>
        <w:rPr>
          <w:sz w:val="26"/>
        </w:rPr>
        <w:t xml:space="preserve"> shall file with the Secretary of the Commission, with a copy served on the Commission’s Bureau of Technical Utility Services, </w:t>
      </w:r>
      <w:r w:rsidR="00212E97">
        <w:rPr>
          <w:sz w:val="26"/>
        </w:rPr>
        <w:t xml:space="preserve">a copy of the reports required </w:t>
      </w:r>
      <w:r w:rsidR="00F01CEA">
        <w:rPr>
          <w:sz w:val="26"/>
        </w:rPr>
        <w:t xml:space="preserve">by Settlement Paragraph Numbers </w:t>
      </w:r>
      <w:r w:rsidR="003B533C">
        <w:rPr>
          <w:sz w:val="26"/>
        </w:rPr>
        <w:t xml:space="preserve">55, </w:t>
      </w:r>
      <w:r w:rsidR="008E2E89">
        <w:rPr>
          <w:sz w:val="26"/>
        </w:rPr>
        <w:t xml:space="preserve">64, </w:t>
      </w:r>
      <w:r w:rsidR="00A34E52">
        <w:rPr>
          <w:sz w:val="26"/>
        </w:rPr>
        <w:t xml:space="preserve">76, </w:t>
      </w:r>
      <w:r w:rsidR="00A049DD">
        <w:rPr>
          <w:sz w:val="26"/>
        </w:rPr>
        <w:t xml:space="preserve">89, </w:t>
      </w:r>
      <w:r w:rsidR="0045497A">
        <w:rPr>
          <w:sz w:val="26"/>
        </w:rPr>
        <w:t xml:space="preserve">90, and 114.  </w:t>
      </w:r>
    </w:p>
    <w:p w14:paraId="3135DE7B" w14:textId="77777777" w:rsidR="00473834" w:rsidRDefault="00473834" w:rsidP="00B24187">
      <w:pPr>
        <w:keepNext/>
        <w:widowControl/>
        <w:tabs>
          <w:tab w:val="left" w:pos="720"/>
          <w:tab w:val="left" w:pos="1440"/>
          <w:tab w:val="left" w:pos="2160"/>
        </w:tabs>
        <w:spacing w:line="360" w:lineRule="auto"/>
        <w:ind w:right="72" w:firstLine="1440"/>
        <w:textAlignment w:val="baseline"/>
        <w:rPr>
          <w:color w:val="000000"/>
          <w:sz w:val="26"/>
          <w:szCs w:val="26"/>
        </w:rPr>
      </w:pPr>
    </w:p>
    <w:p w14:paraId="1F2F5433" w14:textId="5F9A946D" w:rsidR="00DF51A6" w:rsidRDefault="00EA29E8" w:rsidP="00B24187">
      <w:pPr>
        <w:keepNext/>
        <w:widowControl/>
        <w:tabs>
          <w:tab w:val="left" w:pos="720"/>
          <w:tab w:val="left" w:pos="1440"/>
          <w:tab w:val="left" w:pos="2160"/>
        </w:tabs>
        <w:spacing w:line="360" w:lineRule="auto"/>
        <w:ind w:right="72" w:firstLine="1440"/>
        <w:textAlignment w:val="baseline"/>
        <w:rPr>
          <w:color w:val="000000"/>
          <w:sz w:val="26"/>
          <w:szCs w:val="26"/>
        </w:rPr>
      </w:pPr>
      <w:r>
        <w:rPr>
          <w:color w:val="000000"/>
          <w:sz w:val="26"/>
          <w:szCs w:val="26"/>
        </w:rPr>
        <w:t>10</w:t>
      </w:r>
      <w:r w:rsidR="00CF2A9F" w:rsidRPr="00CF2A9F">
        <w:rPr>
          <w:color w:val="000000"/>
          <w:sz w:val="26"/>
          <w:szCs w:val="26"/>
        </w:rPr>
        <w:t>.</w:t>
      </w:r>
      <w:r w:rsidR="00CF2A9F">
        <w:rPr>
          <w:color w:val="000000"/>
          <w:sz w:val="26"/>
          <w:szCs w:val="26"/>
        </w:rPr>
        <w:tab/>
      </w:r>
      <w:r w:rsidR="00DF51A6" w:rsidRPr="00CF2A9F">
        <w:rPr>
          <w:color w:val="000000"/>
          <w:sz w:val="26"/>
          <w:szCs w:val="26"/>
        </w:rPr>
        <w:t>That Docket Nos. A-2018-3006061, A-2018-3006062 and A</w:t>
      </w:r>
      <w:r w:rsidR="00AC78D9">
        <w:rPr>
          <w:color w:val="000000"/>
          <w:sz w:val="26"/>
          <w:szCs w:val="26"/>
        </w:rPr>
        <w:noBreakHyphen/>
      </w:r>
      <w:r w:rsidR="00DF51A6" w:rsidRPr="00CF2A9F">
        <w:rPr>
          <w:color w:val="000000"/>
          <w:sz w:val="26"/>
          <w:szCs w:val="26"/>
        </w:rPr>
        <w:t>2018</w:t>
      </w:r>
      <w:r w:rsidR="00AC78D9">
        <w:rPr>
          <w:color w:val="000000"/>
          <w:sz w:val="26"/>
          <w:szCs w:val="26"/>
        </w:rPr>
        <w:noBreakHyphen/>
      </w:r>
      <w:r w:rsidR="00DF51A6" w:rsidRPr="00CF2A9F">
        <w:rPr>
          <w:color w:val="000000"/>
          <w:sz w:val="26"/>
          <w:szCs w:val="26"/>
        </w:rPr>
        <w:t xml:space="preserve">3006063 </w:t>
      </w:r>
      <w:r w:rsidR="00437473">
        <w:rPr>
          <w:color w:val="000000"/>
          <w:sz w:val="26"/>
          <w:szCs w:val="26"/>
        </w:rPr>
        <w:t xml:space="preserve">shall be marked </w:t>
      </w:r>
      <w:r w:rsidR="00DF51A6" w:rsidRPr="00CF2A9F">
        <w:rPr>
          <w:color w:val="000000"/>
          <w:sz w:val="26"/>
          <w:szCs w:val="26"/>
        </w:rPr>
        <w:t>closed.</w:t>
      </w:r>
    </w:p>
    <w:p w14:paraId="75BDE90A" w14:textId="77777777" w:rsidR="00437473" w:rsidRPr="00CF2A9F" w:rsidRDefault="00437473" w:rsidP="00B24187">
      <w:pPr>
        <w:keepNext/>
        <w:widowControl/>
        <w:tabs>
          <w:tab w:val="left" w:pos="720"/>
          <w:tab w:val="left" w:pos="1440"/>
          <w:tab w:val="left" w:pos="2160"/>
        </w:tabs>
        <w:spacing w:line="360" w:lineRule="auto"/>
        <w:ind w:right="72" w:firstLine="1440"/>
        <w:textAlignment w:val="baseline"/>
        <w:rPr>
          <w:color w:val="000000"/>
          <w:sz w:val="26"/>
          <w:szCs w:val="26"/>
        </w:rPr>
      </w:pPr>
    </w:p>
    <w:p w14:paraId="11A20D89" w14:textId="77777777" w:rsidR="00037A2F" w:rsidRPr="00572BF3" w:rsidRDefault="00037A2F" w:rsidP="00B24187">
      <w:pPr>
        <w:keepNext/>
        <w:widowControl/>
        <w:tabs>
          <w:tab w:val="left" w:pos="-720"/>
        </w:tabs>
        <w:ind w:firstLine="5040"/>
        <w:contextualSpacing/>
        <w:rPr>
          <w:sz w:val="26"/>
          <w:szCs w:val="26"/>
        </w:rPr>
      </w:pPr>
      <w:r w:rsidRPr="00572BF3">
        <w:rPr>
          <w:b/>
          <w:sz w:val="26"/>
          <w:szCs w:val="26"/>
        </w:rPr>
        <w:t>BY THE COMMISSION,</w:t>
      </w:r>
    </w:p>
    <w:p w14:paraId="10EDFFA3" w14:textId="77777777" w:rsidR="00037A2F" w:rsidRDefault="00037A2F" w:rsidP="00B24187">
      <w:pPr>
        <w:keepNext/>
        <w:widowControl/>
        <w:tabs>
          <w:tab w:val="left" w:pos="-720"/>
        </w:tabs>
        <w:ind w:firstLine="5040"/>
        <w:contextualSpacing/>
        <w:rPr>
          <w:sz w:val="26"/>
          <w:szCs w:val="26"/>
        </w:rPr>
      </w:pPr>
    </w:p>
    <w:p w14:paraId="1574D2E7" w14:textId="77777777" w:rsidR="00612BC3" w:rsidRDefault="00612BC3" w:rsidP="00B24187">
      <w:pPr>
        <w:keepNext/>
        <w:widowControl/>
        <w:tabs>
          <w:tab w:val="left" w:pos="-720"/>
        </w:tabs>
        <w:ind w:firstLine="5040"/>
        <w:contextualSpacing/>
        <w:rPr>
          <w:sz w:val="26"/>
          <w:szCs w:val="26"/>
        </w:rPr>
      </w:pPr>
    </w:p>
    <w:p w14:paraId="3DCBB4B8" w14:textId="1A6917D5" w:rsidR="00037A2F" w:rsidRDefault="00C67CE3" w:rsidP="00B24187">
      <w:pPr>
        <w:keepNext/>
        <w:widowControl/>
        <w:tabs>
          <w:tab w:val="left" w:pos="-720"/>
        </w:tabs>
        <w:ind w:firstLine="5040"/>
        <w:contextualSpacing/>
        <w:rPr>
          <w:sz w:val="26"/>
          <w:szCs w:val="26"/>
        </w:rPr>
      </w:pPr>
      <w:r>
        <w:rPr>
          <w:noProof/>
          <w:sz w:val="26"/>
          <w:szCs w:val="26"/>
        </w:rPr>
        <w:drawing>
          <wp:inline distT="0" distB="0" distL="0" distR="0" wp14:anchorId="4CC40C83" wp14:editId="6FEE4517">
            <wp:extent cx="1965960" cy="749808"/>
            <wp:effectExtent l="0" t="0" r="0" b="0"/>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mary signatur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5960" cy="749808"/>
                    </a:xfrm>
                    <a:prstGeom prst="rect">
                      <a:avLst/>
                    </a:prstGeom>
                  </pic:spPr>
                </pic:pic>
              </a:graphicData>
            </a:graphic>
          </wp:inline>
        </w:drawing>
      </w:r>
    </w:p>
    <w:p w14:paraId="4AE0D7A7" w14:textId="77777777" w:rsidR="00437473" w:rsidRDefault="00437473" w:rsidP="00B24187">
      <w:pPr>
        <w:keepNext/>
        <w:widowControl/>
        <w:tabs>
          <w:tab w:val="left" w:pos="-720"/>
        </w:tabs>
        <w:ind w:firstLine="5040"/>
        <w:contextualSpacing/>
        <w:rPr>
          <w:sz w:val="26"/>
          <w:szCs w:val="26"/>
        </w:rPr>
      </w:pPr>
    </w:p>
    <w:p w14:paraId="2EBDEF38" w14:textId="77777777" w:rsidR="00037A2F" w:rsidRPr="00572BF3" w:rsidRDefault="00037A2F" w:rsidP="00B24187">
      <w:pPr>
        <w:keepNext/>
        <w:widowControl/>
        <w:tabs>
          <w:tab w:val="left" w:pos="-720"/>
        </w:tabs>
        <w:ind w:firstLine="5040"/>
        <w:contextualSpacing/>
        <w:rPr>
          <w:b/>
          <w:sz w:val="26"/>
          <w:szCs w:val="26"/>
        </w:rPr>
      </w:pPr>
      <w:r w:rsidRPr="00572BF3">
        <w:rPr>
          <w:sz w:val="26"/>
          <w:szCs w:val="26"/>
        </w:rPr>
        <w:t>Rosemary Chiavetta</w:t>
      </w:r>
    </w:p>
    <w:p w14:paraId="478F111C" w14:textId="77777777" w:rsidR="00037A2F" w:rsidRPr="00572BF3" w:rsidRDefault="00037A2F" w:rsidP="00B24187">
      <w:pPr>
        <w:keepNext/>
        <w:widowControl/>
        <w:tabs>
          <w:tab w:val="left" w:pos="-720"/>
        </w:tabs>
        <w:ind w:firstLine="5040"/>
        <w:contextualSpacing/>
        <w:rPr>
          <w:sz w:val="26"/>
          <w:szCs w:val="26"/>
        </w:rPr>
      </w:pPr>
      <w:r w:rsidRPr="00572BF3">
        <w:rPr>
          <w:sz w:val="26"/>
          <w:szCs w:val="26"/>
        </w:rPr>
        <w:t>Secretary</w:t>
      </w:r>
    </w:p>
    <w:p w14:paraId="569029E0" w14:textId="77777777" w:rsidR="00037A2F" w:rsidRPr="00572BF3" w:rsidRDefault="00037A2F" w:rsidP="00B24187">
      <w:pPr>
        <w:keepNext/>
        <w:widowControl/>
        <w:tabs>
          <w:tab w:val="left" w:pos="-720"/>
        </w:tabs>
        <w:contextualSpacing/>
        <w:rPr>
          <w:sz w:val="26"/>
          <w:szCs w:val="26"/>
        </w:rPr>
      </w:pPr>
    </w:p>
    <w:p w14:paraId="73A353E2" w14:textId="77777777" w:rsidR="00037A2F" w:rsidRPr="00572BF3" w:rsidRDefault="00037A2F" w:rsidP="00B24187">
      <w:pPr>
        <w:keepNext/>
        <w:widowControl/>
        <w:tabs>
          <w:tab w:val="left" w:pos="-720"/>
        </w:tabs>
        <w:contextualSpacing/>
        <w:rPr>
          <w:sz w:val="26"/>
          <w:szCs w:val="26"/>
        </w:rPr>
      </w:pPr>
      <w:r w:rsidRPr="00572BF3">
        <w:rPr>
          <w:sz w:val="26"/>
          <w:szCs w:val="26"/>
        </w:rPr>
        <w:t>(SEAL)</w:t>
      </w:r>
    </w:p>
    <w:p w14:paraId="5BD5F950" w14:textId="77777777" w:rsidR="00037A2F" w:rsidRPr="00572BF3" w:rsidRDefault="00037A2F" w:rsidP="00B24187">
      <w:pPr>
        <w:keepNext/>
        <w:widowControl/>
        <w:tabs>
          <w:tab w:val="left" w:pos="-720"/>
        </w:tabs>
        <w:contextualSpacing/>
        <w:rPr>
          <w:sz w:val="26"/>
          <w:szCs w:val="26"/>
        </w:rPr>
      </w:pPr>
    </w:p>
    <w:p w14:paraId="3ACA67C7" w14:textId="77777777" w:rsidR="00037A2F" w:rsidRDefault="00037A2F" w:rsidP="00B24187">
      <w:pPr>
        <w:keepNext/>
        <w:widowControl/>
        <w:tabs>
          <w:tab w:val="left" w:pos="-720"/>
        </w:tabs>
        <w:contextualSpacing/>
        <w:rPr>
          <w:sz w:val="26"/>
          <w:szCs w:val="26"/>
        </w:rPr>
      </w:pPr>
      <w:r w:rsidRPr="00572BF3">
        <w:rPr>
          <w:sz w:val="26"/>
          <w:szCs w:val="26"/>
        </w:rPr>
        <w:t xml:space="preserve">ORDER ADOPTED: </w:t>
      </w:r>
      <w:r>
        <w:rPr>
          <w:sz w:val="26"/>
          <w:szCs w:val="26"/>
        </w:rPr>
        <w:t xml:space="preserve"> </w:t>
      </w:r>
      <w:r w:rsidR="00CF2A9F">
        <w:rPr>
          <w:sz w:val="26"/>
          <w:szCs w:val="26"/>
        </w:rPr>
        <w:t>January 16, 2020</w:t>
      </w:r>
    </w:p>
    <w:p w14:paraId="01FBFE7C" w14:textId="77777777" w:rsidR="00037A2F" w:rsidRPr="00572BF3" w:rsidRDefault="00037A2F" w:rsidP="00B24187">
      <w:pPr>
        <w:keepNext/>
        <w:widowControl/>
        <w:tabs>
          <w:tab w:val="left" w:pos="-720"/>
        </w:tabs>
        <w:contextualSpacing/>
        <w:rPr>
          <w:sz w:val="26"/>
          <w:szCs w:val="26"/>
        </w:rPr>
      </w:pPr>
    </w:p>
    <w:p w14:paraId="3B5E8F92" w14:textId="2031DBEC" w:rsidR="00037A2F" w:rsidRPr="00572BF3" w:rsidRDefault="00037A2F" w:rsidP="00B24187">
      <w:pPr>
        <w:keepNext/>
        <w:widowControl/>
        <w:tabs>
          <w:tab w:val="left" w:pos="-720"/>
        </w:tabs>
        <w:contextualSpacing/>
        <w:rPr>
          <w:sz w:val="26"/>
          <w:szCs w:val="26"/>
        </w:rPr>
      </w:pPr>
      <w:r w:rsidRPr="00572BF3">
        <w:rPr>
          <w:sz w:val="26"/>
          <w:szCs w:val="26"/>
        </w:rPr>
        <w:t xml:space="preserve">ORDER ENTERED:  </w:t>
      </w:r>
      <w:r w:rsidR="00C67CE3">
        <w:rPr>
          <w:sz w:val="26"/>
          <w:szCs w:val="26"/>
        </w:rPr>
        <w:t>January 24, 2020</w:t>
      </w:r>
    </w:p>
    <w:bookmarkEnd w:id="49"/>
    <w:p w14:paraId="35B6BA8B" w14:textId="77777777" w:rsidR="00E34EFC" w:rsidRPr="009B795C" w:rsidRDefault="00E34EFC" w:rsidP="00B24187">
      <w:pPr>
        <w:widowControl/>
        <w:spacing w:before="4" w:after="200" w:line="360" w:lineRule="auto"/>
        <w:ind w:firstLine="720"/>
        <w:textAlignment w:val="baseline"/>
        <w:rPr>
          <w:rFonts w:cstheme="minorBidi"/>
          <w:color w:val="000000"/>
          <w:spacing w:val="-2"/>
          <w:sz w:val="26"/>
          <w:szCs w:val="22"/>
        </w:rPr>
      </w:pPr>
    </w:p>
    <w:sectPr w:rsidR="00E34EFC" w:rsidRPr="009B795C" w:rsidSect="00A32A8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99F3B" w14:textId="77777777" w:rsidR="00121E52" w:rsidRDefault="00121E52">
      <w:r>
        <w:separator/>
      </w:r>
    </w:p>
  </w:endnote>
  <w:endnote w:type="continuationSeparator" w:id="0">
    <w:p w14:paraId="6D702124" w14:textId="77777777" w:rsidR="00121E52" w:rsidRDefault="00121E52">
      <w:r>
        <w:continuationSeparator/>
      </w:r>
    </w:p>
  </w:endnote>
  <w:endnote w:type="continuationNotice" w:id="1">
    <w:p w14:paraId="7F312113" w14:textId="77777777" w:rsidR="00121E52" w:rsidRDefault="00121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7E02E" w14:textId="77777777" w:rsidR="00CE549B" w:rsidRDefault="00CE549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C024C5" w14:textId="77777777" w:rsidR="00CE549B" w:rsidRDefault="00CE5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7B73F" w14:textId="05517FED" w:rsidR="00CE549B" w:rsidRPr="00C7667D" w:rsidRDefault="00CE549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5E2F6A">
      <w:rPr>
        <w:rStyle w:val="PageNumber"/>
        <w:noProof/>
        <w:sz w:val="26"/>
      </w:rPr>
      <w:t>215</w:t>
    </w:r>
    <w:r w:rsidRPr="00C7667D">
      <w:rPr>
        <w:rStyle w:val="PageNumber"/>
        <w:sz w:val="26"/>
      </w:rPr>
      <w:fldChar w:fldCharType="end"/>
    </w:r>
  </w:p>
  <w:p w14:paraId="1A4DD0F8" w14:textId="77777777" w:rsidR="00CE549B" w:rsidRDefault="00CE549B" w:rsidP="00BC77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72984" w14:textId="77777777" w:rsidR="00CE549B" w:rsidRDefault="00CE549B" w:rsidP="00A32A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BC15A" w14:textId="77777777" w:rsidR="00121E52" w:rsidRDefault="00121E52">
      <w:r>
        <w:separator/>
      </w:r>
    </w:p>
  </w:footnote>
  <w:footnote w:type="continuationSeparator" w:id="0">
    <w:p w14:paraId="59E3E482" w14:textId="77777777" w:rsidR="00121E52" w:rsidRDefault="00121E52">
      <w:r>
        <w:continuationSeparator/>
      </w:r>
    </w:p>
  </w:footnote>
  <w:footnote w:type="continuationNotice" w:id="1">
    <w:p w14:paraId="338E6441" w14:textId="77777777" w:rsidR="00121E52" w:rsidRDefault="00121E52"/>
  </w:footnote>
  <w:footnote w:id="2">
    <w:p w14:paraId="5EE7CE2A" w14:textId="77777777" w:rsidR="00CE549B" w:rsidRPr="00AD392C" w:rsidRDefault="00CE549B" w:rsidP="00DA3C6B">
      <w:pPr>
        <w:pStyle w:val="FootnoteText"/>
        <w:keepNext/>
        <w:keepLines/>
        <w:spacing w:after="120"/>
        <w:ind w:firstLine="720"/>
        <w:rPr>
          <w:sz w:val="26"/>
          <w:szCs w:val="26"/>
        </w:rPr>
      </w:pPr>
      <w:r w:rsidRPr="00AD392C">
        <w:rPr>
          <w:rStyle w:val="FootnoteReference"/>
          <w:sz w:val="26"/>
          <w:szCs w:val="26"/>
        </w:rPr>
        <w:footnoteRef/>
      </w:r>
      <w:r w:rsidRPr="00AD392C">
        <w:rPr>
          <w:sz w:val="26"/>
          <w:szCs w:val="26"/>
        </w:rPr>
        <w:t xml:space="preserve"> </w:t>
      </w:r>
      <w:r w:rsidRPr="00AD392C">
        <w:rPr>
          <w:sz w:val="26"/>
          <w:szCs w:val="26"/>
        </w:rPr>
        <w:tab/>
        <w:t xml:space="preserve">Aqua America, Aqua PA and Aqua PA Wastewater are collectively referred to </w:t>
      </w:r>
      <w:r>
        <w:rPr>
          <w:sz w:val="26"/>
          <w:szCs w:val="26"/>
        </w:rPr>
        <w:t xml:space="preserve">herein </w:t>
      </w:r>
      <w:r w:rsidRPr="00AD392C">
        <w:rPr>
          <w:sz w:val="26"/>
          <w:szCs w:val="26"/>
        </w:rPr>
        <w:t>as Aqua</w:t>
      </w:r>
      <w:r>
        <w:rPr>
          <w:sz w:val="26"/>
          <w:szCs w:val="26"/>
        </w:rPr>
        <w:t xml:space="preserve"> America.</w:t>
      </w:r>
    </w:p>
  </w:footnote>
  <w:footnote w:id="3">
    <w:p w14:paraId="7DDD0E93" w14:textId="77777777" w:rsidR="00CE549B" w:rsidRPr="00AD392C" w:rsidRDefault="00CE549B" w:rsidP="00DA3C6B">
      <w:pPr>
        <w:pStyle w:val="FootnoteText"/>
        <w:keepNext/>
        <w:keepLines/>
        <w:spacing w:after="120"/>
        <w:ind w:firstLine="720"/>
        <w:rPr>
          <w:sz w:val="26"/>
          <w:szCs w:val="26"/>
        </w:rPr>
      </w:pPr>
      <w:r w:rsidRPr="00AD392C">
        <w:rPr>
          <w:rStyle w:val="FootnoteReference"/>
          <w:sz w:val="26"/>
          <w:szCs w:val="26"/>
        </w:rPr>
        <w:footnoteRef/>
      </w:r>
      <w:r w:rsidRPr="00AD392C">
        <w:rPr>
          <w:sz w:val="26"/>
          <w:szCs w:val="26"/>
        </w:rPr>
        <w:t xml:space="preserve"> </w:t>
      </w:r>
      <w:r w:rsidRPr="00AD392C">
        <w:rPr>
          <w:sz w:val="26"/>
          <w:szCs w:val="26"/>
        </w:rPr>
        <w:tab/>
        <w:t xml:space="preserve">Peoples Natural Gas, Peoples Natural Gas – Equitable Division, and Peoples Gas are collectively referred to </w:t>
      </w:r>
      <w:r>
        <w:rPr>
          <w:sz w:val="26"/>
          <w:szCs w:val="26"/>
        </w:rPr>
        <w:t xml:space="preserve">herein </w:t>
      </w:r>
      <w:r w:rsidRPr="00AD392C">
        <w:rPr>
          <w:sz w:val="26"/>
          <w:szCs w:val="26"/>
        </w:rPr>
        <w:t>as the Peoples Companies.</w:t>
      </w:r>
      <w:r>
        <w:rPr>
          <w:sz w:val="26"/>
          <w:szCs w:val="26"/>
        </w:rPr>
        <w:t xml:space="preserve">  </w:t>
      </w:r>
      <w:r w:rsidRPr="00AD392C">
        <w:rPr>
          <w:sz w:val="26"/>
          <w:szCs w:val="26"/>
        </w:rPr>
        <w:t xml:space="preserve">Unless otherwise specified herein, references to </w:t>
      </w:r>
      <w:r>
        <w:rPr>
          <w:sz w:val="26"/>
          <w:szCs w:val="26"/>
        </w:rPr>
        <w:t>Peoples Natural Gas</w:t>
      </w:r>
      <w:r w:rsidRPr="00AD392C">
        <w:rPr>
          <w:sz w:val="26"/>
          <w:szCs w:val="26"/>
        </w:rPr>
        <w:t xml:space="preserve"> also include </w:t>
      </w:r>
      <w:r>
        <w:rPr>
          <w:sz w:val="26"/>
          <w:szCs w:val="26"/>
        </w:rPr>
        <w:t>Peoples Natural Gas – Equitable Division</w:t>
      </w:r>
      <w:r w:rsidRPr="00AD392C">
        <w:rPr>
          <w:sz w:val="26"/>
          <w:szCs w:val="26"/>
        </w:rPr>
        <w:t>.</w:t>
      </w:r>
      <w:r>
        <w:rPr>
          <w:sz w:val="26"/>
          <w:szCs w:val="26"/>
        </w:rPr>
        <w:t xml:space="preserve">  As a result of Peoples Natural Gas’ recently concluded base rate proceeding, the separate rates of its Peoples Division and Equitable Division were merged into two combined tariffs, one for Retail Service and one for Supplier Service.  </w:t>
      </w:r>
      <w:r w:rsidRPr="00AD392C">
        <w:rPr>
          <w:i/>
          <w:iCs/>
          <w:sz w:val="26"/>
          <w:szCs w:val="26"/>
        </w:rPr>
        <w:t xml:space="preserve">Pa. PUC, et al. v. </w:t>
      </w:r>
      <w:r>
        <w:rPr>
          <w:i/>
          <w:iCs/>
          <w:sz w:val="26"/>
          <w:szCs w:val="26"/>
        </w:rPr>
        <w:t>Peoples Natural Gas LLC</w:t>
      </w:r>
      <w:r w:rsidRPr="00AD392C">
        <w:rPr>
          <w:sz w:val="26"/>
          <w:szCs w:val="26"/>
        </w:rPr>
        <w:t>, Docket Nos. R-</w:t>
      </w:r>
      <w:r>
        <w:rPr>
          <w:sz w:val="26"/>
          <w:szCs w:val="26"/>
        </w:rPr>
        <w:t xml:space="preserve">2018-3006818, </w:t>
      </w:r>
      <w:r w:rsidRPr="005B5CF9">
        <w:rPr>
          <w:i/>
          <w:iCs/>
          <w:sz w:val="26"/>
          <w:szCs w:val="26"/>
        </w:rPr>
        <w:t>et al</w:t>
      </w:r>
      <w:r>
        <w:rPr>
          <w:sz w:val="26"/>
          <w:szCs w:val="26"/>
        </w:rPr>
        <w:t>.</w:t>
      </w:r>
      <w:r w:rsidRPr="00AD392C">
        <w:rPr>
          <w:sz w:val="26"/>
          <w:szCs w:val="26"/>
        </w:rPr>
        <w:t xml:space="preserve"> (Order entered </w:t>
      </w:r>
      <w:r>
        <w:rPr>
          <w:sz w:val="26"/>
          <w:szCs w:val="26"/>
        </w:rPr>
        <w:t>October 3</w:t>
      </w:r>
      <w:r w:rsidRPr="00AD392C">
        <w:rPr>
          <w:sz w:val="26"/>
          <w:szCs w:val="26"/>
        </w:rPr>
        <w:t>, 201</w:t>
      </w:r>
      <w:r>
        <w:rPr>
          <w:sz w:val="26"/>
          <w:szCs w:val="26"/>
        </w:rPr>
        <w:t>9</w:t>
      </w:r>
      <w:r w:rsidRPr="00AD392C">
        <w:rPr>
          <w:sz w:val="26"/>
          <w:szCs w:val="26"/>
        </w:rPr>
        <w:t>).</w:t>
      </w:r>
    </w:p>
  </w:footnote>
  <w:footnote w:id="4">
    <w:p w14:paraId="24851E22" w14:textId="77777777" w:rsidR="00CE549B" w:rsidRPr="00AD392C" w:rsidRDefault="00CE549B" w:rsidP="00DA3C6B">
      <w:pPr>
        <w:pStyle w:val="FootnoteText"/>
        <w:keepNext/>
        <w:keepLines/>
        <w:spacing w:after="120"/>
        <w:ind w:firstLine="720"/>
        <w:rPr>
          <w:sz w:val="26"/>
          <w:szCs w:val="26"/>
        </w:rPr>
      </w:pPr>
      <w:r w:rsidRPr="00AD392C">
        <w:rPr>
          <w:rStyle w:val="FootnoteReference"/>
          <w:sz w:val="26"/>
          <w:szCs w:val="26"/>
        </w:rPr>
        <w:footnoteRef/>
      </w:r>
      <w:r w:rsidRPr="00AD392C">
        <w:rPr>
          <w:sz w:val="26"/>
          <w:szCs w:val="26"/>
        </w:rPr>
        <w:t xml:space="preserve"> </w:t>
      </w:r>
      <w:r w:rsidRPr="00AD392C">
        <w:rPr>
          <w:sz w:val="26"/>
          <w:szCs w:val="26"/>
        </w:rPr>
        <w:tab/>
        <w:t>Aqua America’s subsidiaries provide service to approximately three million customers in Pennsylvania, Ohio, North Carolina, Illinois, Texas, New Jersey, Indiana, and Virginia.  Joint Applicants Exh. DJS-1 at 59.</w:t>
      </w:r>
    </w:p>
  </w:footnote>
  <w:footnote w:id="5">
    <w:p w14:paraId="21E1B43A" w14:textId="12275D88" w:rsidR="00CE549B" w:rsidRPr="00AD392C" w:rsidRDefault="00CE549B" w:rsidP="00DA3C6B">
      <w:pPr>
        <w:pStyle w:val="FootnoteText"/>
        <w:keepNext/>
        <w:keepLines/>
        <w:spacing w:after="120"/>
        <w:ind w:firstLine="720"/>
        <w:rPr>
          <w:sz w:val="26"/>
          <w:szCs w:val="26"/>
        </w:rPr>
      </w:pPr>
      <w:r w:rsidRPr="00AD392C">
        <w:rPr>
          <w:rStyle w:val="FootnoteReference"/>
          <w:sz w:val="26"/>
          <w:szCs w:val="26"/>
        </w:rPr>
        <w:footnoteRef/>
      </w:r>
      <w:r w:rsidRPr="00AD392C">
        <w:rPr>
          <w:sz w:val="26"/>
          <w:szCs w:val="26"/>
        </w:rPr>
        <w:t xml:space="preserve"> </w:t>
      </w:r>
      <w:r w:rsidRPr="00AD392C">
        <w:rPr>
          <w:sz w:val="26"/>
          <w:szCs w:val="26"/>
        </w:rPr>
        <w:tab/>
        <w:t>Aqua PA Wastewater is a wholly</w:t>
      </w:r>
      <w:r>
        <w:rPr>
          <w:sz w:val="26"/>
          <w:szCs w:val="26"/>
        </w:rPr>
        <w:t xml:space="preserve"> </w:t>
      </w:r>
      <w:r w:rsidRPr="00AD392C">
        <w:rPr>
          <w:sz w:val="26"/>
          <w:szCs w:val="26"/>
        </w:rPr>
        <w:t>owned subsidiary of Aqua PA.  Unless otherwise specified herein, references to Aqua PA also include Aqua PA Wastewater.</w:t>
      </w:r>
    </w:p>
  </w:footnote>
  <w:footnote w:id="6">
    <w:p w14:paraId="6ACBDF8C" w14:textId="77777777" w:rsidR="00CE549B" w:rsidRPr="00AD392C" w:rsidRDefault="00CE549B" w:rsidP="00DA3C6B">
      <w:pPr>
        <w:pStyle w:val="FootnoteText"/>
        <w:keepNext/>
        <w:keepLines/>
        <w:spacing w:after="120"/>
        <w:ind w:firstLine="720"/>
        <w:rPr>
          <w:sz w:val="26"/>
          <w:szCs w:val="26"/>
        </w:rPr>
      </w:pPr>
      <w:r w:rsidRPr="00AD392C">
        <w:rPr>
          <w:rStyle w:val="FootnoteReference"/>
          <w:sz w:val="26"/>
          <w:szCs w:val="26"/>
        </w:rPr>
        <w:footnoteRef/>
      </w:r>
      <w:r w:rsidRPr="00AD392C">
        <w:rPr>
          <w:sz w:val="26"/>
          <w:szCs w:val="26"/>
        </w:rPr>
        <w:t xml:space="preserve"> </w:t>
      </w:r>
      <w:r w:rsidRPr="00AD392C">
        <w:rPr>
          <w:sz w:val="26"/>
          <w:szCs w:val="26"/>
        </w:rPr>
        <w:tab/>
        <w:t>Each of the Peoples Companies is a “public utility” and a “natural gas distribution company” as those terms are defined in 66 Pa. C.S. §§ 102, 2202.</w:t>
      </w:r>
    </w:p>
  </w:footnote>
  <w:footnote w:id="7">
    <w:p w14:paraId="2A4BECD4" w14:textId="77777777" w:rsidR="00CE549B" w:rsidRPr="00AD392C" w:rsidRDefault="00CE549B" w:rsidP="00DA3C6B">
      <w:pPr>
        <w:pStyle w:val="FootnoteText"/>
        <w:keepNext/>
        <w:keepLines/>
        <w:spacing w:after="120"/>
        <w:ind w:firstLine="720"/>
        <w:rPr>
          <w:sz w:val="26"/>
          <w:szCs w:val="26"/>
        </w:rPr>
      </w:pPr>
      <w:r w:rsidRPr="00AD392C">
        <w:rPr>
          <w:rStyle w:val="FootnoteReference"/>
          <w:sz w:val="26"/>
          <w:szCs w:val="26"/>
        </w:rPr>
        <w:footnoteRef/>
      </w:r>
      <w:r w:rsidRPr="00AD392C">
        <w:rPr>
          <w:sz w:val="26"/>
          <w:szCs w:val="26"/>
        </w:rPr>
        <w:t xml:space="preserve"> </w:t>
      </w:r>
      <w:r w:rsidRPr="00AD392C">
        <w:rPr>
          <w:sz w:val="26"/>
          <w:szCs w:val="26"/>
        </w:rPr>
        <w:tab/>
        <w:t xml:space="preserve">On November 14, 2013, with the approval of the </w:t>
      </w:r>
      <w:r w:rsidRPr="003D2643">
        <w:rPr>
          <w:sz w:val="26"/>
          <w:szCs w:val="26"/>
        </w:rPr>
        <w:t>Joint Petition for Approval of Settlement of All Issues</w:t>
      </w:r>
      <w:r w:rsidRPr="00AD392C">
        <w:rPr>
          <w:sz w:val="26"/>
          <w:szCs w:val="26"/>
        </w:rPr>
        <w:t xml:space="preserve">, the Commission approved a series of transactions involving, among other things, the merger of Equitable Gas Company LLC (Equitable) with Peoples Natural Gas and the operation of Equitable as an operating division of Peoples Natural Gas.  (2013 Equitable Settlement).  </w:t>
      </w:r>
      <w:r w:rsidRPr="00AD392C">
        <w:rPr>
          <w:i/>
          <w:iCs/>
          <w:sz w:val="26"/>
          <w:szCs w:val="26"/>
        </w:rPr>
        <w:t>Joint Application of Peoples Natural Gas Company LLC, Peoples TWP LLC, and Equitable Gas Company, LLC</w:t>
      </w:r>
      <w:r w:rsidRPr="00AD392C">
        <w:rPr>
          <w:sz w:val="26"/>
          <w:szCs w:val="26"/>
        </w:rPr>
        <w:t>, Docket Nos. A-2013-2353647, A-2013-2353649, and A-2013-2353651 (</w:t>
      </w:r>
      <w:r>
        <w:rPr>
          <w:sz w:val="26"/>
          <w:szCs w:val="26"/>
        </w:rPr>
        <w:t xml:space="preserve">Final </w:t>
      </w:r>
      <w:r w:rsidRPr="00AD392C">
        <w:rPr>
          <w:sz w:val="26"/>
          <w:szCs w:val="26"/>
        </w:rPr>
        <w:t xml:space="preserve">Order </w:t>
      </w:r>
      <w:r>
        <w:rPr>
          <w:sz w:val="26"/>
          <w:szCs w:val="26"/>
        </w:rPr>
        <w:t>e</w:t>
      </w:r>
      <w:r w:rsidRPr="00AD392C">
        <w:rPr>
          <w:sz w:val="26"/>
          <w:szCs w:val="26"/>
        </w:rPr>
        <w:t>ntered November 14, 2013</w:t>
      </w:r>
      <w:r w:rsidRPr="00AD392C">
        <w:rPr>
          <w:sz w:val="26"/>
          <w:szCs w:val="26"/>
        </w:rPr>
        <w:fldChar w:fldCharType="begin"/>
      </w:r>
      <w:r w:rsidRPr="00AD392C">
        <w:rPr>
          <w:sz w:val="26"/>
          <w:szCs w:val="26"/>
        </w:rPr>
        <w:instrText xml:space="preserve"> TA \l "</w:instrText>
      </w:r>
      <w:r w:rsidRPr="00AD392C">
        <w:rPr>
          <w:i/>
          <w:iCs/>
          <w:sz w:val="26"/>
          <w:szCs w:val="26"/>
        </w:rPr>
        <w:instrText>Joint Application of Peoples Natural Gas Company LLC, Peoples TWP LLC, and Equitable Gas Company, LLC for all of the Authority and the Necessary Certificates of Public Convenience (1) to transfer all of the Issued and Outstanding Limited Liability Company Membership Interest in Equitable Gas Company, LLC to PNG Companies LLC, (2) to Merge Equitable Gas Company, LLC with the Peoples Natural Gas Company, LLC. (3) to Transfer Certain Storage and Transmission Assets of Peoples Natural Gas Company, LLC to Affiliates of EQT Corporation, (4) to Transfer Certain Assets Between Equitable Gas Company, LLC and Affiliates of EQT Corporation, (5) for Approval of Certain Ownership Changes Associated with the Transaction, (6) for Approval of Certain Associated Gas Capacity and Supply Agreements, and (7) for Approval of Certain Changes in the Tariff of Peoples Natural Gas Company LLC.</w:instrText>
      </w:r>
      <w:r w:rsidRPr="00AD392C">
        <w:rPr>
          <w:sz w:val="26"/>
          <w:szCs w:val="26"/>
        </w:rPr>
        <w:instrText xml:space="preserve">, Docket Nos. A-2013-2353647, A-2013-2353649, and A-2013-2353651 (Order Entered Nov. 14, 2013" \s "Joint Application of Peoples Natural Gas Company LLC, Peoples TWP LLC, and Equitable Gas Company, LLC for all of the Authority and the Necessary Certificates of Public Convenience (1) to transfer all of the Issued and Outstanding Limited Liability Company" \c 3 </w:instrText>
      </w:r>
      <w:r w:rsidRPr="00AD392C">
        <w:rPr>
          <w:sz w:val="26"/>
          <w:szCs w:val="26"/>
        </w:rPr>
        <w:fldChar w:fldCharType="end"/>
      </w:r>
      <w:r w:rsidRPr="00AD392C">
        <w:rPr>
          <w:sz w:val="26"/>
          <w:szCs w:val="26"/>
        </w:rPr>
        <w:t>) (2013 Merger Application).</w:t>
      </w:r>
    </w:p>
  </w:footnote>
  <w:footnote w:id="8">
    <w:p w14:paraId="3DC95B4E" w14:textId="77777777" w:rsidR="00CE549B" w:rsidRPr="00AD392C" w:rsidRDefault="00CE549B" w:rsidP="00DA3C6B">
      <w:pPr>
        <w:pStyle w:val="FootnoteText"/>
        <w:keepNext/>
        <w:keepLines/>
        <w:spacing w:after="120"/>
        <w:ind w:firstLine="720"/>
        <w:rPr>
          <w:sz w:val="26"/>
          <w:szCs w:val="26"/>
        </w:rPr>
      </w:pPr>
      <w:r w:rsidRPr="00AD392C">
        <w:rPr>
          <w:rStyle w:val="FootnoteReference"/>
          <w:sz w:val="26"/>
          <w:szCs w:val="26"/>
        </w:rPr>
        <w:footnoteRef/>
      </w:r>
      <w:r w:rsidRPr="00AD392C">
        <w:rPr>
          <w:sz w:val="26"/>
          <w:szCs w:val="26"/>
        </w:rPr>
        <w:t xml:space="preserve"> </w:t>
      </w:r>
      <w:r w:rsidRPr="00AD392C">
        <w:rPr>
          <w:sz w:val="26"/>
          <w:szCs w:val="26"/>
        </w:rPr>
        <w:tab/>
        <w:t xml:space="preserve">The base price of $4.275 billion is subject to adjustment pursuant to the terms of the Purchase Agreement, principally for changes in place between the time the deal was executed and </w:t>
      </w:r>
      <w:r>
        <w:rPr>
          <w:sz w:val="26"/>
          <w:szCs w:val="26"/>
        </w:rPr>
        <w:t xml:space="preserve">the </w:t>
      </w:r>
      <w:r w:rsidRPr="00AD392C">
        <w:rPr>
          <w:sz w:val="26"/>
          <w:szCs w:val="26"/>
        </w:rPr>
        <w:t>closing of the Proposed Transaction.  Joint Applicants St. 2 at 4; Joint Applicants Exh. DJS-2, Public Appendix A-1.</w:t>
      </w:r>
    </w:p>
  </w:footnote>
  <w:footnote w:id="9">
    <w:p w14:paraId="70C09474" w14:textId="77777777" w:rsidR="00CE549B" w:rsidRPr="00AD392C" w:rsidRDefault="00CE549B" w:rsidP="00DA3C6B">
      <w:pPr>
        <w:pStyle w:val="FootnoteText"/>
        <w:keepNext/>
        <w:keepLines/>
        <w:spacing w:after="120"/>
        <w:ind w:firstLine="720"/>
        <w:rPr>
          <w:sz w:val="26"/>
          <w:szCs w:val="26"/>
        </w:rPr>
      </w:pPr>
      <w:r w:rsidRPr="00AD392C">
        <w:rPr>
          <w:rStyle w:val="FootnoteReference"/>
          <w:sz w:val="26"/>
          <w:szCs w:val="26"/>
        </w:rPr>
        <w:footnoteRef/>
      </w:r>
      <w:r w:rsidRPr="00AD392C">
        <w:rPr>
          <w:sz w:val="26"/>
          <w:szCs w:val="26"/>
        </w:rPr>
        <w:t xml:space="preserve"> </w:t>
      </w:r>
      <w:r w:rsidRPr="00AD392C">
        <w:rPr>
          <w:sz w:val="26"/>
          <w:szCs w:val="26"/>
        </w:rPr>
        <w:tab/>
        <w:t xml:space="preserve">Goodwill is an intangible asset that arises as a result of the acquisition of one company by another for a premium value.  The Joint Applicants acknowledge that the $4.275 billion base price exceeds the net book value of the assets that Aqua America will be purchasing by approximately $2 billion, based on year-end 2018 data.  I&amp;E Exh. 1, Sch. 9.  </w:t>
      </w:r>
    </w:p>
  </w:footnote>
  <w:footnote w:id="10">
    <w:p w14:paraId="270C0D2B" w14:textId="77777777" w:rsidR="00CE549B" w:rsidRPr="00DA3C6B" w:rsidRDefault="00CE549B" w:rsidP="00DA3C6B">
      <w:pPr>
        <w:pStyle w:val="FootnoteText"/>
        <w:keepNext/>
        <w:keepLines/>
        <w:spacing w:after="120"/>
        <w:ind w:firstLine="720"/>
        <w:rPr>
          <w:sz w:val="26"/>
          <w:szCs w:val="26"/>
        </w:rPr>
      </w:pPr>
      <w:r w:rsidRPr="00A13EAF">
        <w:rPr>
          <w:rStyle w:val="FootnoteReference"/>
          <w:sz w:val="26"/>
          <w:szCs w:val="26"/>
        </w:rPr>
        <w:footnoteRef/>
      </w:r>
      <w:r w:rsidRPr="00A13EAF">
        <w:rPr>
          <w:sz w:val="26"/>
          <w:szCs w:val="26"/>
        </w:rPr>
        <w:t xml:space="preserve"> </w:t>
      </w:r>
      <w:r w:rsidRPr="00A13EAF">
        <w:rPr>
          <w:sz w:val="26"/>
          <w:szCs w:val="26"/>
        </w:rPr>
        <w:tab/>
        <w:t>The NGS Parties consist of Dominion Energy Solutions, Inc. and Shipley Choice LLC d/b/a Shipley Energy.</w:t>
      </w:r>
    </w:p>
  </w:footnote>
  <w:footnote w:id="11">
    <w:p w14:paraId="0DED8494" w14:textId="24630FE2" w:rsidR="00CE549B" w:rsidRDefault="00CE549B" w:rsidP="00B24187">
      <w:pPr>
        <w:pStyle w:val="FootnoteText"/>
        <w:keepNext/>
        <w:keepLines/>
        <w:spacing w:after="120"/>
        <w:ind w:firstLine="720"/>
      </w:pPr>
      <w:r w:rsidRPr="00AD392C">
        <w:rPr>
          <w:rStyle w:val="FootnoteReference"/>
          <w:sz w:val="26"/>
          <w:szCs w:val="26"/>
        </w:rPr>
        <w:footnoteRef/>
      </w:r>
      <w:r w:rsidRPr="00AD392C">
        <w:rPr>
          <w:sz w:val="26"/>
          <w:szCs w:val="26"/>
        </w:rPr>
        <w:t xml:space="preserve"> </w:t>
      </w:r>
      <w:r w:rsidRPr="00AD392C">
        <w:rPr>
          <w:sz w:val="26"/>
          <w:szCs w:val="26"/>
        </w:rPr>
        <w:tab/>
        <w:t xml:space="preserve">U.S. Steel filed a Petition for Leave to Withdraw its Petition to Intervene on February 6, 2019, which was granted by Interim Order dated February 19, 2019.  </w:t>
      </w:r>
    </w:p>
  </w:footnote>
  <w:footnote w:id="12">
    <w:p w14:paraId="6C03E114" w14:textId="77777777" w:rsidR="00CE549B" w:rsidRPr="00B16D32" w:rsidRDefault="00CE549B" w:rsidP="00DA3C6B">
      <w:pPr>
        <w:pStyle w:val="FootnoteText"/>
        <w:keepNext/>
        <w:keepLines/>
        <w:spacing w:after="120"/>
        <w:rPr>
          <w:sz w:val="26"/>
        </w:rPr>
      </w:pPr>
      <w:r>
        <w:tab/>
      </w:r>
      <w:r w:rsidRPr="00B16D32">
        <w:rPr>
          <w:rStyle w:val="FootnoteReference"/>
          <w:sz w:val="26"/>
        </w:rPr>
        <w:footnoteRef/>
      </w:r>
      <w:r w:rsidRPr="00B16D32">
        <w:rPr>
          <w:sz w:val="26"/>
        </w:rPr>
        <w:t xml:space="preserve"> </w:t>
      </w:r>
      <w:r w:rsidRPr="00B16D32">
        <w:rPr>
          <w:sz w:val="26"/>
        </w:rPr>
        <w:tab/>
        <w:t>The Settlement terms will be described fully herein as they pertain to the contested issues in this proceeding.</w:t>
      </w:r>
    </w:p>
  </w:footnote>
  <w:footnote w:id="13">
    <w:p w14:paraId="6BDEA8C2" w14:textId="77777777" w:rsidR="00CE549B" w:rsidRPr="00AD392C" w:rsidRDefault="00CE549B" w:rsidP="00DA3C6B">
      <w:pPr>
        <w:pStyle w:val="FootnoteText"/>
        <w:keepNext/>
        <w:keepLines/>
        <w:spacing w:after="120"/>
        <w:ind w:firstLine="720"/>
        <w:rPr>
          <w:sz w:val="26"/>
          <w:szCs w:val="26"/>
        </w:rPr>
      </w:pPr>
      <w:r w:rsidRPr="00AD392C">
        <w:rPr>
          <w:rStyle w:val="FootnoteReference"/>
          <w:sz w:val="26"/>
          <w:szCs w:val="26"/>
        </w:rPr>
        <w:footnoteRef/>
      </w:r>
      <w:r w:rsidRPr="00AD392C">
        <w:rPr>
          <w:sz w:val="26"/>
          <w:szCs w:val="26"/>
        </w:rPr>
        <w:t xml:space="preserve"> </w:t>
      </w:r>
      <w:r w:rsidRPr="00AD392C">
        <w:rPr>
          <w:sz w:val="26"/>
          <w:szCs w:val="26"/>
        </w:rPr>
        <w:tab/>
        <w:t>The Joint Applicants and I&amp;E filed Public and Confidential versions of their Main Briefs; the OSBA filed Public, Confidential and Highly Confidential – Statutory Advocate Only versions.</w:t>
      </w:r>
    </w:p>
  </w:footnote>
  <w:footnote w:id="14">
    <w:p w14:paraId="57FD1B47" w14:textId="77777777" w:rsidR="00CE549B" w:rsidRPr="007D599A" w:rsidRDefault="00CE549B" w:rsidP="00DA3C6B">
      <w:pPr>
        <w:pStyle w:val="FootnoteText"/>
        <w:keepNext/>
        <w:keepLines/>
        <w:spacing w:after="120"/>
        <w:rPr>
          <w:sz w:val="26"/>
        </w:rPr>
      </w:pPr>
      <w:r>
        <w:tab/>
      </w:r>
      <w:r w:rsidRPr="007D599A">
        <w:rPr>
          <w:rStyle w:val="FootnoteReference"/>
          <w:sz w:val="26"/>
        </w:rPr>
        <w:footnoteRef/>
      </w:r>
      <w:r w:rsidRPr="007D599A">
        <w:rPr>
          <w:sz w:val="26"/>
        </w:rPr>
        <w:t xml:space="preserve"> </w:t>
      </w:r>
      <w:r w:rsidRPr="007D599A">
        <w:rPr>
          <w:sz w:val="26"/>
        </w:rPr>
        <w:tab/>
        <w:t xml:space="preserve">ALJ Long issued a Non-Proprietary and a </w:t>
      </w:r>
      <w:r>
        <w:rPr>
          <w:sz w:val="26"/>
        </w:rPr>
        <w:t xml:space="preserve">Highly Confidential – Statutory Advocates Only </w:t>
      </w:r>
      <w:r w:rsidRPr="007D599A">
        <w:rPr>
          <w:sz w:val="26"/>
        </w:rPr>
        <w:t xml:space="preserve">Proprietary Recommended Decision.  </w:t>
      </w:r>
    </w:p>
  </w:footnote>
  <w:footnote w:id="15">
    <w:p w14:paraId="240C55ED" w14:textId="0A280219" w:rsidR="00CE549B" w:rsidRPr="001C06B0" w:rsidRDefault="00CE549B" w:rsidP="00B24187">
      <w:pPr>
        <w:pStyle w:val="FootnoteText"/>
        <w:keepNext/>
        <w:keepLines/>
        <w:spacing w:after="120"/>
        <w:rPr>
          <w:sz w:val="26"/>
          <w:szCs w:val="26"/>
        </w:rPr>
      </w:pPr>
      <w:r>
        <w:tab/>
      </w:r>
      <w:r w:rsidRPr="001C06B0">
        <w:rPr>
          <w:rStyle w:val="FootnoteReference"/>
          <w:sz w:val="26"/>
        </w:rPr>
        <w:footnoteRef/>
      </w:r>
      <w:r w:rsidRPr="001C06B0">
        <w:rPr>
          <w:sz w:val="26"/>
        </w:rPr>
        <w:t xml:space="preserve"> </w:t>
      </w:r>
      <w:r w:rsidRPr="001C06B0">
        <w:rPr>
          <w:sz w:val="26"/>
        </w:rPr>
        <w:tab/>
      </w:r>
      <w:r w:rsidRPr="001C06B0">
        <w:rPr>
          <w:i/>
          <w:iCs/>
          <w:sz w:val="26"/>
          <w:szCs w:val="26"/>
        </w:rPr>
        <w:t>See Chester Water Authority v. Pa. P</w:t>
      </w:r>
      <w:r>
        <w:rPr>
          <w:i/>
          <w:iCs/>
          <w:sz w:val="26"/>
          <w:szCs w:val="26"/>
        </w:rPr>
        <w:t>UC</w:t>
      </w:r>
      <w:r w:rsidRPr="001C06B0">
        <w:rPr>
          <w:sz w:val="26"/>
          <w:szCs w:val="26"/>
        </w:rPr>
        <w:t xml:space="preserve">, 868 A.2d 384 (Pa. 2005); </w:t>
      </w:r>
      <w:r w:rsidRPr="001C06B0">
        <w:rPr>
          <w:i/>
          <w:iCs/>
          <w:sz w:val="26"/>
          <w:szCs w:val="26"/>
        </w:rPr>
        <w:t>Seaboard Tank Lines, Inc. v. Pa. P</w:t>
      </w:r>
      <w:r>
        <w:rPr>
          <w:i/>
          <w:iCs/>
          <w:sz w:val="26"/>
          <w:szCs w:val="26"/>
        </w:rPr>
        <w:t>UC</w:t>
      </w:r>
      <w:r w:rsidRPr="001C06B0">
        <w:rPr>
          <w:sz w:val="26"/>
          <w:szCs w:val="26"/>
        </w:rPr>
        <w:t>, 502 A.2d 262 (Pa.</w:t>
      </w:r>
      <w:r>
        <w:rPr>
          <w:sz w:val="26"/>
          <w:szCs w:val="26"/>
        </w:rPr>
        <w:t xml:space="preserve"> </w:t>
      </w:r>
      <w:r w:rsidRPr="001C06B0">
        <w:rPr>
          <w:sz w:val="26"/>
          <w:szCs w:val="26"/>
        </w:rPr>
        <w:t>Cmwlth. 1985).</w:t>
      </w:r>
    </w:p>
  </w:footnote>
  <w:footnote w:id="16">
    <w:p w14:paraId="3AE80360" w14:textId="77777777" w:rsidR="00CE549B" w:rsidRDefault="00CE549B" w:rsidP="00DA3C6B">
      <w:pPr>
        <w:pStyle w:val="FootnoteText"/>
        <w:keepNext/>
        <w:keepLines/>
        <w:spacing w:after="120"/>
      </w:pPr>
      <w:r>
        <w:tab/>
      </w:r>
      <w:r w:rsidRPr="00CE549B">
        <w:rPr>
          <w:rStyle w:val="FootnoteReference"/>
          <w:sz w:val="26"/>
          <w:szCs w:val="26"/>
        </w:rPr>
        <w:footnoteRef/>
      </w:r>
      <w:r w:rsidRPr="00CE549B">
        <w:rPr>
          <w:sz w:val="26"/>
          <w:szCs w:val="26"/>
        </w:rPr>
        <w:t xml:space="preserve"> </w:t>
      </w:r>
      <w:r>
        <w:tab/>
      </w:r>
      <w:r w:rsidRPr="00CE7304">
        <w:rPr>
          <w:sz w:val="26"/>
          <w:szCs w:val="26"/>
        </w:rPr>
        <w:t>R.D. at 40.</w:t>
      </w:r>
    </w:p>
  </w:footnote>
  <w:footnote w:id="17">
    <w:p w14:paraId="71D63E82" w14:textId="77777777" w:rsidR="00CE549B" w:rsidRPr="00AD392C" w:rsidRDefault="00CE549B" w:rsidP="00DA3C6B">
      <w:pPr>
        <w:pStyle w:val="FootnoteText"/>
        <w:keepNext/>
        <w:keepLines/>
        <w:spacing w:after="120"/>
        <w:ind w:firstLine="720"/>
        <w:rPr>
          <w:sz w:val="26"/>
          <w:szCs w:val="26"/>
        </w:rPr>
      </w:pPr>
      <w:r w:rsidRPr="00AD392C">
        <w:rPr>
          <w:rStyle w:val="FootnoteReference"/>
          <w:sz w:val="26"/>
          <w:szCs w:val="26"/>
        </w:rPr>
        <w:footnoteRef/>
      </w:r>
      <w:r w:rsidRPr="00AD392C">
        <w:rPr>
          <w:sz w:val="26"/>
          <w:szCs w:val="26"/>
        </w:rPr>
        <w:t xml:space="preserve"> </w:t>
      </w:r>
      <w:r w:rsidRPr="00AD392C">
        <w:rPr>
          <w:sz w:val="26"/>
          <w:szCs w:val="26"/>
        </w:rPr>
        <w:tab/>
      </w:r>
      <w:bookmarkStart w:id="52" w:name="_Hlk27556966"/>
      <w:r w:rsidRPr="00AD392C">
        <w:rPr>
          <w:i/>
          <w:iCs/>
          <w:sz w:val="26"/>
          <w:szCs w:val="26"/>
        </w:rPr>
        <w:t>Pa. PUC, et al. v. Equitable Gas Company, LLC</w:t>
      </w:r>
      <w:r w:rsidRPr="00AD392C">
        <w:rPr>
          <w:sz w:val="26"/>
          <w:szCs w:val="26"/>
        </w:rPr>
        <w:t>, Docket Nos. R-2012-2312577, G-2012-2312597, and C-2012-2315323 (Order entered April 4, 2013).</w:t>
      </w:r>
      <w:bookmarkEnd w:id="52"/>
    </w:p>
  </w:footnote>
  <w:footnote w:id="18">
    <w:p w14:paraId="4328E9C0" w14:textId="77777777" w:rsidR="00CE549B" w:rsidRPr="00AD392C" w:rsidRDefault="00CE549B" w:rsidP="00DA3C6B">
      <w:pPr>
        <w:pStyle w:val="FootnoteText"/>
        <w:keepNext/>
        <w:keepLines/>
        <w:spacing w:after="120"/>
        <w:ind w:firstLine="720"/>
        <w:rPr>
          <w:sz w:val="26"/>
          <w:szCs w:val="26"/>
        </w:rPr>
      </w:pPr>
      <w:r w:rsidRPr="00AD392C">
        <w:rPr>
          <w:rStyle w:val="FootnoteReference"/>
          <w:sz w:val="26"/>
          <w:szCs w:val="26"/>
        </w:rPr>
        <w:footnoteRef/>
      </w:r>
      <w:r w:rsidRPr="00AD392C">
        <w:rPr>
          <w:sz w:val="26"/>
          <w:szCs w:val="26"/>
        </w:rPr>
        <w:t xml:space="preserve"> </w:t>
      </w:r>
      <w:r w:rsidRPr="00AD392C">
        <w:rPr>
          <w:sz w:val="26"/>
          <w:szCs w:val="26"/>
        </w:rPr>
        <w:tab/>
      </w:r>
      <w:r>
        <w:rPr>
          <w:sz w:val="26"/>
          <w:szCs w:val="26"/>
        </w:rPr>
        <w:t>We</w:t>
      </w:r>
      <w:r w:rsidRPr="00AD392C">
        <w:rPr>
          <w:sz w:val="26"/>
          <w:szCs w:val="26"/>
        </w:rPr>
        <w:t xml:space="preserve"> note that these levels of UFG do not necessarily indicate that the entirety of losses are due to leakage.  </w:t>
      </w:r>
      <w:r>
        <w:rPr>
          <w:sz w:val="26"/>
          <w:szCs w:val="26"/>
        </w:rPr>
        <w:t>In response to PIOGA’s request in this proceeding to describe all reasons for the high levels of UFG on the G/T Systems, the Peoples Companies provided the following: “leaks, inaccurate measurement, theft, valves that don’t seal, check valves that are not working or have been drilled, among other things.”  PIOGA Exh. DW-2.</w:t>
      </w:r>
    </w:p>
  </w:footnote>
  <w:footnote w:id="19">
    <w:p w14:paraId="139C5394" w14:textId="77777777" w:rsidR="00CE549B" w:rsidRPr="00AD392C" w:rsidRDefault="00CE549B" w:rsidP="00DA3C6B">
      <w:pPr>
        <w:pStyle w:val="FootnoteText"/>
        <w:keepNext/>
        <w:keepLines/>
        <w:spacing w:after="120"/>
        <w:ind w:firstLine="720"/>
        <w:rPr>
          <w:sz w:val="26"/>
          <w:szCs w:val="26"/>
        </w:rPr>
      </w:pPr>
      <w:r w:rsidRPr="00AD392C">
        <w:rPr>
          <w:rStyle w:val="FootnoteReference"/>
          <w:sz w:val="26"/>
          <w:szCs w:val="26"/>
        </w:rPr>
        <w:footnoteRef/>
      </w:r>
      <w:r w:rsidRPr="00AD392C">
        <w:rPr>
          <w:sz w:val="26"/>
          <w:szCs w:val="26"/>
        </w:rPr>
        <w:t xml:space="preserve"> </w:t>
      </w:r>
      <w:r w:rsidRPr="00AD392C">
        <w:rPr>
          <w:sz w:val="26"/>
          <w:szCs w:val="26"/>
        </w:rPr>
        <w:tab/>
        <w:t>PNG Gathering is a non-utility entity and is an affiliated sister company of the Peoples Companies.  Even though the Peoples Companies do not own the G/T Systems as a result of the 2013 Equitable Settlement, Peoples Natural Gas became responsible for the ongoing operation and management of the G/T Systems.</w:t>
      </w:r>
    </w:p>
  </w:footnote>
  <w:footnote w:id="20">
    <w:p w14:paraId="6F3F0CA9" w14:textId="77777777" w:rsidR="00CE549B" w:rsidRPr="00AD392C" w:rsidRDefault="00CE549B" w:rsidP="00DA3C6B">
      <w:pPr>
        <w:pStyle w:val="FootnoteText"/>
        <w:keepNext/>
        <w:keepLines/>
        <w:spacing w:after="120"/>
        <w:ind w:firstLine="720"/>
        <w:rPr>
          <w:sz w:val="26"/>
          <w:szCs w:val="26"/>
        </w:rPr>
      </w:pPr>
      <w:r w:rsidRPr="00AD392C">
        <w:rPr>
          <w:rStyle w:val="FootnoteReference"/>
          <w:sz w:val="26"/>
          <w:szCs w:val="26"/>
        </w:rPr>
        <w:footnoteRef/>
      </w:r>
      <w:r w:rsidRPr="00AD392C">
        <w:rPr>
          <w:sz w:val="26"/>
          <w:szCs w:val="26"/>
        </w:rPr>
        <w:t xml:space="preserve"> </w:t>
      </w:r>
      <w:r w:rsidRPr="00AD392C">
        <w:rPr>
          <w:sz w:val="26"/>
          <w:szCs w:val="26"/>
        </w:rPr>
        <w:tab/>
        <w:t xml:space="preserve">The first scenario contemplated retaining the entirety of both gathering systems and maintaining services to all existing customers at an estimated total capital cost of $127 million.  The second scenario contemplated retaining only the main G/T trunk line systems at a total capital cost of approximately $44.3 million.  Under the second scenario, 251 miles of pipeline would be abandoned, and 560 customers would be converted to an alternative fuel at an estimated cost of $3.4 million.  The third scenario contemplated retaining only the northern most section of the Tombaugh System, which contains the highest concentration of customers.  Under the third scenario, 66 miles of pipeline and 723 customers would be retained at a cost of $15.8 million, </w:t>
      </w:r>
      <w:bookmarkStart w:id="58" w:name="_Hlk26872731"/>
      <w:r w:rsidRPr="00AD392C">
        <w:rPr>
          <w:sz w:val="26"/>
          <w:szCs w:val="26"/>
        </w:rPr>
        <w:t>325 miles of pipelines would be abandoned, and 972 customers would be converted to an alternative fuel</w:t>
      </w:r>
      <w:bookmarkEnd w:id="58"/>
      <w:r w:rsidRPr="00AD392C">
        <w:rPr>
          <w:sz w:val="26"/>
          <w:szCs w:val="26"/>
        </w:rPr>
        <w:t xml:space="preserve"> at an estimated cost of $5.8 million.  Joint Applicants St. 6-R at 8-11.  </w:t>
      </w:r>
    </w:p>
  </w:footnote>
  <w:footnote w:id="21">
    <w:p w14:paraId="60D59C90" w14:textId="77777777" w:rsidR="00CE549B" w:rsidRPr="00AD392C" w:rsidRDefault="00CE549B" w:rsidP="00DA3C6B">
      <w:pPr>
        <w:pStyle w:val="FootnoteText"/>
        <w:keepNext/>
        <w:keepLines/>
        <w:spacing w:after="120"/>
        <w:ind w:firstLine="720"/>
        <w:rPr>
          <w:sz w:val="26"/>
          <w:szCs w:val="26"/>
        </w:rPr>
      </w:pPr>
      <w:r w:rsidRPr="00AD392C">
        <w:rPr>
          <w:rStyle w:val="FootnoteReference"/>
          <w:sz w:val="26"/>
          <w:szCs w:val="26"/>
        </w:rPr>
        <w:footnoteRef/>
      </w:r>
      <w:r w:rsidRPr="00AD392C">
        <w:rPr>
          <w:sz w:val="26"/>
          <w:szCs w:val="26"/>
        </w:rPr>
        <w:t xml:space="preserve"> </w:t>
      </w:r>
      <w:r w:rsidRPr="00AD392C">
        <w:rPr>
          <w:sz w:val="26"/>
          <w:szCs w:val="26"/>
        </w:rPr>
        <w:tab/>
        <w:t>In this case, it is quantified as an increase of 1%, or $1.00, in a residential customer’s monthly bill required to complete the necessary rehabilitation of the G/T Systems.</w:t>
      </w:r>
    </w:p>
  </w:footnote>
  <w:footnote w:id="22">
    <w:p w14:paraId="7DE4332D" w14:textId="77777777" w:rsidR="00CE549B" w:rsidRPr="00AD392C" w:rsidRDefault="00CE549B" w:rsidP="00DA3C6B">
      <w:pPr>
        <w:keepNext/>
        <w:keepLines/>
        <w:widowControl/>
        <w:spacing w:after="120"/>
        <w:ind w:firstLine="720"/>
        <w:rPr>
          <w:sz w:val="26"/>
          <w:szCs w:val="26"/>
        </w:rPr>
      </w:pPr>
      <w:r w:rsidRPr="00AD392C">
        <w:rPr>
          <w:rStyle w:val="FootnoteReference"/>
          <w:sz w:val="26"/>
          <w:szCs w:val="26"/>
        </w:rPr>
        <w:footnoteRef/>
      </w:r>
      <w:r w:rsidRPr="00AD392C">
        <w:rPr>
          <w:sz w:val="26"/>
          <w:szCs w:val="26"/>
        </w:rPr>
        <w:t xml:space="preserve"> </w:t>
      </w:r>
      <w:r w:rsidRPr="00AD392C">
        <w:rPr>
          <w:sz w:val="26"/>
          <w:szCs w:val="26"/>
        </w:rPr>
        <w:tab/>
        <w:t>Abandonment of service requires the filing of an application for a certificate of public convenience under Section 1102(a)(2) of the Code.  66 Pa. C.S. § 1102(a)(2).  As part of that application, Peoples Natural Gas would bear the burden to prove that abandonment of each of the 972 customers is “necessary or proper for the service, accommodation, convenience, or safety of the public.”  66 Pa. C.S. § 1103.</w:t>
      </w:r>
    </w:p>
  </w:footnote>
  <w:footnote w:id="23">
    <w:p w14:paraId="368C30A5" w14:textId="77777777" w:rsidR="00CE549B" w:rsidRPr="00AD392C" w:rsidRDefault="00CE549B" w:rsidP="00DA3C6B">
      <w:pPr>
        <w:pStyle w:val="FootnoteText"/>
        <w:keepNext/>
        <w:keepLines/>
        <w:spacing w:after="120"/>
        <w:ind w:firstLine="720"/>
        <w:rPr>
          <w:sz w:val="26"/>
          <w:szCs w:val="26"/>
        </w:rPr>
      </w:pPr>
      <w:r w:rsidRPr="00AD392C">
        <w:rPr>
          <w:rStyle w:val="FootnoteReference"/>
          <w:sz w:val="26"/>
          <w:szCs w:val="26"/>
        </w:rPr>
        <w:footnoteRef/>
      </w:r>
      <w:r w:rsidRPr="00AD392C">
        <w:rPr>
          <w:sz w:val="26"/>
          <w:szCs w:val="26"/>
        </w:rPr>
        <w:t xml:space="preserve"> </w:t>
      </w:r>
      <w:r w:rsidRPr="00AD392C">
        <w:rPr>
          <w:sz w:val="26"/>
          <w:szCs w:val="26"/>
        </w:rPr>
        <w:tab/>
        <w:t>The OSBA’s Main Brief explained the calculations contained in Joint Applicants Exh. JAG-3R as follows:</w:t>
      </w:r>
    </w:p>
    <w:p w14:paraId="3B3307FA" w14:textId="77777777" w:rsidR="00CE549B" w:rsidRPr="00AD392C" w:rsidRDefault="00CE549B" w:rsidP="00DA3C6B">
      <w:pPr>
        <w:pStyle w:val="FootnoteText"/>
        <w:keepNext/>
        <w:keepLines/>
        <w:spacing w:after="120"/>
        <w:ind w:firstLine="720"/>
        <w:rPr>
          <w:sz w:val="26"/>
          <w:szCs w:val="26"/>
        </w:rPr>
      </w:pPr>
    </w:p>
    <w:p w14:paraId="2FC5DA16" w14:textId="77777777" w:rsidR="00CE549B" w:rsidRPr="00AD392C" w:rsidRDefault="00CE549B" w:rsidP="00DA3C6B">
      <w:pPr>
        <w:keepNext/>
        <w:keepLines/>
        <w:widowControl/>
        <w:spacing w:after="120"/>
        <w:ind w:left="1440" w:right="1440"/>
        <w:rPr>
          <w:sz w:val="26"/>
          <w:szCs w:val="26"/>
        </w:rPr>
      </w:pPr>
      <w:r w:rsidRPr="00AD392C">
        <w:rPr>
          <w:sz w:val="26"/>
          <w:szCs w:val="26"/>
        </w:rPr>
        <w:t xml:space="preserve">Peoples analyzed the cost of replacing the entire G/T Systems.  Based upon that analysis, Peoples estimated that, for a full system replacement of the G/T Systems, it would cost $121.6 million, avoid costs of $10.2 million by converting G/T Systems customers to </w:t>
      </w:r>
      <w:r>
        <w:rPr>
          <w:sz w:val="26"/>
          <w:szCs w:val="26"/>
        </w:rPr>
        <w:t>p</w:t>
      </w:r>
      <w:r w:rsidRPr="00AD392C">
        <w:rPr>
          <w:sz w:val="26"/>
          <w:szCs w:val="26"/>
        </w:rPr>
        <w:t xml:space="preserve">ropane, and create an additional rate base investment supported by revenues of $17 million.  Therefore, the cost of full system replacement ($121.6 million), </w:t>
      </w:r>
      <w:r w:rsidRPr="00AD392C">
        <w:rPr>
          <w:i/>
          <w:sz w:val="26"/>
          <w:szCs w:val="26"/>
        </w:rPr>
        <w:t>less</w:t>
      </w:r>
      <w:r w:rsidRPr="00AD392C">
        <w:rPr>
          <w:sz w:val="26"/>
          <w:szCs w:val="26"/>
        </w:rPr>
        <w:t xml:space="preserve"> avoided costs ($10.2 million), </w:t>
      </w:r>
      <w:r w:rsidRPr="00AD392C">
        <w:rPr>
          <w:i/>
          <w:sz w:val="26"/>
          <w:szCs w:val="26"/>
        </w:rPr>
        <w:t>less</w:t>
      </w:r>
      <w:r w:rsidRPr="00AD392C">
        <w:rPr>
          <w:sz w:val="26"/>
          <w:szCs w:val="26"/>
        </w:rPr>
        <w:t xml:space="preserve"> the benefit of additional rate base ($17 million), and </w:t>
      </w:r>
      <w:r w:rsidRPr="00AD392C">
        <w:rPr>
          <w:i/>
          <w:sz w:val="26"/>
          <w:szCs w:val="26"/>
        </w:rPr>
        <w:t>less</w:t>
      </w:r>
      <w:r w:rsidRPr="00AD392C">
        <w:rPr>
          <w:sz w:val="26"/>
          <w:szCs w:val="26"/>
        </w:rPr>
        <w:t xml:space="preserve"> the remaining contribution from Equitable required by the 2013 Peoples/Equitable Settlement ($2.7 million) would result in $91.7 million in costs to be recovered from ratepayers for full G/T Systems replacement after it is placed into rate base.</w:t>
      </w:r>
    </w:p>
    <w:p w14:paraId="544C56C8" w14:textId="77777777" w:rsidR="00CE549B" w:rsidRPr="00AD392C" w:rsidRDefault="00CE549B" w:rsidP="00DA3C6B">
      <w:pPr>
        <w:keepNext/>
        <w:keepLines/>
        <w:widowControl/>
        <w:spacing w:after="120"/>
        <w:ind w:right="1440"/>
        <w:rPr>
          <w:sz w:val="26"/>
          <w:szCs w:val="26"/>
        </w:rPr>
      </w:pPr>
    </w:p>
    <w:p w14:paraId="0FAA19DD" w14:textId="77777777" w:rsidR="00CE549B" w:rsidRPr="00AD392C" w:rsidRDefault="00CE549B" w:rsidP="00DA3C6B">
      <w:pPr>
        <w:keepNext/>
        <w:keepLines/>
        <w:widowControl/>
        <w:spacing w:after="120"/>
        <w:ind w:right="1440"/>
        <w:rPr>
          <w:sz w:val="26"/>
          <w:szCs w:val="26"/>
        </w:rPr>
      </w:pPr>
      <w:r w:rsidRPr="00AD392C">
        <w:rPr>
          <w:sz w:val="26"/>
          <w:szCs w:val="26"/>
        </w:rPr>
        <w:t>OSBA M.B. at 22-23.</w:t>
      </w:r>
    </w:p>
    <w:p w14:paraId="0BAEF9A5" w14:textId="77777777" w:rsidR="00CE549B" w:rsidRPr="00AD392C" w:rsidRDefault="00CE549B" w:rsidP="00DA3C6B">
      <w:pPr>
        <w:pStyle w:val="FootnoteText"/>
        <w:keepNext/>
        <w:keepLines/>
        <w:spacing w:after="120"/>
        <w:rPr>
          <w:sz w:val="26"/>
          <w:szCs w:val="26"/>
        </w:rPr>
      </w:pPr>
    </w:p>
  </w:footnote>
  <w:footnote w:id="24">
    <w:p w14:paraId="52ABF7EC" w14:textId="77777777" w:rsidR="00CE549B" w:rsidRPr="00AD392C" w:rsidRDefault="00CE549B" w:rsidP="00DA3C6B">
      <w:pPr>
        <w:pStyle w:val="FootnoteText"/>
        <w:keepNext/>
        <w:keepLines/>
        <w:spacing w:after="120"/>
        <w:ind w:firstLine="720"/>
        <w:rPr>
          <w:sz w:val="26"/>
          <w:szCs w:val="26"/>
        </w:rPr>
      </w:pPr>
      <w:r w:rsidRPr="00AD392C">
        <w:rPr>
          <w:rStyle w:val="FootnoteReference"/>
          <w:sz w:val="26"/>
          <w:szCs w:val="26"/>
        </w:rPr>
        <w:footnoteRef/>
      </w:r>
      <w:r w:rsidRPr="00AD392C">
        <w:rPr>
          <w:sz w:val="26"/>
          <w:szCs w:val="26"/>
        </w:rPr>
        <w:t xml:space="preserve"> </w:t>
      </w:r>
      <w:r w:rsidRPr="00AD392C">
        <w:rPr>
          <w:sz w:val="26"/>
          <w:szCs w:val="26"/>
        </w:rPr>
        <w:tab/>
        <w:t>Joint Applicants Exhibit JAG-2R indicated an annual depreciation rate of 1.59 percent being applied to the capital investment in the G/T Systems, implying a recovery period of approximately 63 years (1/0.159).</w:t>
      </w:r>
    </w:p>
  </w:footnote>
  <w:footnote w:id="25">
    <w:p w14:paraId="2A52EF6E" w14:textId="77777777" w:rsidR="00CE549B" w:rsidRDefault="00CE549B" w:rsidP="00DA3C6B">
      <w:pPr>
        <w:pStyle w:val="FootnoteText"/>
        <w:keepNext/>
        <w:keepLines/>
        <w:spacing w:after="120"/>
        <w:ind w:firstLine="720"/>
        <w:rPr>
          <w:sz w:val="26"/>
          <w:szCs w:val="26"/>
        </w:rPr>
      </w:pPr>
      <w:r w:rsidRPr="006C7F58">
        <w:rPr>
          <w:rStyle w:val="FootnoteReference"/>
          <w:sz w:val="26"/>
          <w:szCs w:val="26"/>
        </w:rPr>
        <w:footnoteRef/>
      </w:r>
      <w:r w:rsidRPr="006C7F58">
        <w:rPr>
          <w:sz w:val="26"/>
          <w:szCs w:val="26"/>
        </w:rPr>
        <w:t xml:space="preserve"> </w:t>
      </w:r>
      <w:r>
        <w:rPr>
          <w:sz w:val="26"/>
          <w:szCs w:val="26"/>
        </w:rPr>
        <w:tab/>
      </w:r>
      <w:r w:rsidRPr="006C7F58">
        <w:rPr>
          <w:sz w:val="26"/>
          <w:szCs w:val="26"/>
        </w:rPr>
        <w:t>I&amp;E shares this concern, expressed within I&amp;E Exception No. 2</w:t>
      </w:r>
      <w:r>
        <w:rPr>
          <w:sz w:val="26"/>
          <w:szCs w:val="26"/>
        </w:rPr>
        <w:t>,</w:t>
      </w:r>
      <w:r w:rsidRPr="006C7F58">
        <w:rPr>
          <w:sz w:val="26"/>
          <w:szCs w:val="26"/>
        </w:rPr>
        <w:t xml:space="preserve"> as follows:</w:t>
      </w:r>
    </w:p>
    <w:p w14:paraId="4AB80881" w14:textId="77777777" w:rsidR="00CE549B" w:rsidRDefault="00CE549B" w:rsidP="00DA3C6B">
      <w:pPr>
        <w:pStyle w:val="FootnoteText"/>
        <w:keepNext/>
        <w:keepLines/>
        <w:spacing w:after="120"/>
        <w:ind w:firstLine="720"/>
        <w:rPr>
          <w:sz w:val="26"/>
          <w:szCs w:val="26"/>
        </w:rPr>
      </w:pPr>
    </w:p>
    <w:p w14:paraId="112B29E3" w14:textId="77777777" w:rsidR="00CE549B" w:rsidRDefault="00CE549B" w:rsidP="00DA3C6B">
      <w:pPr>
        <w:pStyle w:val="FootnoteText"/>
        <w:keepNext/>
        <w:keepLines/>
        <w:spacing w:after="120"/>
        <w:ind w:left="1440" w:right="1440"/>
        <w:rPr>
          <w:sz w:val="26"/>
          <w:szCs w:val="26"/>
        </w:rPr>
      </w:pPr>
      <w:r>
        <w:rPr>
          <w:sz w:val="26"/>
          <w:szCs w:val="26"/>
        </w:rPr>
        <w:t>And to be clear, I&amp;E believes that the $120 million estimate for full replacement, a cost of approximately $326,090 per mile ($120 million / 368 miles), contained in the Settlement is artificially low…I&amp;E has estimated the [G/T Systems] replacement cost to be $184 million to $368 million based on a replacement cost of $500,000 to $1,000,000 per mile, which appears to be conservative given that Peoples reported that its investment in mains and services in its most recent LTIIP was approximately $1,273,000 per mile in 2017, $1,323,000 per mile in 2018, and $1,317,000 per mile in 2019.</w:t>
      </w:r>
    </w:p>
    <w:p w14:paraId="3FF2A7F5" w14:textId="77777777" w:rsidR="00CE549B" w:rsidRDefault="00CE549B" w:rsidP="00DA3C6B">
      <w:pPr>
        <w:pStyle w:val="FootnoteText"/>
        <w:keepNext/>
        <w:keepLines/>
        <w:spacing w:after="120"/>
        <w:ind w:right="1440"/>
        <w:rPr>
          <w:sz w:val="26"/>
          <w:szCs w:val="26"/>
        </w:rPr>
      </w:pPr>
    </w:p>
    <w:p w14:paraId="5B222836" w14:textId="77777777" w:rsidR="00CE549B" w:rsidRPr="006C7F58" w:rsidRDefault="00CE549B" w:rsidP="00DA3C6B">
      <w:pPr>
        <w:pStyle w:val="FootnoteText"/>
        <w:keepNext/>
        <w:keepLines/>
        <w:spacing w:after="120"/>
        <w:ind w:right="1440"/>
        <w:rPr>
          <w:sz w:val="26"/>
          <w:szCs w:val="26"/>
        </w:rPr>
      </w:pPr>
      <w:r>
        <w:rPr>
          <w:sz w:val="26"/>
          <w:szCs w:val="26"/>
        </w:rPr>
        <w:t>I&amp;E Exc. at 8-9.</w:t>
      </w:r>
    </w:p>
    <w:p w14:paraId="486D8106" w14:textId="77777777" w:rsidR="00CE549B" w:rsidRDefault="00CE549B" w:rsidP="00DA3C6B">
      <w:pPr>
        <w:pStyle w:val="FootnoteText"/>
        <w:keepNext/>
        <w:keepLines/>
        <w:spacing w:after="120"/>
      </w:pPr>
    </w:p>
  </w:footnote>
  <w:footnote w:id="26">
    <w:p w14:paraId="2BFBA21E" w14:textId="06AEEDE7" w:rsidR="00CE549B" w:rsidRPr="00DD7777" w:rsidRDefault="00CE549B" w:rsidP="00DA3C6B">
      <w:pPr>
        <w:pStyle w:val="FootnoteText"/>
        <w:keepNext/>
        <w:keepLines/>
        <w:spacing w:after="120"/>
        <w:ind w:firstLine="720"/>
        <w:rPr>
          <w:sz w:val="26"/>
          <w:szCs w:val="26"/>
        </w:rPr>
      </w:pPr>
      <w:r w:rsidRPr="00DD7777">
        <w:rPr>
          <w:rStyle w:val="FootnoteReference"/>
          <w:sz w:val="26"/>
          <w:szCs w:val="26"/>
        </w:rPr>
        <w:footnoteRef/>
      </w:r>
      <w:r w:rsidRPr="00DD7777">
        <w:rPr>
          <w:sz w:val="26"/>
          <w:szCs w:val="26"/>
        </w:rPr>
        <w:t xml:space="preserve"> </w:t>
      </w:r>
      <w:r>
        <w:rPr>
          <w:sz w:val="26"/>
          <w:szCs w:val="26"/>
        </w:rPr>
        <w:tab/>
      </w:r>
      <w:r w:rsidRPr="00DD7777">
        <w:rPr>
          <w:sz w:val="26"/>
          <w:szCs w:val="26"/>
        </w:rPr>
        <w:t>It has been acknowledged that commitments to accelerate pipeline replacement</w:t>
      </w:r>
      <w:r>
        <w:rPr>
          <w:sz w:val="26"/>
          <w:szCs w:val="26"/>
        </w:rPr>
        <w:t>s</w:t>
      </w:r>
      <w:r w:rsidRPr="00DD7777">
        <w:rPr>
          <w:sz w:val="26"/>
          <w:szCs w:val="26"/>
        </w:rPr>
        <w:t xml:space="preserve">, such as </w:t>
      </w:r>
      <w:r>
        <w:rPr>
          <w:sz w:val="26"/>
          <w:szCs w:val="26"/>
        </w:rPr>
        <w:t xml:space="preserve">those in </w:t>
      </w:r>
      <w:r w:rsidRPr="00DD7777">
        <w:rPr>
          <w:sz w:val="26"/>
          <w:szCs w:val="26"/>
        </w:rPr>
        <w:t>the Settlement</w:t>
      </w:r>
      <w:r>
        <w:rPr>
          <w:sz w:val="26"/>
          <w:szCs w:val="26"/>
        </w:rPr>
        <w:t xml:space="preserve"> </w:t>
      </w:r>
      <w:r w:rsidRPr="00DD7777">
        <w:rPr>
          <w:sz w:val="26"/>
          <w:szCs w:val="26"/>
        </w:rPr>
        <w:t>regarding the G/T Systems, require increased access to capital above what SteelRiver has provided and that Aqua America has provided evidence that it has that increased access</w:t>
      </w:r>
      <w:r>
        <w:rPr>
          <w:sz w:val="26"/>
          <w:szCs w:val="26"/>
        </w:rPr>
        <w:t xml:space="preserve"> to capital</w:t>
      </w:r>
      <w:r w:rsidRPr="00DD7777">
        <w:rPr>
          <w:sz w:val="26"/>
          <w:szCs w:val="26"/>
        </w:rPr>
        <w:t>.  Joint Applicants R.B. at</w:t>
      </w:r>
      <w:r>
        <w:rPr>
          <w:sz w:val="26"/>
          <w:szCs w:val="26"/>
        </w:rPr>
        <w:t> </w:t>
      </w:r>
      <w:r w:rsidRPr="00DD7777">
        <w:rPr>
          <w:sz w:val="26"/>
          <w:szCs w:val="26"/>
        </w:rPr>
        <w:t xml:space="preserve">23.  </w:t>
      </w:r>
    </w:p>
  </w:footnote>
  <w:footnote w:id="27">
    <w:p w14:paraId="6F8711B1" w14:textId="77777777" w:rsidR="00CE549B" w:rsidRPr="002A707D" w:rsidRDefault="00CE549B" w:rsidP="00DA3C6B">
      <w:pPr>
        <w:pStyle w:val="FootnoteText"/>
        <w:keepNext/>
        <w:keepLines/>
        <w:spacing w:after="120"/>
        <w:rPr>
          <w:sz w:val="26"/>
        </w:rPr>
      </w:pPr>
      <w:r>
        <w:tab/>
      </w:r>
      <w:r w:rsidRPr="002A707D">
        <w:rPr>
          <w:rStyle w:val="FootnoteReference"/>
          <w:sz w:val="26"/>
        </w:rPr>
        <w:footnoteRef/>
      </w:r>
      <w:r w:rsidRPr="002A707D">
        <w:rPr>
          <w:sz w:val="26"/>
        </w:rPr>
        <w:t xml:space="preserve"> </w:t>
      </w:r>
      <w:r w:rsidRPr="002A707D">
        <w:rPr>
          <w:sz w:val="26"/>
        </w:rPr>
        <w:tab/>
        <w:t>As we are denying I&amp;E</w:t>
      </w:r>
      <w:r>
        <w:rPr>
          <w:sz w:val="26"/>
        </w:rPr>
        <w:t>’s</w:t>
      </w:r>
      <w:r w:rsidRPr="002A707D">
        <w:rPr>
          <w:sz w:val="26"/>
        </w:rPr>
        <w:t xml:space="preserve"> proposed condition related to the $127 million “exit fee”</w:t>
      </w:r>
      <w:r>
        <w:rPr>
          <w:sz w:val="26"/>
        </w:rPr>
        <w:t>,</w:t>
      </w:r>
      <w:r w:rsidRPr="002A707D">
        <w:rPr>
          <w:sz w:val="26"/>
        </w:rPr>
        <w:t xml:space="preserve"> we need not address in great detail each of the Joint Applicants’ arguments in opposition to the $127 million fee.    </w:t>
      </w:r>
    </w:p>
  </w:footnote>
  <w:footnote w:id="28">
    <w:p w14:paraId="2BBEA75E" w14:textId="26E3F815" w:rsidR="00CE549B" w:rsidRPr="008F5FE9" w:rsidRDefault="00CE549B" w:rsidP="00DA3C6B">
      <w:pPr>
        <w:pStyle w:val="FootnoteText"/>
        <w:keepNext/>
        <w:keepLines/>
        <w:spacing w:after="120"/>
        <w:rPr>
          <w:sz w:val="26"/>
          <w:szCs w:val="26"/>
        </w:rPr>
      </w:pPr>
      <w:r>
        <w:rPr>
          <w:sz w:val="26"/>
          <w:szCs w:val="26"/>
        </w:rPr>
        <w:tab/>
      </w:r>
      <w:r w:rsidRPr="008F5FE9">
        <w:rPr>
          <w:rStyle w:val="FootnoteReference"/>
          <w:sz w:val="26"/>
          <w:szCs w:val="26"/>
        </w:rPr>
        <w:footnoteRef/>
      </w:r>
      <w:r>
        <w:rPr>
          <w:sz w:val="26"/>
          <w:szCs w:val="26"/>
        </w:rPr>
        <w:tab/>
        <w:t xml:space="preserve">We observe that the economic test was developed to address concerns relating to the amount of repair or replacement costs for the G/T Systems that the Peoples Companies could recover from ratepayers in a future base rate proceeding.  2013 Equitable Settlement, I&amp;E Statement in Support at 16-17; OCA Statement in Support at 16.  As we stated previously, we do not find it appropriate to make any determinations regarding rate issues in the context of this transaction proceeding.  We note that some of the Parties to the 2013 Equitable proceeding are not Parties to this proceeding.  However, notice of the Proposed Transaction, pursuant to which Aqua America would indirectly own all of the Peoples Companies’ tangible and intangible public service property, was published in a newspaper of general circulation and in the </w:t>
      </w:r>
      <w:r w:rsidRPr="00DB5B07">
        <w:rPr>
          <w:i/>
          <w:iCs/>
          <w:sz w:val="26"/>
          <w:szCs w:val="26"/>
        </w:rPr>
        <w:t>Pennsylvania Bulletin</w:t>
      </w:r>
      <w:r>
        <w:rPr>
          <w:sz w:val="26"/>
          <w:szCs w:val="26"/>
        </w:rPr>
        <w:t xml:space="preserve">, 48 </w:t>
      </w:r>
      <w:r w:rsidRPr="00DB5B07">
        <w:rPr>
          <w:i/>
          <w:iCs/>
          <w:sz w:val="26"/>
          <w:szCs w:val="26"/>
        </w:rPr>
        <w:t>Pa. B</w:t>
      </w:r>
      <w:r>
        <w:rPr>
          <w:sz w:val="26"/>
          <w:szCs w:val="26"/>
        </w:rPr>
        <w:t xml:space="preserve">. 7496.  To the extent the Parties to the 2013 Equitable proceeding wish to contest rate issues related to the G/T Systems, they will have the opportunity to do so in the context of the Peoples Companies’ next base rate proceeding.  </w:t>
      </w:r>
    </w:p>
  </w:footnote>
  <w:footnote w:id="29">
    <w:p w14:paraId="4C27828F" w14:textId="12B104E4" w:rsidR="00CE549B" w:rsidRPr="00757F37" w:rsidRDefault="00CE549B" w:rsidP="00DA3C6B">
      <w:pPr>
        <w:pStyle w:val="FootnoteText"/>
        <w:keepNext/>
        <w:keepLines/>
        <w:spacing w:after="120"/>
        <w:rPr>
          <w:sz w:val="26"/>
          <w:szCs w:val="26"/>
        </w:rPr>
      </w:pPr>
      <w:r>
        <w:tab/>
      </w:r>
      <w:r w:rsidRPr="00757F37">
        <w:rPr>
          <w:rStyle w:val="FootnoteReference"/>
          <w:sz w:val="26"/>
          <w:szCs w:val="26"/>
        </w:rPr>
        <w:footnoteRef/>
      </w:r>
      <w:r>
        <w:rPr>
          <w:sz w:val="26"/>
          <w:szCs w:val="26"/>
        </w:rPr>
        <w:tab/>
        <w:t xml:space="preserve">To the degree that I&amp;E and the OSBA contend that the Peoples Companies are circumventing the 2013 Equitable Settlement terms, we note that this Commission has the authority to modify prior settlement agreements which we have approved, particularly when, as here, the circumstances have changed in a significant or unanticipated manner.  </w:t>
      </w:r>
      <w:r w:rsidRPr="001C074F">
        <w:rPr>
          <w:i/>
          <w:iCs/>
          <w:sz w:val="26"/>
          <w:szCs w:val="26"/>
        </w:rPr>
        <w:t>See</w:t>
      </w:r>
      <w:r>
        <w:rPr>
          <w:sz w:val="26"/>
          <w:szCs w:val="26"/>
        </w:rPr>
        <w:t xml:space="preserve"> 66 Pa. C.S. § 703(g); </w:t>
      </w:r>
      <w:r w:rsidRPr="00EC332F">
        <w:rPr>
          <w:i/>
          <w:iCs/>
          <w:sz w:val="26"/>
          <w:szCs w:val="26"/>
        </w:rPr>
        <w:t>Petition for Approval of PECO Energy Company’s Market Share Threshold Bidding/Assignment Process</w:t>
      </w:r>
      <w:r>
        <w:rPr>
          <w:sz w:val="26"/>
          <w:szCs w:val="26"/>
        </w:rPr>
        <w:t xml:space="preserve">, Docket No. P-00021984 (Order entered May 1, 2003); </w:t>
      </w:r>
      <w:r w:rsidRPr="00EC332F">
        <w:rPr>
          <w:i/>
          <w:iCs/>
          <w:sz w:val="26"/>
          <w:szCs w:val="26"/>
        </w:rPr>
        <w:t>Pa. PUC v. Peoples Natural Gas Company</w:t>
      </w:r>
      <w:r>
        <w:rPr>
          <w:sz w:val="26"/>
          <w:szCs w:val="26"/>
        </w:rPr>
        <w:t xml:space="preserve">, 1992 Pa. PUC Lexis 114.  </w:t>
      </w:r>
    </w:p>
  </w:footnote>
  <w:footnote w:id="30">
    <w:p w14:paraId="22C897BF" w14:textId="2C154857" w:rsidR="00CE549B" w:rsidRPr="00040164" w:rsidRDefault="00CE549B" w:rsidP="00DA3C6B">
      <w:pPr>
        <w:pStyle w:val="FootnoteText"/>
        <w:keepNext/>
        <w:keepLines/>
        <w:spacing w:after="120"/>
        <w:rPr>
          <w:sz w:val="26"/>
          <w:szCs w:val="26"/>
        </w:rPr>
      </w:pPr>
      <w:r>
        <w:rPr>
          <w:rFonts w:ascii="Times New Roman Bold" w:hAnsi="Times New Roman Bold"/>
          <w:sz w:val="26"/>
          <w:szCs w:val="26"/>
        </w:rPr>
        <w:tab/>
      </w:r>
      <w:r w:rsidRPr="0075423A">
        <w:rPr>
          <w:rStyle w:val="FootnoteReference"/>
          <w:sz w:val="26"/>
          <w:szCs w:val="26"/>
        </w:rPr>
        <w:footnoteRef/>
      </w:r>
      <w:r w:rsidRPr="0075423A">
        <w:rPr>
          <w:sz w:val="26"/>
          <w:szCs w:val="26"/>
        </w:rPr>
        <w:tab/>
      </w:r>
      <w:r>
        <w:rPr>
          <w:sz w:val="26"/>
          <w:szCs w:val="26"/>
        </w:rPr>
        <w:t xml:space="preserve">When a public utility proposes to abandon service to its customers, the process typically begins with the utility filing an application for abandonment and notice of such application is provided in the </w:t>
      </w:r>
      <w:r w:rsidRPr="0075423A">
        <w:rPr>
          <w:i/>
          <w:iCs/>
          <w:sz w:val="26"/>
          <w:szCs w:val="26"/>
        </w:rPr>
        <w:t>Pennsylvania Bulletin</w:t>
      </w:r>
      <w:r>
        <w:rPr>
          <w:sz w:val="26"/>
          <w:szCs w:val="26"/>
        </w:rPr>
        <w:t xml:space="preserve"> and in a newspaper of general circulation within the service area.  Public input hearings may also be conducted.  In considering whether the public convenience and necessity will be served by a proposed abandonment, the Commission considers factors, including:  (1) the availability of supply; (2) the economics of maintaining the system; (3) the number of customers affected; (4) the availability of alternative fuels and/or suppliers; (5) the costs of converting to alternate fuels or suppliers; and (6) the allocation of such costs.  </w:t>
      </w:r>
      <w:r w:rsidRPr="00040164">
        <w:rPr>
          <w:i/>
          <w:iCs/>
          <w:sz w:val="26"/>
          <w:szCs w:val="26"/>
        </w:rPr>
        <w:t>Fink Gas Company</w:t>
      </w:r>
      <w:r>
        <w:rPr>
          <w:sz w:val="26"/>
          <w:szCs w:val="26"/>
        </w:rPr>
        <w:t>;</w:t>
      </w:r>
      <w:r w:rsidRPr="00040164">
        <w:rPr>
          <w:sz w:val="26"/>
          <w:szCs w:val="26"/>
        </w:rPr>
        <w:t xml:space="preserve"> </w:t>
      </w:r>
      <w:r w:rsidRPr="00EA0A7E">
        <w:rPr>
          <w:i/>
          <w:iCs/>
          <w:sz w:val="26"/>
          <w:szCs w:val="26"/>
        </w:rPr>
        <w:t>Application of National Fuel Gas Distribution Corporation for Approval of Abandonment of Service</w:t>
      </w:r>
      <w:r w:rsidRPr="00040164">
        <w:rPr>
          <w:sz w:val="26"/>
          <w:szCs w:val="26"/>
        </w:rPr>
        <w:t>, Docket No. A-121850F2023 (Order entered March 26, 2003).</w:t>
      </w:r>
      <w:r>
        <w:rPr>
          <w:sz w:val="26"/>
          <w:szCs w:val="26"/>
        </w:rPr>
        <w:t xml:space="preserve">  </w:t>
      </w:r>
    </w:p>
  </w:footnote>
  <w:footnote w:id="31">
    <w:p w14:paraId="04722E2B" w14:textId="4784FD35" w:rsidR="00CE549B" w:rsidRPr="0075423A" w:rsidRDefault="00CE549B" w:rsidP="00DA3C6B">
      <w:pPr>
        <w:pStyle w:val="FootnoteText"/>
        <w:keepNext/>
        <w:keepLines/>
        <w:spacing w:after="120"/>
        <w:rPr>
          <w:sz w:val="26"/>
          <w:szCs w:val="26"/>
        </w:rPr>
      </w:pPr>
      <w:r>
        <w:rPr>
          <w:sz w:val="26"/>
          <w:szCs w:val="26"/>
        </w:rPr>
        <w:tab/>
      </w:r>
      <w:r w:rsidRPr="0075423A">
        <w:rPr>
          <w:rStyle w:val="FootnoteReference"/>
          <w:sz w:val="26"/>
          <w:szCs w:val="26"/>
        </w:rPr>
        <w:footnoteRef/>
      </w:r>
      <w:r>
        <w:rPr>
          <w:sz w:val="26"/>
          <w:szCs w:val="26"/>
        </w:rPr>
        <w:tab/>
      </w:r>
      <w:r w:rsidRPr="0075423A">
        <w:rPr>
          <w:sz w:val="26"/>
          <w:szCs w:val="26"/>
        </w:rPr>
        <w:t xml:space="preserve">In response to I&amp;E’s position that some customers will likely be abandoned even under the proposed Settlement terms, </w:t>
      </w:r>
      <w:r>
        <w:rPr>
          <w:sz w:val="26"/>
          <w:szCs w:val="26"/>
        </w:rPr>
        <w:t xml:space="preserve">we conclude that </w:t>
      </w:r>
      <w:r w:rsidRPr="0075423A">
        <w:rPr>
          <w:sz w:val="26"/>
          <w:szCs w:val="26"/>
        </w:rPr>
        <w:t>the Peoples Companies have demonstrate</w:t>
      </w:r>
      <w:r>
        <w:rPr>
          <w:sz w:val="26"/>
          <w:szCs w:val="26"/>
        </w:rPr>
        <w:t>d</w:t>
      </w:r>
      <w:r w:rsidRPr="0075423A">
        <w:rPr>
          <w:sz w:val="26"/>
          <w:szCs w:val="26"/>
        </w:rPr>
        <w:t xml:space="preserve"> a solid plan under which customer abandonment is not intended.  We note that consistent with </w:t>
      </w:r>
      <w:r w:rsidRPr="0075423A">
        <w:rPr>
          <w:i/>
          <w:iCs/>
          <w:sz w:val="26"/>
          <w:szCs w:val="26"/>
        </w:rPr>
        <w:t>City of York</w:t>
      </w:r>
      <w:r>
        <w:rPr>
          <w:sz w:val="26"/>
          <w:szCs w:val="26"/>
        </w:rPr>
        <w:t xml:space="preserve"> and </w:t>
      </w:r>
      <w:r w:rsidRPr="00B7078F">
        <w:rPr>
          <w:i/>
          <w:iCs/>
          <w:sz w:val="26"/>
          <w:szCs w:val="26"/>
        </w:rPr>
        <w:t>Middletown Township</w:t>
      </w:r>
      <w:r w:rsidRPr="0075423A">
        <w:rPr>
          <w:i/>
          <w:iCs/>
          <w:sz w:val="26"/>
          <w:szCs w:val="26"/>
        </w:rPr>
        <w:t>,</w:t>
      </w:r>
      <w:r w:rsidRPr="0075423A">
        <w:rPr>
          <w:sz w:val="26"/>
          <w:szCs w:val="26"/>
        </w:rPr>
        <w:t xml:space="preserve"> these benefits need not be quantified.  The Settlement provides </w:t>
      </w:r>
      <w:r>
        <w:rPr>
          <w:sz w:val="26"/>
          <w:szCs w:val="26"/>
        </w:rPr>
        <w:t xml:space="preserve">an extra protection regarding abandonment </w:t>
      </w:r>
      <w:r w:rsidRPr="0075423A">
        <w:rPr>
          <w:sz w:val="26"/>
          <w:szCs w:val="26"/>
        </w:rPr>
        <w:t xml:space="preserve">that in circumstances that require further evaluation, the Peoples Companies will meet and discuss with interested parties.  Settlement </w:t>
      </w:r>
      <w:r>
        <w:rPr>
          <w:sz w:val="26"/>
          <w:szCs w:val="26"/>
        </w:rPr>
        <w:t xml:space="preserve">at </w:t>
      </w:r>
      <w:r w:rsidRPr="0075423A">
        <w:rPr>
          <w:sz w:val="26"/>
          <w:szCs w:val="26"/>
        </w:rPr>
        <w:t xml:space="preserve">¶ 32.  </w:t>
      </w:r>
    </w:p>
  </w:footnote>
  <w:footnote w:id="32">
    <w:p w14:paraId="2B61C871" w14:textId="77777777" w:rsidR="00CE549B" w:rsidRPr="002A754A" w:rsidRDefault="00CE549B" w:rsidP="00DA3C6B">
      <w:pPr>
        <w:pStyle w:val="FootnoteText"/>
        <w:keepNext/>
        <w:keepLines/>
        <w:spacing w:after="120"/>
        <w:rPr>
          <w:sz w:val="26"/>
          <w:szCs w:val="26"/>
        </w:rPr>
      </w:pPr>
      <w:r>
        <w:tab/>
      </w:r>
      <w:r w:rsidRPr="002A754A">
        <w:rPr>
          <w:rStyle w:val="FootnoteReference"/>
          <w:sz w:val="26"/>
          <w:szCs w:val="26"/>
        </w:rPr>
        <w:footnoteRef/>
      </w:r>
      <w:r w:rsidRPr="002A754A">
        <w:rPr>
          <w:sz w:val="26"/>
          <w:szCs w:val="26"/>
        </w:rPr>
        <w:t xml:space="preserve"> </w:t>
      </w:r>
      <w:r w:rsidRPr="002A754A">
        <w:rPr>
          <w:sz w:val="26"/>
          <w:szCs w:val="26"/>
        </w:rPr>
        <w:tab/>
        <w:t xml:space="preserve">Although </w:t>
      </w:r>
      <w:r>
        <w:rPr>
          <w:sz w:val="26"/>
          <w:szCs w:val="26"/>
        </w:rPr>
        <w:t xml:space="preserve">Paragraph </w:t>
      </w:r>
      <w:r w:rsidRPr="002A754A">
        <w:rPr>
          <w:sz w:val="26"/>
          <w:szCs w:val="26"/>
        </w:rPr>
        <w:t>69 of the Settlement does not specifically state this, we note that the Joint Applicants committed to filing the revised LTIIP within six months of closing</w:t>
      </w:r>
      <w:r>
        <w:rPr>
          <w:sz w:val="26"/>
          <w:szCs w:val="26"/>
        </w:rPr>
        <w:t>.  R.D. at 56; Joint Applicants St. 5-R at 22.</w:t>
      </w:r>
    </w:p>
  </w:footnote>
  <w:footnote w:id="33">
    <w:p w14:paraId="61535FF4" w14:textId="77777777" w:rsidR="00CE549B" w:rsidRPr="0022548A" w:rsidRDefault="00CE549B" w:rsidP="00DA3C6B">
      <w:pPr>
        <w:pStyle w:val="FootnoteText"/>
        <w:keepNext/>
        <w:keepLines/>
        <w:spacing w:after="120"/>
        <w:rPr>
          <w:sz w:val="26"/>
          <w:szCs w:val="26"/>
        </w:rPr>
      </w:pPr>
      <w:r w:rsidRPr="0022548A">
        <w:rPr>
          <w:sz w:val="26"/>
          <w:szCs w:val="26"/>
        </w:rPr>
        <w:tab/>
      </w:r>
      <w:r w:rsidRPr="0022548A">
        <w:rPr>
          <w:rStyle w:val="FootnoteReference"/>
          <w:sz w:val="26"/>
          <w:szCs w:val="26"/>
        </w:rPr>
        <w:footnoteRef/>
      </w:r>
      <w:r w:rsidRPr="0022548A">
        <w:rPr>
          <w:sz w:val="26"/>
          <w:szCs w:val="26"/>
        </w:rPr>
        <w:tab/>
        <w:t>R.D. at 6</w:t>
      </w:r>
      <w:r>
        <w:rPr>
          <w:sz w:val="26"/>
          <w:szCs w:val="26"/>
        </w:rPr>
        <w:t xml:space="preserve"> (citing </w:t>
      </w:r>
      <w:r w:rsidRPr="00160F58">
        <w:rPr>
          <w:sz w:val="26"/>
          <w:szCs w:val="26"/>
        </w:rPr>
        <w:t>OSBA Ex</w:t>
      </w:r>
      <w:r>
        <w:rPr>
          <w:sz w:val="26"/>
          <w:szCs w:val="26"/>
        </w:rPr>
        <w:t>h</w:t>
      </w:r>
      <w:r w:rsidRPr="00160F58">
        <w:rPr>
          <w:sz w:val="26"/>
          <w:szCs w:val="26"/>
        </w:rPr>
        <w:t>. IEc-3, response to OSBA I-7</w:t>
      </w:r>
      <w:r>
        <w:rPr>
          <w:sz w:val="26"/>
          <w:szCs w:val="26"/>
        </w:rPr>
        <w:t>).</w:t>
      </w:r>
    </w:p>
  </w:footnote>
  <w:footnote w:id="34">
    <w:p w14:paraId="569509BA" w14:textId="77777777" w:rsidR="00CE549B" w:rsidRPr="006A6321" w:rsidRDefault="00CE549B" w:rsidP="00DA3C6B">
      <w:pPr>
        <w:pStyle w:val="FootnoteText"/>
        <w:keepNext/>
        <w:keepLines/>
        <w:spacing w:after="120"/>
        <w:rPr>
          <w:sz w:val="26"/>
          <w:szCs w:val="26"/>
        </w:rPr>
      </w:pPr>
      <w:r>
        <w:tab/>
      </w:r>
      <w:r w:rsidRPr="006A6321">
        <w:rPr>
          <w:rStyle w:val="FootnoteReference"/>
          <w:sz w:val="26"/>
          <w:szCs w:val="26"/>
        </w:rPr>
        <w:footnoteRef/>
      </w:r>
      <w:r w:rsidRPr="006A6321">
        <w:rPr>
          <w:sz w:val="26"/>
          <w:szCs w:val="26"/>
        </w:rPr>
        <w:t xml:space="preserve"> </w:t>
      </w:r>
      <w:r w:rsidRPr="006A6321">
        <w:rPr>
          <w:sz w:val="26"/>
          <w:szCs w:val="26"/>
        </w:rPr>
        <w:tab/>
      </w:r>
      <w:r w:rsidRPr="006A6321">
        <w:rPr>
          <w:i/>
          <w:color w:val="000000"/>
          <w:sz w:val="26"/>
          <w:szCs w:val="26"/>
        </w:rPr>
        <w:t>See e.g. Amended Application of United Water Pennsylvania, Inc.</w:t>
      </w:r>
      <w:r>
        <w:rPr>
          <w:iCs/>
          <w:color w:val="000000"/>
          <w:sz w:val="26"/>
          <w:szCs w:val="26"/>
        </w:rPr>
        <w:t>,</w:t>
      </w:r>
      <w:r w:rsidRPr="006A6321">
        <w:rPr>
          <w:i/>
          <w:color w:val="000000"/>
          <w:sz w:val="26"/>
          <w:szCs w:val="26"/>
        </w:rPr>
        <w:t xml:space="preserve"> </w:t>
      </w:r>
      <w:r w:rsidRPr="006A6321">
        <w:rPr>
          <w:color w:val="000000"/>
          <w:sz w:val="26"/>
          <w:szCs w:val="26"/>
        </w:rPr>
        <w:t>Docket No. A-210013F0017</w:t>
      </w:r>
      <w:r w:rsidRPr="006A6321">
        <w:rPr>
          <w:i/>
          <w:color w:val="000000"/>
          <w:sz w:val="26"/>
          <w:szCs w:val="26"/>
        </w:rPr>
        <w:t xml:space="preserve"> </w:t>
      </w:r>
      <w:r w:rsidRPr="00926843">
        <w:rPr>
          <w:iCs/>
          <w:color w:val="000000"/>
          <w:sz w:val="26"/>
          <w:szCs w:val="26"/>
        </w:rPr>
        <w:t>(</w:t>
      </w:r>
      <w:r w:rsidRPr="006A6321">
        <w:rPr>
          <w:color w:val="000000"/>
          <w:sz w:val="26"/>
          <w:szCs w:val="26"/>
        </w:rPr>
        <w:t xml:space="preserve">Final Commission Order </w:t>
      </w:r>
      <w:r>
        <w:rPr>
          <w:color w:val="000000"/>
          <w:sz w:val="26"/>
          <w:szCs w:val="26"/>
        </w:rPr>
        <w:t xml:space="preserve">entered </w:t>
      </w:r>
      <w:r w:rsidRPr="006A6321">
        <w:rPr>
          <w:color w:val="000000"/>
          <w:sz w:val="26"/>
          <w:szCs w:val="26"/>
        </w:rPr>
        <w:t>July 17, 2008)</w:t>
      </w:r>
      <w:r w:rsidRPr="006A6321">
        <w:rPr>
          <w:i/>
          <w:color w:val="000000"/>
          <w:sz w:val="26"/>
          <w:szCs w:val="26"/>
        </w:rPr>
        <w:t>.</w:t>
      </w:r>
    </w:p>
  </w:footnote>
  <w:footnote w:id="35">
    <w:p w14:paraId="2EA3089A" w14:textId="77777777" w:rsidR="00CE549B" w:rsidRPr="00F01167" w:rsidRDefault="00CE549B" w:rsidP="00DA3C6B">
      <w:pPr>
        <w:pStyle w:val="FootnoteText"/>
        <w:keepNext/>
        <w:keepLines/>
        <w:spacing w:after="120"/>
        <w:ind w:firstLine="720"/>
      </w:pPr>
      <w:r w:rsidRPr="00F01167">
        <w:rPr>
          <w:rStyle w:val="FootnoteReference"/>
          <w:sz w:val="26"/>
          <w:szCs w:val="26"/>
        </w:rPr>
        <w:footnoteRef/>
      </w:r>
      <w:r w:rsidRPr="00F01167">
        <w:rPr>
          <w:sz w:val="26"/>
          <w:szCs w:val="26"/>
        </w:rPr>
        <w:t xml:space="preserve"> </w:t>
      </w:r>
      <w:r>
        <w:rPr>
          <w:sz w:val="26"/>
          <w:szCs w:val="26"/>
        </w:rPr>
        <w:tab/>
      </w:r>
      <w:r w:rsidRPr="00F01167">
        <w:rPr>
          <w:sz w:val="26"/>
          <w:szCs w:val="26"/>
        </w:rPr>
        <w:t>Such categories include</w:t>
      </w:r>
      <w:r>
        <w:t xml:space="preserve"> </w:t>
      </w:r>
      <w:r w:rsidRPr="0081549B">
        <w:rPr>
          <w:rFonts w:eastAsia="SimSun"/>
          <w:sz w:val="26"/>
          <w:szCs w:val="26"/>
        </w:rPr>
        <w:t>finance and accounting, human resources, regulatory functions, legal functions, information technology, payroll</w:t>
      </w:r>
      <w:r>
        <w:rPr>
          <w:rFonts w:eastAsia="SimSun"/>
          <w:sz w:val="26"/>
          <w:szCs w:val="26"/>
        </w:rPr>
        <w:t xml:space="preserve">, </w:t>
      </w:r>
      <w:r w:rsidRPr="0081549B">
        <w:rPr>
          <w:rFonts w:eastAsia="SimSun"/>
          <w:sz w:val="26"/>
          <w:szCs w:val="26"/>
        </w:rPr>
        <w:t>supply chain</w:t>
      </w:r>
      <w:r>
        <w:rPr>
          <w:rFonts w:eastAsia="SimSun"/>
          <w:sz w:val="26"/>
          <w:szCs w:val="26"/>
        </w:rPr>
        <w:t>,</w:t>
      </w:r>
      <w:r w:rsidRPr="0081549B">
        <w:rPr>
          <w:rFonts w:eastAsia="SimSun"/>
          <w:sz w:val="26"/>
          <w:szCs w:val="26"/>
        </w:rPr>
        <w:t xml:space="preserve"> fleet management, purchasing, capital planning, meter reading, customer field services, engineering management, budgeting, planning, execution and rate recovery of capital.</w:t>
      </w:r>
      <w:r>
        <w:rPr>
          <w:rFonts w:eastAsia="SimSun"/>
          <w:sz w:val="26"/>
          <w:szCs w:val="26"/>
        </w:rPr>
        <w:t xml:space="preserve"> </w:t>
      </w:r>
    </w:p>
  </w:footnote>
  <w:footnote w:id="36">
    <w:p w14:paraId="3F8DC23A" w14:textId="77777777" w:rsidR="00CE549B" w:rsidRPr="00E235B2" w:rsidRDefault="00CE549B" w:rsidP="00DA3C6B">
      <w:pPr>
        <w:pStyle w:val="FootnoteText"/>
        <w:keepNext/>
        <w:keepLines/>
        <w:spacing w:after="120"/>
        <w:ind w:firstLine="720"/>
        <w:rPr>
          <w:sz w:val="26"/>
          <w:szCs w:val="26"/>
        </w:rPr>
      </w:pPr>
      <w:r w:rsidRPr="00E235B2">
        <w:rPr>
          <w:rStyle w:val="FootnoteReference"/>
          <w:sz w:val="26"/>
          <w:szCs w:val="26"/>
        </w:rPr>
        <w:footnoteRef/>
      </w:r>
      <w:r w:rsidRPr="00E235B2">
        <w:rPr>
          <w:sz w:val="26"/>
          <w:szCs w:val="26"/>
        </w:rPr>
        <w:t xml:space="preserve"> </w:t>
      </w:r>
      <w:r>
        <w:rPr>
          <w:sz w:val="26"/>
          <w:szCs w:val="26"/>
        </w:rPr>
        <w:t xml:space="preserve"> </w:t>
      </w:r>
      <w:r>
        <w:rPr>
          <w:sz w:val="26"/>
          <w:szCs w:val="26"/>
        </w:rPr>
        <w:tab/>
        <w:t>C</w:t>
      </w:r>
      <w:r w:rsidRPr="00E235B2">
        <w:rPr>
          <w:sz w:val="26"/>
          <w:szCs w:val="26"/>
        </w:rPr>
        <w:t xml:space="preserve">iting e.g., </w:t>
      </w:r>
      <w:r w:rsidRPr="00E235B2">
        <w:rPr>
          <w:i/>
          <w:iCs/>
          <w:sz w:val="26"/>
          <w:szCs w:val="26"/>
        </w:rPr>
        <w:t xml:space="preserve">Joint Application of West Penn power Company d/b/a Allegheny Power, Trans-Allegheny Interstate Line Company and First Energy Corp. for a Certificate of Public Convenience under Section 1102(a)(3) of the Public Utility Code approving a change of control of West Penn Power Company and Trans-Allegheny Interstate Line Company, </w:t>
      </w:r>
      <w:r w:rsidRPr="00E235B2">
        <w:rPr>
          <w:sz w:val="26"/>
          <w:szCs w:val="26"/>
        </w:rPr>
        <w:t xml:space="preserve">Docket No. A-2010-2176520 (Order entered March 8, 2011); </w:t>
      </w:r>
      <w:r w:rsidRPr="00E235B2">
        <w:rPr>
          <w:i/>
          <w:iCs/>
          <w:sz w:val="26"/>
          <w:szCs w:val="26"/>
        </w:rPr>
        <w:t xml:space="preserve">Joint Application for Approval of  the Transfer of the Issued and Outstanding Shares of Capital Stock of the Peoples Natural Gas Company, d/b/a Dominion Peoples, currently owned by Dominion Resources, Inc.,  to Peoples Hope Gas Companies, LLC, and to Approve the Resulting Change in Control of The Peoples Natural Gas Company, d/b/a Dominion Peoples, </w:t>
      </w:r>
      <w:r w:rsidRPr="00E235B2">
        <w:rPr>
          <w:sz w:val="26"/>
          <w:szCs w:val="26"/>
        </w:rPr>
        <w:t>Docket No. A-2008-2063737 (Order entered November 19, 2009).</w:t>
      </w:r>
    </w:p>
  </w:footnote>
  <w:footnote w:id="37">
    <w:p w14:paraId="3C611372" w14:textId="77777777" w:rsidR="00CE549B" w:rsidRDefault="00CE549B" w:rsidP="00DA3C6B">
      <w:pPr>
        <w:pStyle w:val="FootnoteText"/>
        <w:keepNext/>
        <w:keepLines/>
        <w:spacing w:after="120"/>
        <w:ind w:firstLine="720"/>
      </w:pPr>
      <w:r w:rsidRPr="00A93C1A">
        <w:rPr>
          <w:rStyle w:val="FootnoteReference"/>
          <w:sz w:val="26"/>
          <w:szCs w:val="26"/>
        </w:rPr>
        <w:footnoteRef/>
      </w:r>
      <w:r w:rsidRPr="00A93C1A">
        <w:rPr>
          <w:sz w:val="26"/>
          <w:szCs w:val="26"/>
        </w:rPr>
        <w:t xml:space="preserve"> </w:t>
      </w:r>
      <w:r w:rsidRPr="00A93C1A">
        <w:rPr>
          <w:sz w:val="26"/>
          <w:szCs w:val="26"/>
        </w:rPr>
        <w:tab/>
        <w:t>The</w:t>
      </w:r>
      <w:r w:rsidRPr="002A3739">
        <w:rPr>
          <w:sz w:val="26"/>
          <w:szCs w:val="26"/>
        </w:rPr>
        <w:t xml:space="preserve"> Joint Applicants’ position on Aqua America’s fitness to own and operate the Peoples Companies is</w:t>
      </w:r>
      <w:r>
        <w:rPr>
          <w:sz w:val="26"/>
          <w:szCs w:val="26"/>
        </w:rPr>
        <w:t xml:space="preserve"> discussed</w:t>
      </w:r>
      <w:r w:rsidRPr="002A3739">
        <w:rPr>
          <w:sz w:val="26"/>
          <w:szCs w:val="26"/>
        </w:rPr>
        <w:t xml:space="preserve"> </w:t>
      </w:r>
      <w:r>
        <w:rPr>
          <w:sz w:val="26"/>
          <w:szCs w:val="26"/>
        </w:rPr>
        <w:t>in more detail</w:t>
      </w:r>
      <w:r w:rsidRPr="002A3739">
        <w:rPr>
          <w:sz w:val="26"/>
          <w:szCs w:val="26"/>
        </w:rPr>
        <w:t xml:space="preserve"> above</w:t>
      </w:r>
      <w:r>
        <w:rPr>
          <w:sz w:val="26"/>
          <w:szCs w:val="26"/>
        </w:rPr>
        <w:t xml:space="preserve"> and will not be repeated here</w:t>
      </w:r>
      <w:r w:rsidRPr="002A3739">
        <w:rPr>
          <w:sz w:val="26"/>
          <w:szCs w:val="26"/>
        </w:rPr>
        <w:t>.</w:t>
      </w:r>
    </w:p>
  </w:footnote>
  <w:footnote w:id="38">
    <w:p w14:paraId="7333D739" w14:textId="77777777" w:rsidR="00CE549B" w:rsidRDefault="00CE549B" w:rsidP="00DA3C6B">
      <w:pPr>
        <w:keepNext/>
        <w:keepLines/>
        <w:widowControl/>
        <w:spacing w:after="120"/>
        <w:ind w:firstLine="720"/>
        <w:rPr>
          <w:sz w:val="26"/>
          <w:szCs w:val="26"/>
        </w:rPr>
      </w:pPr>
      <w:r w:rsidRPr="00CE3037">
        <w:rPr>
          <w:rStyle w:val="FootnoteReference"/>
          <w:sz w:val="26"/>
          <w:szCs w:val="26"/>
        </w:rPr>
        <w:footnoteRef/>
      </w:r>
      <w:r>
        <w:t xml:space="preserve"> </w:t>
      </w:r>
      <w:r>
        <w:tab/>
      </w:r>
      <w:r>
        <w:rPr>
          <w:rFonts w:eastAsia="SimSun"/>
          <w:sz w:val="26"/>
          <w:szCs w:val="26"/>
        </w:rPr>
        <w:t xml:space="preserve">In its Replies, the OCA stated that the Joint Applicants “committed in the Settlement” to pass along any future cost savings or rate benefits resulting from operational efficiencies in future rate proceedings.  </w:t>
      </w:r>
      <w:r>
        <w:rPr>
          <w:sz w:val="26"/>
          <w:szCs w:val="26"/>
        </w:rPr>
        <w:t>OCA R. Exc. at 9.  While we disagree with the OCA’s position that the Settlement language itself expressly contains such a commitment, we acknowledge that the Joint Applicants have expressed this commitment throughout the entire proceeding and the ALJ identified this commitment in the R.D.</w:t>
      </w:r>
      <w:r w:rsidRPr="006420A9">
        <w:rPr>
          <w:rFonts w:eastAsia="SimSun"/>
          <w:sz w:val="26"/>
          <w:szCs w:val="26"/>
        </w:rPr>
        <w:t xml:space="preserve"> </w:t>
      </w:r>
      <w:r>
        <w:rPr>
          <w:rFonts w:eastAsia="SimSun"/>
          <w:sz w:val="26"/>
          <w:szCs w:val="26"/>
        </w:rPr>
        <w:t xml:space="preserve"> Joint Applicants Statement in Support at 15-16 (citing </w:t>
      </w:r>
      <w:r w:rsidRPr="00A352D3">
        <w:rPr>
          <w:rFonts w:eastAsia="SimSun"/>
          <w:sz w:val="26"/>
          <w:szCs w:val="26"/>
        </w:rPr>
        <w:t xml:space="preserve">Joint Application at ¶5; </w:t>
      </w:r>
      <w:r w:rsidRPr="00A352D3">
        <w:rPr>
          <w:sz w:val="26"/>
          <w:szCs w:val="26"/>
        </w:rPr>
        <w:t>Joint Applicants St. 1-R at 12-13; Joint Applicants St. 2-R at 26)</w:t>
      </w:r>
      <w:r>
        <w:rPr>
          <w:sz w:val="26"/>
          <w:szCs w:val="26"/>
        </w:rPr>
        <w:t xml:space="preserve">; </w:t>
      </w:r>
      <w:r w:rsidRPr="00ED7492">
        <w:rPr>
          <w:i/>
          <w:iCs/>
          <w:sz w:val="26"/>
          <w:szCs w:val="26"/>
        </w:rPr>
        <w:t>see</w:t>
      </w:r>
      <w:r>
        <w:rPr>
          <w:sz w:val="26"/>
          <w:szCs w:val="26"/>
        </w:rPr>
        <w:t xml:space="preserve"> R.D. at 91.  We acknowledge that the Joint Applicants did not file Exceptions to the R.D. to clarify the commitment given the language appearing in the R.D.  Moreover, we take note that the plain language of Paragraph 41 of the Settlement does not expressly state that the $10 million credit is meant to be exclusive of any pass-through of additional savings quantified in a future base rate proceeding resulting from operational efficiencies gained through this change in parent ownership.  </w:t>
      </w:r>
    </w:p>
    <w:p w14:paraId="26D4AB9B" w14:textId="77777777" w:rsidR="00CE549B" w:rsidRDefault="00CE549B" w:rsidP="00DA3C6B">
      <w:pPr>
        <w:pStyle w:val="FootnoteText"/>
        <w:keepNext/>
        <w:keepLines/>
        <w:spacing w:after="120"/>
      </w:pPr>
    </w:p>
  </w:footnote>
  <w:footnote w:id="39">
    <w:p w14:paraId="47C82390" w14:textId="77777777" w:rsidR="00CE549B" w:rsidRDefault="00CE549B" w:rsidP="00DA3C6B">
      <w:pPr>
        <w:keepNext/>
        <w:keepLines/>
        <w:widowControl/>
        <w:spacing w:after="120"/>
        <w:ind w:firstLine="720"/>
        <w:rPr>
          <w:rFonts w:eastAsia="SimSun"/>
          <w:sz w:val="26"/>
          <w:szCs w:val="26"/>
        </w:rPr>
      </w:pPr>
      <w:r w:rsidRPr="006C0F28">
        <w:rPr>
          <w:rStyle w:val="FootnoteReference"/>
          <w:sz w:val="26"/>
          <w:szCs w:val="26"/>
        </w:rPr>
        <w:footnoteRef/>
      </w:r>
      <w:r w:rsidRPr="006C0F28">
        <w:rPr>
          <w:sz w:val="26"/>
          <w:szCs w:val="26"/>
        </w:rPr>
        <w:t xml:space="preserve"> </w:t>
      </w:r>
      <w:r w:rsidRPr="006C0F28">
        <w:rPr>
          <w:sz w:val="26"/>
          <w:szCs w:val="26"/>
        </w:rPr>
        <w:tab/>
      </w:r>
      <w:r w:rsidRPr="00A47915">
        <w:rPr>
          <w:rFonts w:eastAsia="SimSun"/>
          <w:sz w:val="26"/>
          <w:szCs w:val="26"/>
        </w:rPr>
        <w:t xml:space="preserve">Aqua PA currently participates in various volunteer opportunities and environmental initiatives and supports non-profit organizations throughout the 32 Pennsylvania counties it serves.  </w:t>
      </w:r>
      <w:r>
        <w:rPr>
          <w:rFonts w:eastAsia="SimSun"/>
          <w:sz w:val="26"/>
          <w:szCs w:val="26"/>
        </w:rPr>
        <w:t>C</w:t>
      </w:r>
      <w:r w:rsidRPr="00A47915">
        <w:rPr>
          <w:rFonts w:eastAsia="SimSun"/>
          <w:sz w:val="26"/>
          <w:szCs w:val="26"/>
        </w:rPr>
        <w:t>ommunity commitment is one of the Peoples Companies’ core values and the Peoples Companies have an active community presence in Western Pennsylvania.  Aqua America demonstrated that it would maintain the strong community presence of both the Peoples Companies and Aqua PA following the consummation of the transaction.</w:t>
      </w:r>
      <w:r>
        <w:rPr>
          <w:rFonts w:eastAsia="SimSun"/>
          <w:sz w:val="26"/>
          <w:szCs w:val="26"/>
        </w:rPr>
        <w:t xml:space="preserve">  Joint Applicants Statement in Support at 31 (citing Joint Applicants Exh.  DJS-1 at 32-33; citing also Joint Applicants St.  1 (REVISED) at 14-15; citing also Joint Applicants St.  3 (REVISED) at 11-12).</w:t>
      </w:r>
    </w:p>
    <w:p w14:paraId="64092560" w14:textId="77777777" w:rsidR="00CE549B" w:rsidRDefault="00CE549B" w:rsidP="00DA3C6B">
      <w:pPr>
        <w:pStyle w:val="FootnoteText"/>
        <w:keepNext/>
        <w:keepLines/>
        <w:spacing w:after="120"/>
      </w:pPr>
    </w:p>
  </w:footnote>
  <w:footnote w:id="40">
    <w:p w14:paraId="675CC12A" w14:textId="77777777" w:rsidR="00CE549B" w:rsidRDefault="00CE549B" w:rsidP="00DA3C6B">
      <w:pPr>
        <w:pStyle w:val="FootnoteText"/>
        <w:keepNext/>
        <w:keepLines/>
        <w:spacing w:after="120"/>
      </w:pPr>
      <w:r>
        <w:tab/>
      </w:r>
      <w:r w:rsidRPr="00CE549B">
        <w:rPr>
          <w:rStyle w:val="FootnoteReference"/>
          <w:sz w:val="26"/>
          <w:szCs w:val="26"/>
        </w:rPr>
        <w:footnoteRef/>
      </w:r>
      <w:r w:rsidRPr="00CE549B">
        <w:rPr>
          <w:sz w:val="26"/>
          <w:szCs w:val="26"/>
        </w:rPr>
        <w:t xml:space="preserve"> </w:t>
      </w:r>
      <w:r>
        <w:tab/>
      </w:r>
      <w:r w:rsidRPr="00CE7304">
        <w:rPr>
          <w:i/>
          <w:sz w:val="26"/>
          <w:szCs w:val="26"/>
        </w:rPr>
        <w:t>See e.g.</w:t>
      </w:r>
      <w:r w:rsidRPr="00CE7304">
        <w:rPr>
          <w:sz w:val="26"/>
          <w:szCs w:val="26"/>
        </w:rPr>
        <w:t xml:space="preserve"> Settlement at ¶¶</w:t>
      </w:r>
      <w:r>
        <w:rPr>
          <w:sz w:val="26"/>
          <w:szCs w:val="26"/>
        </w:rPr>
        <w:t xml:space="preserve"> </w:t>
      </w:r>
      <w:r w:rsidRPr="00CE7304">
        <w:rPr>
          <w:sz w:val="26"/>
          <w:szCs w:val="26"/>
        </w:rPr>
        <w:t>29-40,</w:t>
      </w:r>
      <w:r>
        <w:rPr>
          <w:sz w:val="26"/>
          <w:szCs w:val="26"/>
        </w:rPr>
        <w:t xml:space="preserve"> </w:t>
      </w:r>
      <w:r w:rsidRPr="00CE7304">
        <w:rPr>
          <w:sz w:val="26"/>
          <w:szCs w:val="26"/>
        </w:rPr>
        <w:t xml:space="preserve">68-69, 70-72, 87-97.  We also note that the Settlement enjoys the support of </w:t>
      </w:r>
      <w:r w:rsidRPr="00C226E2">
        <w:rPr>
          <w:sz w:val="26"/>
          <w:szCs w:val="26"/>
        </w:rPr>
        <w:t>intervenors Laborers’ District Council and UWUA.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15BC"/>
    <w:multiLevelType w:val="hybridMultilevel"/>
    <w:tmpl w:val="77D81AF2"/>
    <w:lvl w:ilvl="0" w:tplc="BE80C49E">
      <w:start w:val="1"/>
      <w:numFmt w:val="lowerLetter"/>
      <w:pStyle w:val="Heading4"/>
      <w:lvlText w:val="%1."/>
      <w:lvlJc w:val="left"/>
      <w:pPr>
        <w:ind w:left="2340" w:hanging="360"/>
      </w:pPr>
      <w:rPr>
        <w:sz w:val="26"/>
        <w:szCs w:val="26"/>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15EC311D"/>
    <w:multiLevelType w:val="multilevel"/>
    <w:tmpl w:val="BE1E2BF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D546D1"/>
    <w:multiLevelType w:val="hybridMultilevel"/>
    <w:tmpl w:val="7BA4D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435F85"/>
    <w:multiLevelType w:val="hybridMultilevel"/>
    <w:tmpl w:val="572C9D18"/>
    <w:lvl w:ilvl="0" w:tplc="471C4CD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0EE00D9"/>
    <w:multiLevelType w:val="hybridMultilevel"/>
    <w:tmpl w:val="572C9D18"/>
    <w:lvl w:ilvl="0" w:tplc="471C4CD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837784C"/>
    <w:multiLevelType w:val="hybridMultilevel"/>
    <w:tmpl w:val="6BA05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0A26D0"/>
    <w:multiLevelType w:val="multilevel"/>
    <w:tmpl w:val="45A65492"/>
    <w:lvl w:ilvl="0">
      <w:start w:val="120"/>
      <w:numFmt w:val="decimal"/>
      <w:lvlText w:val="%1."/>
      <w:lvlJc w:val="left"/>
      <w:pPr>
        <w:tabs>
          <w:tab w:val="left" w:pos="72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075DF3"/>
    <w:multiLevelType w:val="multilevel"/>
    <w:tmpl w:val="E2020170"/>
    <w:lvl w:ilvl="0">
      <w:start w:val="109"/>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476EA8"/>
    <w:multiLevelType w:val="multilevel"/>
    <w:tmpl w:val="F9F0256C"/>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4005F4"/>
    <w:multiLevelType w:val="hybridMultilevel"/>
    <w:tmpl w:val="0838971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AD9473A"/>
    <w:multiLevelType w:val="multilevel"/>
    <w:tmpl w:val="8CB216F6"/>
    <w:lvl w:ilvl="0">
      <w:start w:val="102"/>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D56845"/>
    <w:multiLevelType w:val="multilevel"/>
    <w:tmpl w:val="F730A954"/>
    <w:lvl w:ilvl="0">
      <w:start w:val="1"/>
      <w:numFmt w:val="lowerRoman"/>
      <w:lvlText w:val="%1."/>
      <w:lvlJc w:val="left"/>
      <w:pPr>
        <w:tabs>
          <w:tab w:val="left" w:pos="93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3B69E8"/>
    <w:multiLevelType w:val="multilevel"/>
    <w:tmpl w:val="84F4F984"/>
    <w:lvl w:ilvl="0">
      <w:start w:val="1"/>
      <w:numFmt w:val="lowerRoman"/>
      <w:lvlText w:val="%1."/>
      <w:lvlJc w:val="left"/>
      <w:pPr>
        <w:tabs>
          <w:tab w:val="left" w:pos="93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1C69C9"/>
    <w:multiLevelType w:val="multilevel"/>
    <w:tmpl w:val="30B4C0CA"/>
    <w:lvl w:ilvl="0">
      <w:start w:val="1"/>
      <w:numFmt w:val="lowerRoman"/>
      <w:lvlText w:val="%1."/>
      <w:lvlJc w:val="left"/>
      <w:pPr>
        <w:tabs>
          <w:tab w:val="left" w:pos="1206"/>
        </w:tabs>
        <w:ind w:left="99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313944"/>
    <w:multiLevelType w:val="hybridMultilevel"/>
    <w:tmpl w:val="1F94D712"/>
    <w:lvl w:ilvl="0" w:tplc="99606AC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003288F"/>
    <w:multiLevelType w:val="hybridMultilevel"/>
    <w:tmpl w:val="35CC1E80"/>
    <w:lvl w:ilvl="0" w:tplc="698218C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CF83CA3"/>
    <w:multiLevelType w:val="multilevel"/>
    <w:tmpl w:val="F9664B40"/>
    <w:lvl w:ilvl="0">
      <w:start w:val="9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507E01"/>
    <w:multiLevelType w:val="multilevel"/>
    <w:tmpl w:val="A11667E8"/>
    <w:lvl w:ilvl="0">
      <w:start w:val="4"/>
      <w:numFmt w:val="decimal"/>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B11308"/>
    <w:multiLevelType w:val="multilevel"/>
    <w:tmpl w:val="A1188DE4"/>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B649A2"/>
    <w:multiLevelType w:val="hybridMultilevel"/>
    <w:tmpl w:val="1BCCCFF8"/>
    <w:lvl w:ilvl="0" w:tplc="72A80852">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6204AD50">
      <w:start w:val="1"/>
      <w:numFmt w:val="upperLetter"/>
      <w:lvlText w:val="%3."/>
      <w:lvlJc w:val="left"/>
      <w:pPr>
        <w:ind w:left="2700" w:hanging="720"/>
      </w:pPr>
      <w:rPr>
        <w:rFonts w:hint="default"/>
      </w:rPr>
    </w:lvl>
    <w:lvl w:ilvl="3" w:tplc="D638DEA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07714"/>
    <w:multiLevelType w:val="hybridMultilevel"/>
    <w:tmpl w:val="8EF0344A"/>
    <w:lvl w:ilvl="0" w:tplc="FF7E52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AC108B2"/>
    <w:multiLevelType w:val="hybridMultilevel"/>
    <w:tmpl w:val="36B07558"/>
    <w:lvl w:ilvl="0" w:tplc="9AE83CFE">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150EB9"/>
    <w:multiLevelType w:val="hybridMultilevel"/>
    <w:tmpl w:val="08389710"/>
    <w:lvl w:ilvl="0" w:tplc="04090011">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3" w15:restartNumberingAfterBreak="0">
    <w:nsid w:val="7F9B3919"/>
    <w:multiLevelType w:val="hybridMultilevel"/>
    <w:tmpl w:val="8544274C"/>
    <w:lvl w:ilvl="0" w:tplc="98162C4E">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23"/>
  </w:num>
  <w:num w:numId="4">
    <w:abstractNumId w:val="14"/>
  </w:num>
  <w:num w:numId="5">
    <w:abstractNumId w:val="0"/>
  </w:num>
  <w:num w:numId="6">
    <w:abstractNumId w:val="9"/>
  </w:num>
  <w:num w:numId="7">
    <w:abstractNumId w:val="22"/>
  </w:num>
  <w:num w:numId="8">
    <w:abstractNumId w:val="3"/>
  </w:num>
  <w:num w:numId="9">
    <w:abstractNumId w:val="4"/>
  </w:num>
  <w:num w:numId="10">
    <w:abstractNumId w:val="8"/>
  </w:num>
  <w:num w:numId="11">
    <w:abstractNumId w:val="1"/>
  </w:num>
  <w:num w:numId="12">
    <w:abstractNumId w:val="5"/>
  </w:num>
  <w:num w:numId="13">
    <w:abstractNumId w:val="2"/>
  </w:num>
  <w:num w:numId="14">
    <w:abstractNumId w:val="16"/>
  </w:num>
  <w:num w:numId="15">
    <w:abstractNumId w:val="10"/>
  </w:num>
  <w:num w:numId="16">
    <w:abstractNumId w:val="7"/>
  </w:num>
  <w:num w:numId="17">
    <w:abstractNumId w:val="11"/>
  </w:num>
  <w:num w:numId="18">
    <w:abstractNumId w:val="13"/>
  </w:num>
  <w:num w:numId="19">
    <w:abstractNumId w:val="12"/>
  </w:num>
  <w:num w:numId="20">
    <w:abstractNumId w:val="6"/>
  </w:num>
  <w:num w:numId="21">
    <w:abstractNumId w:val="18"/>
  </w:num>
  <w:num w:numId="22">
    <w:abstractNumId w:val="17"/>
  </w:num>
  <w:num w:numId="23">
    <w:abstractNumId w:val="21"/>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21"/>
    <w:lvlOverride w:ilvl="0">
      <w:startOverride w:val="3"/>
    </w:lvlOverride>
  </w:num>
  <w:num w:numId="27">
    <w:abstractNumId w:val="23"/>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23"/>
    <w:lvlOverride w:ilvl="0">
      <w:startOverride w:val="1"/>
    </w:lvlOverride>
  </w:num>
  <w:num w:numId="38">
    <w:abstractNumId w:val="0"/>
    <w:lvlOverride w:ilvl="0">
      <w:startOverride w:val="1"/>
    </w:lvlOverride>
  </w:num>
  <w:num w:numId="39">
    <w:abstractNumId w:val="23"/>
    <w:lvlOverride w:ilvl="0">
      <w:startOverride w:val="1"/>
    </w:lvlOverride>
  </w:num>
  <w:num w:numId="40">
    <w:abstractNumId w:val="20"/>
  </w:num>
  <w:num w:numId="4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0A0E"/>
    <w:rsid w:val="00000D65"/>
    <w:rsid w:val="00000DED"/>
    <w:rsid w:val="00001381"/>
    <w:rsid w:val="000013FD"/>
    <w:rsid w:val="00002348"/>
    <w:rsid w:val="00002CE4"/>
    <w:rsid w:val="00002F2A"/>
    <w:rsid w:val="00002F49"/>
    <w:rsid w:val="000038D3"/>
    <w:rsid w:val="00003F5B"/>
    <w:rsid w:val="0000415E"/>
    <w:rsid w:val="0000477B"/>
    <w:rsid w:val="00004A99"/>
    <w:rsid w:val="00004BC1"/>
    <w:rsid w:val="00005B1A"/>
    <w:rsid w:val="00005B5F"/>
    <w:rsid w:val="00005EE1"/>
    <w:rsid w:val="00005F78"/>
    <w:rsid w:val="000065F7"/>
    <w:rsid w:val="00007209"/>
    <w:rsid w:val="00007440"/>
    <w:rsid w:val="000074DC"/>
    <w:rsid w:val="00007597"/>
    <w:rsid w:val="00007888"/>
    <w:rsid w:val="0001099D"/>
    <w:rsid w:val="00011506"/>
    <w:rsid w:val="000116F1"/>
    <w:rsid w:val="00011AB7"/>
    <w:rsid w:val="00012D0C"/>
    <w:rsid w:val="00013432"/>
    <w:rsid w:val="000138C9"/>
    <w:rsid w:val="00013978"/>
    <w:rsid w:val="00013FDE"/>
    <w:rsid w:val="000158F2"/>
    <w:rsid w:val="00015A01"/>
    <w:rsid w:val="000166C6"/>
    <w:rsid w:val="00016C3F"/>
    <w:rsid w:val="0001721D"/>
    <w:rsid w:val="00017E03"/>
    <w:rsid w:val="000201C0"/>
    <w:rsid w:val="00020552"/>
    <w:rsid w:val="000207D4"/>
    <w:rsid w:val="00020C3A"/>
    <w:rsid w:val="00020E43"/>
    <w:rsid w:val="00022030"/>
    <w:rsid w:val="00022D45"/>
    <w:rsid w:val="00022F0A"/>
    <w:rsid w:val="000233E8"/>
    <w:rsid w:val="00023536"/>
    <w:rsid w:val="0002355F"/>
    <w:rsid w:val="000249A1"/>
    <w:rsid w:val="00024D4C"/>
    <w:rsid w:val="0002554A"/>
    <w:rsid w:val="00025A99"/>
    <w:rsid w:val="00026BA0"/>
    <w:rsid w:val="00026F9D"/>
    <w:rsid w:val="0002708B"/>
    <w:rsid w:val="000302BD"/>
    <w:rsid w:val="00030CE7"/>
    <w:rsid w:val="000310BE"/>
    <w:rsid w:val="00031D94"/>
    <w:rsid w:val="00031DDC"/>
    <w:rsid w:val="000323A8"/>
    <w:rsid w:val="00033C9A"/>
    <w:rsid w:val="00033E12"/>
    <w:rsid w:val="00034CD7"/>
    <w:rsid w:val="00035777"/>
    <w:rsid w:val="00036927"/>
    <w:rsid w:val="000369A9"/>
    <w:rsid w:val="00037A2F"/>
    <w:rsid w:val="00040396"/>
    <w:rsid w:val="00040FFD"/>
    <w:rsid w:val="00042338"/>
    <w:rsid w:val="00043182"/>
    <w:rsid w:val="000431F6"/>
    <w:rsid w:val="000438A2"/>
    <w:rsid w:val="00045A7A"/>
    <w:rsid w:val="0004698C"/>
    <w:rsid w:val="00046D9C"/>
    <w:rsid w:val="000477B8"/>
    <w:rsid w:val="000500B7"/>
    <w:rsid w:val="00050154"/>
    <w:rsid w:val="000503FD"/>
    <w:rsid w:val="000505E5"/>
    <w:rsid w:val="00051647"/>
    <w:rsid w:val="0005247F"/>
    <w:rsid w:val="0005317E"/>
    <w:rsid w:val="00053CED"/>
    <w:rsid w:val="00054067"/>
    <w:rsid w:val="000549A7"/>
    <w:rsid w:val="000558B6"/>
    <w:rsid w:val="00055E52"/>
    <w:rsid w:val="00056109"/>
    <w:rsid w:val="000568DA"/>
    <w:rsid w:val="00056968"/>
    <w:rsid w:val="00057057"/>
    <w:rsid w:val="0005711A"/>
    <w:rsid w:val="00057409"/>
    <w:rsid w:val="00057859"/>
    <w:rsid w:val="0006001A"/>
    <w:rsid w:val="000606AA"/>
    <w:rsid w:val="000610F9"/>
    <w:rsid w:val="00061850"/>
    <w:rsid w:val="00061E8B"/>
    <w:rsid w:val="00062518"/>
    <w:rsid w:val="0006288C"/>
    <w:rsid w:val="000629CD"/>
    <w:rsid w:val="00062C4C"/>
    <w:rsid w:val="00062C90"/>
    <w:rsid w:val="00063028"/>
    <w:rsid w:val="000634A8"/>
    <w:rsid w:val="000652B9"/>
    <w:rsid w:val="00065DB6"/>
    <w:rsid w:val="00066689"/>
    <w:rsid w:val="00066CA5"/>
    <w:rsid w:val="00067196"/>
    <w:rsid w:val="0006732F"/>
    <w:rsid w:val="000673D1"/>
    <w:rsid w:val="00067A0D"/>
    <w:rsid w:val="00067BBC"/>
    <w:rsid w:val="00070C88"/>
    <w:rsid w:val="00071064"/>
    <w:rsid w:val="000718ED"/>
    <w:rsid w:val="00071A8A"/>
    <w:rsid w:val="00073000"/>
    <w:rsid w:val="00073352"/>
    <w:rsid w:val="00073870"/>
    <w:rsid w:val="00075210"/>
    <w:rsid w:val="00075F0C"/>
    <w:rsid w:val="00077F46"/>
    <w:rsid w:val="00077F69"/>
    <w:rsid w:val="00080CCC"/>
    <w:rsid w:val="00081696"/>
    <w:rsid w:val="0008233B"/>
    <w:rsid w:val="0008328F"/>
    <w:rsid w:val="00083329"/>
    <w:rsid w:val="00084DB9"/>
    <w:rsid w:val="000857F2"/>
    <w:rsid w:val="000858F6"/>
    <w:rsid w:val="00085E45"/>
    <w:rsid w:val="00086D0B"/>
    <w:rsid w:val="00087532"/>
    <w:rsid w:val="00087D18"/>
    <w:rsid w:val="0009007E"/>
    <w:rsid w:val="0009053B"/>
    <w:rsid w:val="00090AF0"/>
    <w:rsid w:val="00090F53"/>
    <w:rsid w:val="00091989"/>
    <w:rsid w:val="0009269E"/>
    <w:rsid w:val="00092ABD"/>
    <w:rsid w:val="000930AC"/>
    <w:rsid w:val="000931E5"/>
    <w:rsid w:val="000940CD"/>
    <w:rsid w:val="00094240"/>
    <w:rsid w:val="0009466E"/>
    <w:rsid w:val="0009476C"/>
    <w:rsid w:val="00094F3D"/>
    <w:rsid w:val="000960C3"/>
    <w:rsid w:val="00096386"/>
    <w:rsid w:val="00096F18"/>
    <w:rsid w:val="0009781B"/>
    <w:rsid w:val="000A038A"/>
    <w:rsid w:val="000A0D32"/>
    <w:rsid w:val="000A135D"/>
    <w:rsid w:val="000A1761"/>
    <w:rsid w:val="000A1B73"/>
    <w:rsid w:val="000A1EF2"/>
    <w:rsid w:val="000A2217"/>
    <w:rsid w:val="000A3350"/>
    <w:rsid w:val="000A339A"/>
    <w:rsid w:val="000A35F4"/>
    <w:rsid w:val="000A38F7"/>
    <w:rsid w:val="000A41B3"/>
    <w:rsid w:val="000A42AD"/>
    <w:rsid w:val="000A4770"/>
    <w:rsid w:val="000A48EB"/>
    <w:rsid w:val="000A4DD0"/>
    <w:rsid w:val="000A57E4"/>
    <w:rsid w:val="000A61BA"/>
    <w:rsid w:val="000A748C"/>
    <w:rsid w:val="000A7CB6"/>
    <w:rsid w:val="000A7DDC"/>
    <w:rsid w:val="000A7F96"/>
    <w:rsid w:val="000B1074"/>
    <w:rsid w:val="000B1FFD"/>
    <w:rsid w:val="000B2B80"/>
    <w:rsid w:val="000B2F37"/>
    <w:rsid w:val="000B34E3"/>
    <w:rsid w:val="000B465F"/>
    <w:rsid w:val="000B5941"/>
    <w:rsid w:val="000B729D"/>
    <w:rsid w:val="000B751C"/>
    <w:rsid w:val="000B7650"/>
    <w:rsid w:val="000B79BE"/>
    <w:rsid w:val="000C0702"/>
    <w:rsid w:val="000C08D1"/>
    <w:rsid w:val="000C3425"/>
    <w:rsid w:val="000C3503"/>
    <w:rsid w:val="000C600A"/>
    <w:rsid w:val="000C7289"/>
    <w:rsid w:val="000C742F"/>
    <w:rsid w:val="000C74E2"/>
    <w:rsid w:val="000D03DD"/>
    <w:rsid w:val="000D0A11"/>
    <w:rsid w:val="000D0D8A"/>
    <w:rsid w:val="000D14E8"/>
    <w:rsid w:val="000D1FDF"/>
    <w:rsid w:val="000D22BB"/>
    <w:rsid w:val="000D2456"/>
    <w:rsid w:val="000D28A9"/>
    <w:rsid w:val="000D2F71"/>
    <w:rsid w:val="000D3627"/>
    <w:rsid w:val="000D6D63"/>
    <w:rsid w:val="000D7483"/>
    <w:rsid w:val="000D7B91"/>
    <w:rsid w:val="000E01B9"/>
    <w:rsid w:val="000E0327"/>
    <w:rsid w:val="000E1587"/>
    <w:rsid w:val="000E1845"/>
    <w:rsid w:val="000E25A1"/>
    <w:rsid w:val="000E2616"/>
    <w:rsid w:val="000E29F9"/>
    <w:rsid w:val="000E2D88"/>
    <w:rsid w:val="000E3CF6"/>
    <w:rsid w:val="000E3D4C"/>
    <w:rsid w:val="000E4BED"/>
    <w:rsid w:val="000E515B"/>
    <w:rsid w:val="000E570C"/>
    <w:rsid w:val="000E5BCD"/>
    <w:rsid w:val="000F0B9E"/>
    <w:rsid w:val="000F0D6C"/>
    <w:rsid w:val="000F1318"/>
    <w:rsid w:val="000F22DA"/>
    <w:rsid w:val="000F2540"/>
    <w:rsid w:val="000F35E6"/>
    <w:rsid w:val="000F3795"/>
    <w:rsid w:val="000F384A"/>
    <w:rsid w:val="000F3896"/>
    <w:rsid w:val="000F3D40"/>
    <w:rsid w:val="000F4467"/>
    <w:rsid w:val="000F4469"/>
    <w:rsid w:val="000F4F95"/>
    <w:rsid w:val="000F6D5A"/>
    <w:rsid w:val="000F6FEE"/>
    <w:rsid w:val="000F71CC"/>
    <w:rsid w:val="000F7D0E"/>
    <w:rsid w:val="0010013C"/>
    <w:rsid w:val="001006F0"/>
    <w:rsid w:val="00100BA6"/>
    <w:rsid w:val="00101613"/>
    <w:rsid w:val="00101745"/>
    <w:rsid w:val="00102D03"/>
    <w:rsid w:val="00103AF8"/>
    <w:rsid w:val="00104CD1"/>
    <w:rsid w:val="00104D1A"/>
    <w:rsid w:val="0010506F"/>
    <w:rsid w:val="00105084"/>
    <w:rsid w:val="00105193"/>
    <w:rsid w:val="00105544"/>
    <w:rsid w:val="00105B00"/>
    <w:rsid w:val="00105BFC"/>
    <w:rsid w:val="00105F04"/>
    <w:rsid w:val="0010613D"/>
    <w:rsid w:val="00106537"/>
    <w:rsid w:val="0010693B"/>
    <w:rsid w:val="00106BE0"/>
    <w:rsid w:val="0010777F"/>
    <w:rsid w:val="00107DCE"/>
    <w:rsid w:val="0011101F"/>
    <w:rsid w:val="001111C2"/>
    <w:rsid w:val="00111869"/>
    <w:rsid w:val="001118F1"/>
    <w:rsid w:val="00111A44"/>
    <w:rsid w:val="00112DE2"/>
    <w:rsid w:val="0011356D"/>
    <w:rsid w:val="0011388A"/>
    <w:rsid w:val="0011423D"/>
    <w:rsid w:val="00114D80"/>
    <w:rsid w:val="00115B59"/>
    <w:rsid w:val="00115CE5"/>
    <w:rsid w:val="001170DB"/>
    <w:rsid w:val="0012011B"/>
    <w:rsid w:val="001205A2"/>
    <w:rsid w:val="00120FCD"/>
    <w:rsid w:val="00121111"/>
    <w:rsid w:val="00121E52"/>
    <w:rsid w:val="001220CA"/>
    <w:rsid w:val="00122941"/>
    <w:rsid w:val="00123375"/>
    <w:rsid w:val="00123802"/>
    <w:rsid w:val="00123993"/>
    <w:rsid w:val="00123DC6"/>
    <w:rsid w:val="0012456C"/>
    <w:rsid w:val="00125627"/>
    <w:rsid w:val="00125E1D"/>
    <w:rsid w:val="001260A0"/>
    <w:rsid w:val="0012697D"/>
    <w:rsid w:val="00126FAA"/>
    <w:rsid w:val="0013015E"/>
    <w:rsid w:val="0013046B"/>
    <w:rsid w:val="00130A7A"/>
    <w:rsid w:val="00130B87"/>
    <w:rsid w:val="00130C11"/>
    <w:rsid w:val="001313C3"/>
    <w:rsid w:val="00131517"/>
    <w:rsid w:val="00131A77"/>
    <w:rsid w:val="00131B43"/>
    <w:rsid w:val="00132C3A"/>
    <w:rsid w:val="00133684"/>
    <w:rsid w:val="001337E4"/>
    <w:rsid w:val="00133BA6"/>
    <w:rsid w:val="00134C35"/>
    <w:rsid w:val="00134D3A"/>
    <w:rsid w:val="001378A9"/>
    <w:rsid w:val="00141654"/>
    <w:rsid w:val="00141760"/>
    <w:rsid w:val="00141C26"/>
    <w:rsid w:val="00141D98"/>
    <w:rsid w:val="00142A60"/>
    <w:rsid w:val="001430ED"/>
    <w:rsid w:val="001434C9"/>
    <w:rsid w:val="001437B9"/>
    <w:rsid w:val="00146D7F"/>
    <w:rsid w:val="00146FD7"/>
    <w:rsid w:val="00150989"/>
    <w:rsid w:val="00151166"/>
    <w:rsid w:val="00153234"/>
    <w:rsid w:val="00153B73"/>
    <w:rsid w:val="00153DAD"/>
    <w:rsid w:val="001541DD"/>
    <w:rsid w:val="0015662E"/>
    <w:rsid w:val="0015669F"/>
    <w:rsid w:val="00156BE1"/>
    <w:rsid w:val="00156EC3"/>
    <w:rsid w:val="00157319"/>
    <w:rsid w:val="001578BE"/>
    <w:rsid w:val="0015798E"/>
    <w:rsid w:val="00157A84"/>
    <w:rsid w:val="00157CDA"/>
    <w:rsid w:val="00160039"/>
    <w:rsid w:val="0016005F"/>
    <w:rsid w:val="00160565"/>
    <w:rsid w:val="001606BC"/>
    <w:rsid w:val="00160B7C"/>
    <w:rsid w:val="001612D4"/>
    <w:rsid w:val="001620E4"/>
    <w:rsid w:val="00162420"/>
    <w:rsid w:val="00163AA3"/>
    <w:rsid w:val="00164401"/>
    <w:rsid w:val="00164FE3"/>
    <w:rsid w:val="0016525A"/>
    <w:rsid w:val="00165945"/>
    <w:rsid w:val="00166620"/>
    <w:rsid w:val="00167F11"/>
    <w:rsid w:val="001702C1"/>
    <w:rsid w:val="001705A4"/>
    <w:rsid w:val="00172C4A"/>
    <w:rsid w:val="001730AD"/>
    <w:rsid w:val="001738D5"/>
    <w:rsid w:val="00174147"/>
    <w:rsid w:val="00174BC7"/>
    <w:rsid w:val="0017570D"/>
    <w:rsid w:val="00175B2F"/>
    <w:rsid w:val="00175C84"/>
    <w:rsid w:val="00175D86"/>
    <w:rsid w:val="00176413"/>
    <w:rsid w:val="0017677A"/>
    <w:rsid w:val="00177412"/>
    <w:rsid w:val="001778EE"/>
    <w:rsid w:val="00177A43"/>
    <w:rsid w:val="001825E3"/>
    <w:rsid w:val="001827DB"/>
    <w:rsid w:val="00183872"/>
    <w:rsid w:val="00183C59"/>
    <w:rsid w:val="00183C90"/>
    <w:rsid w:val="001841F8"/>
    <w:rsid w:val="00184666"/>
    <w:rsid w:val="00184699"/>
    <w:rsid w:val="001847EC"/>
    <w:rsid w:val="00184A51"/>
    <w:rsid w:val="001855DA"/>
    <w:rsid w:val="00185B5E"/>
    <w:rsid w:val="00185DA1"/>
    <w:rsid w:val="00185F6D"/>
    <w:rsid w:val="00186183"/>
    <w:rsid w:val="00186887"/>
    <w:rsid w:val="00186B73"/>
    <w:rsid w:val="00190CD2"/>
    <w:rsid w:val="00192EB0"/>
    <w:rsid w:val="00192EBC"/>
    <w:rsid w:val="00193D64"/>
    <w:rsid w:val="001954C8"/>
    <w:rsid w:val="00196484"/>
    <w:rsid w:val="001967BB"/>
    <w:rsid w:val="00196BDC"/>
    <w:rsid w:val="00197391"/>
    <w:rsid w:val="00197F3D"/>
    <w:rsid w:val="001A024E"/>
    <w:rsid w:val="001A29C7"/>
    <w:rsid w:val="001A2DFF"/>
    <w:rsid w:val="001A3239"/>
    <w:rsid w:val="001A440D"/>
    <w:rsid w:val="001A4525"/>
    <w:rsid w:val="001A4A0C"/>
    <w:rsid w:val="001A4C45"/>
    <w:rsid w:val="001A516A"/>
    <w:rsid w:val="001A53C8"/>
    <w:rsid w:val="001A53F8"/>
    <w:rsid w:val="001A5F4A"/>
    <w:rsid w:val="001A6370"/>
    <w:rsid w:val="001A6ADF"/>
    <w:rsid w:val="001A763D"/>
    <w:rsid w:val="001A78BE"/>
    <w:rsid w:val="001B087C"/>
    <w:rsid w:val="001B1052"/>
    <w:rsid w:val="001B1A49"/>
    <w:rsid w:val="001B220A"/>
    <w:rsid w:val="001B25E6"/>
    <w:rsid w:val="001B3549"/>
    <w:rsid w:val="001B378D"/>
    <w:rsid w:val="001B3F8D"/>
    <w:rsid w:val="001B4783"/>
    <w:rsid w:val="001B48DC"/>
    <w:rsid w:val="001B54B3"/>
    <w:rsid w:val="001B555D"/>
    <w:rsid w:val="001B571A"/>
    <w:rsid w:val="001B6B53"/>
    <w:rsid w:val="001B70F9"/>
    <w:rsid w:val="001B70FA"/>
    <w:rsid w:val="001B7E44"/>
    <w:rsid w:val="001C167C"/>
    <w:rsid w:val="001C1A4D"/>
    <w:rsid w:val="001C3135"/>
    <w:rsid w:val="001C39ED"/>
    <w:rsid w:val="001C3F3A"/>
    <w:rsid w:val="001C4215"/>
    <w:rsid w:val="001C53B1"/>
    <w:rsid w:val="001C5AAD"/>
    <w:rsid w:val="001C696C"/>
    <w:rsid w:val="001C6AC7"/>
    <w:rsid w:val="001C6DA0"/>
    <w:rsid w:val="001C730F"/>
    <w:rsid w:val="001C732B"/>
    <w:rsid w:val="001C7C12"/>
    <w:rsid w:val="001C7DC1"/>
    <w:rsid w:val="001D02A4"/>
    <w:rsid w:val="001D11B8"/>
    <w:rsid w:val="001D266F"/>
    <w:rsid w:val="001D2BAD"/>
    <w:rsid w:val="001D38BD"/>
    <w:rsid w:val="001D63FC"/>
    <w:rsid w:val="001D78B7"/>
    <w:rsid w:val="001D7EBD"/>
    <w:rsid w:val="001D7F35"/>
    <w:rsid w:val="001E05C6"/>
    <w:rsid w:val="001E0E0F"/>
    <w:rsid w:val="001E2658"/>
    <w:rsid w:val="001E295A"/>
    <w:rsid w:val="001E2CFB"/>
    <w:rsid w:val="001E3408"/>
    <w:rsid w:val="001E342B"/>
    <w:rsid w:val="001E3EC4"/>
    <w:rsid w:val="001E48A6"/>
    <w:rsid w:val="001E4C1C"/>
    <w:rsid w:val="001E51E9"/>
    <w:rsid w:val="001E5417"/>
    <w:rsid w:val="001E5445"/>
    <w:rsid w:val="001E5511"/>
    <w:rsid w:val="001E5B48"/>
    <w:rsid w:val="001E5F16"/>
    <w:rsid w:val="001E6066"/>
    <w:rsid w:val="001E73AB"/>
    <w:rsid w:val="001E7425"/>
    <w:rsid w:val="001F0488"/>
    <w:rsid w:val="001F068F"/>
    <w:rsid w:val="001F2321"/>
    <w:rsid w:val="001F23DB"/>
    <w:rsid w:val="001F2A13"/>
    <w:rsid w:val="001F2BD2"/>
    <w:rsid w:val="001F2D5E"/>
    <w:rsid w:val="001F4060"/>
    <w:rsid w:val="001F41B7"/>
    <w:rsid w:val="001F433A"/>
    <w:rsid w:val="001F507C"/>
    <w:rsid w:val="001F55D5"/>
    <w:rsid w:val="001F6B1A"/>
    <w:rsid w:val="001F6FE7"/>
    <w:rsid w:val="001F794B"/>
    <w:rsid w:val="001F7B55"/>
    <w:rsid w:val="002013B2"/>
    <w:rsid w:val="00201CA0"/>
    <w:rsid w:val="00201CF3"/>
    <w:rsid w:val="00201E09"/>
    <w:rsid w:val="00201F63"/>
    <w:rsid w:val="00202F64"/>
    <w:rsid w:val="00203182"/>
    <w:rsid w:val="002036CE"/>
    <w:rsid w:val="00203BBF"/>
    <w:rsid w:val="0020493F"/>
    <w:rsid w:val="00205839"/>
    <w:rsid w:val="00206720"/>
    <w:rsid w:val="002069EA"/>
    <w:rsid w:val="00206C74"/>
    <w:rsid w:val="00206D32"/>
    <w:rsid w:val="0020771F"/>
    <w:rsid w:val="00207F42"/>
    <w:rsid w:val="0021067A"/>
    <w:rsid w:val="00210B26"/>
    <w:rsid w:val="00210EBA"/>
    <w:rsid w:val="00211405"/>
    <w:rsid w:val="00211442"/>
    <w:rsid w:val="00211B98"/>
    <w:rsid w:val="00211BE8"/>
    <w:rsid w:val="00211D53"/>
    <w:rsid w:val="00212C19"/>
    <w:rsid w:val="00212E97"/>
    <w:rsid w:val="00213024"/>
    <w:rsid w:val="00213B95"/>
    <w:rsid w:val="00213D45"/>
    <w:rsid w:val="0021436A"/>
    <w:rsid w:val="00214830"/>
    <w:rsid w:val="002158D0"/>
    <w:rsid w:val="00215F5E"/>
    <w:rsid w:val="0021645F"/>
    <w:rsid w:val="002165C9"/>
    <w:rsid w:val="00216E2B"/>
    <w:rsid w:val="00217C4E"/>
    <w:rsid w:val="00217D46"/>
    <w:rsid w:val="00217E3D"/>
    <w:rsid w:val="00220CE0"/>
    <w:rsid w:val="00221475"/>
    <w:rsid w:val="00221C10"/>
    <w:rsid w:val="00222840"/>
    <w:rsid w:val="00222B7C"/>
    <w:rsid w:val="00222BBB"/>
    <w:rsid w:val="002234B5"/>
    <w:rsid w:val="002235CE"/>
    <w:rsid w:val="002238B5"/>
    <w:rsid w:val="002242F7"/>
    <w:rsid w:val="00224565"/>
    <w:rsid w:val="00224B35"/>
    <w:rsid w:val="00225BD2"/>
    <w:rsid w:val="0022645A"/>
    <w:rsid w:val="00227329"/>
    <w:rsid w:val="0022734C"/>
    <w:rsid w:val="00230396"/>
    <w:rsid w:val="00230BAB"/>
    <w:rsid w:val="002312FC"/>
    <w:rsid w:val="00231E28"/>
    <w:rsid w:val="00232671"/>
    <w:rsid w:val="00233E2F"/>
    <w:rsid w:val="00234394"/>
    <w:rsid w:val="0023535F"/>
    <w:rsid w:val="00235A90"/>
    <w:rsid w:val="002368F3"/>
    <w:rsid w:val="00237965"/>
    <w:rsid w:val="00237CB3"/>
    <w:rsid w:val="002404C9"/>
    <w:rsid w:val="002413B5"/>
    <w:rsid w:val="00241B87"/>
    <w:rsid w:val="00241E9B"/>
    <w:rsid w:val="002430F3"/>
    <w:rsid w:val="00243F8D"/>
    <w:rsid w:val="002449A0"/>
    <w:rsid w:val="00245A68"/>
    <w:rsid w:val="002460C4"/>
    <w:rsid w:val="00247606"/>
    <w:rsid w:val="002476D9"/>
    <w:rsid w:val="00247BB1"/>
    <w:rsid w:val="00251198"/>
    <w:rsid w:val="0025173B"/>
    <w:rsid w:val="00251F9B"/>
    <w:rsid w:val="0025201F"/>
    <w:rsid w:val="002520C7"/>
    <w:rsid w:val="00252D9D"/>
    <w:rsid w:val="00252E14"/>
    <w:rsid w:val="002533FB"/>
    <w:rsid w:val="00253F56"/>
    <w:rsid w:val="00253FD2"/>
    <w:rsid w:val="00254759"/>
    <w:rsid w:val="00255A6D"/>
    <w:rsid w:val="00256382"/>
    <w:rsid w:val="0025659B"/>
    <w:rsid w:val="0025691E"/>
    <w:rsid w:val="00256A4C"/>
    <w:rsid w:val="00256A84"/>
    <w:rsid w:val="00256C1B"/>
    <w:rsid w:val="002579E8"/>
    <w:rsid w:val="00260041"/>
    <w:rsid w:val="002603D9"/>
    <w:rsid w:val="00260547"/>
    <w:rsid w:val="002605CA"/>
    <w:rsid w:val="0026067F"/>
    <w:rsid w:val="0026080C"/>
    <w:rsid w:val="00260A97"/>
    <w:rsid w:val="00260B4D"/>
    <w:rsid w:val="0026191C"/>
    <w:rsid w:val="0026241B"/>
    <w:rsid w:val="002635F2"/>
    <w:rsid w:val="00263EDB"/>
    <w:rsid w:val="00264618"/>
    <w:rsid w:val="00264A20"/>
    <w:rsid w:val="00264ABB"/>
    <w:rsid w:val="00264FEB"/>
    <w:rsid w:val="00265536"/>
    <w:rsid w:val="00266827"/>
    <w:rsid w:val="00266E89"/>
    <w:rsid w:val="00267CA4"/>
    <w:rsid w:val="00267DE6"/>
    <w:rsid w:val="0027166F"/>
    <w:rsid w:val="00272A33"/>
    <w:rsid w:val="00272D83"/>
    <w:rsid w:val="00272EEC"/>
    <w:rsid w:val="002731E4"/>
    <w:rsid w:val="00274284"/>
    <w:rsid w:val="00274861"/>
    <w:rsid w:val="00274964"/>
    <w:rsid w:val="00275124"/>
    <w:rsid w:val="002751AE"/>
    <w:rsid w:val="002753CE"/>
    <w:rsid w:val="00275807"/>
    <w:rsid w:val="00275FA0"/>
    <w:rsid w:val="00277004"/>
    <w:rsid w:val="0028097F"/>
    <w:rsid w:val="002818A6"/>
    <w:rsid w:val="00281D3B"/>
    <w:rsid w:val="00282B41"/>
    <w:rsid w:val="00282D52"/>
    <w:rsid w:val="0028339F"/>
    <w:rsid w:val="002834FD"/>
    <w:rsid w:val="002836FA"/>
    <w:rsid w:val="002838E3"/>
    <w:rsid w:val="002843E3"/>
    <w:rsid w:val="002850A1"/>
    <w:rsid w:val="00285550"/>
    <w:rsid w:val="00285919"/>
    <w:rsid w:val="00285EB8"/>
    <w:rsid w:val="0028615A"/>
    <w:rsid w:val="00286887"/>
    <w:rsid w:val="00286989"/>
    <w:rsid w:val="00286D69"/>
    <w:rsid w:val="00286F7C"/>
    <w:rsid w:val="00287BE6"/>
    <w:rsid w:val="00287C6C"/>
    <w:rsid w:val="0029085A"/>
    <w:rsid w:val="00290FBE"/>
    <w:rsid w:val="00291ADD"/>
    <w:rsid w:val="0029250C"/>
    <w:rsid w:val="002928CD"/>
    <w:rsid w:val="002931D9"/>
    <w:rsid w:val="002945CA"/>
    <w:rsid w:val="002958B5"/>
    <w:rsid w:val="00295962"/>
    <w:rsid w:val="00296612"/>
    <w:rsid w:val="00296D02"/>
    <w:rsid w:val="00296DF9"/>
    <w:rsid w:val="00296EA7"/>
    <w:rsid w:val="002975F2"/>
    <w:rsid w:val="0029779D"/>
    <w:rsid w:val="002978B1"/>
    <w:rsid w:val="00297C2E"/>
    <w:rsid w:val="002A19D2"/>
    <w:rsid w:val="002A1B5F"/>
    <w:rsid w:val="002A1C25"/>
    <w:rsid w:val="002A1E1B"/>
    <w:rsid w:val="002A248C"/>
    <w:rsid w:val="002A2A68"/>
    <w:rsid w:val="002A2A70"/>
    <w:rsid w:val="002A2DF0"/>
    <w:rsid w:val="002A3A6E"/>
    <w:rsid w:val="002A3AC8"/>
    <w:rsid w:val="002A41BE"/>
    <w:rsid w:val="002A42AB"/>
    <w:rsid w:val="002A4A46"/>
    <w:rsid w:val="002A4B76"/>
    <w:rsid w:val="002A533A"/>
    <w:rsid w:val="002A53EA"/>
    <w:rsid w:val="002A55E1"/>
    <w:rsid w:val="002A5B9B"/>
    <w:rsid w:val="002A63DE"/>
    <w:rsid w:val="002A6C1F"/>
    <w:rsid w:val="002A6F9C"/>
    <w:rsid w:val="002A71F9"/>
    <w:rsid w:val="002A740E"/>
    <w:rsid w:val="002B0C7E"/>
    <w:rsid w:val="002B3767"/>
    <w:rsid w:val="002B37F9"/>
    <w:rsid w:val="002B3808"/>
    <w:rsid w:val="002B3979"/>
    <w:rsid w:val="002B4B0D"/>
    <w:rsid w:val="002B4D03"/>
    <w:rsid w:val="002B4DED"/>
    <w:rsid w:val="002B553D"/>
    <w:rsid w:val="002B574E"/>
    <w:rsid w:val="002B75C7"/>
    <w:rsid w:val="002C0012"/>
    <w:rsid w:val="002C011D"/>
    <w:rsid w:val="002C1218"/>
    <w:rsid w:val="002C1305"/>
    <w:rsid w:val="002C19D9"/>
    <w:rsid w:val="002C32B2"/>
    <w:rsid w:val="002C40F1"/>
    <w:rsid w:val="002C490A"/>
    <w:rsid w:val="002C4BF6"/>
    <w:rsid w:val="002C4F46"/>
    <w:rsid w:val="002C5653"/>
    <w:rsid w:val="002C5EE0"/>
    <w:rsid w:val="002C5FFD"/>
    <w:rsid w:val="002C6BD7"/>
    <w:rsid w:val="002C6BF0"/>
    <w:rsid w:val="002C6D99"/>
    <w:rsid w:val="002C6E17"/>
    <w:rsid w:val="002D088D"/>
    <w:rsid w:val="002D0B6B"/>
    <w:rsid w:val="002D1465"/>
    <w:rsid w:val="002D1892"/>
    <w:rsid w:val="002D1F44"/>
    <w:rsid w:val="002D2D30"/>
    <w:rsid w:val="002D43F8"/>
    <w:rsid w:val="002D4639"/>
    <w:rsid w:val="002D4804"/>
    <w:rsid w:val="002D5A50"/>
    <w:rsid w:val="002D5C5B"/>
    <w:rsid w:val="002D6210"/>
    <w:rsid w:val="002D650D"/>
    <w:rsid w:val="002D78D7"/>
    <w:rsid w:val="002D7E39"/>
    <w:rsid w:val="002E035D"/>
    <w:rsid w:val="002E0503"/>
    <w:rsid w:val="002E0A09"/>
    <w:rsid w:val="002E1177"/>
    <w:rsid w:val="002E16FC"/>
    <w:rsid w:val="002E1D97"/>
    <w:rsid w:val="002E21DB"/>
    <w:rsid w:val="002E2E08"/>
    <w:rsid w:val="002E3CF7"/>
    <w:rsid w:val="002E43D8"/>
    <w:rsid w:val="002E4FE9"/>
    <w:rsid w:val="002E54FC"/>
    <w:rsid w:val="002E5790"/>
    <w:rsid w:val="002E6676"/>
    <w:rsid w:val="002E671D"/>
    <w:rsid w:val="002E6E40"/>
    <w:rsid w:val="002E6EE9"/>
    <w:rsid w:val="002E6FD6"/>
    <w:rsid w:val="002E71C7"/>
    <w:rsid w:val="002E772A"/>
    <w:rsid w:val="002F00D4"/>
    <w:rsid w:val="002F0636"/>
    <w:rsid w:val="002F0A6D"/>
    <w:rsid w:val="002F0ADE"/>
    <w:rsid w:val="002F0CED"/>
    <w:rsid w:val="002F0D44"/>
    <w:rsid w:val="002F1820"/>
    <w:rsid w:val="002F1870"/>
    <w:rsid w:val="002F1A7D"/>
    <w:rsid w:val="002F1D79"/>
    <w:rsid w:val="002F2366"/>
    <w:rsid w:val="002F26AD"/>
    <w:rsid w:val="002F2CEF"/>
    <w:rsid w:val="002F31B9"/>
    <w:rsid w:val="002F4130"/>
    <w:rsid w:val="002F4AB7"/>
    <w:rsid w:val="002F4DCE"/>
    <w:rsid w:val="002F5424"/>
    <w:rsid w:val="002F5D1D"/>
    <w:rsid w:val="002F6817"/>
    <w:rsid w:val="002F714D"/>
    <w:rsid w:val="002F7759"/>
    <w:rsid w:val="002F7D61"/>
    <w:rsid w:val="002F7E2F"/>
    <w:rsid w:val="0030018A"/>
    <w:rsid w:val="003004C7"/>
    <w:rsid w:val="00301039"/>
    <w:rsid w:val="00301667"/>
    <w:rsid w:val="00301857"/>
    <w:rsid w:val="00302000"/>
    <w:rsid w:val="00303C86"/>
    <w:rsid w:val="00303C9B"/>
    <w:rsid w:val="0030423F"/>
    <w:rsid w:val="00304A2C"/>
    <w:rsid w:val="00304ABF"/>
    <w:rsid w:val="00304D03"/>
    <w:rsid w:val="00304E14"/>
    <w:rsid w:val="0030541E"/>
    <w:rsid w:val="00305849"/>
    <w:rsid w:val="003061BC"/>
    <w:rsid w:val="0030673A"/>
    <w:rsid w:val="0030758B"/>
    <w:rsid w:val="0030774A"/>
    <w:rsid w:val="00310004"/>
    <w:rsid w:val="003103D5"/>
    <w:rsid w:val="00310985"/>
    <w:rsid w:val="0031153E"/>
    <w:rsid w:val="00311E19"/>
    <w:rsid w:val="00312905"/>
    <w:rsid w:val="00312BAD"/>
    <w:rsid w:val="00312E08"/>
    <w:rsid w:val="00313907"/>
    <w:rsid w:val="003143DF"/>
    <w:rsid w:val="003154F1"/>
    <w:rsid w:val="003158CE"/>
    <w:rsid w:val="0031595D"/>
    <w:rsid w:val="00315E9B"/>
    <w:rsid w:val="00315EE2"/>
    <w:rsid w:val="00316BFA"/>
    <w:rsid w:val="003177A0"/>
    <w:rsid w:val="00320123"/>
    <w:rsid w:val="00320F2A"/>
    <w:rsid w:val="00320F87"/>
    <w:rsid w:val="003211A5"/>
    <w:rsid w:val="003218DD"/>
    <w:rsid w:val="00322A65"/>
    <w:rsid w:val="00322CF3"/>
    <w:rsid w:val="00322E2B"/>
    <w:rsid w:val="00322E9E"/>
    <w:rsid w:val="00323D07"/>
    <w:rsid w:val="00323FC4"/>
    <w:rsid w:val="00324F0A"/>
    <w:rsid w:val="00324FDF"/>
    <w:rsid w:val="00324FFA"/>
    <w:rsid w:val="003255BF"/>
    <w:rsid w:val="00326360"/>
    <w:rsid w:val="00326A17"/>
    <w:rsid w:val="00326F68"/>
    <w:rsid w:val="00327830"/>
    <w:rsid w:val="00327A6E"/>
    <w:rsid w:val="003301EB"/>
    <w:rsid w:val="00332117"/>
    <w:rsid w:val="003336F9"/>
    <w:rsid w:val="00334051"/>
    <w:rsid w:val="003346EB"/>
    <w:rsid w:val="00335370"/>
    <w:rsid w:val="003378C8"/>
    <w:rsid w:val="00337CD8"/>
    <w:rsid w:val="00337DFD"/>
    <w:rsid w:val="00340C45"/>
    <w:rsid w:val="003411AE"/>
    <w:rsid w:val="0034172A"/>
    <w:rsid w:val="003418BF"/>
    <w:rsid w:val="00341AED"/>
    <w:rsid w:val="003422C6"/>
    <w:rsid w:val="0034248C"/>
    <w:rsid w:val="0034251D"/>
    <w:rsid w:val="00343742"/>
    <w:rsid w:val="00343BD1"/>
    <w:rsid w:val="0034444E"/>
    <w:rsid w:val="00344AEC"/>
    <w:rsid w:val="00344C68"/>
    <w:rsid w:val="00345135"/>
    <w:rsid w:val="00346260"/>
    <w:rsid w:val="0034626A"/>
    <w:rsid w:val="0034798F"/>
    <w:rsid w:val="00347FB4"/>
    <w:rsid w:val="00350145"/>
    <w:rsid w:val="003513C3"/>
    <w:rsid w:val="00352B24"/>
    <w:rsid w:val="00353BD2"/>
    <w:rsid w:val="00353E07"/>
    <w:rsid w:val="00353E24"/>
    <w:rsid w:val="003540E2"/>
    <w:rsid w:val="00354127"/>
    <w:rsid w:val="00354341"/>
    <w:rsid w:val="003550FF"/>
    <w:rsid w:val="003551C4"/>
    <w:rsid w:val="00356295"/>
    <w:rsid w:val="00356838"/>
    <w:rsid w:val="003569C3"/>
    <w:rsid w:val="00357323"/>
    <w:rsid w:val="003600FA"/>
    <w:rsid w:val="0036013A"/>
    <w:rsid w:val="00360D84"/>
    <w:rsid w:val="0036249D"/>
    <w:rsid w:val="0036346B"/>
    <w:rsid w:val="00364103"/>
    <w:rsid w:val="0036428E"/>
    <w:rsid w:val="00364C2A"/>
    <w:rsid w:val="00365293"/>
    <w:rsid w:val="0036564B"/>
    <w:rsid w:val="00366111"/>
    <w:rsid w:val="00366601"/>
    <w:rsid w:val="00366733"/>
    <w:rsid w:val="003669C8"/>
    <w:rsid w:val="00366A58"/>
    <w:rsid w:val="00366C7B"/>
    <w:rsid w:val="00367C68"/>
    <w:rsid w:val="003704B1"/>
    <w:rsid w:val="003708CD"/>
    <w:rsid w:val="00370AA2"/>
    <w:rsid w:val="0037144B"/>
    <w:rsid w:val="00371AB2"/>
    <w:rsid w:val="00372B03"/>
    <w:rsid w:val="00372BBC"/>
    <w:rsid w:val="00373E01"/>
    <w:rsid w:val="00373F74"/>
    <w:rsid w:val="003742CF"/>
    <w:rsid w:val="00374344"/>
    <w:rsid w:val="00374407"/>
    <w:rsid w:val="00374B4C"/>
    <w:rsid w:val="00375080"/>
    <w:rsid w:val="003756EE"/>
    <w:rsid w:val="00375BAB"/>
    <w:rsid w:val="0037692B"/>
    <w:rsid w:val="003806A7"/>
    <w:rsid w:val="00380889"/>
    <w:rsid w:val="003808DA"/>
    <w:rsid w:val="0038121C"/>
    <w:rsid w:val="00381260"/>
    <w:rsid w:val="003813B6"/>
    <w:rsid w:val="00381C7A"/>
    <w:rsid w:val="00381D32"/>
    <w:rsid w:val="00381EE0"/>
    <w:rsid w:val="00382A4B"/>
    <w:rsid w:val="0038314E"/>
    <w:rsid w:val="00383539"/>
    <w:rsid w:val="0038495C"/>
    <w:rsid w:val="00384D26"/>
    <w:rsid w:val="00385190"/>
    <w:rsid w:val="00385595"/>
    <w:rsid w:val="003856EF"/>
    <w:rsid w:val="00385E73"/>
    <w:rsid w:val="0038698E"/>
    <w:rsid w:val="00386CEA"/>
    <w:rsid w:val="00390901"/>
    <w:rsid w:val="00390DE4"/>
    <w:rsid w:val="00390FB3"/>
    <w:rsid w:val="0039161B"/>
    <w:rsid w:val="00391780"/>
    <w:rsid w:val="00392C45"/>
    <w:rsid w:val="003938A0"/>
    <w:rsid w:val="003945F0"/>
    <w:rsid w:val="00394901"/>
    <w:rsid w:val="00394B8E"/>
    <w:rsid w:val="00395511"/>
    <w:rsid w:val="003958B9"/>
    <w:rsid w:val="003967B5"/>
    <w:rsid w:val="00396E0C"/>
    <w:rsid w:val="0039712D"/>
    <w:rsid w:val="003974E3"/>
    <w:rsid w:val="00397A8B"/>
    <w:rsid w:val="00397DE1"/>
    <w:rsid w:val="003A0289"/>
    <w:rsid w:val="003A05A4"/>
    <w:rsid w:val="003A1A53"/>
    <w:rsid w:val="003A1BF7"/>
    <w:rsid w:val="003A2A03"/>
    <w:rsid w:val="003A343D"/>
    <w:rsid w:val="003A34C8"/>
    <w:rsid w:val="003A383D"/>
    <w:rsid w:val="003A3888"/>
    <w:rsid w:val="003A41A4"/>
    <w:rsid w:val="003A4DDC"/>
    <w:rsid w:val="003A4F76"/>
    <w:rsid w:val="003A50AE"/>
    <w:rsid w:val="003A5385"/>
    <w:rsid w:val="003A591D"/>
    <w:rsid w:val="003A6BB1"/>
    <w:rsid w:val="003A7519"/>
    <w:rsid w:val="003A79A7"/>
    <w:rsid w:val="003B0F4C"/>
    <w:rsid w:val="003B1282"/>
    <w:rsid w:val="003B1460"/>
    <w:rsid w:val="003B2536"/>
    <w:rsid w:val="003B25FB"/>
    <w:rsid w:val="003B2E37"/>
    <w:rsid w:val="003B3721"/>
    <w:rsid w:val="003B3893"/>
    <w:rsid w:val="003B3C45"/>
    <w:rsid w:val="003B3CEA"/>
    <w:rsid w:val="003B4541"/>
    <w:rsid w:val="003B4F5A"/>
    <w:rsid w:val="003B50A0"/>
    <w:rsid w:val="003B533C"/>
    <w:rsid w:val="003B55BA"/>
    <w:rsid w:val="003B561F"/>
    <w:rsid w:val="003B57B9"/>
    <w:rsid w:val="003B6A0D"/>
    <w:rsid w:val="003B6DF8"/>
    <w:rsid w:val="003B6F63"/>
    <w:rsid w:val="003B72ED"/>
    <w:rsid w:val="003B7389"/>
    <w:rsid w:val="003C042A"/>
    <w:rsid w:val="003C0603"/>
    <w:rsid w:val="003C0C8C"/>
    <w:rsid w:val="003C0DCF"/>
    <w:rsid w:val="003C0E30"/>
    <w:rsid w:val="003C0F72"/>
    <w:rsid w:val="003C135E"/>
    <w:rsid w:val="003C15E3"/>
    <w:rsid w:val="003C1C48"/>
    <w:rsid w:val="003C1EEB"/>
    <w:rsid w:val="003C24ED"/>
    <w:rsid w:val="003C34D6"/>
    <w:rsid w:val="003C361A"/>
    <w:rsid w:val="003C4355"/>
    <w:rsid w:val="003C5CBD"/>
    <w:rsid w:val="003C6085"/>
    <w:rsid w:val="003C61AD"/>
    <w:rsid w:val="003C627D"/>
    <w:rsid w:val="003C6981"/>
    <w:rsid w:val="003C757B"/>
    <w:rsid w:val="003D0193"/>
    <w:rsid w:val="003D05E0"/>
    <w:rsid w:val="003D1299"/>
    <w:rsid w:val="003D1A9A"/>
    <w:rsid w:val="003D234C"/>
    <w:rsid w:val="003D2643"/>
    <w:rsid w:val="003D3ACE"/>
    <w:rsid w:val="003D3B4D"/>
    <w:rsid w:val="003D4087"/>
    <w:rsid w:val="003D4436"/>
    <w:rsid w:val="003D4541"/>
    <w:rsid w:val="003D4638"/>
    <w:rsid w:val="003D471F"/>
    <w:rsid w:val="003D4DCA"/>
    <w:rsid w:val="003D509A"/>
    <w:rsid w:val="003D5271"/>
    <w:rsid w:val="003D57FE"/>
    <w:rsid w:val="003D609B"/>
    <w:rsid w:val="003D69B9"/>
    <w:rsid w:val="003D6E5A"/>
    <w:rsid w:val="003D76D1"/>
    <w:rsid w:val="003D7A8D"/>
    <w:rsid w:val="003E04B7"/>
    <w:rsid w:val="003E22CB"/>
    <w:rsid w:val="003E266B"/>
    <w:rsid w:val="003E2EAB"/>
    <w:rsid w:val="003E3188"/>
    <w:rsid w:val="003E32B9"/>
    <w:rsid w:val="003E3836"/>
    <w:rsid w:val="003E3BE6"/>
    <w:rsid w:val="003E6544"/>
    <w:rsid w:val="003E771C"/>
    <w:rsid w:val="003E784C"/>
    <w:rsid w:val="003F07AF"/>
    <w:rsid w:val="003F08B3"/>
    <w:rsid w:val="003F19BF"/>
    <w:rsid w:val="003F1EC6"/>
    <w:rsid w:val="003F27D1"/>
    <w:rsid w:val="003F287E"/>
    <w:rsid w:val="003F2F84"/>
    <w:rsid w:val="003F4B66"/>
    <w:rsid w:val="003F7000"/>
    <w:rsid w:val="003F77B4"/>
    <w:rsid w:val="00400A85"/>
    <w:rsid w:val="00401D44"/>
    <w:rsid w:val="004023F4"/>
    <w:rsid w:val="00402479"/>
    <w:rsid w:val="00402DAC"/>
    <w:rsid w:val="00402E10"/>
    <w:rsid w:val="00403B03"/>
    <w:rsid w:val="0040413B"/>
    <w:rsid w:val="00404D47"/>
    <w:rsid w:val="00405DA5"/>
    <w:rsid w:val="00406562"/>
    <w:rsid w:val="0040659A"/>
    <w:rsid w:val="0040785C"/>
    <w:rsid w:val="0041052A"/>
    <w:rsid w:val="00410C74"/>
    <w:rsid w:val="004113DE"/>
    <w:rsid w:val="00411CC6"/>
    <w:rsid w:val="00412DCF"/>
    <w:rsid w:val="00413731"/>
    <w:rsid w:val="0041411E"/>
    <w:rsid w:val="004144EE"/>
    <w:rsid w:val="004146BE"/>
    <w:rsid w:val="00414855"/>
    <w:rsid w:val="00414F41"/>
    <w:rsid w:val="004150B6"/>
    <w:rsid w:val="00415460"/>
    <w:rsid w:val="00415483"/>
    <w:rsid w:val="00416756"/>
    <w:rsid w:val="004170E4"/>
    <w:rsid w:val="00417166"/>
    <w:rsid w:val="00417583"/>
    <w:rsid w:val="00417B3D"/>
    <w:rsid w:val="00417F51"/>
    <w:rsid w:val="00420952"/>
    <w:rsid w:val="00420B2F"/>
    <w:rsid w:val="004214D7"/>
    <w:rsid w:val="004217F6"/>
    <w:rsid w:val="00423C7B"/>
    <w:rsid w:val="0042446A"/>
    <w:rsid w:val="00425226"/>
    <w:rsid w:val="00426B65"/>
    <w:rsid w:val="00426F60"/>
    <w:rsid w:val="004277BF"/>
    <w:rsid w:val="0042785B"/>
    <w:rsid w:val="00430756"/>
    <w:rsid w:val="004308C9"/>
    <w:rsid w:val="0043130C"/>
    <w:rsid w:val="00431599"/>
    <w:rsid w:val="0043195B"/>
    <w:rsid w:val="00432248"/>
    <w:rsid w:val="00433069"/>
    <w:rsid w:val="004335AF"/>
    <w:rsid w:val="004337A1"/>
    <w:rsid w:val="0043381E"/>
    <w:rsid w:val="00433A19"/>
    <w:rsid w:val="00435134"/>
    <w:rsid w:val="00436C73"/>
    <w:rsid w:val="00436D8E"/>
    <w:rsid w:val="00436DAF"/>
    <w:rsid w:val="00436FB3"/>
    <w:rsid w:val="00437473"/>
    <w:rsid w:val="00437F57"/>
    <w:rsid w:val="00441C68"/>
    <w:rsid w:val="0044292E"/>
    <w:rsid w:val="00442A6D"/>
    <w:rsid w:val="00442CCD"/>
    <w:rsid w:val="00443752"/>
    <w:rsid w:val="00444034"/>
    <w:rsid w:val="00445089"/>
    <w:rsid w:val="004455D3"/>
    <w:rsid w:val="00445B27"/>
    <w:rsid w:val="00445FAC"/>
    <w:rsid w:val="00446242"/>
    <w:rsid w:val="00446A67"/>
    <w:rsid w:val="00446BF2"/>
    <w:rsid w:val="0044738E"/>
    <w:rsid w:val="0044740F"/>
    <w:rsid w:val="004507A9"/>
    <w:rsid w:val="00450B3B"/>
    <w:rsid w:val="00451022"/>
    <w:rsid w:val="00451ABA"/>
    <w:rsid w:val="00451C25"/>
    <w:rsid w:val="00451EFC"/>
    <w:rsid w:val="004522C1"/>
    <w:rsid w:val="00452461"/>
    <w:rsid w:val="0045256A"/>
    <w:rsid w:val="00452665"/>
    <w:rsid w:val="0045283E"/>
    <w:rsid w:val="004529D8"/>
    <w:rsid w:val="00452A4D"/>
    <w:rsid w:val="00452ED9"/>
    <w:rsid w:val="00453600"/>
    <w:rsid w:val="0045374A"/>
    <w:rsid w:val="0045497A"/>
    <w:rsid w:val="00454C5C"/>
    <w:rsid w:val="00455D0D"/>
    <w:rsid w:val="00455DFC"/>
    <w:rsid w:val="00456DED"/>
    <w:rsid w:val="00457051"/>
    <w:rsid w:val="0045711B"/>
    <w:rsid w:val="0045730E"/>
    <w:rsid w:val="00457581"/>
    <w:rsid w:val="00457774"/>
    <w:rsid w:val="004600FF"/>
    <w:rsid w:val="00461143"/>
    <w:rsid w:val="00462520"/>
    <w:rsid w:val="00463159"/>
    <w:rsid w:val="00463545"/>
    <w:rsid w:val="004635D2"/>
    <w:rsid w:val="004636A4"/>
    <w:rsid w:val="004638A6"/>
    <w:rsid w:val="00463BD5"/>
    <w:rsid w:val="00464917"/>
    <w:rsid w:val="00464C0F"/>
    <w:rsid w:val="00464CD5"/>
    <w:rsid w:val="00465BFC"/>
    <w:rsid w:val="004661E0"/>
    <w:rsid w:val="00466C72"/>
    <w:rsid w:val="00467189"/>
    <w:rsid w:val="0046721A"/>
    <w:rsid w:val="00467C2D"/>
    <w:rsid w:val="00470565"/>
    <w:rsid w:val="004709AC"/>
    <w:rsid w:val="00470B07"/>
    <w:rsid w:val="00471A32"/>
    <w:rsid w:val="00471BCD"/>
    <w:rsid w:val="00471CE8"/>
    <w:rsid w:val="00471F17"/>
    <w:rsid w:val="00472283"/>
    <w:rsid w:val="00472342"/>
    <w:rsid w:val="004724DE"/>
    <w:rsid w:val="00473182"/>
    <w:rsid w:val="0047373F"/>
    <w:rsid w:val="00473834"/>
    <w:rsid w:val="00473CA5"/>
    <w:rsid w:val="00475D26"/>
    <w:rsid w:val="00476668"/>
    <w:rsid w:val="004768C4"/>
    <w:rsid w:val="004773D3"/>
    <w:rsid w:val="00477723"/>
    <w:rsid w:val="00477A9D"/>
    <w:rsid w:val="0048042C"/>
    <w:rsid w:val="00481CE5"/>
    <w:rsid w:val="004827A8"/>
    <w:rsid w:val="00482813"/>
    <w:rsid w:val="00482FDC"/>
    <w:rsid w:val="00483795"/>
    <w:rsid w:val="00483BA0"/>
    <w:rsid w:val="00483C56"/>
    <w:rsid w:val="004840C2"/>
    <w:rsid w:val="00485CEB"/>
    <w:rsid w:val="00486243"/>
    <w:rsid w:val="00486D4E"/>
    <w:rsid w:val="004870D9"/>
    <w:rsid w:val="0048715F"/>
    <w:rsid w:val="004873F9"/>
    <w:rsid w:val="0048747D"/>
    <w:rsid w:val="0048758D"/>
    <w:rsid w:val="00487E09"/>
    <w:rsid w:val="004920D8"/>
    <w:rsid w:val="004936F4"/>
    <w:rsid w:val="004938FA"/>
    <w:rsid w:val="00493B40"/>
    <w:rsid w:val="00493BDB"/>
    <w:rsid w:val="00493D8F"/>
    <w:rsid w:val="00493EA2"/>
    <w:rsid w:val="00493F24"/>
    <w:rsid w:val="004949D0"/>
    <w:rsid w:val="004955CD"/>
    <w:rsid w:val="00496DAA"/>
    <w:rsid w:val="004971C6"/>
    <w:rsid w:val="004972E0"/>
    <w:rsid w:val="0049745E"/>
    <w:rsid w:val="0049771B"/>
    <w:rsid w:val="0049775C"/>
    <w:rsid w:val="004A06A7"/>
    <w:rsid w:val="004A0B94"/>
    <w:rsid w:val="004A0D80"/>
    <w:rsid w:val="004A2663"/>
    <w:rsid w:val="004A34D5"/>
    <w:rsid w:val="004A3780"/>
    <w:rsid w:val="004A43F1"/>
    <w:rsid w:val="004A45DC"/>
    <w:rsid w:val="004A4D14"/>
    <w:rsid w:val="004A4E22"/>
    <w:rsid w:val="004A6496"/>
    <w:rsid w:val="004A6520"/>
    <w:rsid w:val="004A6671"/>
    <w:rsid w:val="004A708D"/>
    <w:rsid w:val="004A7831"/>
    <w:rsid w:val="004A786F"/>
    <w:rsid w:val="004A7E33"/>
    <w:rsid w:val="004B0066"/>
    <w:rsid w:val="004B048A"/>
    <w:rsid w:val="004B18A0"/>
    <w:rsid w:val="004B2DAF"/>
    <w:rsid w:val="004B2E53"/>
    <w:rsid w:val="004B2FCC"/>
    <w:rsid w:val="004B312E"/>
    <w:rsid w:val="004B3A7B"/>
    <w:rsid w:val="004B3BCD"/>
    <w:rsid w:val="004B430B"/>
    <w:rsid w:val="004B4CDA"/>
    <w:rsid w:val="004B577B"/>
    <w:rsid w:val="004B5F0B"/>
    <w:rsid w:val="004B7635"/>
    <w:rsid w:val="004B7766"/>
    <w:rsid w:val="004C167C"/>
    <w:rsid w:val="004C1F16"/>
    <w:rsid w:val="004C1F63"/>
    <w:rsid w:val="004C237F"/>
    <w:rsid w:val="004C26CB"/>
    <w:rsid w:val="004C39DE"/>
    <w:rsid w:val="004C40E8"/>
    <w:rsid w:val="004C41B2"/>
    <w:rsid w:val="004C4277"/>
    <w:rsid w:val="004C4F45"/>
    <w:rsid w:val="004C538A"/>
    <w:rsid w:val="004C5ADF"/>
    <w:rsid w:val="004C5C52"/>
    <w:rsid w:val="004C5DCC"/>
    <w:rsid w:val="004C6AD8"/>
    <w:rsid w:val="004C729E"/>
    <w:rsid w:val="004C7401"/>
    <w:rsid w:val="004C7465"/>
    <w:rsid w:val="004C749A"/>
    <w:rsid w:val="004D08F5"/>
    <w:rsid w:val="004D145A"/>
    <w:rsid w:val="004D2A67"/>
    <w:rsid w:val="004D31A8"/>
    <w:rsid w:val="004D35E2"/>
    <w:rsid w:val="004D438D"/>
    <w:rsid w:val="004D5A16"/>
    <w:rsid w:val="004D5DBC"/>
    <w:rsid w:val="004D5E02"/>
    <w:rsid w:val="004D5EB9"/>
    <w:rsid w:val="004D652F"/>
    <w:rsid w:val="004D663D"/>
    <w:rsid w:val="004D667C"/>
    <w:rsid w:val="004D78EC"/>
    <w:rsid w:val="004E0A5B"/>
    <w:rsid w:val="004E0B43"/>
    <w:rsid w:val="004E0DCD"/>
    <w:rsid w:val="004E1C65"/>
    <w:rsid w:val="004E5323"/>
    <w:rsid w:val="004E58C3"/>
    <w:rsid w:val="004E5ED3"/>
    <w:rsid w:val="004E7586"/>
    <w:rsid w:val="004E7CA3"/>
    <w:rsid w:val="004E7F2B"/>
    <w:rsid w:val="004F0AD6"/>
    <w:rsid w:val="004F18FB"/>
    <w:rsid w:val="004F2383"/>
    <w:rsid w:val="004F2584"/>
    <w:rsid w:val="004F3578"/>
    <w:rsid w:val="004F3962"/>
    <w:rsid w:val="004F44B7"/>
    <w:rsid w:val="004F4776"/>
    <w:rsid w:val="004F4D2E"/>
    <w:rsid w:val="004F5854"/>
    <w:rsid w:val="004F59CD"/>
    <w:rsid w:val="004F620B"/>
    <w:rsid w:val="004F7445"/>
    <w:rsid w:val="004F7872"/>
    <w:rsid w:val="004F7A65"/>
    <w:rsid w:val="004F7BF7"/>
    <w:rsid w:val="00500529"/>
    <w:rsid w:val="00500B53"/>
    <w:rsid w:val="00500BF2"/>
    <w:rsid w:val="00500C40"/>
    <w:rsid w:val="00501313"/>
    <w:rsid w:val="0050156C"/>
    <w:rsid w:val="0050244F"/>
    <w:rsid w:val="005031A4"/>
    <w:rsid w:val="00503A6A"/>
    <w:rsid w:val="005047CC"/>
    <w:rsid w:val="005053D6"/>
    <w:rsid w:val="00505654"/>
    <w:rsid w:val="00505AD3"/>
    <w:rsid w:val="00505BA0"/>
    <w:rsid w:val="00505E50"/>
    <w:rsid w:val="00506989"/>
    <w:rsid w:val="005121BB"/>
    <w:rsid w:val="005121D5"/>
    <w:rsid w:val="00512215"/>
    <w:rsid w:val="005125C4"/>
    <w:rsid w:val="005129AA"/>
    <w:rsid w:val="00512C54"/>
    <w:rsid w:val="00512C5C"/>
    <w:rsid w:val="00515F69"/>
    <w:rsid w:val="005161D2"/>
    <w:rsid w:val="005175D0"/>
    <w:rsid w:val="005179C6"/>
    <w:rsid w:val="00517C18"/>
    <w:rsid w:val="00517E17"/>
    <w:rsid w:val="005201D8"/>
    <w:rsid w:val="00520786"/>
    <w:rsid w:val="00520879"/>
    <w:rsid w:val="00520BBC"/>
    <w:rsid w:val="00520F11"/>
    <w:rsid w:val="0052172B"/>
    <w:rsid w:val="00522352"/>
    <w:rsid w:val="005229E8"/>
    <w:rsid w:val="00523347"/>
    <w:rsid w:val="005233D3"/>
    <w:rsid w:val="00524262"/>
    <w:rsid w:val="00524286"/>
    <w:rsid w:val="00524EF6"/>
    <w:rsid w:val="00525123"/>
    <w:rsid w:val="0052512B"/>
    <w:rsid w:val="00525A48"/>
    <w:rsid w:val="005265A2"/>
    <w:rsid w:val="00526F51"/>
    <w:rsid w:val="00527416"/>
    <w:rsid w:val="00530729"/>
    <w:rsid w:val="00530F5B"/>
    <w:rsid w:val="005321F4"/>
    <w:rsid w:val="00532286"/>
    <w:rsid w:val="0053278F"/>
    <w:rsid w:val="0053279A"/>
    <w:rsid w:val="0053283F"/>
    <w:rsid w:val="005332F5"/>
    <w:rsid w:val="00533B4F"/>
    <w:rsid w:val="005340CC"/>
    <w:rsid w:val="00534A1D"/>
    <w:rsid w:val="00534F4F"/>
    <w:rsid w:val="00535A98"/>
    <w:rsid w:val="00535FB8"/>
    <w:rsid w:val="00535FC1"/>
    <w:rsid w:val="00536217"/>
    <w:rsid w:val="00536591"/>
    <w:rsid w:val="00536E74"/>
    <w:rsid w:val="00540231"/>
    <w:rsid w:val="0054061D"/>
    <w:rsid w:val="005406D3"/>
    <w:rsid w:val="00540BEE"/>
    <w:rsid w:val="005417B5"/>
    <w:rsid w:val="005429B4"/>
    <w:rsid w:val="00542BE8"/>
    <w:rsid w:val="0054320C"/>
    <w:rsid w:val="00543790"/>
    <w:rsid w:val="00543CBE"/>
    <w:rsid w:val="00543E4D"/>
    <w:rsid w:val="005448CA"/>
    <w:rsid w:val="00544F99"/>
    <w:rsid w:val="005455AB"/>
    <w:rsid w:val="00545C19"/>
    <w:rsid w:val="00545FB5"/>
    <w:rsid w:val="00546CDB"/>
    <w:rsid w:val="00546D0F"/>
    <w:rsid w:val="00547000"/>
    <w:rsid w:val="005509CD"/>
    <w:rsid w:val="00551BB4"/>
    <w:rsid w:val="005527DB"/>
    <w:rsid w:val="00552997"/>
    <w:rsid w:val="00552B80"/>
    <w:rsid w:val="00552FBD"/>
    <w:rsid w:val="005538F4"/>
    <w:rsid w:val="0055414F"/>
    <w:rsid w:val="0055419A"/>
    <w:rsid w:val="00554493"/>
    <w:rsid w:val="00554581"/>
    <w:rsid w:val="00554BF4"/>
    <w:rsid w:val="00555069"/>
    <w:rsid w:val="00555E58"/>
    <w:rsid w:val="00557675"/>
    <w:rsid w:val="005577EA"/>
    <w:rsid w:val="00557927"/>
    <w:rsid w:val="005579ED"/>
    <w:rsid w:val="005579F7"/>
    <w:rsid w:val="00557DCF"/>
    <w:rsid w:val="005605A1"/>
    <w:rsid w:val="00560E96"/>
    <w:rsid w:val="0056119D"/>
    <w:rsid w:val="005619CE"/>
    <w:rsid w:val="005621B2"/>
    <w:rsid w:val="005625AC"/>
    <w:rsid w:val="005626BA"/>
    <w:rsid w:val="00562757"/>
    <w:rsid w:val="00562DC0"/>
    <w:rsid w:val="00562E63"/>
    <w:rsid w:val="00563242"/>
    <w:rsid w:val="0056347B"/>
    <w:rsid w:val="00563ADB"/>
    <w:rsid w:val="00563FE9"/>
    <w:rsid w:val="0056422C"/>
    <w:rsid w:val="00564E19"/>
    <w:rsid w:val="00565071"/>
    <w:rsid w:val="00565AA7"/>
    <w:rsid w:val="00567D40"/>
    <w:rsid w:val="005703A8"/>
    <w:rsid w:val="00570AA5"/>
    <w:rsid w:val="00570E0C"/>
    <w:rsid w:val="00573D27"/>
    <w:rsid w:val="00574ED6"/>
    <w:rsid w:val="00575107"/>
    <w:rsid w:val="0057514C"/>
    <w:rsid w:val="0057518D"/>
    <w:rsid w:val="00575601"/>
    <w:rsid w:val="005758C1"/>
    <w:rsid w:val="00576517"/>
    <w:rsid w:val="005767A5"/>
    <w:rsid w:val="00576B7E"/>
    <w:rsid w:val="0057765A"/>
    <w:rsid w:val="0057789B"/>
    <w:rsid w:val="00577B05"/>
    <w:rsid w:val="00577C43"/>
    <w:rsid w:val="00577DAA"/>
    <w:rsid w:val="00580B9F"/>
    <w:rsid w:val="00580CEC"/>
    <w:rsid w:val="005812AB"/>
    <w:rsid w:val="00581B18"/>
    <w:rsid w:val="005823D7"/>
    <w:rsid w:val="0058331B"/>
    <w:rsid w:val="00583807"/>
    <w:rsid w:val="00584909"/>
    <w:rsid w:val="00584BB2"/>
    <w:rsid w:val="00584E8A"/>
    <w:rsid w:val="0058529B"/>
    <w:rsid w:val="005852FF"/>
    <w:rsid w:val="00585C62"/>
    <w:rsid w:val="005862CC"/>
    <w:rsid w:val="0058710F"/>
    <w:rsid w:val="005872FF"/>
    <w:rsid w:val="00587596"/>
    <w:rsid w:val="00587729"/>
    <w:rsid w:val="00587A99"/>
    <w:rsid w:val="005907F9"/>
    <w:rsid w:val="00590F8A"/>
    <w:rsid w:val="005911AA"/>
    <w:rsid w:val="00592108"/>
    <w:rsid w:val="00592CAB"/>
    <w:rsid w:val="00593C0F"/>
    <w:rsid w:val="00593F67"/>
    <w:rsid w:val="0059443F"/>
    <w:rsid w:val="005961AE"/>
    <w:rsid w:val="0059626E"/>
    <w:rsid w:val="00596732"/>
    <w:rsid w:val="00597E3D"/>
    <w:rsid w:val="005A08BE"/>
    <w:rsid w:val="005A0CF6"/>
    <w:rsid w:val="005A0E88"/>
    <w:rsid w:val="005A29CF"/>
    <w:rsid w:val="005A2D70"/>
    <w:rsid w:val="005A387C"/>
    <w:rsid w:val="005A4358"/>
    <w:rsid w:val="005A4418"/>
    <w:rsid w:val="005A47B5"/>
    <w:rsid w:val="005A4D2D"/>
    <w:rsid w:val="005A57B5"/>
    <w:rsid w:val="005A6378"/>
    <w:rsid w:val="005A6C4D"/>
    <w:rsid w:val="005A6DEC"/>
    <w:rsid w:val="005A6E06"/>
    <w:rsid w:val="005A74D5"/>
    <w:rsid w:val="005B01F2"/>
    <w:rsid w:val="005B0202"/>
    <w:rsid w:val="005B0616"/>
    <w:rsid w:val="005B1396"/>
    <w:rsid w:val="005B1F31"/>
    <w:rsid w:val="005B2516"/>
    <w:rsid w:val="005B2D2D"/>
    <w:rsid w:val="005B3C20"/>
    <w:rsid w:val="005B4281"/>
    <w:rsid w:val="005B48C4"/>
    <w:rsid w:val="005B4AF9"/>
    <w:rsid w:val="005B4DDD"/>
    <w:rsid w:val="005B5CF9"/>
    <w:rsid w:val="005B5EAB"/>
    <w:rsid w:val="005B5F54"/>
    <w:rsid w:val="005B7603"/>
    <w:rsid w:val="005C085B"/>
    <w:rsid w:val="005C1CA1"/>
    <w:rsid w:val="005C1FAF"/>
    <w:rsid w:val="005C27AF"/>
    <w:rsid w:val="005C2CF3"/>
    <w:rsid w:val="005C2F49"/>
    <w:rsid w:val="005C3145"/>
    <w:rsid w:val="005C34A6"/>
    <w:rsid w:val="005C370D"/>
    <w:rsid w:val="005C4A52"/>
    <w:rsid w:val="005C69A8"/>
    <w:rsid w:val="005C6EB8"/>
    <w:rsid w:val="005C78FA"/>
    <w:rsid w:val="005C7913"/>
    <w:rsid w:val="005C7928"/>
    <w:rsid w:val="005D0CC5"/>
    <w:rsid w:val="005D14A8"/>
    <w:rsid w:val="005D14FC"/>
    <w:rsid w:val="005D15E7"/>
    <w:rsid w:val="005D18D2"/>
    <w:rsid w:val="005D2D5F"/>
    <w:rsid w:val="005D30EC"/>
    <w:rsid w:val="005D353A"/>
    <w:rsid w:val="005D3582"/>
    <w:rsid w:val="005D3D4A"/>
    <w:rsid w:val="005D47EF"/>
    <w:rsid w:val="005D482A"/>
    <w:rsid w:val="005D596B"/>
    <w:rsid w:val="005D5F6E"/>
    <w:rsid w:val="005D60FF"/>
    <w:rsid w:val="005D61D2"/>
    <w:rsid w:val="005D73C6"/>
    <w:rsid w:val="005D7A07"/>
    <w:rsid w:val="005E0114"/>
    <w:rsid w:val="005E02D1"/>
    <w:rsid w:val="005E0401"/>
    <w:rsid w:val="005E0DB4"/>
    <w:rsid w:val="005E2082"/>
    <w:rsid w:val="005E2A45"/>
    <w:rsid w:val="005E2CD5"/>
    <w:rsid w:val="005E2D84"/>
    <w:rsid w:val="005E2F6A"/>
    <w:rsid w:val="005E3141"/>
    <w:rsid w:val="005E367C"/>
    <w:rsid w:val="005E4135"/>
    <w:rsid w:val="005E4491"/>
    <w:rsid w:val="005E4787"/>
    <w:rsid w:val="005E50C3"/>
    <w:rsid w:val="005E5357"/>
    <w:rsid w:val="005E6F70"/>
    <w:rsid w:val="005E7789"/>
    <w:rsid w:val="005E7B3B"/>
    <w:rsid w:val="005E7EF0"/>
    <w:rsid w:val="005F1051"/>
    <w:rsid w:val="005F11AD"/>
    <w:rsid w:val="005F1C65"/>
    <w:rsid w:val="005F248A"/>
    <w:rsid w:val="005F30A1"/>
    <w:rsid w:val="005F37D2"/>
    <w:rsid w:val="005F3C08"/>
    <w:rsid w:val="005F4E1B"/>
    <w:rsid w:val="005F4E1D"/>
    <w:rsid w:val="005F5031"/>
    <w:rsid w:val="005F5398"/>
    <w:rsid w:val="005F6FFE"/>
    <w:rsid w:val="005F7114"/>
    <w:rsid w:val="005F71C0"/>
    <w:rsid w:val="005F768E"/>
    <w:rsid w:val="005F777A"/>
    <w:rsid w:val="005F7A1F"/>
    <w:rsid w:val="006006C8"/>
    <w:rsid w:val="0060081B"/>
    <w:rsid w:val="00600E98"/>
    <w:rsid w:val="00600EC7"/>
    <w:rsid w:val="00600F6F"/>
    <w:rsid w:val="0060108D"/>
    <w:rsid w:val="00601D83"/>
    <w:rsid w:val="0060272D"/>
    <w:rsid w:val="0060382E"/>
    <w:rsid w:val="00604966"/>
    <w:rsid w:val="006049C5"/>
    <w:rsid w:val="006054D5"/>
    <w:rsid w:val="00605A07"/>
    <w:rsid w:val="00605D8F"/>
    <w:rsid w:val="00605DED"/>
    <w:rsid w:val="00606C9B"/>
    <w:rsid w:val="00606CAC"/>
    <w:rsid w:val="00607554"/>
    <w:rsid w:val="00607C36"/>
    <w:rsid w:val="00610A49"/>
    <w:rsid w:val="006112BA"/>
    <w:rsid w:val="006114D8"/>
    <w:rsid w:val="00611FB4"/>
    <w:rsid w:val="006123EE"/>
    <w:rsid w:val="00612BC3"/>
    <w:rsid w:val="006134E1"/>
    <w:rsid w:val="00613664"/>
    <w:rsid w:val="00613C23"/>
    <w:rsid w:val="0061418D"/>
    <w:rsid w:val="006143BF"/>
    <w:rsid w:val="006144BC"/>
    <w:rsid w:val="00615423"/>
    <w:rsid w:val="006158BA"/>
    <w:rsid w:val="006161D8"/>
    <w:rsid w:val="00616EA7"/>
    <w:rsid w:val="00617175"/>
    <w:rsid w:val="0061739E"/>
    <w:rsid w:val="006173CF"/>
    <w:rsid w:val="006209DD"/>
    <w:rsid w:val="0062143F"/>
    <w:rsid w:val="00621DAC"/>
    <w:rsid w:val="00621DD4"/>
    <w:rsid w:val="00622DAE"/>
    <w:rsid w:val="00624B88"/>
    <w:rsid w:val="00625036"/>
    <w:rsid w:val="00625381"/>
    <w:rsid w:val="00625C7F"/>
    <w:rsid w:val="00626D66"/>
    <w:rsid w:val="00627C77"/>
    <w:rsid w:val="006301EB"/>
    <w:rsid w:val="00630226"/>
    <w:rsid w:val="00630891"/>
    <w:rsid w:val="00630D10"/>
    <w:rsid w:val="006313C5"/>
    <w:rsid w:val="00631CA4"/>
    <w:rsid w:val="00632010"/>
    <w:rsid w:val="0063290C"/>
    <w:rsid w:val="00632C7F"/>
    <w:rsid w:val="006332AB"/>
    <w:rsid w:val="00633FC9"/>
    <w:rsid w:val="00634133"/>
    <w:rsid w:val="006341F3"/>
    <w:rsid w:val="0063425C"/>
    <w:rsid w:val="00634CD6"/>
    <w:rsid w:val="006350FB"/>
    <w:rsid w:val="00635D6D"/>
    <w:rsid w:val="00636142"/>
    <w:rsid w:val="0063696C"/>
    <w:rsid w:val="00636AAC"/>
    <w:rsid w:val="00637B98"/>
    <w:rsid w:val="00637C75"/>
    <w:rsid w:val="00637EB7"/>
    <w:rsid w:val="006403CA"/>
    <w:rsid w:val="00640D08"/>
    <w:rsid w:val="00641F38"/>
    <w:rsid w:val="00642313"/>
    <w:rsid w:val="00642A8F"/>
    <w:rsid w:val="00642BDB"/>
    <w:rsid w:val="00643BA9"/>
    <w:rsid w:val="00644524"/>
    <w:rsid w:val="00645006"/>
    <w:rsid w:val="006464FE"/>
    <w:rsid w:val="006467E9"/>
    <w:rsid w:val="00646EA4"/>
    <w:rsid w:val="00647033"/>
    <w:rsid w:val="0064745B"/>
    <w:rsid w:val="0064763C"/>
    <w:rsid w:val="00650604"/>
    <w:rsid w:val="006506B7"/>
    <w:rsid w:val="00651CE5"/>
    <w:rsid w:val="00651D1D"/>
    <w:rsid w:val="0065242B"/>
    <w:rsid w:val="00652638"/>
    <w:rsid w:val="006526C1"/>
    <w:rsid w:val="00652A6A"/>
    <w:rsid w:val="00653347"/>
    <w:rsid w:val="0065400D"/>
    <w:rsid w:val="0065448E"/>
    <w:rsid w:val="00654528"/>
    <w:rsid w:val="00655954"/>
    <w:rsid w:val="00655D64"/>
    <w:rsid w:val="006565CA"/>
    <w:rsid w:val="0065707C"/>
    <w:rsid w:val="00657623"/>
    <w:rsid w:val="00657E57"/>
    <w:rsid w:val="00660C81"/>
    <w:rsid w:val="00660EDC"/>
    <w:rsid w:val="006617A4"/>
    <w:rsid w:val="0066274A"/>
    <w:rsid w:val="00662CD2"/>
    <w:rsid w:val="0066382F"/>
    <w:rsid w:val="006643E9"/>
    <w:rsid w:val="00664FE3"/>
    <w:rsid w:val="0066549D"/>
    <w:rsid w:val="00666459"/>
    <w:rsid w:val="00667DA0"/>
    <w:rsid w:val="00667FE8"/>
    <w:rsid w:val="0067116A"/>
    <w:rsid w:val="00671B2F"/>
    <w:rsid w:val="00672345"/>
    <w:rsid w:val="00673B25"/>
    <w:rsid w:val="00673B88"/>
    <w:rsid w:val="006740DD"/>
    <w:rsid w:val="006744A2"/>
    <w:rsid w:val="00675032"/>
    <w:rsid w:val="006750DA"/>
    <w:rsid w:val="006757DB"/>
    <w:rsid w:val="00676B83"/>
    <w:rsid w:val="00677531"/>
    <w:rsid w:val="00677F26"/>
    <w:rsid w:val="006801A1"/>
    <w:rsid w:val="006811E0"/>
    <w:rsid w:val="006812F2"/>
    <w:rsid w:val="00681428"/>
    <w:rsid w:val="006815AB"/>
    <w:rsid w:val="006818C7"/>
    <w:rsid w:val="00681CE7"/>
    <w:rsid w:val="00681E15"/>
    <w:rsid w:val="00681F8C"/>
    <w:rsid w:val="00682EFB"/>
    <w:rsid w:val="0068309C"/>
    <w:rsid w:val="0068393B"/>
    <w:rsid w:val="00683A2F"/>
    <w:rsid w:val="0068437F"/>
    <w:rsid w:val="0068566A"/>
    <w:rsid w:val="00685BC7"/>
    <w:rsid w:val="00685C47"/>
    <w:rsid w:val="00685FBB"/>
    <w:rsid w:val="0068690C"/>
    <w:rsid w:val="00686A88"/>
    <w:rsid w:val="00686B1E"/>
    <w:rsid w:val="00686D73"/>
    <w:rsid w:val="00686F6C"/>
    <w:rsid w:val="006873CB"/>
    <w:rsid w:val="006878D9"/>
    <w:rsid w:val="00687CB6"/>
    <w:rsid w:val="0069080A"/>
    <w:rsid w:val="00691219"/>
    <w:rsid w:val="0069121A"/>
    <w:rsid w:val="00691642"/>
    <w:rsid w:val="00693727"/>
    <w:rsid w:val="00693AF4"/>
    <w:rsid w:val="00693B4A"/>
    <w:rsid w:val="00694612"/>
    <w:rsid w:val="006949C9"/>
    <w:rsid w:val="006955E9"/>
    <w:rsid w:val="00695C09"/>
    <w:rsid w:val="00695D03"/>
    <w:rsid w:val="006A0106"/>
    <w:rsid w:val="006A0550"/>
    <w:rsid w:val="006A058C"/>
    <w:rsid w:val="006A0917"/>
    <w:rsid w:val="006A0B82"/>
    <w:rsid w:val="006A1386"/>
    <w:rsid w:val="006A15A1"/>
    <w:rsid w:val="006A29BE"/>
    <w:rsid w:val="006A2AFE"/>
    <w:rsid w:val="006A4102"/>
    <w:rsid w:val="006A41E2"/>
    <w:rsid w:val="006A464C"/>
    <w:rsid w:val="006A4700"/>
    <w:rsid w:val="006A5D48"/>
    <w:rsid w:val="006A73CD"/>
    <w:rsid w:val="006A780B"/>
    <w:rsid w:val="006A78FD"/>
    <w:rsid w:val="006A7DEE"/>
    <w:rsid w:val="006B0151"/>
    <w:rsid w:val="006B1632"/>
    <w:rsid w:val="006B1A32"/>
    <w:rsid w:val="006B24B3"/>
    <w:rsid w:val="006B2529"/>
    <w:rsid w:val="006B2CA4"/>
    <w:rsid w:val="006B2D7F"/>
    <w:rsid w:val="006B323E"/>
    <w:rsid w:val="006B3B41"/>
    <w:rsid w:val="006B3B7E"/>
    <w:rsid w:val="006B54BB"/>
    <w:rsid w:val="006B61AC"/>
    <w:rsid w:val="006B6563"/>
    <w:rsid w:val="006B6994"/>
    <w:rsid w:val="006B6CE8"/>
    <w:rsid w:val="006B6F21"/>
    <w:rsid w:val="006B70C1"/>
    <w:rsid w:val="006B7130"/>
    <w:rsid w:val="006C0F72"/>
    <w:rsid w:val="006C1DFE"/>
    <w:rsid w:val="006C21CB"/>
    <w:rsid w:val="006C25A0"/>
    <w:rsid w:val="006C2A53"/>
    <w:rsid w:val="006C2E9B"/>
    <w:rsid w:val="006C31C4"/>
    <w:rsid w:val="006C3687"/>
    <w:rsid w:val="006C3A4D"/>
    <w:rsid w:val="006C3E1B"/>
    <w:rsid w:val="006C4258"/>
    <w:rsid w:val="006C48BC"/>
    <w:rsid w:val="006C4B3A"/>
    <w:rsid w:val="006C5458"/>
    <w:rsid w:val="006C5BFF"/>
    <w:rsid w:val="006C5DAF"/>
    <w:rsid w:val="006C6571"/>
    <w:rsid w:val="006C787A"/>
    <w:rsid w:val="006C7F58"/>
    <w:rsid w:val="006D0A39"/>
    <w:rsid w:val="006D0EDA"/>
    <w:rsid w:val="006D16EE"/>
    <w:rsid w:val="006D17E7"/>
    <w:rsid w:val="006D1AFD"/>
    <w:rsid w:val="006D1F59"/>
    <w:rsid w:val="006D202F"/>
    <w:rsid w:val="006D20E9"/>
    <w:rsid w:val="006D2898"/>
    <w:rsid w:val="006D3169"/>
    <w:rsid w:val="006D3F69"/>
    <w:rsid w:val="006D44CC"/>
    <w:rsid w:val="006D4775"/>
    <w:rsid w:val="006D515E"/>
    <w:rsid w:val="006D54E2"/>
    <w:rsid w:val="006D67F8"/>
    <w:rsid w:val="006D7508"/>
    <w:rsid w:val="006D7BA1"/>
    <w:rsid w:val="006E01C4"/>
    <w:rsid w:val="006E05E8"/>
    <w:rsid w:val="006E0905"/>
    <w:rsid w:val="006E0927"/>
    <w:rsid w:val="006E23A4"/>
    <w:rsid w:val="006E26F2"/>
    <w:rsid w:val="006E2CA8"/>
    <w:rsid w:val="006E333C"/>
    <w:rsid w:val="006E37C1"/>
    <w:rsid w:val="006E3867"/>
    <w:rsid w:val="006E40D4"/>
    <w:rsid w:val="006E4730"/>
    <w:rsid w:val="006E6862"/>
    <w:rsid w:val="006E7EAD"/>
    <w:rsid w:val="006F0316"/>
    <w:rsid w:val="006F0895"/>
    <w:rsid w:val="006F0F2E"/>
    <w:rsid w:val="006F1A24"/>
    <w:rsid w:val="006F1A42"/>
    <w:rsid w:val="006F1FC8"/>
    <w:rsid w:val="006F269C"/>
    <w:rsid w:val="006F2CF5"/>
    <w:rsid w:val="006F35C0"/>
    <w:rsid w:val="006F381F"/>
    <w:rsid w:val="006F3A31"/>
    <w:rsid w:val="006F3BD1"/>
    <w:rsid w:val="006F3BD9"/>
    <w:rsid w:val="006F3BFD"/>
    <w:rsid w:val="006F4323"/>
    <w:rsid w:val="006F4482"/>
    <w:rsid w:val="006F57F7"/>
    <w:rsid w:val="006F611E"/>
    <w:rsid w:val="006F7821"/>
    <w:rsid w:val="006F7C87"/>
    <w:rsid w:val="0070000C"/>
    <w:rsid w:val="007013BE"/>
    <w:rsid w:val="00701854"/>
    <w:rsid w:val="00702633"/>
    <w:rsid w:val="00702EF7"/>
    <w:rsid w:val="00703C65"/>
    <w:rsid w:val="0070408F"/>
    <w:rsid w:val="007054A7"/>
    <w:rsid w:val="0070610F"/>
    <w:rsid w:val="00707072"/>
    <w:rsid w:val="007076B5"/>
    <w:rsid w:val="00707BC4"/>
    <w:rsid w:val="007104BC"/>
    <w:rsid w:val="00710C02"/>
    <w:rsid w:val="00711101"/>
    <w:rsid w:val="007131B6"/>
    <w:rsid w:val="00713260"/>
    <w:rsid w:val="00713C9D"/>
    <w:rsid w:val="007143E1"/>
    <w:rsid w:val="00714B3B"/>
    <w:rsid w:val="00714CF1"/>
    <w:rsid w:val="00715100"/>
    <w:rsid w:val="00715EC5"/>
    <w:rsid w:val="007161EE"/>
    <w:rsid w:val="00716D0B"/>
    <w:rsid w:val="00717887"/>
    <w:rsid w:val="00717AA6"/>
    <w:rsid w:val="007202D3"/>
    <w:rsid w:val="00720698"/>
    <w:rsid w:val="0072098C"/>
    <w:rsid w:val="007223F7"/>
    <w:rsid w:val="00722821"/>
    <w:rsid w:val="007228F5"/>
    <w:rsid w:val="007231AD"/>
    <w:rsid w:val="00723296"/>
    <w:rsid w:val="0072414D"/>
    <w:rsid w:val="00724BDC"/>
    <w:rsid w:val="00725BA7"/>
    <w:rsid w:val="00725DC7"/>
    <w:rsid w:val="007260CC"/>
    <w:rsid w:val="00726A89"/>
    <w:rsid w:val="00727214"/>
    <w:rsid w:val="007272EB"/>
    <w:rsid w:val="007305EC"/>
    <w:rsid w:val="0073214E"/>
    <w:rsid w:val="00732C42"/>
    <w:rsid w:val="00733B06"/>
    <w:rsid w:val="00734D57"/>
    <w:rsid w:val="00734F9B"/>
    <w:rsid w:val="0073522D"/>
    <w:rsid w:val="007356CE"/>
    <w:rsid w:val="007357EB"/>
    <w:rsid w:val="00736196"/>
    <w:rsid w:val="007368F5"/>
    <w:rsid w:val="00736E12"/>
    <w:rsid w:val="00737F05"/>
    <w:rsid w:val="00737F50"/>
    <w:rsid w:val="007417DE"/>
    <w:rsid w:val="0074182D"/>
    <w:rsid w:val="007427F2"/>
    <w:rsid w:val="00743EBD"/>
    <w:rsid w:val="0074430E"/>
    <w:rsid w:val="007446FC"/>
    <w:rsid w:val="00745184"/>
    <w:rsid w:val="00745908"/>
    <w:rsid w:val="00745A74"/>
    <w:rsid w:val="00746119"/>
    <w:rsid w:val="007477F4"/>
    <w:rsid w:val="00750623"/>
    <w:rsid w:val="0075293F"/>
    <w:rsid w:val="00752F02"/>
    <w:rsid w:val="007538C7"/>
    <w:rsid w:val="0075445A"/>
    <w:rsid w:val="00755218"/>
    <w:rsid w:val="0075784D"/>
    <w:rsid w:val="00757B89"/>
    <w:rsid w:val="00757C4B"/>
    <w:rsid w:val="007607D5"/>
    <w:rsid w:val="00760C5E"/>
    <w:rsid w:val="00760C68"/>
    <w:rsid w:val="007611A0"/>
    <w:rsid w:val="0076131D"/>
    <w:rsid w:val="00761B2A"/>
    <w:rsid w:val="00762EB8"/>
    <w:rsid w:val="007631E0"/>
    <w:rsid w:val="00763560"/>
    <w:rsid w:val="00763893"/>
    <w:rsid w:val="00764018"/>
    <w:rsid w:val="007655F8"/>
    <w:rsid w:val="00765FB5"/>
    <w:rsid w:val="0076670A"/>
    <w:rsid w:val="00766820"/>
    <w:rsid w:val="00766E5E"/>
    <w:rsid w:val="00767745"/>
    <w:rsid w:val="007702BE"/>
    <w:rsid w:val="00770752"/>
    <w:rsid w:val="00770762"/>
    <w:rsid w:val="00772987"/>
    <w:rsid w:val="00772F48"/>
    <w:rsid w:val="007736BA"/>
    <w:rsid w:val="00773C15"/>
    <w:rsid w:val="00773C83"/>
    <w:rsid w:val="0077418C"/>
    <w:rsid w:val="00774297"/>
    <w:rsid w:val="00774394"/>
    <w:rsid w:val="0077505E"/>
    <w:rsid w:val="007753AC"/>
    <w:rsid w:val="00775CF0"/>
    <w:rsid w:val="00775F8A"/>
    <w:rsid w:val="00776AD2"/>
    <w:rsid w:val="00777377"/>
    <w:rsid w:val="007776C8"/>
    <w:rsid w:val="007800E4"/>
    <w:rsid w:val="0078013F"/>
    <w:rsid w:val="007801FE"/>
    <w:rsid w:val="007802C8"/>
    <w:rsid w:val="0078060E"/>
    <w:rsid w:val="00780972"/>
    <w:rsid w:val="00780A9E"/>
    <w:rsid w:val="00780AA2"/>
    <w:rsid w:val="00781160"/>
    <w:rsid w:val="0078170E"/>
    <w:rsid w:val="00781966"/>
    <w:rsid w:val="00781A9D"/>
    <w:rsid w:val="00781E30"/>
    <w:rsid w:val="007829E0"/>
    <w:rsid w:val="00783356"/>
    <w:rsid w:val="00783778"/>
    <w:rsid w:val="00783A54"/>
    <w:rsid w:val="00783EED"/>
    <w:rsid w:val="007840BB"/>
    <w:rsid w:val="00785E2E"/>
    <w:rsid w:val="00785FA3"/>
    <w:rsid w:val="0078647B"/>
    <w:rsid w:val="0078686B"/>
    <w:rsid w:val="0078758D"/>
    <w:rsid w:val="00790164"/>
    <w:rsid w:val="007908C5"/>
    <w:rsid w:val="00790E1F"/>
    <w:rsid w:val="00791772"/>
    <w:rsid w:val="007929B2"/>
    <w:rsid w:val="007933AB"/>
    <w:rsid w:val="00794A1F"/>
    <w:rsid w:val="00795F22"/>
    <w:rsid w:val="00796C59"/>
    <w:rsid w:val="00796FE5"/>
    <w:rsid w:val="00797C89"/>
    <w:rsid w:val="007A03ED"/>
    <w:rsid w:val="007A065B"/>
    <w:rsid w:val="007A1051"/>
    <w:rsid w:val="007A1385"/>
    <w:rsid w:val="007A20AD"/>
    <w:rsid w:val="007A323F"/>
    <w:rsid w:val="007A3861"/>
    <w:rsid w:val="007A425E"/>
    <w:rsid w:val="007A4343"/>
    <w:rsid w:val="007A4410"/>
    <w:rsid w:val="007A452B"/>
    <w:rsid w:val="007A4707"/>
    <w:rsid w:val="007A4881"/>
    <w:rsid w:val="007A5539"/>
    <w:rsid w:val="007A5AB5"/>
    <w:rsid w:val="007A61EC"/>
    <w:rsid w:val="007A6548"/>
    <w:rsid w:val="007A6E11"/>
    <w:rsid w:val="007A6E7E"/>
    <w:rsid w:val="007A7415"/>
    <w:rsid w:val="007A7B0B"/>
    <w:rsid w:val="007A7CE5"/>
    <w:rsid w:val="007B00E1"/>
    <w:rsid w:val="007B0D21"/>
    <w:rsid w:val="007B1211"/>
    <w:rsid w:val="007B187C"/>
    <w:rsid w:val="007B1ECA"/>
    <w:rsid w:val="007B220F"/>
    <w:rsid w:val="007B2BAC"/>
    <w:rsid w:val="007B3B0E"/>
    <w:rsid w:val="007B3DF4"/>
    <w:rsid w:val="007B44E1"/>
    <w:rsid w:val="007B55C6"/>
    <w:rsid w:val="007B5EDE"/>
    <w:rsid w:val="007B65D1"/>
    <w:rsid w:val="007B6ACE"/>
    <w:rsid w:val="007B6B1E"/>
    <w:rsid w:val="007B72C6"/>
    <w:rsid w:val="007B72FC"/>
    <w:rsid w:val="007B74A5"/>
    <w:rsid w:val="007B74D3"/>
    <w:rsid w:val="007B7C09"/>
    <w:rsid w:val="007B7CC9"/>
    <w:rsid w:val="007C028E"/>
    <w:rsid w:val="007C18C2"/>
    <w:rsid w:val="007C2AD4"/>
    <w:rsid w:val="007C2DD4"/>
    <w:rsid w:val="007C3005"/>
    <w:rsid w:val="007C35A6"/>
    <w:rsid w:val="007C384F"/>
    <w:rsid w:val="007C3B06"/>
    <w:rsid w:val="007C3BA6"/>
    <w:rsid w:val="007C3E46"/>
    <w:rsid w:val="007C4F78"/>
    <w:rsid w:val="007C5024"/>
    <w:rsid w:val="007C55D4"/>
    <w:rsid w:val="007C5CBD"/>
    <w:rsid w:val="007C6E12"/>
    <w:rsid w:val="007C73B8"/>
    <w:rsid w:val="007C787C"/>
    <w:rsid w:val="007C7C9F"/>
    <w:rsid w:val="007D1545"/>
    <w:rsid w:val="007D185D"/>
    <w:rsid w:val="007D291D"/>
    <w:rsid w:val="007D2B60"/>
    <w:rsid w:val="007D2F9B"/>
    <w:rsid w:val="007D3420"/>
    <w:rsid w:val="007D3687"/>
    <w:rsid w:val="007D3AA0"/>
    <w:rsid w:val="007D3F78"/>
    <w:rsid w:val="007D4134"/>
    <w:rsid w:val="007D4EA3"/>
    <w:rsid w:val="007D5362"/>
    <w:rsid w:val="007D599A"/>
    <w:rsid w:val="007D6A2D"/>
    <w:rsid w:val="007D701A"/>
    <w:rsid w:val="007D7044"/>
    <w:rsid w:val="007E000F"/>
    <w:rsid w:val="007E0A27"/>
    <w:rsid w:val="007E0D16"/>
    <w:rsid w:val="007E1135"/>
    <w:rsid w:val="007E1C2E"/>
    <w:rsid w:val="007E1D38"/>
    <w:rsid w:val="007E29CF"/>
    <w:rsid w:val="007E31C1"/>
    <w:rsid w:val="007E35D8"/>
    <w:rsid w:val="007E3764"/>
    <w:rsid w:val="007E4434"/>
    <w:rsid w:val="007E496A"/>
    <w:rsid w:val="007E4A1F"/>
    <w:rsid w:val="007E52CB"/>
    <w:rsid w:val="007E6661"/>
    <w:rsid w:val="007E6721"/>
    <w:rsid w:val="007E6D16"/>
    <w:rsid w:val="007E6F07"/>
    <w:rsid w:val="007F0FDA"/>
    <w:rsid w:val="007F2338"/>
    <w:rsid w:val="007F2E32"/>
    <w:rsid w:val="007F2F97"/>
    <w:rsid w:val="007F314F"/>
    <w:rsid w:val="007F3880"/>
    <w:rsid w:val="007F3B8C"/>
    <w:rsid w:val="007F41B8"/>
    <w:rsid w:val="007F421B"/>
    <w:rsid w:val="007F4D34"/>
    <w:rsid w:val="007F52CA"/>
    <w:rsid w:val="007F6AAB"/>
    <w:rsid w:val="007F7C6E"/>
    <w:rsid w:val="007F7D09"/>
    <w:rsid w:val="00800777"/>
    <w:rsid w:val="00800897"/>
    <w:rsid w:val="0080122B"/>
    <w:rsid w:val="0080354C"/>
    <w:rsid w:val="00804473"/>
    <w:rsid w:val="008046FF"/>
    <w:rsid w:val="00804D26"/>
    <w:rsid w:val="008059A8"/>
    <w:rsid w:val="00806D5A"/>
    <w:rsid w:val="00807623"/>
    <w:rsid w:val="008079D8"/>
    <w:rsid w:val="00807B53"/>
    <w:rsid w:val="00810604"/>
    <w:rsid w:val="00810CD7"/>
    <w:rsid w:val="00810D34"/>
    <w:rsid w:val="00811503"/>
    <w:rsid w:val="00811E48"/>
    <w:rsid w:val="00812A68"/>
    <w:rsid w:val="00812E1A"/>
    <w:rsid w:val="00812EEE"/>
    <w:rsid w:val="00812F41"/>
    <w:rsid w:val="00813589"/>
    <w:rsid w:val="008148F1"/>
    <w:rsid w:val="00814E45"/>
    <w:rsid w:val="0081540C"/>
    <w:rsid w:val="008158CC"/>
    <w:rsid w:val="0081620E"/>
    <w:rsid w:val="0081658F"/>
    <w:rsid w:val="00817347"/>
    <w:rsid w:val="0081739B"/>
    <w:rsid w:val="008179CF"/>
    <w:rsid w:val="00817F37"/>
    <w:rsid w:val="008201C3"/>
    <w:rsid w:val="00820CE5"/>
    <w:rsid w:val="00820E00"/>
    <w:rsid w:val="008213F1"/>
    <w:rsid w:val="00821B7F"/>
    <w:rsid w:val="008222F3"/>
    <w:rsid w:val="0082279D"/>
    <w:rsid w:val="0082369D"/>
    <w:rsid w:val="00825851"/>
    <w:rsid w:val="00825D43"/>
    <w:rsid w:val="00826A59"/>
    <w:rsid w:val="00826BE9"/>
    <w:rsid w:val="00826D95"/>
    <w:rsid w:val="00826E5B"/>
    <w:rsid w:val="00826E88"/>
    <w:rsid w:val="00827AF0"/>
    <w:rsid w:val="00830148"/>
    <w:rsid w:val="008316AD"/>
    <w:rsid w:val="00831981"/>
    <w:rsid w:val="008323AD"/>
    <w:rsid w:val="00833286"/>
    <w:rsid w:val="0083378E"/>
    <w:rsid w:val="00833C7E"/>
    <w:rsid w:val="00833CB6"/>
    <w:rsid w:val="00834B01"/>
    <w:rsid w:val="00834FD5"/>
    <w:rsid w:val="00835E4D"/>
    <w:rsid w:val="008360ED"/>
    <w:rsid w:val="008361E6"/>
    <w:rsid w:val="008363A2"/>
    <w:rsid w:val="008363BE"/>
    <w:rsid w:val="008365C2"/>
    <w:rsid w:val="00836768"/>
    <w:rsid w:val="00836D57"/>
    <w:rsid w:val="00837125"/>
    <w:rsid w:val="00840042"/>
    <w:rsid w:val="008407BC"/>
    <w:rsid w:val="0084188B"/>
    <w:rsid w:val="00841DAA"/>
    <w:rsid w:val="00842834"/>
    <w:rsid w:val="00843C7B"/>
    <w:rsid w:val="00844088"/>
    <w:rsid w:val="00844111"/>
    <w:rsid w:val="0084459E"/>
    <w:rsid w:val="008445D4"/>
    <w:rsid w:val="008446F1"/>
    <w:rsid w:val="00844AB1"/>
    <w:rsid w:val="008459E0"/>
    <w:rsid w:val="00845FD2"/>
    <w:rsid w:val="00846A12"/>
    <w:rsid w:val="00846A3E"/>
    <w:rsid w:val="00846CA7"/>
    <w:rsid w:val="00846D2D"/>
    <w:rsid w:val="00846FF0"/>
    <w:rsid w:val="00847435"/>
    <w:rsid w:val="0085002F"/>
    <w:rsid w:val="008500A2"/>
    <w:rsid w:val="0085298A"/>
    <w:rsid w:val="0085363F"/>
    <w:rsid w:val="00853732"/>
    <w:rsid w:val="008549D1"/>
    <w:rsid w:val="00855458"/>
    <w:rsid w:val="00855C00"/>
    <w:rsid w:val="008564FE"/>
    <w:rsid w:val="0085728C"/>
    <w:rsid w:val="0085729F"/>
    <w:rsid w:val="0085731E"/>
    <w:rsid w:val="008607E0"/>
    <w:rsid w:val="0086134D"/>
    <w:rsid w:val="00861825"/>
    <w:rsid w:val="00861FD7"/>
    <w:rsid w:val="00862DB9"/>
    <w:rsid w:val="0086319C"/>
    <w:rsid w:val="008642EC"/>
    <w:rsid w:val="0086463D"/>
    <w:rsid w:val="00865057"/>
    <w:rsid w:val="00865472"/>
    <w:rsid w:val="00865E00"/>
    <w:rsid w:val="00865F05"/>
    <w:rsid w:val="00865FDF"/>
    <w:rsid w:val="008676F0"/>
    <w:rsid w:val="0087080C"/>
    <w:rsid w:val="008709ED"/>
    <w:rsid w:val="00870A81"/>
    <w:rsid w:val="00870E37"/>
    <w:rsid w:val="008715CA"/>
    <w:rsid w:val="00871996"/>
    <w:rsid w:val="00871B79"/>
    <w:rsid w:val="00871DD8"/>
    <w:rsid w:val="0087387B"/>
    <w:rsid w:val="00873B4C"/>
    <w:rsid w:val="00874671"/>
    <w:rsid w:val="00874AB6"/>
    <w:rsid w:val="00876359"/>
    <w:rsid w:val="0087635E"/>
    <w:rsid w:val="00876921"/>
    <w:rsid w:val="00876B68"/>
    <w:rsid w:val="00876C97"/>
    <w:rsid w:val="0087756A"/>
    <w:rsid w:val="0088012F"/>
    <w:rsid w:val="0088013C"/>
    <w:rsid w:val="008801AD"/>
    <w:rsid w:val="008806E8"/>
    <w:rsid w:val="00880902"/>
    <w:rsid w:val="008821C7"/>
    <w:rsid w:val="0088237B"/>
    <w:rsid w:val="0088257D"/>
    <w:rsid w:val="0088286F"/>
    <w:rsid w:val="00883EAF"/>
    <w:rsid w:val="00884238"/>
    <w:rsid w:val="00884452"/>
    <w:rsid w:val="00885FA7"/>
    <w:rsid w:val="00886F71"/>
    <w:rsid w:val="00887E45"/>
    <w:rsid w:val="008905D7"/>
    <w:rsid w:val="00890679"/>
    <w:rsid w:val="00890BF4"/>
    <w:rsid w:val="008926C3"/>
    <w:rsid w:val="00893875"/>
    <w:rsid w:val="00893951"/>
    <w:rsid w:val="00893FC1"/>
    <w:rsid w:val="008955C5"/>
    <w:rsid w:val="008958FE"/>
    <w:rsid w:val="0089598C"/>
    <w:rsid w:val="00895B87"/>
    <w:rsid w:val="008963D4"/>
    <w:rsid w:val="00896511"/>
    <w:rsid w:val="008965F8"/>
    <w:rsid w:val="0089759D"/>
    <w:rsid w:val="00897763"/>
    <w:rsid w:val="00897A5A"/>
    <w:rsid w:val="008A08D2"/>
    <w:rsid w:val="008A1837"/>
    <w:rsid w:val="008A18F3"/>
    <w:rsid w:val="008A1C85"/>
    <w:rsid w:val="008A2255"/>
    <w:rsid w:val="008A26A7"/>
    <w:rsid w:val="008A2E7B"/>
    <w:rsid w:val="008A35E6"/>
    <w:rsid w:val="008A38B6"/>
    <w:rsid w:val="008A3A4A"/>
    <w:rsid w:val="008A4B8E"/>
    <w:rsid w:val="008A568A"/>
    <w:rsid w:val="008A5ACC"/>
    <w:rsid w:val="008A5C8E"/>
    <w:rsid w:val="008A6B03"/>
    <w:rsid w:val="008A6B3F"/>
    <w:rsid w:val="008A73C7"/>
    <w:rsid w:val="008A7A00"/>
    <w:rsid w:val="008B14D2"/>
    <w:rsid w:val="008B1C95"/>
    <w:rsid w:val="008B289F"/>
    <w:rsid w:val="008B2C72"/>
    <w:rsid w:val="008B30B7"/>
    <w:rsid w:val="008B3FA8"/>
    <w:rsid w:val="008B562E"/>
    <w:rsid w:val="008B5748"/>
    <w:rsid w:val="008B57D8"/>
    <w:rsid w:val="008B5B4A"/>
    <w:rsid w:val="008B5B9D"/>
    <w:rsid w:val="008B5F21"/>
    <w:rsid w:val="008B6318"/>
    <w:rsid w:val="008B6355"/>
    <w:rsid w:val="008B6821"/>
    <w:rsid w:val="008B6A22"/>
    <w:rsid w:val="008B6B0E"/>
    <w:rsid w:val="008B6E1A"/>
    <w:rsid w:val="008B7CE5"/>
    <w:rsid w:val="008C030D"/>
    <w:rsid w:val="008C0C4D"/>
    <w:rsid w:val="008C1167"/>
    <w:rsid w:val="008C1750"/>
    <w:rsid w:val="008C1B0A"/>
    <w:rsid w:val="008C1E00"/>
    <w:rsid w:val="008C2078"/>
    <w:rsid w:val="008C23B0"/>
    <w:rsid w:val="008C2B2A"/>
    <w:rsid w:val="008C2F0D"/>
    <w:rsid w:val="008C2FAA"/>
    <w:rsid w:val="008C33C3"/>
    <w:rsid w:val="008C3610"/>
    <w:rsid w:val="008C3B37"/>
    <w:rsid w:val="008C4D02"/>
    <w:rsid w:val="008C520E"/>
    <w:rsid w:val="008C5CA5"/>
    <w:rsid w:val="008C6FE4"/>
    <w:rsid w:val="008C7368"/>
    <w:rsid w:val="008C73D6"/>
    <w:rsid w:val="008C7B15"/>
    <w:rsid w:val="008D0C62"/>
    <w:rsid w:val="008D2528"/>
    <w:rsid w:val="008D2CD6"/>
    <w:rsid w:val="008D2DDA"/>
    <w:rsid w:val="008D3287"/>
    <w:rsid w:val="008D37BC"/>
    <w:rsid w:val="008D39B0"/>
    <w:rsid w:val="008D462B"/>
    <w:rsid w:val="008D4645"/>
    <w:rsid w:val="008D4939"/>
    <w:rsid w:val="008D4F0B"/>
    <w:rsid w:val="008D7C3E"/>
    <w:rsid w:val="008D7EA5"/>
    <w:rsid w:val="008E0465"/>
    <w:rsid w:val="008E0702"/>
    <w:rsid w:val="008E0A9F"/>
    <w:rsid w:val="008E1195"/>
    <w:rsid w:val="008E130A"/>
    <w:rsid w:val="008E159E"/>
    <w:rsid w:val="008E26CE"/>
    <w:rsid w:val="008E2DD0"/>
    <w:rsid w:val="008E2E89"/>
    <w:rsid w:val="008E3AEA"/>
    <w:rsid w:val="008E3D60"/>
    <w:rsid w:val="008E3D93"/>
    <w:rsid w:val="008E5977"/>
    <w:rsid w:val="008E601B"/>
    <w:rsid w:val="008E6A15"/>
    <w:rsid w:val="008E6ACA"/>
    <w:rsid w:val="008E6B68"/>
    <w:rsid w:val="008E6D4E"/>
    <w:rsid w:val="008E7390"/>
    <w:rsid w:val="008E762D"/>
    <w:rsid w:val="008E7FAB"/>
    <w:rsid w:val="008F000D"/>
    <w:rsid w:val="008F0DAD"/>
    <w:rsid w:val="008F11D6"/>
    <w:rsid w:val="008F1F00"/>
    <w:rsid w:val="008F32A1"/>
    <w:rsid w:val="008F33C6"/>
    <w:rsid w:val="008F41F5"/>
    <w:rsid w:val="008F484E"/>
    <w:rsid w:val="008F4996"/>
    <w:rsid w:val="008F4AF1"/>
    <w:rsid w:val="008F6229"/>
    <w:rsid w:val="008F63FA"/>
    <w:rsid w:val="008F686A"/>
    <w:rsid w:val="008F68C2"/>
    <w:rsid w:val="008F6D94"/>
    <w:rsid w:val="008F6E84"/>
    <w:rsid w:val="008F7CEF"/>
    <w:rsid w:val="008F7EB9"/>
    <w:rsid w:val="008F7EBB"/>
    <w:rsid w:val="00900127"/>
    <w:rsid w:val="00900486"/>
    <w:rsid w:val="0090056C"/>
    <w:rsid w:val="0090091B"/>
    <w:rsid w:val="00900939"/>
    <w:rsid w:val="0090096F"/>
    <w:rsid w:val="00900DF0"/>
    <w:rsid w:val="0090104D"/>
    <w:rsid w:val="00903120"/>
    <w:rsid w:val="009035AD"/>
    <w:rsid w:val="00903621"/>
    <w:rsid w:val="00904D87"/>
    <w:rsid w:val="00905898"/>
    <w:rsid w:val="0090605A"/>
    <w:rsid w:val="00907AC7"/>
    <w:rsid w:val="00907EE2"/>
    <w:rsid w:val="00910513"/>
    <w:rsid w:val="009113AE"/>
    <w:rsid w:val="00911F60"/>
    <w:rsid w:val="00912BF1"/>
    <w:rsid w:val="00913CAA"/>
    <w:rsid w:val="00914284"/>
    <w:rsid w:val="00914550"/>
    <w:rsid w:val="009147C3"/>
    <w:rsid w:val="00914E36"/>
    <w:rsid w:val="00914EE3"/>
    <w:rsid w:val="00915300"/>
    <w:rsid w:val="009163C5"/>
    <w:rsid w:val="009173B9"/>
    <w:rsid w:val="00917AE1"/>
    <w:rsid w:val="009202B1"/>
    <w:rsid w:val="0092042A"/>
    <w:rsid w:val="009216CA"/>
    <w:rsid w:val="00922808"/>
    <w:rsid w:val="00922934"/>
    <w:rsid w:val="00922FE4"/>
    <w:rsid w:val="00923CCF"/>
    <w:rsid w:val="009245CB"/>
    <w:rsid w:val="009259EF"/>
    <w:rsid w:val="00925D0C"/>
    <w:rsid w:val="00926414"/>
    <w:rsid w:val="0092749B"/>
    <w:rsid w:val="00927725"/>
    <w:rsid w:val="009301FC"/>
    <w:rsid w:val="00930782"/>
    <w:rsid w:val="009311DA"/>
    <w:rsid w:val="00931452"/>
    <w:rsid w:val="009332EE"/>
    <w:rsid w:val="0093355A"/>
    <w:rsid w:val="009335BA"/>
    <w:rsid w:val="00934660"/>
    <w:rsid w:val="00934E21"/>
    <w:rsid w:val="00935D33"/>
    <w:rsid w:val="00935ECF"/>
    <w:rsid w:val="009361DC"/>
    <w:rsid w:val="00936244"/>
    <w:rsid w:val="00936445"/>
    <w:rsid w:val="00936653"/>
    <w:rsid w:val="00936B44"/>
    <w:rsid w:val="00936E5A"/>
    <w:rsid w:val="00936EC8"/>
    <w:rsid w:val="0094011C"/>
    <w:rsid w:val="009408DF"/>
    <w:rsid w:val="009416FE"/>
    <w:rsid w:val="009417E1"/>
    <w:rsid w:val="00942039"/>
    <w:rsid w:val="0094286F"/>
    <w:rsid w:val="00942AE0"/>
    <w:rsid w:val="0094336F"/>
    <w:rsid w:val="00944829"/>
    <w:rsid w:val="009459DA"/>
    <w:rsid w:val="00945D12"/>
    <w:rsid w:val="00946916"/>
    <w:rsid w:val="00947194"/>
    <w:rsid w:val="00947DA7"/>
    <w:rsid w:val="00947F9D"/>
    <w:rsid w:val="00950381"/>
    <w:rsid w:val="00951B95"/>
    <w:rsid w:val="00953C4E"/>
    <w:rsid w:val="0095526B"/>
    <w:rsid w:val="00956864"/>
    <w:rsid w:val="00956C88"/>
    <w:rsid w:val="00956FE4"/>
    <w:rsid w:val="0096035C"/>
    <w:rsid w:val="00960465"/>
    <w:rsid w:val="0096066A"/>
    <w:rsid w:val="00960BF1"/>
    <w:rsid w:val="00961175"/>
    <w:rsid w:val="00961227"/>
    <w:rsid w:val="00962287"/>
    <w:rsid w:val="00962690"/>
    <w:rsid w:val="00964C6F"/>
    <w:rsid w:val="00965381"/>
    <w:rsid w:val="009665E7"/>
    <w:rsid w:val="00966722"/>
    <w:rsid w:val="00971077"/>
    <w:rsid w:val="00971296"/>
    <w:rsid w:val="0097198F"/>
    <w:rsid w:val="00971B25"/>
    <w:rsid w:val="009722B2"/>
    <w:rsid w:val="009723AA"/>
    <w:rsid w:val="00972AFD"/>
    <w:rsid w:val="00972B10"/>
    <w:rsid w:val="00972D6A"/>
    <w:rsid w:val="00973FD3"/>
    <w:rsid w:val="00973FE6"/>
    <w:rsid w:val="009740C4"/>
    <w:rsid w:val="0097517A"/>
    <w:rsid w:val="00975FF0"/>
    <w:rsid w:val="009763BC"/>
    <w:rsid w:val="0097678D"/>
    <w:rsid w:val="00976F69"/>
    <w:rsid w:val="00977B3F"/>
    <w:rsid w:val="009808EA"/>
    <w:rsid w:val="00981B2B"/>
    <w:rsid w:val="00981B96"/>
    <w:rsid w:val="00981F79"/>
    <w:rsid w:val="0098201F"/>
    <w:rsid w:val="009825C9"/>
    <w:rsid w:val="00982DA9"/>
    <w:rsid w:val="0098344B"/>
    <w:rsid w:val="00983973"/>
    <w:rsid w:val="0098432B"/>
    <w:rsid w:val="00984A91"/>
    <w:rsid w:val="00984D0D"/>
    <w:rsid w:val="009850EF"/>
    <w:rsid w:val="00985278"/>
    <w:rsid w:val="00985DA0"/>
    <w:rsid w:val="00986318"/>
    <w:rsid w:val="00986879"/>
    <w:rsid w:val="009868FC"/>
    <w:rsid w:val="009872CB"/>
    <w:rsid w:val="00990A70"/>
    <w:rsid w:val="00990B30"/>
    <w:rsid w:val="00991558"/>
    <w:rsid w:val="00991893"/>
    <w:rsid w:val="00991A16"/>
    <w:rsid w:val="00992433"/>
    <w:rsid w:val="0099250A"/>
    <w:rsid w:val="009927F8"/>
    <w:rsid w:val="00992BE2"/>
    <w:rsid w:val="009941C2"/>
    <w:rsid w:val="0099555A"/>
    <w:rsid w:val="0099562E"/>
    <w:rsid w:val="00995DA3"/>
    <w:rsid w:val="00996DDC"/>
    <w:rsid w:val="00997FD2"/>
    <w:rsid w:val="009A0A34"/>
    <w:rsid w:val="009A13B8"/>
    <w:rsid w:val="009A2E41"/>
    <w:rsid w:val="009A2F6D"/>
    <w:rsid w:val="009A37F0"/>
    <w:rsid w:val="009A3CCB"/>
    <w:rsid w:val="009A52C1"/>
    <w:rsid w:val="009A5EA7"/>
    <w:rsid w:val="009A6174"/>
    <w:rsid w:val="009A6AEE"/>
    <w:rsid w:val="009B0652"/>
    <w:rsid w:val="009B0E6D"/>
    <w:rsid w:val="009B179A"/>
    <w:rsid w:val="009B17C7"/>
    <w:rsid w:val="009B2295"/>
    <w:rsid w:val="009B276A"/>
    <w:rsid w:val="009B2A8F"/>
    <w:rsid w:val="009B34D6"/>
    <w:rsid w:val="009B3739"/>
    <w:rsid w:val="009B455D"/>
    <w:rsid w:val="009B4E8F"/>
    <w:rsid w:val="009B761F"/>
    <w:rsid w:val="009B7769"/>
    <w:rsid w:val="009B795C"/>
    <w:rsid w:val="009B7E93"/>
    <w:rsid w:val="009B7F6D"/>
    <w:rsid w:val="009C0EDB"/>
    <w:rsid w:val="009C0F94"/>
    <w:rsid w:val="009C0FFD"/>
    <w:rsid w:val="009C1419"/>
    <w:rsid w:val="009C1C18"/>
    <w:rsid w:val="009C1EC0"/>
    <w:rsid w:val="009C2436"/>
    <w:rsid w:val="009C441C"/>
    <w:rsid w:val="009C4CC6"/>
    <w:rsid w:val="009C5C9F"/>
    <w:rsid w:val="009C7693"/>
    <w:rsid w:val="009C7F71"/>
    <w:rsid w:val="009D0203"/>
    <w:rsid w:val="009D0462"/>
    <w:rsid w:val="009D083D"/>
    <w:rsid w:val="009D0FE7"/>
    <w:rsid w:val="009D12AD"/>
    <w:rsid w:val="009D1456"/>
    <w:rsid w:val="009D1E8E"/>
    <w:rsid w:val="009D242A"/>
    <w:rsid w:val="009D27AF"/>
    <w:rsid w:val="009D280A"/>
    <w:rsid w:val="009D2975"/>
    <w:rsid w:val="009D2D8D"/>
    <w:rsid w:val="009D2FBA"/>
    <w:rsid w:val="009D351E"/>
    <w:rsid w:val="009D3629"/>
    <w:rsid w:val="009D397C"/>
    <w:rsid w:val="009D3B9B"/>
    <w:rsid w:val="009D3D9D"/>
    <w:rsid w:val="009D4172"/>
    <w:rsid w:val="009D42C8"/>
    <w:rsid w:val="009D4C27"/>
    <w:rsid w:val="009D58D1"/>
    <w:rsid w:val="009D66ED"/>
    <w:rsid w:val="009D6E39"/>
    <w:rsid w:val="009D7565"/>
    <w:rsid w:val="009D7787"/>
    <w:rsid w:val="009D7B23"/>
    <w:rsid w:val="009D7D9C"/>
    <w:rsid w:val="009E02C9"/>
    <w:rsid w:val="009E0E01"/>
    <w:rsid w:val="009E121C"/>
    <w:rsid w:val="009E1247"/>
    <w:rsid w:val="009E1B98"/>
    <w:rsid w:val="009E2084"/>
    <w:rsid w:val="009E23B7"/>
    <w:rsid w:val="009E23CD"/>
    <w:rsid w:val="009E292F"/>
    <w:rsid w:val="009E3916"/>
    <w:rsid w:val="009E39DC"/>
    <w:rsid w:val="009E3E51"/>
    <w:rsid w:val="009E3FAC"/>
    <w:rsid w:val="009E4691"/>
    <w:rsid w:val="009E47DC"/>
    <w:rsid w:val="009E4BB4"/>
    <w:rsid w:val="009E4D22"/>
    <w:rsid w:val="009E5378"/>
    <w:rsid w:val="009E56B4"/>
    <w:rsid w:val="009E5A88"/>
    <w:rsid w:val="009E6D68"/>
    <w:rsid w:val="009F029A"/>
    <w:rsid w:val="009F0DA4"/>
    <w:rsid w:val="009F0EBA"/>
    <w:rsid w:val="009F28C9"/>
    <w:rsid w:val="009F43C3"/>
    <w:rsid w:val="009F4D28"/>
    <w:rsid w:val="009F542C"/>
    <w:rsid w:val="009F6110"/>
    <w:rsid w:val="009F615E"/>
    <w:rsid w:val="009F625E"/>
    <w:rsid w:val="009F65C7"/>
    <w:rsid w:val="009F6933"/>
    <w:rsid w:val="009F7197"/>
    <w:rsid w:val="009F7947"/>
    <w:rsid w:val="009F7D43"/>
    <w:rsid w:val="009F7E2B"/>
    <w:rsid w:val="009F7F5F"/>
    <w:rsid w:val="00A0076A"/>
    <w:rsid w:val="00A012D0"/>
    <w:rsid w:val="00A01D7B"/>
    <w:rsid w:val="00A043FE"/>
    <w:rsid w:val="00A049DD"/>
    <w:rsid w:val="00A04DAF"/>
    <w:rsid w:val="00A05098"/>
    <w:rsid w:val="00A05803"/>
    <w:rsid w:val="00A0584F"/>
    <w:rsid w:val="00A05916"/>
    <w:rsid w:val="00A0598F"/>
    <w:rsid w:val="00A05D2B"/>
    <w:rsid w:val="00A06E1B"/>
    <w:rsid w:val="00A07064"/>
    <w:rsid w:val="00A073FF"/>
    <w:rsid w:val="00A0794D"/>
    <w:rsid w:val="00A07BE8"/>
    <w:rsid w:val="00A10B50"/>
    <w:rsid w:val="00A10BA9"/>
    <w:rsid w:val="00A11253"/>
    <w:rsid w:val="00A11289"/>
    <w:rsid w:val="00A11F2D"/>
    <w:rsid w:val="00A13EAF"/>
    <w:rsid w:val="00A14B01"/>
    <w:rsid w:val="00A15B09"/>
    <w:rsid w:val="00A16741"/>
    <w:rsid w:val="00A167C2"/>
    <w:rsid w:val="00A17491"/>
    <w:rsid w:val="00A17EF1"/>
    <w:rsid w:val="00A206A4"/>
    <w:rsid w:val="00A20817"/>
    <w:rsid w:val="00A20C31"/>
    <w:rsid w:val="00A2114F"/>
    <w:rsid w:val="00A218A7"/>
    <w:rsid w:val="00A2216E"/>
    <w:rsid w:val="00A22650"/>
    <w:rsid w:val="00A22A96"/>
    <w:rsid w:val="00A22BB3"/>
    <w:rsid w:val="00A231C7"/>
    <w:rsid w:val="00A2370B"/>
    <w:rsid w:val="00A23E9D"/>
    <w:rsid w:val="00A24782"/>
    <w:rsid w:val="00A25885"/>
    <w:rsid w:val="00A25B91"/>
    <w:rsid w:val="00A265F3"/>
    <w:rsid w:val="00A26637"/>
    <w:rsid w:val="00A26CAA"/>
    <w:rsid w:val="00A26CCB"/>
    <w:rsid w:val="00A27769"/>
    <w:rsid w:val="00A27AFB"/>
    <w:rsid w:val="00A30806"/>
    <w:rsid w:val="00A31536"/>
    <w:rsid w:val="00A315FF"/>
    <w:rsid w:val="00A31956"/>
    <w:rsid w:val="00A32A88"/>
    <w:rsid w:val="00A3334D"/>
    <w:rsid w:val="00A33B52"/>
    <w:rsid w:val="00A33C0B"/>
    <w:rsid w:val="00A33DC9"/>
    <w:rsid w:val="00A33F77"/>
    <w:rsid w:val="00A34A14"/>
    <w:rsid w:val="00A34AAD"/>
    <w:rsid w:val="00A34C56"/>
    <w:rsid w:val="00A34E52"/>
    <w:rsid w:val="00A3528D"/>
    <w:rsid w:val="00A35313"/>
    <w:rsid w:val="00A35552"/>
    <w:rsid w:val="00A35831"/>
    <w:rsid w:val="00A35E7C"/>
    <w:rsid w:val="00A36416"/>
    <w:rsid w:val="00A364D8"/>
    <w:rsid w:val="00A36E14"/>
    <w:rsid w:val="00A3743F"/>
    <w:rsid w:val="00A412A7"/>
    <w:rsid w:val="00A412EF"/>
    <w:rsid w:val="00A41DBD"/>
    <w:rsid w:val="00A4253F"/>
    <w:rsid w:val="00A42EF2"/>
    <w:rsid w:val="00A4400D"/>
    <w:rsid w:val="00A442FF"/>
    <w:rsid w:val="00A44D84"/>
    <w:rsid w:val="00A45A85"/>
    <w:rsid w:val="00A45BD2"/>
    <w:rsid w:val="00A46F60"/>
    <w:rsid w:val="00A4713F"/>
    <w:rsid w:val="00A4716C"/>
    <w:rsid w:val="00A479EA"/>
    <w:rsid w:val="00A50436"/>
    <w:rsid w:val="00A50595"/>
    <w:rsid w:val="00A50609"/>
    <w:rsid w:val="00A51DA8"/>
    <w:rsid w:val="00A51E1A"/>
    <w:rsid w:val="00A51FB7"/>
    <w:rsid w:val="00A52496"/>
    <w:rsid w:val="00A5275D"/>
    <w:rsid w:val="00A52A12"/>
    <w:rsid w:val="00A52ED5"/>
    <w:rsid w:val="00A5372E"/>
    <w:rsid w:val="00A54194"/>
    <w:rsid w:val="00A54E6E"/>
    <w:rsid w:val="00A5515B"/>
    <w:rsid w:val="00A558D3"/>
    <w:rsid w:val="00A5701F"/>
    <w:rsid w:val="00A578D4"/>
    <w:rsid w:val="00A60961"/>
    <w:rsid w:val="00A61015"/>
    <w:rsid w:val="00A61021"/>
    <w:rsid w:val="00A61750"/>
    <w:rsid w:val="00A61D22"/>
    <w:rsid w:val="00A61D6F"/>
    <w:rsid w:val="00A61D7A"/>
    <w:rsid w:val="00A61E7B"/>
    <w:rsid w:val="00A62C15"/>
    <w:rsid w:val="00A62D7D"/>
    <w:rsid w:val="00A63702"/>
    <w:rsid w:val="00A64735"/>
    <w:rsid w:val="00A64A5F"/>
    <w:rsid w:val="00A653BF"/>
    <w:rsid w:val="00A654E5"/>
    <w:rsid w:val="00A659E2"/>
    <w:rsid w:val="00A65B62"/>
    <w:rsid w:val="00A66F7A"/>
    <w:rsid w:val="00A70314"/>
    <w:rsid w:val="00A71882"/>
    <w:rsid w:val="00A72F5E"/>
    <w:rsid w:val="00A7322E"/>
    <w:rsid w:val="00A73E1D"/>
    <w:rsid w:val="00A73EEA"/>
    <w:rsid w:val="00A73FFB"/>
    <w:rsid w:val="00A74E0A"/>
    <w:rsid w:val="00A766F9"/>
    <w:rsid w:val="00A77CB4"/>
    <w:rsid w:val="00A80742"/>
    <w:rsid w:val="00A81E2E"/>
    <w:rsid w:val="00A822C5"/>
    <w:rsid w:val="00A82406"/>
    <w:rsid w:val="00A825B7"/>
    <w:rsid w:val="00A8265A"/>
    <w:rsid w:val="00A829CB"/>
    <w:rsid w:val="00A82AA8"/>
    <w:rsid w:val="00A83F16"/>
    <w:rsid w:val="00A84303"/>
    <w:rsid w:val="00A84D22"/>
    <w:rsid w:val="00A8510A"/>
    <w:rsid w:val="00A860D4"/>
    <w:rsid w:val="00A8651D"/>
    <w:rsid w:val="00A86810"/>
    <w:rsid w:val="00A86836"/>
    <w:rsid w:val="00A86F0D"/>
    <w:rsid w:val="00A870A2"/>
    <w:rsid w:val="00A8760C"/>
    <w:rsid w:val="00A87AFB"/>
    <w:rsid w:val="00A9080F"/>
    <w:rsid w:val="00A90B28"/>
    <w:rsid w:val="00A90EDB"/>
    <w:rsid w:val="00A917C3"/>
    <w:rsid w:val="00A91BFE"/>
    <w:rsid w:val="00A92240"/>
    <w:rsid w:val="00A92251"/>
    <w:rsid w:val="00A92E5A"/>
    <w:rsid w:val="00A931DE"/>
    <w:rsid w:val="00A934C0"/>
    <w:rsid w:val="00A9389D"/>
    <w:rsid w:val="00A93D89"/>
    <w:rsid w:val="00A945BC"/>
    <w:rsid w:val="00A94BAE"/>
    <w:rsid w:val="00A95A99"/>
    <w:rsid w:val="00A95EB3"/>
    <w:rsid w:val="00A964C1"/>
    <w:rsid w:val="00A97013"/>
    <w:rsid w:val="00A9709B"/>
    <w:rsid w:val="00A970D9"/>
    <w:rsid w:val="00A97180"/>
    <w:rsid w:val="00AA0817"/>
    <w:rsid w:val="00AA091E"/>
    <w:rsid w:val="00AA1034"/>
    <w:rsid w:val="00AA1610"/>
    <w:rsid w:val="00AA3782"/>
    <w:rsid w:val="00AA47F0"/>
    <w:rsid w:val="00AA4A4A"/>
    <w:rsid w:val="00AA548E"/>
    <w:rsid w:val="00AA566E"/>
    <w:rsid w:val="00AA5C5A"/>
    <w:rsid w:val="00AA5D22"/>
    <w:rsid w:val="00AA5FD8"/>
    <w:rsid w:val="00AA6178"/>
    <w:rsid w:val="00AB07C9"/>
    <w:rsid w:val="00AB16D6"/>
    <w:rsid w:val="00AB1712"/>
    <w:rsid w:val="00AB2251"/>
    <w:rsid w:val="00AB2C4F"/>
    <w:rsid w:val="00AB308B"/>
    <w:rsid w:val="00AB3ED9"/>
    <w:rsid w:val="00AB4192"/>
    <w:rsid w:val="00AB4C40"/>
    <w:rsid w:val="00AB4E45"/>
    <w:rsid w:val="00AB5272"/>
    <w:rsid w:val="00AB5C6C"/>
    <w:rsid w:val="00AB5F73"/>
    <w:rsid w:val="00AB67EF"/>
    <w:rsid w:val="00AB689D"/>
    <w:rsid w:val="00AB6968"/>
    <w:rsid w:val="00AB789B"/>
    <w:rsid w:val="00AC014D"/>
    <w:rsid w:val="00AC1D19"/>
    <w:rsid w:val="00AC26EB"/>
    <w:rsid w:val="00AC368A"/>
    <w:rsid w:val="00AC3874"/>
    <w:rsid w:val="00AC409E"/>
    <w:rsid w:val="00AC415E"/>
    <w:rsid w:val="00AC438C"/>
    <w:rsid w:val="00AC43E5"/>
    <w:rsid w:val="00AC4886"/>
    <w:rsid w:val="00AC48DF"/>
    <w:rsid w:val="00AC4FFA"/>
    <w:rsid w:val="00AC6219"/>
    <w:rsid w:val="00AC7204"/>
    <w:rsid w:val="00AC78D9"/>
    <w:rsid w:val="00AC7EA1"/>
    <w:rsid w:val="00AD06EE"/>
    <w:rsid w:val="00AD07F3"/>
    <w:rsid w:val="00AD0B76"/>
    <w:rsid w:val="00AD12A0"/>
    <w:rsid w:val="00AD13C5"/>
    <w:rsid w:val="00AD1543"/>
    <w:rsid w:val="00AD1F22"/>
    <w:rsid w:val="00AD2BBC"/>
    <w:rsid w:val="00AD336E"/>
    <w:rsid w:val="00AD392C"/>
    <w:rsid w:val="00AD3933"/>
    <w:rsid w:val="00AD3C01"/>
    <w:rsid w:val="00AD445A"/>
    <w:rsid w:val="00AD48FA"/>
    <w:rsid w:val="00AD5E93"/>
    <w:rsid w:val="00AD672D"/>
    <w:rsid w:val="00AD6ADC"/>
    <w:rsid w:val="00AD749D"/>
    <w:rsid w:val="00AD77A2"/>
    <w:rsid w:val="00AD7BDA"/>
    <w:rsid w:val="00AD7D0B"/>
    <w:rsid w:val="00AD7FA9"/>
    <w:rsid w:val="00AE06C5"/>
    <w:rsid w:val="00AE0772"/>
    <w:rsid w:val="00AE1258"/>
    <w:rsid w:val="00AE1556"/>
    <w:rsid w:val="00AE22A4"/>
    <w:rsid w:val="00AE3106"/>
    <w:rsid w:val="00AE32D0"/>
    <w:rsid w:val="00AE4AE8"/>
    <w:rsid w:val="00AE4CFB"/>
    <w:rsid w:val="00AE583F"/>
    <w:rsid w:val="00AE5BCC"/>
    <w:rsid w:val="00AE665F"/>
    <w:rsid w:val="00AE6707"/>
    <w:rsid w:val="00AE67D7"/>
    <w:rsid w:val="00AE7537"/>
    <w:rsid w:val="00AE75E7"/>
    <w:rsid w:val="00AF03C9"/>
    <w:rsid w:val="00AF0428"/>
    <w:rsid w:val="00AF0553"/>
    <w:rsid w:val="00AF2109"/>
    <w:rsid w:val="00AF33AD"/>
    <w:rsid w:val="00AF33E5"/>
    <w:rsid w:val="00AF3BFA"/>
    <w:rsid w:val="00AF3C97"/>
    <w:rsid w:val="00AF3E3E"/>
    <w:rsid w:val="00AF4478"/>
    <w:rsid w:val="00AF45A9"/>
    <w:rsid w:val="00AF490E"/>
    <w:rsid w:val="00AF4A12"/>
    <w:rsid w:val="00AF5107"/>
    <w:rsid w:val="00AF57F6"/>
    <w:rsid w:val="00AF5A90"/>
    <w:rsid w:val="00AF629B"/>
    <w:rsid w:val="00AF7497"/>
    <w:rsid w:val="00AF76F5"/>
    <w:rsid w:val="00B00BC3"/>
    <w:rsid w:val="00B01567"/>
    <w:rsid w:val="00B01CA0"/>
    <w:rsid w:val="00B01DB9"/>
    <w:rsid w:val="00B039A3"/>
    <w:rsid w:val="00B046E8"/>
    <w:rsid w:val="00B04D8B"/>
    <w:rsid w:val="00B04EAE"/>
    <w:rsid w:val="00B04F40"/>
    <w:rsid w:val="00B05C42"/>
    <w:rsid w:val="00B068F4"/>
    <w:rsid w:val="00B06CC9"/>
    <w:rsid w:val="00B075DE"/>
    <w:rsid w:val="00B07E37"/>
    <w:rsid w:val="00B104A2"/>
    <w:rsid w:val="00B10905"/>
    <w:rsid w:val="00B11459"/>
    <w:rsid w:val="00B11D1A"/>
    <w:rsid w:val="00B11E5B"/>
    <w:rsid w:val="00B12E10"/>
    <w:rsid w:val="00B13C6F"/>
    <w:rsid w:val="00B142D8"/>
    <w:rsid w:val="00B146AF"/>
    <w:rsid w:val="00B159B5"/>
    <w:rsid w:val="00B1691C"/>
    <w:rsid w:val="00B16AEC"/>
    <w:rsid w:val="00B16D32"/>
    <w:rsid w:val="00B17041"/>
    <w:rsid w:val="00B210A2"/>
    <w:rsid w:val="00B216E3"/>
    <w:rsid w:val="00B217E8"/>
    <w:rsid w:val="00B22AE9"/>
    <w:rsid w:val="00B23540"/>
    <w:rsid w:val="00B23886"/>
    <w:rsid w:val="00B24187"/>
    <w:rsid w:val="00B244EF"/>
    <w:rsid w:val="00B24B12"/>
    <w:rsid w:val="00B2529F"/>
    <w:rsid w:val="00B258B2"/>
    <w:rsid w:val="00B258FE"/>
    <w:rsid w:val="00B25F8F"/>
    <w:rsid w:val="00B26177"/>
    <w:rsid w:val="00B268F5"/>
    <w:rsid w:val="00B26BB7"/>
    <w:rsid w:val="00B272D6"/>
    <w:rsid w:val="00B27508"/>
    <w:rsid w:val="00B27897"/>
    <w:rsid w:val="00B27CB0"/>
    <w:rsid w:val="00B27F4C"/>
    <w:rsid w:val="00B30888"/>
    <w:rsid w:val="00B3107C"/>
    <w:rsid w:val="00B311D5"/>
    <w:rsid w:val="00B32A3B"/>
    <w:rsid w:val="00B32D74"/>
    <w:rsid w:val="00B33CAF"/>
    <w:rsid w:val="00B3442A"/>
    <w:rsid w:val="00B35E0E"/>
    <w:rsid w:val="00B3643A"/>
    <w:rsid w:val="00B365C8"/>
    <w:rsid w:val="00B36C27"/>
    <w:rsid w:val="00B36DEA"/>
    <w:rsid w:val="00B40231"/>
    <w:rsid w:val="00B40C99"/>
    <w:rsid w:val="00B41911"/>
    <w:rsid w:val="00B421E3"/>
    <w:rsid w:val="00B42596"/>
    <w:rsid w:val="00B46787"/>
    <w:rsid w:val="00B46AD0"/>
    <w:rsid w:val="00B501B5"/>
    <w:rsid w:val="00B5066D"/>
    <w:rsid w:val="00B50753"/>
    <w:rsid w:val="00B508E9"/>
    <w:rsid w:val="00B50A32"/>
    <w:rsid w:val="00B51417"/>
    <w:rsid w:val="00B52783"/>
    <w:rsid w:val="00B52900"/>
    <w:rsid w:val="00B52B1B"/>
    <w:rsid w:val="00B52E2A"/>
    <w:rsid w:val="00B531F1"/>
    <w:rsid w:val="00B53CD2"/>
    <w:rsid w:val="00B54027"/>
    <w:rsid w:val="00B55F29"/>
    <w:rsid w:val="00B562F0"/>
    <w:rsid w:val="00B563E8"/>
    <w:rsid w:val="00B5685A"/>
    <w:rsid w:val="00B569EA"/>
    <w:rsid w:val="00B56E5D"/>
    <w:rsid w:val="00B57864"/>
    <w:rsid w:val="00B6065E"/>
    <w:rsid w:val="00B60F8C"/>
    <w:rsid w:val="00B61B88"/>
    <w:rsid w:val="00B6365C"/>
    <w:rsid w:val="00B6411C"/>
    <w:rsid w:val="00B64A07"/>
    <w:rsid w:val="00B65659"/>
    <w:rsid w:val="00B65D9D"/>
    <w:rsid w:val="00B665F9"/>
    <w:rsid w:val="00B67C76"/>
    <w:rsid w:val="00B70517"/>
    <w:rsid w:val="00B7078F"/>
    <w:rsid w:val="00B715C6"/>
    <w:rsid w:val="00B71686"/>
    <w:rsid w:val="00B71E5B"/>
    <w:rsid w:val="00B74641"/>
    <w:rsid w:val="00B7470D"/>
    <w:rsid w:val="00B75272"/>
    <w:rsid w:val="00B75BB3"/>
    <w:rsid w:val="00B76878"/>
    <w:rsid w:val="00B76BFB"/>
    <w:rsid w:val="00B773AA"/>
    <w:rsid w:val="00B777CF"/>
    <w:rsid w:val="00B777FE"/>
    <w:rsid w:val="00B77B08"/>
    <w:rsid w:val="00B77CAA"/>
    <w:rsid w:val="00B77CC0"/>
    <w:rsid w:val="00B802C9"/>
    <w:rsid w:val="00B8045B"/>
    <w:rsid w:val="00B81F2C"/>
    <w:rsid w:val="00B8210E"/>
    <w:rsid w:val="00B831D5"/>
    <w:rsid w:val="00B8325D"/>
    <w:rsid w:val="00B83AF3"/>
    <w:rsid w:val="00B84B13"/>
    <w:rsid w:val="00B8546D"/>
    <w:rsid w:val="00B85E95"/>
    <w:rsid w:val="00B85EED"/>
    <w:rsid w:val="00B875C0"/>
    <w:rsid w:val="00B910B2"/>
    <w:rsid w:val="00B9185F"/>
    <w:rsid w:val="00B91880"/>
    <w:rsid w:val="00B91F28"/>
    <w:rsid w:val="00B922CA"/>
    <w:rsid w:val="00B9280A"/>
    <w:rsid w:val="00B932FF"/>
    <w:rsid w:val="00B939D5"/>
    <w:rsid w:val="00B94755"/>
    <w:rsid w:val="00B950E0"/>
    <w:rsid w:val="00B95871"/>
    <w:rsid w:val="00B958C0"/>
    <w:rsid w:val="00B95925"/>
    <w:rsid w:val="00B96020"/>
    <w:rsid w:val="00B96A3D"/>
    <w:rsid w:val="00B96FC5"/>
    <w:rsid w:val="00B97493"/>
    <w:rsid w:val="00BA0F05"/>
    <w:rsid w:val="00BA1111"/>
    <w:rsid w:val="00BA1FE9"/>
    <w:rsid w:val="00BA2053"/>
    <w:rsid w:val="00BA225F"/>
    <w:rsid w:val="00BA24D2"/>
    <w:rsid w:val="00BA293F"/>
    <w:rsid w:val="00BA29F9"/>
    <w:rsid w:val="00BA2AE9"/>
    <w:rsid w:val="00BA3102"/>
    <w:rsid w:val="00BA3167"/>
    <w:rsid w:val="00BA3B2B"/>
    <w:rsid w:val="00BA4398"/>
    <w:rsid w:val="00BA4EA6"/>
    <w:rsid w:val="00BA581B"/>
    <w:rsid w:val="00BA58AB"/>
    <w:rsid w:val="00BA657A"/>
    <w:rsid w:val="00BA698B"/>
    <w:rsid w:val="00BB00AE"/>
    <w:rsid w:val="00BB0534"/>
    <w:rsid w:val="00BB0DB8"/>
    <w:rsid w:val="00BB0F8F"/>
    <w:rsid w:val="00BB1187"/>
    <w:rsid w:val="00BB13D7"/>
    <w:rsid w:val="00BB1979"/>
    <w:rsid w:val="00BB1F73"/>
    <w:rsid w:val="00BB2C8C"/>
    <w:rsid w:val="00BB348E"/>
    <w:rsid w:val="00BB354F"/>
    <w:rsid w:val="00BB36A8"/>
    <w:rsid w:val="00BB4777"/>
    <w:rsid w:val="00BB4EEB"/>
    <w:rsid w:val="00BB5B0A"/>
    <w:rsid w:val="00BB762A"/>
    <w:rsid w:val="00BB7D33"/>
    <w:rsid w:val="00BC0579"/>
    <w:rsid w:val="00BC06C3"/>
    <w:rsid w:val="00BC09E5"/>
    <w:rsid w:val="00BC3712"/>
    <w:rsid w:val="00BC3D4A"/>
    <w:rsid w:val="00BC4B1E"/>
    <w:rsid w:val="00BC55DE"/>
    <w:rsid w:val="00BC5C7E"/>
    <w:rsid w:val="00BC64EB"/>
    <w:rsid w:val="00BC7784"/>
    <w:rsid w:val="00BC7C96"/>
    <w:rsid w:val="00BD06BC"/>
    <w:rsid w:val="00BD0BDE"/>
    <w:rsid w:val="00BD1988"/>
    <w:rsid w:val="00BD31CE"/>
    <w:rsid w:val="00BD3DC7"/>
    <w:rsid w:val="00BD4AA6"/>
    <w:rsid w:val="00BD4FD8"/>
    <w:rsid w:val="00BD6365"/>
    <w:rsid w:val="00BD695B"/>
    <w:rsid w:val="00BE117F"/>
    <w:rsid w:val="00BE17D6"/>
    <w:rsid w:val="00BE1981"/>
    <w:rsid w:val="00BE25C9"/>
    <w:rsid w:val="00BE2783"/>
    <w:rsid w:val="00BE2885"/>
    <w:rsid w:val="00BE37E1"/>
    <w:rsid w:val="00BE5142"/>
    <w:rsid w:val="00BE5E89"/>
    <w:rsid w:val="00BE5F65"/>
    <w:rsid w:val="00BE6BBF"/>
    <w:rsid w:val="00BE73CF"/>
    <w:rsid w:val="00BE78A4"/>
    <w:rsid w:val="00BF05B1"/>
    <w:rsid w:val="00BF0643"/>
    <w:rsid w:val="00BF0E4E"/>
    <w:rsid w:val="00BF1182"/>
    <w:rsid w:val="00BF1C4D"/>
    <w:rsid w:val="00BF2383"/>
    <w:rsid w:val="00BF37D9"/>
    <w:rsid w:val="00BF38A9"/>
    <w:rsid w:val="00BF40B5"/>
    <w:rsid w:val="00BF4431"/>
    <w:rsid w:val="00BF4C43"/>
    <w:rsid w:val="00BF4E75"/>
    <w:rsid w:val="00BF567B"/>
    <w:rsid w:val="00BF64F1"/>
    <w:rsid w:val="00BF6618"/>
    <w:rsid w:val="00BF778F"/>
    <w:rsid w:val="00BF7D4A"/>
    <w:rsid w:val="00C00A61"/>
    <w:rsid w:val="00C017BF"/>
    <w:rsid w:val="00C01F64"/>
    <w:rsid w:val="00C027EA"/>
    <w:rsid w:val="00C02983"/>
    <w:rsid w:val="00C02A79"/>
    <w:rsid w:val="00C02C37"/>
    <w:rsid w:val="00C03913"/>
    <w:rsid w:val="00C03981"/>
    <w:rsid w:val="00C039C7"/>
    <w:rsid w:val="00C03CF9"/>
    <w:rsid w:val="00C03E9D"/>
    <w:rsid w:val="00C04218"/>
    <w:rsid w:val="00C043CA"/>
    <w:rsid w:val="00C055F3"/>
    <w:rsid w:val="00C057EB"/>
    <w:rsid w:val="00C059E8"/>
    <w:rsid w:val="00C0680D"/>
    <w:rsid w:val="00C06F0E"/>
    <w:rsid w:val="00C07042"/>
    <w:rsid w:val="00C0704F"/>
    <w:rsid w:val="00C07595"/>
    <w:rsid w:val="00C07844"/>
    <w:rsid w:val="00C07E3E"/>
    <w:rsid w:val="00C104D7"/>
    <w:rsid w:val="00C105C1"/>
    <w:rsid w:val="00C10C95"/>
    <w:rsid w:val="00C11B45"/>
    <w:rsid w:val="00C11E3E"/>
    <w:rsid w:val="00C12948"/>
    <w:rsid w:val="00C13193"/>
    <w:rsid w:val="00C136E9"/>
    <w:rsid w:val="00C1391F"/>
    <w:rsid w:val="00C1458B"/>
    <w:rsid w:val="00C14AB0"/>
    <w:rsid w:val="00C15225"/>
    <w:rsid w:val="00C15CEE"/>
    <w:rsid w:val="00C15E9D"/>
    <w:rsid w:val="00C167D1"/>
    <w:rsid w:val="00C169D0"/>
    <w:rsid w:val="00C1715A"/>
    <w:rsid w:val="00C17832"/>
    <w:rsid w:val="00C17D3D"/>
    <w:rsid w:val="00C212AB"/>
    <w:rsid w:val="00C214F0"/>
    <w:rsid w:val="00C220CA"/>
    <w:rsid w:val="00C226E2"/>
    <w:rsid w:val="00C22FE6"/>
    <w:rsid w:val="00C2316F"/>
    <w:rsid w:val="00C23CDB"/>
    <w:rsid w:val="00C240E8"/>
    <w:rsid w:val="00C246E7"/>
    <w:rsid w:val="00C25BD1"/>
    <w:rsid w:val="00C26422"/>
    <w:rsid w:val="00C26C7C"/>
    <w:rsid w:val="00C26E03"/>
    <w:rsid w:val="00C27D5F"/>
    <w:rsid w:val="00C31604"/>
    <w:rsid w:val="00C32095"/>
    <w:rsid w:val="00C324B4"/>
    <w:rsid w:val="00C3269F"/>
    <w:rsid w:val="00C3288D"/>
    <w:rsid w:val="00C3351E"/>
    <w:rsid w:val="00C337B7"/>
    <w:rsid w:val="00C34035"/>
    <w:rsid w:val="00C342DB"/>
    <w:rsid w:val="00C34DE5"/>
    <w:rsid w:val="00C364E4"/>
    <w:rsid w:val="00C36ADD"/>
    <w:rsid w:val="00C40EF8"/>
    <w:rsid w:val="00C42785"/>
    <w:rsid w:val="00C42B65"/>
    <w:rsid w:val="00C45243"/>
    <w:rsid w:val="00C45553"/>
    <w:rsid w:val="00C467B1"/>
    <w:rsid w:val="00C4681F"/>
    <w:rsid w:val="00C46920"/>
    <w:rsid w:val="00C4746C"/>
    <w:rsid w:val="00C47E6F"/>
    <w:rsid w:val="00C502DE"/>
    <w:rsid w:val="00C514F0"/>
    <w:rsid w:val="00C52184"/>
    <w:rsid w:val="00C52470"/>
    <w:rsid w:val="00C5255F"/>
    <w:rsid w:val="00C53234"/>
    <w:rsid w:val="00C53989"/>
    <w:rsid w:val="00C53A1C"/>
    <w:rsid w:val="00C53A24"/>
    <w:rsid w:val="00C53E83"/>
    <w:rsid w:val="00C53FE9"/>
    <w:rsid w:val="00C54F52"/>
    <w:rsid w:val="00C54FEA"/>
    <w:rsid w:val="00C553B7"/>
    <w:rsid w:val="00C5583B"/>
    <w:rsid w:val="00C56464"/>
    <w:rsid w:val="00C57068"/>
    <w:rsid w:val="00C5798E"/>
    <w:rsid w:val="00C57D4A"/>
    <w:rsid w:val="00C57D9E"/>
    <w:rsid w:val="00C607F2"/>
    <w:rsid w:val="00C60A09"/>
    <w:rsid w:val="00C60D78"/>
    <w:rsid w:val="00C61808"/>
    <w:rsid w:val="00C61865"/>
    <w:rsid w:val="00C621DC"/>
    <w:rsid w:val="00C6364C"/>
    <w:rsid w:val="00C65356"/>
    <w:rsid w:val="00C65373"/>
    <w:rsid w:val="00C65465"/>
    <w:rsid w:val="00C65A41"/>
    <w:rsid w:val="00C65C48"/>
    <w:rsid w:val="00C65CE3"/>
    <w:rsid w:val="00C66E06"/>
    <w:rsid w:val="00C67C95"/>
    <w:rsid w:val="00C67CE3"/>
    <w:rsid w:val="00C67EE6"/>
    <w:rsid w:val="00C70497"/>
    <w:rsid w:val="00C70D5A"/>
    <w:rsid w:val="00C71284"/>
    <w:rsid w:val="00C7181C"/>
    <w:rsid w:val="00C718FD"/>
    <w:rsid w:val="00C72121"/>
    <w:rsid w:val="00C7217A"/>
    <w:rsid w:val="00C72325"/>
    <w:rsid w:val="00C72DC6"/>
    <w:rsid w:val="00C7307F"/>
    <w:rsid w:val="00C734CD"/>
    <w:rsid w:val="00C7375E"/>
    <w:rsid w:val="00C740E7"/>
    <w:rsid w:val="00C7463A"/>
    <w:rsid w:val="00C74CA2"/>
    <w:rsid w:val="00C756E0"/>
    <w:rsid w:val="00C75D5C"/>
    <w:rsid w:val="00C7667D"/>
    <w:rsid w:val="00C767AB"/>
    <w:rsid w:val="00C76DFC"/>
    <w:rsid w:val="00C77E8A"/>
    <w:rsid w:val="00C8064E"/>
    <w:rsid w:val="00C8135C"/>
    <w:rsid w:val="00C81A9A"/>
    <w:rsid w:val="00C81F24"/>
    <w:rsid w:val="00C823B1"/>
    <w:rsid w:val="00C8362B"/>
    <w:rsid w:val="00C836AC"/>
    <w:rsid w:val="00C842F7"/>
    <w:rsid w:val="00C85504"/>
    <w:rsid w:val="00C85B04"/>
    <w:rsid w:val="00C85EF2"/>
    <w:rsid w:val="00C862C2"/>
    <w:rsid w:val="00C864B7"/>
    <w:rsid w:val="00C869F3"/>
    <w:rsid w:val="00C87B7D"/>
    <w:rsid w:val="00C90536"/>
    <w:rsid w:val="00C90F7B"/>
    <w:rsid w:val="00C91119"/>
    <w:rsid w:val="00C91249"/>
    <w:rsid w:val="00C912E4"/>
    <w:rsid w:val="00C92186"/>
    <w:rsid w:val="00C92D22"/>
    <w:rsid w:val="00C93B18"/>
    <w:rsid w:val="00C9432A"/>
    <w:rsid w:val="00C948D8"/>
    <w:rsid w:val="00C9495E"/>
    <w:rsid w:val="00C94E7E"/>
    <w:rsid w:val="00C97C9B"/>
    <w:rsid w:val="00CA0008"/>
    <w:rsid w:val="00CA08AE"/>
    <w:rsid w:val="00CA0E3A"/>
    <w:rsid w:val="00CA12F4"/>
    <w:rsid w:val="00CA1C47"/>
    <w:rsid w:val="00CA260D"/>
    <w:rsid w:val="00CA3301"/>
    <w:rsid w:val="00CA3333"/>
    <w:rsid w:val="00CA4821"/>
    <w:rsid w:val="00CA5269"/>
    <w:rsid w:val="00CA6A22"/>
    <w:rsid w:val="00CA6E12"/>
    <w:rsid w:val="00CA6ECA"/>
    <w:rsid w:val="00CA6EFE"/>
    <w:rsid w:val="00CA6F88"/>
    <w:rsid w:val="00CA758C"/>
    <w:rsid w:val="00CA7A2C"/>
    <w:rsid w:val="00CA7EAC"/>
    <w:rsid w:val="00CB004D"/>
    <w:rsid w:val="00CB041D"/>
    <w:rsid w:val="00CB08D8"/>
    <w:rsid w:val="00CB0B3E"/>
    <w:rsid w:val="00CB0B66"/>
    <w:rsid w:val="00CB0E9D"/>
    <w:rsid w:val="00CB1109"/>
    <w:rsid w:val="00CB117A"/>
    <w:rsid w:val="00CB2009"/>
    <w:rsid w:val="00CB253A"/>
    <w:rsid w:val="00CB33EE"/>
    <w:rsid w:val="00CB34CC"/>
    <w:rsid w:val="00CB3BA5"/>
    <w:rsid w:val="00CB4045"/>
    <w:rsid w:val="00CB42F2"/>
    <w:rsid w:val="00CB4618"/>
    <w:rsid w:val="00CB48A9"/>
    <w:rsid w:val="00CB545A"/>
    <w:rsid w:val="00CB59BA"/>
    <w:rsid w:val="00CB68A5"/>
    <w:rsid w:val="00CB7BD5"/>
    <w:rsid w:val="00CC04CB"/>
    <w:rsid w:val="00CC0A26"/>
    <w:rsid w:val="00CC14C4"/>
    <w:rsid w:val="00CC1901"/>
    <w:rsid w:val="00CC19C6"/>
    <w:rsid w:val="00CC38AC"/>
    <w:rsid w:val="00CC4EAB"/>
    <w:rsid w:val="00CC5527"/>
    <w:rsid w:val="00CC599D"/>
    <w:rsid w:val="00CC60B5"/>
    <w:rsid w:val="00CC7AFA"/>
    <w:rsid w:val="00CD0FD3"/>
    <w:rsid w:val="00CD13DB"/>
    <w:rsid w:val="00CD191A"/>
    <w:rsid w:val="00CD1C68"/>
    <w:rsid w:val="00CD2663"/>
    <w:rsid w:val="00CD2E6C"/>
    <w:rsid w:val="00CD32A8"/>
    <w:rsid w:val="00CD4146"/>
    <w:rsid w:val="00CD4392"/>
    <w:rsid w:val="00CD4859"/>
    <w:rsid w:val="00CD5356"/>
    <w:rsid w:val="00CD5B78"/>
    <w:rsid w:val="00CD6191"/>
    <w:rsid w:val="00CD63B7"/>
    <w:rsid w:val="00CD682B"/>
    <w:rsid w:val="00CD71ED"/>
    <w:rsid w:val="00CD7494"/>
    <w:rsid w:val="00CD754D"/>
    <w:rsid w:val="00CD7F80"/>
    <w:rsid w:val="00CE01AD"/>
    <w:rsid w:val="00CE02AD"/>
    <w:rsid w:val="00CE053C"/>
    <w:rsid w:val="00CE080E"/>
    <w:rsid w:val="00CE09E5"/>
    <w:rsid w:val="00CE0F26"/>
    <w:rsid w:val="00CE10E3"/>
    <w:rsid w:val="00CE156F"/>
    <w:rsid w:val="00CE186F"/>
    <w:rsid w:val="00CE1AFC"/>
    <w:rsid w:val="00CE21D3"/>
    <w:rsid w:val="00CE23AA"/>
    <w:rsid w:val="00CE295E"/>
    <w:rsid w:val="00CE2B42"/>
    <w:rsid w:val="00CE3015"/>
    <w:rsid w:val="00CE319B"/>
    <w:rsid w:val="00CE40E3"/>
    <w:rsid w:val="00CE4554"/>
    <w:rsid w:val="00CE4A86"/>
    <w:rsid w:val="00CE4CAE"/>
    <w:rsid w:val="00CE549B"/>
    <w:rsid w:val="00CE55DA"/>
    <w:rsid w:val="00CE58D6"/>
    <w:rsid w:val="00CE58EE"/>
    <w:rsid w:val="00CE59C4"/>
    <w:rsid w:val="00CE628F"/>
    <w:rsid w:val="00CE69C0"/>
    <w:rsid w:val="00CE7D0F"/>
    <w:rsid w:val="00CF0E65"/>
    <w:rsid w:val="00CF1311"/>
    <w:rsid w:val="00CF1695"/>
    <w:rsid w:val="00CF2A9F"/>
    <w:rsid w:val="00CF38F4"/>
    <w:rsid w:val="00CF44B5"/>
    <w:rsid w:val="00CF4A87"/>
    <w:rsid w:val="00CF4CD2"/>
    <w:rsid w:val="00CF4DFD"/>
    <w:rsid w:val="00CF5879"/>
    <w:rsid w:val="00CF6011"/>
    <w:rsid w:val="00CF6517"/>
    <w:rsid w:val="00CF6879"/>
    <w:rsid w:val="00CF6AC8"/>
    <w:rsid w:val="00CF6CBB"/>
    <w:rsid w:val="00CF7633"/>
    <w:rsid w:val="00D00375"/>
    <w:rsid w:val="00D00F94"/>
    <w:rsid w:val="00D01E0F"/>
    <w:rsid w:val="00D022DC"/>
    <w:rsid w:val="00D0253C"/>
    <w:rsid w:val="00D02A89"/>
    <w:rsid w:val="00D045D7"/>
    <w:rsid w:val="00D046C9"/>
    <w:rsid w:val="00D04E78"/>
    <w:rsid w:val="00D05183"/>
    <w:rsid w:val="00D05704"/>
    <w:rsid w:val="00D05709"/>
    <w:rsid w:val="00D059E2"/>
    <w:rsid w:val="00D065E3"/>
    <w:rsid w:val="00D06BC9"/>
    <w:rsid w:val="00D100CF"/>
    <w:rsid w:val="00D10142"/>
    <w:rsid w:val="00D10AE1"/>
    <w:rsid w:val="00D11933"/>
    <w:rsid w:val="00D11CB0"/>
    <w:rsid w:val="00D11F99"/>
    <w:rsid w:val="00D11FD1"/>
    <w:rsid w:val="00D12493"/>
    <w:rsid w:val="00D12660"/>
    <w:rsid w:val="00D12C7A"/>
    <w:rsid w:val="00D14A4E"/>
    <w:rsid w:val="00D14C72"/>
    <w:rsid w:val="00D14EF9"/>
    <w:rsid w:val="00D15416"/>
    <w:rsid w:val="00D2066E"/>
    <w:rsid w:val="00D20E5A"/>
    <w:rsid w:val="00D20F4F"/>
    <w:rsid w:val="00D214F7"/>
    <w:rsid w:val="00D22C5B"/>
    <w:rsid w:val="00D23966"/>
    <w:rsid w:val="00D23D51"/>
    <w:rsid w:val="00D23EE9"/>
    <w:rsid w:val="00D250CE"/>
    <w:rsid w:val="00D25711"/>
    <w:rsid w:val="00D2679C"/>
    <w:rsid w:val="00D26F00"/>
    <w:rsid w:val="00D276A4"/>
    <w:rsid w:val="00D30181"/>
    <w:rsid w:val="00D30B29"/>
    <w:rsid w:val="00D3192D"/>
    <w:rsid w:val="00D31C5C"/>
    <w:rsid w:val="00D33130"/>
    <w:rsid w:val="00D33216"/>
    <w:rsid w:val="00D338D1"/>
    <w:rsid w:val="00D33B9D"/>
    <w:rsid w:val="00D340F2"/>
    <w:rsid w:val="00D343F2"/>
    <w:rsid w:val="00D3464C"/>
    <w:rsid w:val="00D34D98"/>
    <w:rsid w:val="00D34E3D"/>
    <w:rsid w:val="00D3501F"/>
    <w:rsid w:val="00D36224"/>
    <w:rsid w:val="00D3657A"/>
    <w:rsid w:val="00D36E6F"/>
    <w:rsid w:val="00D40E08"/>
    <w:rsid w:val="00D41625"/>
    <w:rsid w:val="00D416AA"/>
    <w:rsid w:val="00D416F5"/>
    <w:rsid w:val="00D427DC"/>
    <w:rsid w:val="00D436A0"/>
    <w:rsid w:val="00D43DE7"/>
    <w:rsid w:val="00D44111"/>
    <w:rsid w:val="00D444A1"/>
    <w:rsid w:val="00D44D6E"/>
    <w:rsid w:val="00D4515C"/>
    <w:rsid w:val="00D4655A"/>
    <w:rsid w:val="00D46A93"/>
    <w:rsid w:val="00D46AAA"/>
    <w:rsid w:val="00D50EE4"/>
    <w:rsid w:val="00D51945"/>
    <w:rsid w:val="00D522BB"/>
    <w:rsid w:val="00D52B62"/>
    <w:rsid w:val="00D53045"/>
    <w:rsid w:val="00D53626"/>
    <w:rsid w:val="00D5393E"/>
    <w:rsid w:val="00D53963"/>
    <w:rsid w:val="00D5474F"/>
    <w:rsid w:val="00D55056"/>
    <w:rsid w:val="00D550D2"/>
    <w:rsid w:val="00D55C15"/>
    <w:rsid w:val="00D56143"/>
    <w:rsid w:val="00D56AA2"/>
    <w:rsid w:val="00D56AF9"/>
    <w:rsid w:val="00D5724D"/>
    <w:rsid w:val="00D576A7"/>
    <w:rsid w:val="00D60592"/>
    <w:rsid w:val="00D6062D"/>
    <w:rsid w:val="00D6067C"/>
    <w:rsid w:val="00D61635"/>
    <w:rsid w:val="00D626A9"/>
    <w:rsid w:val="00D6273D"/>
    <w:rsid w:val="00D628C5"/>
    <w:rsid w:val="00D628EB"/>
    <w:rsid w:val="00D62AD3"/>
    <w:rsid w:val="00D63DB5"/>
    <w:rsid w:val="00D63E81"/>
    <w:rsid w:val="00D63EA8"/>
    <w:rsid w:val="00D643CE"/>
    <w:rsid w:val="00D6453C"/>
    <w:rsid w:val="00D64746"/>
    <w:rsid w:val="00D652FD"/>
    <w:rsid w:val="00D65673"/>
    <w:rsid w:val="00D65A27"/>
    <w:rsid w:val="00D6649C"/>
    <w:rsid w:val="00D66EA5"/>
    <w:rsid w:val="00D7066E"/>
    <w:rsid w:val="00D7078F"/>
    <w:rsid w:val="00D72BC6"/>
    <w:rsid w:val="00D735BC"/>
    <w:rsid w:val="00D74447"/>
    <w:rsid w:val="00D746B0"/>
    <w:rsid w:val="00D74BC2"/>
    <w:rsid w:val="00D755B0"/>
    <w:rsid w:val="00D75C93"/>
    <w:rsid w:val="00D75DD0"/>
    <w:rsid w:val="00D767F3"/>
    <w:rsid w:val="00D76EF3"/>
    <w:rsid w:val="00D77C64"/>
    <w:rsid w:val="00D77FB0"/>
    <w:rsid w:val="00D80C5C"/>
    <w:rsid w:val="00D80DD7"/>
    <w:rsid w:val="00D80E0F"/>
    <w:rsid w:val="00D82050"/>
    <w:rsid w:val="00D835AD"/>
    <w:rsid w:val="00D838FD"/>
    <w:rsid w:val="00D83927"/>
    <w:rsid w:val="00D83EFF"/>
    <w:rsid w:val="00D84A12"/>
    <w:rsid w:val="00D84D1F"/>
    <w:rsid w:val="00D84E23"/>
    <w:rsid w:val="00D8588C"/>
    <w:rsid w:val="00D85F51"/>
    <w:rsid w:val="00D86245"/>
    <w:rsid w:val="00D86A9B"/>
    <w:rsid w:val="00D87378"/>
    <w:rsid w:val="00D87CCB"/>
    <w:rsid w:val="00D9043F"/>
    <w:rsid w:val="00D90B8E"/>
    <w:rsid w:val="00D91337"/>
    <w:rsid w:val="00D91402"/>
    <w:rsid w:val="00D91604"/>
    <w:rsid w:val="00D91C87"/>
    <w:rsid w:val="00D92E74"/>
    <w:rsid w:val="00D93245"/>
    <w:rsid w:val="00D9346A"/>
    <w:rsid w:val="00D93DE4"/>
    <w:rsid w:val="00D94A94"/>
    <w:rsid w:val="00D94CBE"/>
    <w:rsid w:val="00D9594F"/>
    <w:rsid w:val="00D95B06"/>
    <w:rsid w:val="00D96898"/>
    <w:rsid w:val="00D96A14"/>
    <w:rsid w:val="00D972CD"/>
    <w:rsid w:val="00D97AB4"/>
    <w:rsid w:val="00D97DA7"/>
    <w:rsid w:val="00DA051E"/>
    <w:rsid w:val="00DA2B75"/>
    <w:rsid w:val="00DA2C09"/>
    <w:rsid w:val="00DA347E"/>
    <w:rsid w:val="00DA3C6B"/>
    <w:rsid w:val="00DA3E5A"/>
    <w:rsid w:val="00DA3FEA"/>
    <w:rsid w:val="00DA4847"/>
    <w:rsid w:val="00DA4B01"/>
    <w:rsid w:val="00DA5B39"/>
    <w:rsid w:val="00DA7199"/>
    <w:rsid w:val="00DA7794"/>
    <w:rsid w:val="00DA794D"/>
    <w:rsid w:val="00DB07BF"/>
    <w:rsid w:val="00DB18F9"/>
    <w:rsid w:val="00DB1FCD"/>
    <w:rsid w:val="00DB201B"/>
    <w:rsid w:val="00DB2EF5"/>
    <w:rsid w:val="00DB6169"/>
    <w:rsid w:val="00DB62B7"/>
    <w:rsid w:val="00DB6C7E"/>
    <w:rsid w:val="00DC01C3"/>
    <w:rsid w:val="00DC06DF"/>
    <w:rsid w:val="00DC0B04"/>
    <w:rsid w:val="00DC1005"/>
    <w:rsid w:val="00DC262C"/>
    <w:rsid w:val="00DC2DC4"/>
    <w:rsid w:val="00DC3D25"/>
    <w:rsid w:val="00DC4B4D"/>
    <w:rsid w:val="00DC4FD4"/>
    <w:rsid w:val="00DC58B4"/>
    <w:rsid w:val="00DC5D7A"/>
    <w:rsid w:val="00DC5F21"/>
    <w:rsid w:val="00DC6174"/>
    <w:rsid w:val="00DC6954"/>
    <w:rsid w:val="00DC6E87"/>
    <w:rsid w:val="00DC72ED"/>
    <w:rsid w:val="00DC7506"/>
    <w:rsid w:val="00DC78FE"/>
    <w:rsid w:val="00DC7B98"/>
    <w:rsid w:val="00DC7CE2"/>
    <w:rsid w:val="00DD035E"/>
    <w:rsid w:val="00DD1C92"/>
    <w:rsid w:val="00DD2299"/>
    <w:rsid w:val="00DD27F7"/>
    <w:rsid w:val="00DD2879"/>
    <w:rsid w:val="00DD461A"/>
    <w:rsid w:val="00DD5409"/>
    <w:rsid w:val="00DD5541"/>
    <w:rsid w:val="00DD5802"/>
    <w:rsid w:val="00DD58FD"/>
    <w:rsid w:val="00DD6224"/>
    <w:rsid w:val="00DD6697"/>
    <w:rsid w:val="00DD75E5"/>
    <w:rsid w:val="00DD7777"/>
    <w:rsid w:val="00DD7963"/>
    <w:rsid w:val="00DD7C3A"/>
    <w:rsid w:val="00DE04DD"/>
    <w:rsid w:val="00DE0737"/>
    <w:rsid w:val="00DE1E03"/>
    <w:rsid w:val="00DE252A"/>
    <w:rsid w:val="00DE2B31"/>
    <w:rsid w:val="00DE2E32"/>
    <w:rsid w:val="00DE2FBC"/>
    <w:rsid w:val="00DE3BD7"/>
    <w:rsid w:val="00DE46D6"/>
    <w:rsid w:val="00DE471A"/>
    <w:rsid w:val="00DE49C0"/>
    <w:rsid w:val="00DE5402"/>
    <w:rsid w:val="00DE5AC9"/>
    <w:rsid w:val="00DE6008"/>
    <w:rsid w:val="00DE7564"/>
    <w:rsid w:val="00DE7AB3"/>
    <w:rsid w:val="00DE7F24"/>
    <w:rsid w:val="00DF0036"/>
    <w:rsid w:val="00DF013F"/>
    <w:rsid w:val="00DF0724"/>
    <w:rsid w:val="00DF0A5C"/>
    <w:rsid w:val="00DF1C9D"/>
    <w:rsid w:val="00DF27B8"/>
    <w:rsid w:val="00DF3367"/>
    <w:rsid w:val="00DF37DB"/>
    <w:rsid w:val="00DF4709"/>
    <w:rsid w:val="00DF496D"/>
    <w:rsid w:val="00DF51A6"/>
    <w:rsid w:val="00DF5A21"/>
    <w:rsid w:val="00DF5DEB"/>
    <w:rsid w:val="00DF629C"/>
    <w:rsid w:val="00DF656E"/>
    <w:rsid w:val="00DF65E6"/>
    <w:rsid w:val="00DF6954"/>
    <w:rsid w:val="00DF7501"/>
    <w:rsid w:val="00DF788A"/>
    <w:rsid w:val="00DF7F9E"/>
    <w:rsid w:val="00E007D4"/>
    <w:rsid w:val="00E0081B"/>
    <w:rsid w:val="00E00C62"/>
    <w:rsid w:val="00E00EAD"/>
    <w:rsid w:val="00E01BE5"/>
    <w:rsid w:val="00E01FDB"/>
    <w:rsid w:val="00E021DF"/>
    <w:rsid w:val="00E025B8"/>
    <w:rsid w:val="00E0271D"/>
    <w:rsid w:val="00E03674"/>
    <w:rsid w:val="00E036B1"/>
    <w:rsid w:val="00E03987"/>
    <w:rsid w:val="00E04231"/>
    <w:rsid w:val="00E0486D"/>
    <w:rsid w:val="00E04B15"/>
    <w:rsid w:val="00E04E89"/>
    <w:rsid w:val="00E05419"/>
    <w:rsid w:val="00E05C7D"/>
    <w:rsid w:val="00E05EB1"/>
    <w:rsid w:val="00E05F59"/>
    <w:rsid w:val="00E05FB9"/>
    <w:rsid w:val="00E064FC"/>
    <w:rsid w:val="00E06FBA"/>
    <w:rsid w:val="00E07261"/>
    <w:rsid w:val="00E10031"/>
    <w:rsid w:val="00E10CDB"/>
    <w:rsid w:val="00E12301"/>
    <w:rsid w:val="00E12B86"/>
    <w:rsid w:val="00E13201"/>
    <w:rsid w:val="00E13CEA"/>
    <w:rsid w:val="00E141DC"/>
    <w:rsid w:val="00E14272"/>
    <w:rsid w:val="00E145D0"/>
    <w:rsid w:val="00E15EA1"/>
    <w:rsid w:val="00E16C75"/>
    <w:rsid w:val="00E16CC8"/>
    <w:rsid w:val="00E17243"/>
    <w:rsid w:val="00E20E9B"/>
    <w:rsid w:val="00E21838"/>
    <w:rsid w:val="00E218E7"/>
    <w:rsid w:val="00E21C8C"/>
    <w:rsid w:val="00E22360"/>
    <w:rsid w:val="00E22707"/>
    <w:rsid w:val="00E22FF7"/>
    <w:rsid w:val="00E23209"/>
    <w:rsid w:val="00E23BB7"/>
    <w:rsid w:val="00E243E3"/>
    <w:rsid w:val="00E25274"/>
    <w:rsid w:val="00E255A1"/>
    <w:rsid w:val="00E2573D"/>
    <w:rsid w:val="00E2585D"/>
    <w:rsid w:val="00E260DF"/>
    <w:rsid w:val="00E266C1"/>
    <w:rsid w:val="00E2680E"/>
    <w:rsid w:val="00E26E0C"/>
    <w:rsid w:val="00E273F2"/>
    <w:rsid w:val="00E27BCA"/>
    <w:rsid w:val="00E302B8"/>
    <w:rsid w:val="00E31689"/>
    <w:rsid w:val="00E31E5A"/>
    <w:rsid w:val="00E32C01"/>
    <w:rsid w:val="00E33830"/>
    <w:rsid w:val="00E338C6"/>
    <w:rsid w:val="00E33FA7"/>
    <w:rsid w:val="00E34097"/>
    <w:rsid w:val="00E34E03"/>
    <w:rsid w:val="00E34EFC"/>
    <w:rsid w:val="00E3652E"/>
    <w:rsid w:val="00E36AE9"/>
    <w:rsid w:val="00E375EE"/>
    <w:rsid w:val="00E40018"/>
    <w:rsid w:val="00E40854"/>
    <w:rsid w:val="00E40F9B"/>
    <w:rsid w:val="00E412C8"/>
    <w:rsid w:val="00E41345"/>
    <w:rsid w:val="00E415C5"/>
    <w:rsid w:val="00E41DAE"/>
    <w:rsid w:val="00E41F14"/>
    <w:rsid w:val="00E42464"/>
    <w:rsid w:val="00E42CB1"/>
    <w:rsid w:val="00E4335C"/>
    <w:rsid w:val="00E438FE"/>
    <w:rsid w:val="00E4428D"/>
    <w:rsid w:val="00E443A7"/>
    <w:rsid w:val="00E44C29"/>
    <w:rsid w:val="00E45397"/>
    <w:rsid w:val="00E4665F"/>
    <w:rsid w:val="00E469AC"/>
    <w:rsid w:val="00E46A40"/>
    <w:rsid w:val="00E46C3A"/>
    <w:rsid w:val="00E47ACF"/>
    <w:rsid w:val="00E47BC7"/>
    <w:rsid w:val="00E47FDD"/>
    <w:rsid w:val="00E509F5"/>
    <w:rsid w:val="00E5134F"/>
    <w:rsid w:val="00E522D2"/>
    <w:rsid w:val="00E52F35"/>
    <w:rsid w:val="00E538F0"/>
    <w:rsid w:val="00E53E02"/>
    <w:rsid w:val="00E5492C"/>
    <w:rsid w:val="00E549E2"/>
    <w:rsid w:val="00E54B68"/>
    <w:rsid w:val="00E54ED0"/>
    <w:rsid w:val="00E55021"/>
    <w:rsid w:val="00E5535D"/>
    <w:rsid w:val="00E55595"/>
    <w:rsid w:val="00E57269"/>
    <w:rsid w:val="00E5737B"/>
    <w:rsid w:val="00E57895"/>
    <w:rsid w:val="00E57E8B"/>
    <w:rsid w:val="00E57F13"/>
    <w:rsid w:val="00E60082"/>
    <w:rsid w:val="00E6065B"/>
    <w:rsid w:val="00E606C0"/>
    <w:rsid w:val="00E626BD"/>
    <w:rsid w:val="00E627A0"/>
    <w:rsid w:val="00E62C4D"/>
    <w:rsid w:val="00E63754"/>
    <w:rsid w:val="00E63CAE"/>
    <w:rsid w:val="00E63F61"/>
    <w:rsid w:val="00E64B69"/>
    <w:rsid w:val="00E64CDF"/>
    <w:rsid w:val="00E65092"/>
    <w:rsid w:val="00E650F6"/>
    <w:rsid w:val="00E66555"/>
    <w:rsid w:val="00E66A5E"/>
    <w:rsid w:val="00E702B9"/>
    <w:rsid w:val="00E7048B"/>
    <w:rsid w:val="00E73DE4"/>
    <w:rsid w:val="00E743CA"/>
    <w:rsid w:val="00E7534B"/>
    <w:rsid w:val="00E7587D"/>
    <w:rsid w:val="00E75984"/>
    <w:rsid w:val="00E7653E"/>
    <w:rsid w:val="00E766EF"/>
    <w:rsid w:val="00E7677E"/>
    <w:rsid w:val="00E77401"/>
    <w:rsid w:val="00E804EF"/>
    <w:rsid w:val="00E80FAC"/>
    <w:rsid w:val="00E8115E"/>
    <w:rsid w:val="00E83171"/>
    <w:rsid w:val="00E836DD"/>
    <w:rsid w:val="00E83822"/>
    <w:rsid w:val="00E8400B"/>
    <w:rsid w:val="00E84422"/>
    <w:rsid w:val="00E8461C"/>
    <w:rsid w:val="00E84665"/>
    <w:rsid w:val="00E84BD1"/>
    <w:rsid w:val="00E84C47"/>
    <w:rsid w:val="00E84CC7"/>
    <w:rsid w:val="00E8515A"/>
    <w:rsid w:val="00E8564D"/>
    <w:rsid w:val="00E85DC4"/>
    <w:rsid w:val="00E85E42"/>
    <w:rsid w:val="00E86265"/>
    <w:rsid w:val="00E86E77"/>
    <w:rsid w:val="00E87AD5"/>
    <w:rsid w:val="00E87F02"/>
    <w:rsid w:val="00E90634"/>
    <w:rsid w:val="00E9076C"/>
    <w:rsid w:val="00E907C3"/>
    <w:rsid w:val="00E91F70"/>
    <w:rsid w:val="00E92494"/>
    <w:rsid w:val="00E9272A"/>
    <w:rsid w:val="00E93005"/>
    <w:rsid w:val="00E93F50"/>
    <w:rsid w:val="00E9483C"/>
    <w:rsid w:val="00E94FED"/>
    <w:rsid w:val="00E9524B"/>
    <w:rsid w:val="00E952A1"/>
    <w:rsid w:val="00E95A26"/>
    <w:rsid w:val="00E95F0D"/>
    <w:rsid w:val="00E963B3"/>
    <w:rsid w:val="00E96439"/>
    <w:rsid w:val="00E96680"/>
    <w:rsid w:val="00E966E3"/>
    <w:rsid w:val="00E967EF"/>
    <w:rsid w:val="00E968B2"/>
    <w:rsid w:val="00E96FC9"/>
    <w:rsid w:val="00E96FCC"/>
    <w:rsid w:val="00E97D15"/>
    <w:rsid w:val="00EA0062"/>
    <w:rsid w:val="00EA1084"/>
    <w:rsid w:val="00EA10B5"/>
    <w:rsid w:val="00EA12AE"/>
    <w:rsid w:val="00EA18CF"/>
    <w:rsid w:val="00EA1B47"/>
    <w:rsid w:val="00EA1C91"/>
    <w:rsid w:val="00EA2836"/>
    <w:rsid w:val="00EA29E8"/>
    <w:rsid w:val="00EA3580"/>
    <w:rsid w:val="00EA48C0"/>
    <w:rsid w:val="00EA4B71"/>
    <w:rsid w:val="00EA4EBA"/>
    <w:rsid w:val="00EA6567"/>
    <w:rsid w:val="00EA6FA7"/>
    <w:rsid w:val="00EA79E3"/>
    <w:rsid w:val="00EB11D0"/>
    <w:rsid w:val="00EB1469"/>
    <w:rsid w:val="00EB24BD"/>
    <w:rsid w:val="00EB3BF0"/>
    <w:rsid w:val="00EB40AE"/>
    <w:rsid w:val="00EB4745"/>
    <w:rsid w:val="00EB51CF"/>
    <w:rsid w:val="00EB5BBA"/>
    <w:rsid w:val="00EB5D51"/>
    <w:rsid w:val="00EB69E0"/>
    <w:rsid w:val="00EB6AA7"/>
    <w:rsid w:val="00EB7280"/>
    <w:rsid w:val="00EC0156"/>
    <w:rsid w:val="00EC062A"/>
    <w:rsid w:val="00EC0C56"/>
    <w:rsid w:val="00EC1729"/>
    <w:rsid w:val="00EC18D0"/>
    <w:rsid w:val="00EC1DB3"/>
    <w:rsid w:val="00EC220F"/>
    <w:rsid w:val="00EC2359"/>
    <w:rsid w:val="00EC29B2"/>
    <w:rsid w:val="00EC41C4"/>
    <w:rsid w:val="00EC4367"/>
    <w:rsid w:val="00EC4AB0"/>
    <w:rsid w:val="00EC4BCB"/>
    <w:rsid w:val="00EC5436"/>
    <w:rsid w:val="00EC56D6"/>
    <w:rsid w:val="00EC5EF0"/>
    <w:rsid w:val="00EC6E45"/>
    <w:rsid w:val="00EC7841"/>
    <w:rsid w:val="00ED0142"/>
    <w:rsid w:val="00ED1ED0"/>
    <w:rsid w:val="00ED2419"/>
    <w:rsid w:val="00ED250C"/>
    <w:rsid w:val="00ED379C"/>
    <w:rsid w:val="00ED39F4"/>
    <w:rsid w:val="00ED3C7F"/>
    <w:rsid w:val="00ED4170"/>
    <w:rsid w:val="00ED46F3"/>
    <w:rsid w:val="00ED4782"/>
    <w:rsid w:val="00ED4BC5"/>
    <w:rsid w:val="00ED55B9"/>
    <w:rsid w:val="00ED6549"/>
    <w:rsid w:val="00ED7413"/>
    <w:rsid w:val="00ED76C6"/>
    <w:rsid w:val="00ED785A"/>
    <w:rsid w:val="00ED7D8E"/>
    <w:rsid w:val="00ED7F27"/>
    <w:rsid w:val="00EE1811"/>
    <w:rsid w:val="00EE1C79"/>
    <w:rsid w:val="00EE3C86"/>
    <w:rsid w:val="00EE43A5"/>
    <w:rsid w:val="00EE5576"/>
    <w:rsid w:val="00EE7916"/>
    <w:rsid w:val="00EE7A1F"/>
    <w:rsid w:val="00EE7F74"/>
    <w:rsid w:val="00EF1579"/>
    <w:rsid w:val="00EF1B25"/>
    <w:rsid w:val="00EF25C0"/>
    <w:rsid w:val="00EF2643"/>
    <w:rsid w:val="00EF311A"/>
    <w:rsid w:val="00EF41B6"/>
    <w:rsid w:val="00EF4804"/>
    <w:rsid w:val="00EF4C71"/>
    <w:rsid w:val="00EF5682"/>
    <w:rsid w:val="00EF56AC"/>
    <w:rsid w:val="00EF5EF6"/>
    <w:rsid w:val="00EF67D7"/>
    <w:rsid w:val="00EF70EB"/>
    <w:rsid w:val="00EF77F3"/>
    <w:rsid w:val="00F0024E"/>
    <w:rsid w:val="00F010DC"/>
    <w:rsid w:val="00F014A8"/>
    <w:rsid w:val="00F014D9"/>
    <w:rsid w:val="00F01CEA"/>
    <w:rsid w:val="00F0229C"/>
    <w:rsid w:val="00F02B83"/>
    <w:rsid w:val="00F02BCC"/>
    <w:rsid w:val="00F036EF"/>
    <w:rsid w:val="00F041B3"/>
    <w:rsid w:val="00F0425C"/>
    <w:rsid w:val="00F04BBF"/>
    <w:rsid w:val="00F04F31"/>
    <w:rsid w:val="00F05A99"/>
    <w:rsid w:val="00F05B65"/>
    <w:rsid w:val="00F060D8"/>
    <w:rsid w:val="00F065C0"/>
    <w:rsid w:val="00F0675A"/>
    <w:rsid w:val="00F06856"/>
    <w:rsid w:val="00F07004"/>
    <w:rsid w:val="00F07413"/>
    <w:rsid w:val="00F07424"/>
    <w:rsid w:val="00F07803"/>
    <w:rsid w:val="00F079B7"/>
    <w:rsid w:val="00F1007B"/>
    <w:rsid w:val="00F10C02"/>
    <w:rsid w:val="00F10EEE"/>
    <w:rsid w:val="00F11061"/>
    <w:rsid w:val="00F12A1E"/>
    <w:rsid w:val="00F12BDF"/>
    <w:rsid w:val="00F12F85"/>
    <w:rsid w:val="00F131F4"/>
    <w:rsid w:val="00F13537"/>
    <w:rsid w:val="00F137DB"/>
    <w:rsid w:val="00F138A7"/>
    <w:rsid w:val="00F142D8"/>
    <w:rsid w:val="00F147F9"/>
    <w:rsid w:val="00F15286"/>
    <w:rsid w:val="00F15547"/>
    <w:rsid w:val="00F15724"/>
    <w:rsid w:val="00F15736"/>
    <w:rsid w:val="00F15A5B"/>
    <w:rsid w:val="00F161B4"/>
    <w:rsid w:val="00F167D4"/>
    <w:rsid w:val="00F167EB"/>
    <w:rsid w:val="00F16A42"/>
    <w:rsid w:val="00F16CE9"/>
    <w:rsid w:val="00F16E62"/>
    <w:rsid w:val="00F175F4"/>
    <w:rsid w:val="00F177E3"/>
    <w:rsid w:val="00F202E5"/>
    <w:rsid w:val="00F2043B"/>
    <w:rsid w:val="00F209C4"/>
    <w:rsid w:val="00F20CC9"/>
    <w:rsid w:val="00F2234E"/>
    <w:rsid w:val="00F22483"/>
    <w:rsid w:val="00F22901"/>
    <w:rsid w:val="00F22A54"/>
    <w:rsid w:val="00F23034"/>
    <w:rsid w:val="00F24356"/>
    <w:rsid w:val="00F248A4"/>
    <w:rsid w:val="00F24B34"/>
    <w:rsid w:val="00F24C8A"/>
    <w:rsid w:val="00F25509"/>
    <w:rsid w:val="00F25E7F"/>
    <w:rsid w:val="00F25EDD"/>
    <w:rsid w:val="00F2680A"/>
    <w:rsid w:val="00F272E7"/>
    <w:rsid w:val="00F275C3"/>
    <w:rsid w:val="00F27BAE"/>
    <w:rsid w:val="00F30CD6"/>
    <w:rsid w:val="00F30D81"/>
    <w:rsid w:val="00F312BE"/>
    <w:rsid w:val="00F313CD"/>
    <w:rsid w:val="00F32049"/>
    <w:rsid w:val="00F3241F"/>
    <w:rsid w:val="00F32598"/>
    <w:rsid w:val="00F32B4B"/>
    <w:rsid w:val="00F332CF"/>
    <w:rsid w:val="00F35970"/>
    <w:rsid w:val="00F36606"/>
    <w:rsid w:val="00F3684A"/>
    <w:rsid w:val="00F36922"/>
    <w:rsid w:val="00F36ED1"/>
    <w:rsid w:val="00F37525"/>
    <w:rsid w:val="00F377D2"/>
    <w:rsid w:val="00F378C1"/>
    <w:rsid w:val="00F404B6"/>
    <w:rsid w:val="00F4071A"/>
    <w:rsid w:val="00F408A7"/>
    <w:rsid w:val="00F409F0"/>
    <w:rsid w:val="00F41718"/>
    <w:rsid w:val="00F41BBE"/>
    <w:rsid w:val="00F41F29"/>
    <w:rsid w:val="00F43367"/>
    <w:rsid w:val="00F43B25"/>
    <w:rsid w:val="00F43DB2"/>
    <w:rsid w:val="00F4477B"/>
    <w:rsid w:val="00F44796"/>
    <w:rsid w:val="00F4523D"/>
    <w:rsid w:val="00F474C7"/>
    <w:rsid w:val="00F50C10"/>
    <w:rsid w:val="00F52540"/>
    <w:rsid w:val="00F52A43"/>
    <w:rsid w:val="00F52C7E"/>
    <w:rsid w:val="00F53712"/>
    <w:rsid w:val="00F53844"/>
    <w:rsid w:val="00F551A2"/>
    <w:rsid w:val="00F5537D"/>
    <w:rsid w:val="00F55602"/>
    <w:rsid w:val="00F55841"/>
    <w:rsid w:val="00F55C05"/>
    <w:rsid w:val="00F55D1D"/>
    <w:rsid w:val="00F5729E"/>
    <w:rsid w:val="00F576D7"/>
    <w:rsid w:val="00F61204"/>
    <w:rsid w:val="00F622E2"/>
    <w:rsid w:val="00F623DF"/>
    <w:rsid w:val="00F62D19"/>
    <w:rsid w:val="00F6311D"/>
    <w:rsid w:val="00F639D9"/>
    <w:rsid w:val="00F63B9D"/>
    <w:rsid w:val="00F64418"/>
    <w:rsid w:val="00F64FAE"/>
    <w:rsid w:val="00F65630"/>
    <w:rsid w:val="00F65F60"/>
    <w:rsid w:val="00F67F35"/>
    <w:rsid w:val="00F7068C"/>
    <w:rsid w:val="00F7077A"/>
    <w:rsid w:val="00F71C4D"/>
    <w:rsid w:val="00F72200"/>
    <w:rsid w:val="00F726F8"/>
    <w:rsid w:val="00F729CA"/>
    <w:rsid w:val="00F73313"/>
    <w:rsid w:val="00F73E55"/>
    <w:rsid w:val="00F74D7B"/>
    <w:rsid w:val="00F755DA"/>
    <w:rsid w:val="00F7662E"/>
    <w:rsid w:val="00F7694D"/>
    <w:rsid w:val="00F773F4"/>
    <w:rsid w:val="00F7788A"/>
    <w:rsid w:val="00F77982"/>
    <w:rsid w:val="00F80010"/>
    <w:rsid w:val="00F805B1"/>
    <w:rsid w:val="00F805EB"/>
    <w:rsid w:val="00F80706"/>
    <w:rsid w:val="00F80A25"/>
    <w:rsid w:val="00F81167"/>
    <w:rsid w:val="00F814EE"/>
    <w:rsid w:val="00F8156C"/>
    <w:rsid w:val="00F82F0A"/>
    <w:rsid w:val="00F82F95"/>
    <w:rsid w:val="00F834F2"/>
    <w:rsid w:val="00F8487F"/>
    <w:rsid w:val="00F84B60"/>
    <w:rsid w:val="00F86AFF"/>
    <w:rsid w:val="00F9099C"/>
    <w:rsid w:val="00F91647"/>
    <w:rsid w:val="00F917C5"/>
    <w:rsid w:val="00F91C7B"/>
    <w:rsid w:val="00F9223A"/>
    <w:rsid w:val="00F93027"/>
    <w:rsid w:val="00F930B0"/>
    <w:rsid w:val="00F93392"/>
    <w:rsid w:val="00F938FD"/>
    <w:rsid w:val="00F9451F"/>
    <w:rsid w:val="00F94761"/>
    <w:rsid w:val="00F95722"/>
    <w:rsid w:val="00F95A92"/>
    <w:rsid w:val="00F96106"/>
    <w:rsid w:val="00F96208"/>
    <w:rsid w:val="00F9654A"/>
    <w:rsid w:val="00F97813"/>
    <w:rsid w:val="00F979DB"/>
    <w:rsid w:val="00FA0275"/>
    <w:rsid w:val="00FA070C"/>
    <w:rsid w:val="00FA0BD6"/>
    <w:rsid w:val="00FA1938"/>
    <w:rsid w:val="00FA1E4A"/>
    <w:rsid w:val="00FA1F96"/>
    <w:rsid w:val="00FA2193"/>
    <w:rsid w:val="00FA233F"/>
    <w:rsid w:val="00FA24F7"/>
    <w:rsid w:val="00FA26DE"/>
    <w:rsid w:val="00FA2770"/>
    <w:rsid w:val="00FA2993"/>
    <w:rsid w:val="00FA310C"/>
    <w:rsid w:val="00FA3DA8"/>
    <w:rsid w:val="00FA4180"/>
    <w:rsid w:val="00FA4CE4"/>
    <w:rsid w:val="00FA4F12"/>
    <w:rsid w:val="00FA5778"/>
    <w:rsid w:val="00FA5D6D"/>
    <w:rsid w:val="00FA644F"/>
    <w:rsid w:val="00FA6C37"/>
    <w:rsid w:val="00FA7718"/>
    <w:rsid w:val="00FA7A9E"/>
    <w:rsid w:val="00FA7F32"/>
    <w:rsid w:val="00FB0144"/>
    <w:rsid w:val="00FB0722"/>
    <w:rsid w:val="00FB07FA"/>
    <w:rsid w:val="00FB0849"/>
    <w:rsid w:val="00FB15E4"/>
    <w:rsid w:val="00FB4102"/>
    <w:rsid w:val="00FB434F"/>
    <w:rsid w:val="00FB4C38"/>
    <w:rsid w:val="00FB5A2F"/>
    <w:rsid w:val="00FB5BAE"/>
    <w:rsid w:val="00FB5F96"/>
    <w:rsid w:val="00FB65AC"/>
    <w:rsid w:val="00FB7292"/>
    <w:rsid w:val="00FB777F"/>
    <w:rsid w:val="00FB7AD3"/>
    <w:rsid w:val="00FB7B78"/>
    <w:rsid w:val="00FC04DD"/>
    <w:rsid w:val="00FC0F44"/>
    <w:rsid w:val="00FC1306"/>
    <w:rsid w:val="00FC14C8"/>
    <w:rsid w:val="00FC196D"/>
    <w:rsid w:val="00FC3DEB"/>
    <w:rsid w:val="00FC45C9"/>
    <w:rsid w:val="00FC4BD9"/>
    <w:rsid w:val="00FC4D9A"/>
    <w:rsid w:val="00FC50D2"/>
    <w:rsid w:val="00FC51E6"/>
    <w:rsid w:val="00FC5243"/>
    <w:rsid w:val="00FC620D"/>
    <w:rsid w:val="00FC695B"/>
    <w:rsid w:val="00FC71E8"/>
    <w:rsid w:val="00FC7A0F"/>
    <w:rsid w:val="00FC7C68"/>
    <w:rsid w:val="00FD0540"/>
    <w:rsid w:val="00FD1756"/>
    <w:rsid w:val="00FD1C3A"/>
    <w:rsid w:val="00FD2521"/>
    <w:rsid w:val="00FD2638"/>
    <w:rsid w:val="00FD2B91"/>
    <w:rsid w:val="00FD3884"/>
    <w:rsid w:val="00FD4641"/>
    <w:rsid w:val="00FD4FB3"/>
    <w:rsid w:val="00FD526B"/>
    <w:rsid w:val="00FD5428"/>
    <w:rsid w:val="00FD543A"/>
    <w:rsid w:val="00FD550C"/>
    <w:rsid w:val="00FD5776"/>
    <w:rsid w:val="00FD5BAE"/>
    <w:rsid w:val="00FD5BB3"/>
    <w:rsid w:val="00FD5D66"/>
    <w:rsid w:val="00FD78FA"/>
    <w:rsid w:val="00FE0554"/>
    <w:rsid w:val="00FE088A"/>
    <w:rsid w:val="00FE0C89"/>
    <w:rsid w:val="00FE0CD8"/>
    <w:rsid w:val="00FE10D3"/>
    <w:rsid w:val="00FE125E"/>
    <w:rsid w:val="00FE2807"/>
    <w:rsid w:val="00FE300E"/>
    <w:rsid w:val="00FE3446"/>
    <w:rsid w:val="00FE361E"/>
    <w:rsid w:val="00FE36D8"/>
    <w:rsid w:val="00FE3A77"/>
    <w:rsid w:val="00FE3EFA"/>
    <w:rsid w:val="00FE4072"/>
    <w:rsid w:val="00FE4AD9"/>
    <w:rsid w:val="00FE4DEE"/>
    <w:rsid w:val="00FE6196"/>
    <w:rsid w:val="00FE7413"/>
    <w:rsid w:val="00FE7892"/>
    <w:rsid w:val="00FE7B1B"/>
    <w:rsid w:val="00FE7FB4"/>
    <w:rsid w:val="00FF04CF"/>
    <w:rsid w:val="00FF0555"/>
    <w:rsid w:val="00FF0C25"/>
    <w:rsid w:val="00FF0EB4"/>
    <w:rsid w:val="00FF1289"/>
    <w:rsid w:val="00FF15CA"/>
    <w:rsid w:val="00FF1A68"/>
    <w:rsid w:val="00FF1EFE"/>
    <w:rsid w:val="00FF1FBB"/>
    <w:rsid w:val="00FF25BB"/>
    <w:rsid w:val="00FF3422"/>
    <w:rsid w:val="00FF3E78"/>
    <w:rsid w:val="00FF4CF7"/>
    <w:rsid w:val="00FF4F7F"/>
    <w:rsid w:val="00FF5785"/>
    <w:rsid w:val="00FF66C1"/>
    <w:rsid w:val="00FF6750"/>
    <w:rsid w:val="00FF69FA"/>
    <w:rsid w:val="00FF6B2C"/>
    <w:rsid w:val="00FF7674"/>
    <w:rsid w:val="00FF78EF"/>
    <w:rsid w:val="00FF7E71"/>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66F02"/>
  <w15:docId w15:val="{5EC23938-937C-4696-B7C4-115644BA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96B"/>
    <w:pPr>
      <w:widowControl w:val="0"/>
    </w:pPr>
  </w:style>
  <w:style w:type="paragraph" w:styleId="Heading1">
    <w:name w:val="heading 1"/>
    <w:basedOn w:val="Normal"/>
    <w:next w:val="Normal"/>
    <w:link w:val="Heading1Char"/>
    <w:qFormat/>
    <w:rsid w:val="0066549D"/>
    <w:pPr>
      <w:widowControl/>
      <w:numPr>
        <w:numId w:val="1"/>
      </w:numPr>
      <w:spacing w:line="360" w:lineRule="auto"/>
      <w:ind w:left="720"/>
      <w:jc w:val="center"/>
      <w:outlineLvl w:val="0"/>
    </w:pPr>
    <w:rPr>
      <w:b/>
      <w:sz w:val="26"/>
    </w:rPr>
  </w:style>
  <w:style w:type="paragraph" w:styleId="Heading2">
    <w:name w:val="heading 2"/>
    <w:basedOn w:val="Normal"/>
    <w:next w:val="Normal"/>
    <w:link w:val="Heading2Char"/>
    <w:unhideWhenUsed/>
    <w:qFormat/>
    <w:rsid w:val="00AF33E5"/>
    <w:pPr>
      <w:keepNext/>
      <w:keepLines/>
      <w:numPr>
        <w:numId w:val="2"/>
      </w:numPr>
      <w:spacing w:line="360" w:lineRule="auto"/>
      <w:outlineLvl w:val="1"/>
    </w:pPr>
    <w:rPr>
      <w:rFonts w:eastAsiaTheme="majorEastAsia"/>
      <w:b/>
      <w:bCs/>
      <w:sz w:val="26"/>
      <w:szCs w:val="26"/>
    </w:rPr>
  </w:style>
  <w:style w:type="paragraph" w:styleId="Heading3">
    <w:name w:val="heading 3"/>
    <w:basedOn w:val="ListParagraph"/>
    <w:next w:val="Normal"/>
    <w:link w:val="Heading3Char"/>
    <w:unhideWhenUsed/>
    <w:qFormat/>
    <w:rsid w:val="003B7389"/>
    <w:pPr>
      <w:widowControl/>
      <w:numPr>
        <w:numId w:val="3"/>
      </w:numPr>
      <w:spacing w:line="360" w:lineRule="auto"/>
      <w:outlineLvl w:val="2"/>
    </w:pPr>
    <w:rPr>
      <w:b/>
      <w:bCs/>
      <w:sz w:val="26"/>
      <w:szCs w:val="26"/>
    </w:rPr>
  </w:style>
  <w:style w:type="paragraph" w:styleId="Heading4">
    <w:name w:val="heading 4"/>
    <w:basedOn w:val="Normal"/>
    <w:next w:val="Normal"/>
    <w:link w:val="Heading4Char"/>
    <w:unhideWhenUsed/>
    <w:qFormat/>
    <w:rsid w:val="003B7389"/>
    <w:pPr>
      <w:keepNext/>
      <w:keepLines/>
      <w:numPr>
        <w:numId w:val="5"/>
      </w:numPr>
      <w:spacing w:line="360" w:lineRule="auto"/>
      <w:outlineLvl w:val="3"/>
    </w:pPr>
    <w:rPr>
      <w:rFonts w:eastAsiaTheme="majorEastAsia"/>
      <w:b/>
      <w:bCs/>
      <w:color w:val="000000" w:themeColor="text1"/>
      <w:sz w:val="26"/>
      <w:szCs w:val="26"/>
    </w:rPr>
  </w:style>
  <w:style w:type="paragraph" w:styleId="Heading5">
    <w:name w:val="heading 5"/>
    <w:basedOn w:val="Heading4"/>
    <w:next w:val="Normal"/>
    <w:link w:val="Heading5Char"/>
    <w:qFormat/>
    <w:rsid w:val="00F2680A"/>
    <w:pPr>
      <w:numPr>
        <w:numId w:val="0"/>
      </w:numPr>
      <w:ind w:left="2880" w:hanging="720"/>
      <w:outlineLvl w:val="4"/>
    </w:pPr>
  </w:style>
  <w:style w:type="paragraph" w:styleId="Heading6">
    <w:name w:val="heading 6"/>
    <w:basedOn w:val="Normal"/>
    <w:next w:val="Normal"/>
    <w:link w:val="Heading6Char"/>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49D"/>
    <w:rPr>
      <w:b/>
      <w:sz w:val="26"/>
    </w:rPr>
  </w:style>
  <w:style w:type="character" w:customStyle="1" w:styleId="Heading2Char">
    <w:name w:val="Heading 2 Char"/>
    <w:basedOn w:val="DefaultParagraphFont"/>
    <w:link w:val="Heading2"/>
    <w:rsid w:val="00AF33E5"/>
    <w:rPr>
      <w:rFonts w:eastAsiaTheme="majorEastAsia"/>
      <w:b/>
      <w:bCs/>
      <w:sz w:val="26"/>
      <w:szCs w:val="26"/>
    </w:rPr>
  </w:style>
  <w:style w:type="paragraph" w:styleId="ListParagraph">
    <w:name w:val="List Paragraph"/>
    <w:basedOn w:val="Normal"/>
    <w:uiPriority w:val="34"/>
    <w:qFormat/>
    <w:rsid w:val="00130A7A"/>
    <w:pPr>
      <w:ind w:left="720"/>
      <w:contextualSpacing/>
    </w:pPr>
  </w:style>
  <w:style w:type="character" w:customStyle="1" w:styleId="Heading3Char">
    <w:name w:val="Heading 3 Char"/>
    <w:basedOn w:val="DefaultParagraphFont"/>
    <w:link w:val="Heading3"/>
    <w:rsid w:val="003B7389"/>
    <w:rPr>
      <w:b/>
      <w:bCs/>
      <w:sz w:val="26"/>
      <w:szCs w:val="26"/>
    </w:rPr>
  </w:style>
  <w:style w:type="character" w:customStyle="1" w:styleId="Heading4Char">
    <w:name w:val="Heading 4 Char"/>
    <w:basedOn w:val="DefaultParagraphFont"/>
    <w:link w:val="Heading4"/>
    <w:rsid w:val="003B7389"/>
    <w:rPr>
      <w:rFonts w:eastAsiaTheme="majorEastAsia"/>
      <w:b/>
      <w:bCs/>
      <w:color w:val="000000" w:themeColor="text1"/>
      <w:sz w:val="26"/>
      <w:szCs w:val="26"/>
    </w:rPr>
  </w:style>
  <w:style w:type="character" w:customStyle="1" w:styleId="Heading5Char">
    <w:name w:val="Heading 5 Char"/>
    <w:basedOn w:val="DefaultParagraphFont"/>
    <w:link w:val="Heading5"/>
    <w:rsid w:val="00C92186"/>
    <w:rPr>
      <w:rFonts w:eastAsiaTheme="majorEastAsia"/>
      <w:b/>
      <w:bCs/>
      <w:color w:val="000000" w:themeColor="text1"/>
      <w:sz w:val="26"/>
      <w:szCs w:val="26"/>
    </w:rPr>
  </w:style>
  <w:style w:type="character" w:customStyle="1" w:styleId="Heading6Char">
    <w:name w:val="Heading 6 Char"/>
    <w:basedOn w:val="DefaultParagraphFont"/>
    <w:link w:val="Heading6"/>
    <w:rsid w:val="00C92186"/>
    <w:rPr>
      <w:b/>
      <w:bCs/>
      <w:sz w:val="22"/>
      <w:szCs w:val="22"/>
    </w:rPr>
  </w:style>
  <w:style w:type="paragraph" w:styleId="Title">
    <w:name w:val="Title"/>
    <w:basedOn w:val="Normal"/>
    <w:link w:val="TitleChar"/>
    <w:qFormat/>
    <w:rsid w:val="00962690"/>
    <w:pPr>
      <w:widowControl/>
      <w:jc w:val="center"/>
    </w:pPr>
    <w:rPr>
      <w:b/>
      <w:sz w:val="26"/>
    </w:rPr>
  </w:style>
  <w:style w:type="character" w:customStyle="1" w:styleId="TitleChar">
    <w:name w:val="Title Char"/>
    <w:basedOn w:val="DefaultParagraphFont"/>
    <w:link w:val="Title"/>
    <w:rsid w:val="00C92186"/>
    <w:rPr>
      <w:b/>
      <w:sz w:val="26"/>
    </w:rPr>
  </w:style>
  <w:style w:type="paragraph" w:styleId="Header">
    <w:name w:val="header"/>
    <w:basedOn w:val="Normal"/>
    <w:link w:val="HeaderChar"/>
    <w:rsid w:val="00DE1E03"/>
    <w:pPr>
      <w:tabs>
        <w:tab w:val="center" w:pos="4320"/>
        <w:tab w:val="right" w:pos="8640"/>
      </w:tabs>
    </w:pPr>
  </w:style>
  <w:style w:type="character" w:customStyle="1" w:styleId="HeaderChar">
    <w:name w:val="Header Char"/>
    <w:basedOn w:val="DefaultParagraphFont"/>
    <w:link w:val="Header"/>
    <w:rsid w:val="00580CEC"/>
  </w:style>
  <w:style w:type="paragraph" w:styleId="Footer">
    <w:name w:val="footer"/>
    <w:basedOn w:val="Normal"/>
    <w:link w:val="FooterChar"/>
    <w:rsid w:val="00DE1E03"/>
    <w:pPr>
      <w:tabs>
        <w:tab w:val="center" w:pos="4320"/>
        <w:tab w:val="right" w:pos="8640"/>
      </w:tabs>
    </w:pPr>
  </w:style>
  <w:style w:type="character" w:customStyle="1" w:styleId="FooterChar">
    <w:name w:val="Footer Char"/>
    <w:basedOn w:val="DefaultParagraphFont"/>
    <w:link w:val="Footer"/>
    <w:rsid w:val="00580CEC"/>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link w:val="BalloonTextChar"/>
    <w:semiHidden/>
    <w:rsid w:val="0045730E"/>
    <w:rPr>
      <w:rFonts w:ascii="Tahoma" w:hAnsi="Tahoma" w:cs="Tahoma"/>
      <w:sz w:val="16"/>
      <w:szCs w:val="16"/>
    </w:rPr>
  </w:style>
  <w:style w:type="character" w:customStyle="1" w:styleId="BalloonTextChar">
    <w:name w:val="Balloon Text Char"/>
    <w:basedOn w:val="DefaultParagraphFont"/>
    <w:link w:val="BalloonText"/>
    <w:semiHidden/>
    <w:rsid w:val="00580CEC"/>
    <w:rPr>
      <w:rFonts w:ascii="Tahoma" w:hAnsi="Tahoma" w:cs="Tahoma"/>
      <w:sz w:val="16"/>
      <w:szCs w:val="16"/>
    </w:rPr>
  </w:style>
  <w:style w:type="paragraph" w:styleId="FootnoteText">
    <w:name w:val="footnote text"/>
    <w:aliases w:val="Footnote Text Char2,Footnote Text Char Char,Footnote Text Char1 Char Char,Footnote Text Char Char Char Char,Footnote Text Char1 Char1,Footnote Text Char Char1 Char,Car,ALTS FOOTNOTE,Footnote Text Char1,Footnote Text Char1 Char,TBG Style,fn"/>
    <w:basedOn w:val="Normal"/>
    <w:link w:val="FootnoteTextChar"/>
    <w:uiPriority w:val="99"/>
    <w:qFormat/>
    <w:rsid w:val="00022D45"/>
    <w:pPr>
      <w:widowControl/>
    </w:p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Car Char,ALTS FOOTNOTE Char,fn Char"/>
    <w:basedOn w:val="DefaultParagraphFont"/>
    <w:link w:val="FootnoteText"/>
    <w:uiPriority w:val="99"/>
    <w:rsid w:val="0004698C"/>
  </w:style>
  <w:style w:type="character" w:styleId="FootnoteReference">
    <w:name w:val="footnote reference"/>
    <w:aliases w:val="o,fr,footnote text,Style 13,Style 12,Style 28,(NECG) Footnote Reference,Style 11,Style 9,Style 16,Style 15,Style 17,Style 20,o1,fr1,o2,fr2,o3,fr3,Style 8,Style 7,Style 19"/>
    <w:uiPriority w:val="99"/>
    <w:rsid w:val="00022D45"/>
    <w:rPr>
      <w:vertAlign w:val="superscript"/>
    </w:rPr>
  </w:style>
  <w:style w:type="character" w:styleId="Hyperlink">
    <w:name w:val="Hyperlink"/>
    <w:uiPriority w:val="99"/>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paragraph" w:styleId="BlockText">
    <w:name w:val="Block Text"/>
    <w:basedOn w:val="Normal"/>
    <w:rsid w:val="008360ED"/>
    <w:pPr>
      <w:tabs>
        <w:tab w:val="left" w:pos="-720"/>
      </w:tabs>
      <w:spacing w:line="360" w:lineRule="auto"/>
      <w:ind w:left="1440" w:right="2160"/>
    </w:pPr>
    <w:rPr>
      <w:sz w:val="26"/>
    </w:rPr>
  </w:style>
  <w:style w:type="paragraph" w:styleId="TOC1">
    <w:name w:val="toc 1"/>
    <w:basedOn w:val="Normal"/>
    <w:next w:val="Normal"/>
    <w:autoRedefine/>
    <w:uiPriority w:val="39"/>
    <w:unhideWhenUsed/>
    <w:rsid w:val="00C502DE"/>
    <w:pPr>
      <w:tabs>
        <w:tab w:val="left" w:pos="720"/>
        <w:tab w:val="right" w:leader="dot" w:pos="9350"/>
      </w:tabs>
      <w:spacing w:after="100"/>
    </w:pPr>
    <w:rPr>
      <w:sz w:val="26"/>
    </w:rPr>
  </w:style>
  <w:style w:type="paragraph" w:styleId="TOC2">
    <w:name w:val="toc 2"/>
    <w:basedOn w:val="Normal"/>
    <w:next w:val="Normal"/>
    <w:autoRedefine/>
    <w:uiPriority w:val="39"/>
    <w:unhideWhenUsed/>
    <w:rsid w:val="00686A88"/>
    <w:pPr>
      <w:widowControl/>
      <w:tabs>
        <w:tab w:val="right" w:leader="dot" w:pos="9350"/>
      </w:tabs>
      <w:spacing w:after="100"/>
      <w:ind w:left="1440" w:hanging="720"/>
    </w:pPr>
    <w:rPr>
      <w:sz w:val="26"/>
    </w:rPr>
  </w:style>
  <w:style w:type="paragraph" w:styleId="TOC3">
    <w:name w:val="toc 3"/>
    <w:basedOn w:val="Normal"/>
    <w:next w:val="Normal"/>
    <w:autoRedefine/>
    <w:uiPriority w:val="39"/>
    <w:unhideWhenUsed/>
    <w:rsid w:val="00320F87"/>
    <w:pPr>
      <w:tabs>
        <w:tab w:val="left" w:pos="2160"/>
        <w:tab w:val="right" w:leader="dot" w:pos="9360"/>
      </w:tabs>
      <w:spacing w:after="100"/>
      <w:ind w:left="2160" w:hanging="720"/>
    </w:pPr>
    <w:rPr>
      <w:sz w:val="26"/>
    </w:rPr>
  </w:style>
  <w:style w:type="paragraph" w:styleId="TOC4">
    <w:name w:val="toc 4"/>
    <w:basedOn w:val="Normal"/>
    <w:next w:val="Normal"/>
    <w:autoRedefine/>
    <w:uiPriority w:val="39"/>
    <w:unhideWhenUsed/>
    <w:rsid w:val="00686A88"/>
    <w:pPr>
      <w:tabs>
        <w:tab w:val="right" w:leader="dot" w:pos="9350"/>
      </w:tabs>
      <w:spacing w:after="100"/>
      <w:ind w:left="2880" w:hanging="720"/>
    </w:pPr>
    <w:rPr>
      <w:rFonts w:eastAsiaTheme="minorEastAsia"/>
      <w:noProof/>
      <w:sz w:val="22"/>
      <w:szCs w:val="22"/>
    </w:rPr>
  </w:style>
  <w:style w:type="character" w:styleId="CommentReference">
    <w:name w:val="annotation reference"/>
    <w:basedOn w:val="DefaultParagraphFont"/>
    <w:semiHidden/>
    <w:unhideWhenUsed/>
    <w:rsid w:val="00313907"/>
    <w:rPr>
      <w:sz w:val="16"/>
      <w:szCs w:val="16"/>
    </w:rPr>
  </w:style>
  <w:style w:type="paragraph" w:styleId="CommentText">
    <w:name w:val="annotation text"/>
    <w:basedOn w:val="Normal"/>
    <w:link w:val="CommentTextChar"/>
    <w:semiHidden/>
    <w:unhideWhenUsed/>
    <w:rsid w:val="00313907"/>
  </w:style>
  <w:style w:type="character" w:customStyle="1" w:styleId="CommentTextChar">
    <w:name w:val="Comment Text Char"/>
    <w:basedOn w:val="DefaultParagraphFont"/>
    <w:link w:val="CommentText"/>
    <w:semiHidden/>
    <w:rsid w:val="00313907"/>
  </w:style>
  <w:style w:type="paragraph" w:styleId="CommentSubject">
    <w:name w:val="annotation subject"/>
    <w:basedOn w:val="CommentText"/>
    <w:next w:val="CommentText"/>
    <w:link w:val="CommentSubjectChar"/>
    <w:semiHidden/>
    <w:unhideWhenUsed/>
    <w:rsid w:val="00313907"/>
    <w:rPr>
      <w:b/>
      <w:bCs/>
    </w:rPr>
  </w:style>
  <w:style w:type="character" w:customStyle="1" w:styleId="CommentSubjectChar">
    <w:name w:val="Comment Subject Char"/>
    <w:basedOn w:val="CommentTextChar"/>
    <w:link w:val="CommentSubject"/>
    <w:semiHidden/>
    <w:rsid w:val="00313907"/>
    <w:rPr>
      <w:b/>
      <w:bCs/>
    </w:rPr>
  </w:style>
  <w:style w:type="paragraph" w:styleId="BodyText2">
    <w:name w:val="Body Text 2"/>
    <w:basedOn w:val="Normal"/>
    <w:link w:val="BodyText2Char"/>
    <w:uiPriority w:val="1"/>
    <w:qFormat/>
    <w:rsid w:val="00F7662E"/>
    <w:pPr>
      <w:widowControl/>
      <w:spacing w:line="480" w:lineRule="auto"/>
      <w:ind w:firstLine="720"/>
      <w:jc w:val="both"/>
    </w:pPr>
    <w:rPr>
      <w:rFonts w:eastAsiaTheme="minorHAnsi" w:cstheme="minorBidi"/>
      <w:sz w:val="24"/>
      <w:szCs w:val="24"/>
    </w:rPr>
  </w:style>
  <w:style w:type="character" w:customStyle="1" w:styleId="BodyText2Char">
    <w:name w:val="Body Text 2 Char"/>
    <w:basedOn w:val="DefaultParagraphFont"/>
    <w:link w:val="BodyText2"/>
    <w:uiPriority w:val="1"/>
    <w:rsid w:val="00F7662E"/>
    <w:rPr>
      <w:rFonts w:eastAsiaTheme="minorHAnsi" w:cstheme="minorBidi"/>
      <w:sz w:val="24"/>
      <w:szCs w:val="24"/>
    </w:rPr>
  </w:style>
  <w:style w:type="paragraph" w:customStyle="1" w:styleId="Default">
    <w:name w:val="Default"/>
    <w:rsid w:val="00534F4F"/>
    <w:pPr>
      <w:autoSpaceDE w:val="0"/>
      <w:autoSpaceDN w:val="0"/>
      <w:adjustRightInd w:val="0"/>
    </w:pPr>
    <w:rPr>
      <w:rFonts w:eastAsiaTheme="minorHAnsi"/>
      <w:color w:val="000000"/>
      <w:sz w:val="24"/>
      <w:szCs w:val="24"/>
    </w:rPr>
  </w:style>
  <w:style w:type="paragraph" w:styleId="TOCHeading">
    <w:name w:val="TOC Heading"/>
    <w:basedOn w:val="Heading1"/>
    <w:next w:val="Normal"/>
    <w:uiPriority w:val="39"/>
    <w:unhideWhenUsed/>
    <w:qFormat/>
    <w:rsid w:val="00580CEC"/>
    <w:pPr>
      <w:keepNext/>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5">
    <w:name w:val="toc 5"/>
    <w:basedOn w:val="Normal"/>
    <w:next w:val="Normal"/>
    <w:autoRedefine/>
    <w:uiPriority w:val="39"/>
    <w:unhideWhenUsed/>
    <w:rsid w:val="005872FF"/>
    <w:pPr>
      <w:widowControl/>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872FF"/>
    <w:pPr>
      <w:widowControl/>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872FF"/>
    <w:pPr>
      <w:widowControl/>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872FF"/>
    <w:pPr>
      <w:widowControl/>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872FF"/>
    <w:pPr>
      <w:widowControl/>
      <w:spacing w:after="100" w:line="259" w:lineRule="auto"/>
      <w:ind w:left="1760"/>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5872FF"/>
    <w:rPr>
      <w:color w:val="605E5C"/>
      <w:shd w:val="clear" w:color="auto" w:fill="E1DFDD"/>
    </w:rPr>
  </w:style>
  <w:style w:type="character" w:customStyle="1" w:styleId="UnresolvedMention2">
    <w:name w:val="Unresolved Mention2"/>
    <w:basedOn w:val="DefaultParagraphFont"/>
    <w:uiPriority w:val="99"/>
    <w:semiHidden/>
    <w:unhideWhenUsed/>
    <w:rsid w:val="002A1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567528">
      <w:bodyDiv w:val="1"/>
      <w:marLeft w:val="0"/>
      <w:marRight w:val="0"/>
      <w:marTop w:val="0"/>
      <w:marBottom w:val="0"/>
      <w:divBdr>
        <w:top w:val="none" w:sz="0" w:space="0" w:color="auto"/>
        <w:left w:val="none" w:sz="0" w:space="0" w:color="auto"/>
        <w:bottom w:val="none" w:sz="0" w:space="0" w:color="auto"/>
        <w:right w:val="none" w:sz="0" w:space="0" w:color="auto"/>
      </w:divBdr>
    </w:div>
    <w:div w:id="226495008">
      <w:bodyDiv w:val="1"/>
      <w:marLeft w:val="0"/>
      <w:marRight w:val="0"/>
      <w:marTop w:val="0"/>
      <w:marBottom w:val="0"/>
      <w:divBdr>
        <w:top w:val="none" w:sz="0" w:space="0" w:color="auto"/>
        <w:left w:val="none" w:sz="0" w:space="0" w:color="auto"/>
        <w:bottom w:val="none" w:sz="0" w:space="0" w:color="auto"/>
        <w:right w:val="none" w:sz="0" w:space="0" w:color="auto"/>
      </w:divBdr>
    </w:div>
    <w:div w:id="528763588">
      <w:bodyDiv w:val="1"/>
      <w:marLeft w:val="0"/>
      <w:marRight w:val="0"/>
      <w:marTop w:val="0"/>
      <w:marBottom w:val="0"/>
      <w:divBdr>
        <w:top w:val="none" w:sz="0" w:space="0" w:color="auto"/>
        <w:left w:val="none" w:sz="0" w:space="0" w:color="auto"/>
        <w:bottom w:val="none" w:sz="0" w:space="0" w:color="auto"/>
        <w:right w:val="none" w:sz="0" w:space="0" w:color="auto"/>
      </w:divBdr>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203862893">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19811">
      <w:bodyDiv w:val="1"/>
      <w:marLeft w:val="0"/>
      <w:marRight w:val="0"/>
      <w:marTop w:val="0"/>
      <w:marBottom w:val="0"/>
      <w:divBdr>
        <w:top w:val="none" w:sz="0" w:space="0" w:color="auto"/>
        <w:left w:val="none" w:sz="0" w:space="0" w:color="auto"/>
        <w:bottom w:val="none" w:sz="0" w:space="0" w:color="auto"/>
        <w:right w:val="none" w:sz="0" w:space="0" w:color="auto"/>
      </w:divBdr>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f5187bf53a901b7c95a078d1c0376220">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8a0b9c4240fd6a885c3cd86f271922ca"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EFE10-749C-41D0-A3E3-3E92EFDF7010}">
  <ds:schemaRefs>
    <ds:schemaRef ds:uri="http://schemas.microsoft.com/sharepoint/v3/contenttype/forms"/>
  </ds:schemaRefs>
</ds:datastoreItem>
</file>

<file path=customXml/itemProps2.xml><?xml version="1.0" encoding="utf-8"?>
<ds:datastoreItem xmlns:ds="http://schemas.openxmlformats.org/officeDocument/2006/customXml" ds:itemID="{367A6993-8974-4D03-97AA-B9DE973B8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A74165-17E2-4F19-A424-2FE4D62BA2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EE3507-8C3D-4B99-B990-EB95DE47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60660</Words>
  <Characters>345764</Characters>
  <Application>Microsoft Office Word</Application>
  <DocSecurity>0</DocSecurity>
  <Lines>2881</Lines>
  <Paragraphs>811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405613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Scheiber, LeAnn</cp:lastModifiedBy>
  <cp:revision>8</cp:revision>
  <cp:lastPrinted>2020-01-22T20:43:00Z</cp:lastPrinted>
  <dcterms:created xsi:type="dcterms:W3CDTF">2020-01-24T18:41:00Z</dcterms:created>
  <dcterms:modified xsi:type="dcterms:W3CDTF">2020-01-24T20:47:00Z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