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4849" w14:textId="77777777" w:rsidR="009304FE" w:rsidRPr="005C260E" w:rsidRDefault="009304FE" w:rsidP="00E046C7">
      <w:pPr>
        <w:contextualSpacing/>
        <w:jc w:val="center"/>
        <w:rPr>
          <w:b/>
          <w:sz w:val="26"/>
          <w:szCs w:val="26"/>
        </w:rPr>
      </w:pPr>
      <w:r w:rsidRPr="005C260E">
        <w:rPr>
          <w:b/>
          <w:sz w:val="26"/>
          <w:szCs w:val="26"/>
        </w:rPr>
        <w:t>PENNSYLVANIA</w:t>
      </w:r>
    </w:p>
    <w:p w14:paraId="1B7DF3C9" w14:textId="77777777" w:rsidR="009304FE" w:rsidRPr="005C260E" w:rsidRDefault="009304FE" w:rsidP="00E046C7">
      <w:pPr>
        <w:contextualSpacing/>
        <w:jc w:val="center"/>
        <w:rPr>
          <w:b/>
          <w:sz w:val="26"/>
          <w:szCs w:val="26"/>
        </w:rPr>
      </w:pPr>
      <w:r w:rsidRPr="005C260E">
        <w:rPr>
          <w:b/>
          <w:sz w:val="26"/>
          <w:szCs w:val="26"/>
        </w:rPr>
        <w:t>PUBLIC UTILITY COMMISSION</w:t>
      </w:r>
    </w:p>
    <w:p w14:paraId="49FE22A3" w14:textId="77777777" w:rsidR="009304FE" w:rsidRPr="005C260E" w:rsidRDefault="009304FE" w:rsidP="00E046C7">
      <w:pPr>
        <w:contextualSpacing/>
        <w:jc w:val="center"/>
        <w:rPr>
          <w:b/>
          <w:sz w:val="26"/>
          <w:szCs w:val="26"/>
        </w:rPr>
      </w:pPr>
      <w:r w:rsidRPr="005C260E">
        <w:rPr>
          <w:b/>
          <w:sz w:val="26"/>
          <w:szCs w:val="26"/>
        </w:rPr>
        <w:t>Harrisburg, PA 171</w:t>
      </w:r>
      <w:r w:rsidR="00460897">
        <w:rPr>
          <w:b/>
          <w:sz w:val="26"/>
          <w:szCs w:val="26"/>
        </w:rPr>
        <w:t>20</w:t>
      </w:r>
    </w:p>
    <w:p w14:paraId="35839F08" w14:textId="77777777" w:rsidR="009304FE" w:rsidRPr="005C260E" w:rsidRDefault="009304FE" w:rsidP="00E046C7">
      <w:pPr>
        <w:contextualSpacing/>
        <w:rPr>
          <w:sz w:val="26"/>
          <w:szCs w:val="26"/>
        </w:rPr>
      </w:pPr>
    </w:p>
    <w:p w14:paraId="1578CB41" w14:textId="77777777" w:rsidR="00B01F47" w:rsidRPr="005C260E" w:rsidRDefault="00B01F47" w:rsidP="00E046C7">
      <w:pPr>
        <w:contextualSpacing/>
        <w:rPr>
          <w:sz w:val="26"/>
          <w:szCs w:val="26"/>
        </w:rPr>
      </w:pPr>
    </w:p>
    <w:p w14:paraId="561A2BD1" w14:textId="77777777" w:rsidR="009304FE" w:rsidRPr="005C260E" w:rsidRDefault="009304FE" w:rsidP="00E046C7">
      <w:pPr>
        <w:contextualSpacing/>
        <w:jc w:val="right"/>
        <w:rPr>
          <w:sz w:val="26"/>
          <w:szCs w:val="26"/>
        </w:rPr>
      </w:pPr>
      <w:r w:rsidRPr="005C260E">
        <w:rPr>
          <w:sz w:val="26"/>
          <w:szCs w:val="26"/>
        </w:rPr>
        <w:t>Public Meeting held</w:t>
      </w:r>
      <w:r w:rsidR="009876DE">
        <w:rPr>
          <w:sz w:val="26"/>
          <w:szCs w:val="26"/>
        </w:rPr>
        <w:t xml:space="preserve"> January 16</w:t>
      </w:r>
      <w:r w:rsidR="0026758D" w:rsidRPr="005C260E">
        <w:rPr>
          <w:sz w:val="26"/>
          <w:szCs w:val="26"/>
        </w:rPr>
        <w:t>,</w:t>
      </w:r>
      <w:r w:rsidR="005205C0" w:rsidRPr="005C260E">
        <w:rPr>
          <w:sz w:val="26"/>
          <w:szCs w:val="26"/>
        </w:rPr>
        <w:t xml:space="preserve"> 20</w:t>
      </w:r>
      <w:r w:rsidR="009876DE">
        <w:rPr>
          <w:sz w:val="26"/>
          <w:szCs w:val="26"/>
        </w:rPr>
        <w:t>20</w:t>
      </w:r>
      <w:r w:rsidR="00B01F47" w:rsidRPr="005C260E">
        <w:rPr>
          <w:sz w:val="26"/>
          <w:szCs w:val="26"/>
        </w:rPr>
        <w:t xml:space="preserve"> </w:t>
      </w:r>
    </w:p>
    <w:p w14:paraId="450FDB66" w14:textId="77777777" w:rsidR="009304FE" w:rsidRPr="005C260E" w:rsidRDefault="009304FE" w:rsidP="00E046C7">
      <w:pPr>
        <w:contextualSpacing/>
        <w:rPr>
          <w:sz w:val="26"/>
          <w:szCs w:val="26"/>
        </w:rPr>
      </w:pPr>
    </w:p>
    <w:p w14:paraId="0C60B62B" w14:textId="77777777" w:rsidR="00B01F47" w:rsidRPr="005C260E" w:rsidRDefault="00B01F47" w:rsidP="00E046C7">
      <w:pPr>
        <w:contextualSpacing/>
        <w:rPr>
          <w:sz w:val="26"/>
          <w:szCs w:val="26"/>
        </w:rPr>
      </w:pPr>
    </w:p>
    <w:p w14:paraId="7539487D" w14:textId="77777777" w:rsidR="005205C0" w:rsidRPr="005C260E" w:rsidRDefault="005205C0" w:rsidP="00E046C7">
      <w:pPr>
        <w:contextualSpacing/>
        <w:rPr>
          <w:sz w:val="26"/>
          <w:szCs w:val="26"/>
        </w:rPr>
      </w:pPr>
      <w:r w:rsidRPr="005C260E">
        <w:rPr>
          <w:sz w:val="26"/>
          <w:szCs w:val="26"/>
        </w:rPr>
        <w:t>Commissioners Present:</w:t>
      </w:r>
    </w:p>
    <w:p w14:paraId="319EDE72" w14:textId="77777777" w:rsidR="005205C0" w:rsidRPr="005C260E" w:rsidRDefault="005205C0" w:rsidP="00E046C7">
      <w:pPr>
        <w:contextualSpacing/>
        <w:rPr>
          <w:sz w:val="26"/>
          <w:szCs w:val="26"/>
        </w:rPr>
      </w:pPr>
    </w:p>
    <w:p w14:paraId="36C878C8" w14:textId="77777777" w:rsidR="005205C0" w:rsidRPr="005C260E" w:rsidRDefault="005205C0" w:rsidP="00E046C7">
      <w:pPr>
        <w:tabs>
          <w:tab w:val="left" w:pos="705"/>
        </w:tabs>
        <w:ind w:firstLine="720"/>
        <w:contextualSpacing/>
        <w:rPr>
          <w:sz w:val="26"/>
          <w:szCs w:val="26"/>
        </w:rPr>
      </w:pPr>
      <w:r w:rsidRPr="005C260E">
        <w:rPr>
          <w:sz w:val="26"/>
          <w:szCs w:val="26"/>
        </w:rPr>
        <w:t>Gladys Brown</w:t>
      </w:r>
      <w:r w:rsidR="00B459C9">
        <w:rPr>
          <w:sz w:val="26"/>
          <w:szCs w:val="26"/>
        </w:rPr>
        <w:t xml:space="preserve"> Dutrieuille</w:t>
      </w:r>
      <w:r w:rsidRPr="005C260E">
        <w:rPr>
          <w:sz w:val="26"/>
          <w:szCs w:val="26"/>
        </w:rPr>
        <w:t>, Chairman</w:t>
      </w:r>
    </w:p>
    <w:p w14:paraId="43CE616E" w14:textId="77777777" w:rsidR="005205C0" w:rsidRPr="005C260E" w:rsidRDefault="00B459C9" w:rsidP="00E046C7">
      <w:pPr>
        <w:tabs>
          <w:tab w:val="left" w:pos="705"/>
        </w:tabs>
        <w:ind w:firstLine="720"/>
        <w:contextualSpacing/>
        <w:rPr>
          <w:sz w:val="26"/>
          <w:szCs w:val="26"/>
        </w:rPr>
      </w:pPr>
      <w:r>
        <w:rPr>
          <w:sz w:val="26"/>
          <w:szCs w:val="26"/>
        </w:rPr>
        <w:t>David W. Sweet</w:t>
      </w:r>
      <w:r w:rsidR="005205C0" w:rsidRPr="005C260E">
        <w:rPr>
          <w:sz w:val="26"/>
          <w:szCs w:val="26"/>
        </w:rPr>
        <w:t>, Vice Chairman</w:t>
      </w:r>
    </w:p>
    <w:p w14:paraId="5F7C8B75" w14:textId="77777777" w:rsidR="00B459C9" w:rsidRDefault="00B459C9" w:rsidP="00E046C7">
      <w:pPr>
        <w:tabs>
          <w:tab w:val="left" w:pos="705"/>
        </w:tabs>
        <w:ind w:firstLine="720"/>
        <w:contextualSpacing/>
        <w:rPr>
          <w:sz w:val="26"/>
          <w:szCs w:val="26"/>
        </w:rPr>
      </w:pPr>
      <w:r>
        <w:rPr>
          <w:sz w:val="26"/>
          <w:szCs w:val="26"/>
        </w:rPr>
        <w:t>Andrew G. Place</w:t>
      </w:r>
    </w:p>
    <w:p w14:paraId="47FEE0D1" w14:textId="77777777" w:rsidR="005205C0" w:rsidRDefault="005205C0" w:rsidP="00E046C7">
      <w:pPr>
        <w:tabs>
          <w:tab w:val="left" w:pos="705"/>
        </w:tabs>
        <w:ind w:firstLine="720"/>
        <w:contextualSpacing/>
        <w:rPr>
          <w:sz w:val="26"/>
          <w:szCs w:val="26"/>
        </w:rPr>
      </w:pPr>
      <w:r w:rsidRPr="005C260E">
        <w:rPr>
          <w:sz w:val="26"/>
          <w:szCs w:val="26"/>
        </w:rPr>
        <w:t>John F. Coleman, Jr.</w:t>
      </w:r>
    </w:p>
    <w:p w14:paraId="18039F8C" w14:textId="77777777" w:rsidR="003A6175" w:rsidRPr="005C260E" w:rsidRDefault="003A6175" w:rsidP="00E046C7">
      <w:pPr>
        <w:tabs>
          <w:tab w:val="left" w:pos="705"/>
        </w:tabs>
        <w:ind w:firstLine="720"/>
        <w:contextualSpacing/>
        <w:rPr>
          <w:sz w:val="26"/>
          <w:szCs w:val="26"/>
        </w:rPr>
      </w:pPr>
      <w:r>
        <w:rPr>
          <w:sz w:val="26"/>
          <w:szCs w:val="26"/>
        </w:rPr>
        <w:t>Ralph V. Yanora</w:t>
      </w:r>
      <w:r w:rsidR="0032389C">
        <w:rPr>
          <w:sz w:val="26"/>
          <w:szCs w:val="26"/>
        </w:rPr>
        <w:t xml:space="preserve">  </w:t>
      </w:r>
    </w:p>
    <w:p w14:paraId="5E0C8DBB" w14:textId="77777777" w:rsidR="00AB0F2F" w:rsidRPr="005C260E" w:rsidRDefault="00AB0F2F" w:rsidP="00E046C7">
      <w:pPr>
        <w:contextualSpacing/>
        <w:rPr>
          <w:sz w:val="26"/>
          <w:szCs w:val="26"/>
        </w:rPr>
      </w:pPr>
    </w:p>
    <w:p w14:paraId="22A630E7" w14:textId="77777777" w:rsidR="009304FE" w:rsidRPr="005C260E" w:rsidRDefault="009304FE" w:rsidP="00E046C7">
      <w:pPr>
        <w:contextualSpacing/>
        <w:rPr>
          <w:sz w:val="26"/>
          <w:szCs w:val="26"/>
        </w:rPr>
      </w:pPr>
    </w:p>
    <w:p w14:paraId="5CAECBF5" w14:textId="77777777" w:rsidR="00E050C0" w:rsidRPr="005C260E" w:rsidRDefault="009876DE" w:rsidP="00E046C7">
      <w:pPr>
        <w:tabs>
          <w:tab w:val="left" w:pos="-720"/>
          <w:tab w:val="left" w:pos="0"/>
        </w:tabs>
        <w:suppressAutoHyphens/>
        <w:contextualSpacing/>
        <w:rPr>
          <w:sz w:val="26"/>
          <w:szCs w:val="26"/>
        </w:rPr>
      </w:pPr>
      <w:r>
        <w:rPr>
          <w:sz w:val="26"/>
          <w:szCs w:val="26"/>
        </w:rPr>
        <w:t>Anthony Venini</w:t>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Pr>
          <w:sz w:val="26"/>
          <w:szCs w:val="26"/>
        </w:rPr>
        <w:tab/>
        <w:t>C</w:t>
      </w:r>
      <w:r w:rsidR="00D5566B" w:rsidRPr="005C260E">
        <w:rPr>
          <w:sz w:val="26"/>
          <w:szCs w:val="26"/>
        </w:rPr>
        <w:t>-201</w:t>
      </w:r>
      <w:r>
        <w:rPr>
          <w:sz w:val="26"/>
          <w:szCs w:val="26"/>
        </w:rPr>
        <w:t>8</w:t>
      </w:r>
      <w:r w:rsidR="003A6175">
        <w:rPr>
          <w:sz w:val="26"/>
          <w:szCs w:val="26"/>
        </w:rPr>
        <w:t>-</w:t>
      </w:r>
      <w:r>
        <w:rPr>
          <w:sz w:val="26"/>
          <w:szCs w:val="26"/>
        </w:rPr>
        <w:t>3006469</w:t>
      </w:r>
    </w:p>
    <w:p w14:paraId="38D35F21" w14:textId="77777777" w:rsidR="00E050C0" w:rsidRPr="005C260E" w:rsidRDefault="00E050C0" w:rsidP="00E046C7">
      <w:pPr>
        <w:tabs>
          <w:tab w:val="left" w:pos="-720"/>
          <w:tab w:val="left" w:pos="0"/>
        </w:tabs>
        <w:suppressAutoHyphens/>
        <w:contextualSpacing/>
        <w:rPr>
          <w:sz w:val="26"/>
          <w:szCs w:val="26"/>
        </w:rPr>
      </w:pPr>
    </w:p>
    <w:p w14:paraId="1FF548C3" w14:textId="77777777" w:rsidR="00E050C0" w:rsidRPr="005C260E" w:rsidRDefault="00E050C0" w:rsidP="00E046C7">
      <w:pPr>
        <w:tabs>
          <w:tab w:val="left" w:pos="-720"/>
          <w:tab w:val="left" w:pos="0"/>
        </w:tabs>
        <w:suppressAutoHyphens/>
        <w:contextualSpacing/>
        <w:rPr>
          <w:sz w:val="26"/>
          <w:szCs w:val="26"/>
        </w:rPr>
      </w:pPr>
      <w:r w:rsidRPr="005C260E">
        <w:rPr>
          <w:sz w:val="26"/>
          <w:szCs w:val="26"/>
        </w:rPr>
        <w:tab/>
        <w:t>v.</w:t>
      </w:r>
    </w:p>
    <w:p w14:paraId="1FF5172A" w14:textId="77777777" w:rsidR="00E050C0" w:rsidRPr="005C260E" w:rsidRDefault="00E050C0" w:rsidP="00E046C7">
      <w:pPr>
        <w:tabs>
          <w:tab w:val="left" w:pos="-720"/>
          <w:tab w:val="left" w:pos="0"/>
        </w:tabs>
        <w:suppressAutoHyphens/>
        <w:contextualSpacing/>
        <w:rPr>
          <w:sz w:val="26"/>
          <w:szCs w:val="26"/>
        </w:rPr>
      </w:pPr>
    </w:p>
    <w:p w14:paraId="18867430" w14:textId="77777777" w:rsidR="009304FE" w:rsidRPr="005C260E" w:rsidRDefault="009876DE" w:rsidP="00E046C7">
      <w:pPr>
        <w:tabs>
          <w:tab w:val="left" w:pos="-720"/>
          <w:tab w:val="left" w:pos="0"/>
        </w:tabs>
        <w:suppressAutoHyphens/>
        <w:contextualSpacing/>
        <w:rPr>
          <w:sz w:val="26"/>
          <w:szCs w:val="26"/>
        </w:rPr>
      </w:pPr>
      <w:r>
        <w:rPr>
          <w:sz w:val="26"/>
          <w:szCs w:val="26"/>
        </w:rPr>
        <w:t>PPL Electric Utilities Corporation</w:t>
      </w:r>
    </w:p>
    <w:p w14:paraId="79240550" w14:textId="77777777" w:rsidR="009304FE" w:rsidRPr="005C260E" w:rsidRDefault="009304FE" w:rsidP="00E046C7">
      <w:pPr>
        <w:contextualSpacing/>
        <w:rPr>
          <w:sz w:val="26"/>
          <w:szCs w:val="26"/>
        </w:rPr>
      </w:pPr>
    </w:p>
    <w:p w14:paraId="75ECD0E2" w14:textId="77777777" w:rsidR="009304FE" w:rsidRPr="005C260E" w:rsidRDefault="009304FE" w:rsidP="00E046C7">
      <w:pPr>
        <w:tabs>
          <w:tab w:val="left" w:pos="-720"/>
        </w:tabs>
        <w:suppressAutoHyphens/>
        <w:contextualSpacing/>
        <w:rPr>
          <w:sz w:val="26"/>
          <w:szCs w:val="26"/>
        </w:rPr>
      </w:pPr>
    </w:p>
    <w:p w14:paraId="19167400" w14:textId="77777777" w:rsidR="009304FE" w:rsidRPr="005C260E" w:rsidRDefault="009304FE" w:rsidP="00E046C7">
      <w:pPr>
        <w:tabs>
          <w:tab w:val="center" w:pos="4680"/>
        </w:tabs>
        <w:suppressAutoHyphens/>
        <w:contextualSpacing/>
        <w:jc w:val="center"/>
        <w:rPr>
          <w:b/>
          <w:sz w:val="26"/>
          <w:szCs w:val="26"/>
        </w:rPr>
      </w:pPr>
      <w:r w:rsidRPr="005C260E">
        <w:rPr>
          <w:b/>
          <w:sz w:val="26"/>
          <w:szCs w:val="26"/>
        </w:rPr>
        <w:t>OPINION AND ORDER</w:t>
      </w:r>
    </w:p>
    <w:p w14:paraId="0D6CEE42" w14:textId="77777777" w:rsidR="00CA6BAF" w:rsidRPr="005C260E" w:rsidRDefault="00CA6BAF" w:rsidP="00E046C7">
      <w:pPr>
        <w:tabs>
          <w:tab w:val="left" w:pos="-720"/>
        </w:tabs>
        <w:suppressAutoHyphens/>
        <w:spacing w:line="360" w:lineRule="auto"/>
        <w:contextualSpacing/>
        <w:rPr>
          <w:b/>
          <w:sz w:val="26"/>
          <w:szCs w:val="26"/>
        </w:rPr>
      </w:pPr>
    </w:p>
    <w:p w14:paraId="26FD0DAE" w14:textId="77777777" w:rsidR="009304FE" w:rsidRPr="005C260E" w:rsidRDefault="009304FE" w:rsidP="00E046C7">
      <w:pPr>
        <w:tabs>
          <w:tab w:val="left" w:pos="-720"/>
        </w:tabs>
        <w:suppressAutoHyphens/>
        <w:spacing w:line="360" w:lineRule="auto"/>
        <w:contextualSpacing/>
        <w:rPr>
          <w:sz w:val="26"/>
          <w:szCs w:val="26"/>
        </w:rPr>
      </w:pPr>
      <w:r w:rsidRPr="005C260E">
        <w:rPr>
          <w:b/>
          <w:sz w:val="26"/>
          <w:szCs w:val="26"/>
        </w:rPr>
        <w:t>BY THE COMMISSION:</w:t>
      </w:r>
    </w:p>
    <w:p w14:paraId="55028C6C" w14:textId="77777777" w:rsidR="009304FE" w:rsidRPr="005C260E" w:rsidRDefault="009304FE" w:rsidP="00E046C7">
      <w:pPr>
        <w:contextualSpacing/>
        <w:rPr>
          <w:sz w:val="26"/>
          <w:szCs w:val="26"/>
        </w:rPr>
      </w:pPr>
    </w:p>
    <w:p w14:paraId="5DD1FE9F" w14:textId="77777777" w:rsidR="0067105F" w:rsidRPr="005C260E" w:rsidRDefault="00AE655A" w:rsidP="00077AFA">
      <w:pPr>
        <w:keepLines/>
        <w:spacing w:line="360" w:lineRule="auto"/>
        <w:contextualSpacing/>
        <w:rPr>
          <w:sz w:val="26"/>
          <w:szCs w:val="26"/>
        </w:rPr>
      </w:pPr>
      <w:r w:rsidRPr="005C260E">
        <w:rPr>
          <w:sz w:val="26"/>
          <w:szCs w:val="26"/>
        </w:rPr>
        <w:tab/>
      </w:r>
      <w:r w:rsidRPr="005C260E">
        <w:rPr>
          <w:sz w:val="26"/>
          <w:szCs w:val="26"/>
        </w:rPr>
        <w:tab/>
      </w:r>
      <w:r w:rsidR="009304FE" w:rsidRPr="005C260E">
        <w:rPr>
          <w:sz w:val="26"/>
          <w:szCs w:val="26"/>
        </w:rPr>
        <w:t xml:space="preserve">Before the Pennsylvania Public Utility Commission (Commission) for consideration and disposition </w:t>
      </w:r>
      <w:r w:rsidR="00AA3F68" w:rsidRPr="005C260E">
        <w:rPr>
          <w:sz w:val="26"/>
          <w:szCs w:val="26"/>
        </w:rPr>
        <w:t>is the Initial Decision (I.D.) of</w:t>
      </w:r>
      <w:r w:rsidR="004E142A">
        <w:rPr>
          <w:sz w:val="26"/>
          <w:szCs w:val="26"/>
        </w:rPr>
        <w:t xml:space="preserve"> Administrative Law Judge (ALJ) Elizabeth H. Barnes</w:t>
      </w:r>
      <w:r w:rsidR="00AA3F68" w:rsidRPr="005C260E">
        <w:rPr>
          <w:sz w:val="26"/>
          <w:szCs w:val="26"/>
        </w:rPr>
        <w:t>, issued on</w:t>
      </w:r>
      <w:r w:rsidR="004E142A">
        <w:rPr>
          <w:sz w:val="26"/>
          <w:szCs w:val="26"/>
        </w:rPr>
        <w:t xml:space="preserve"> November</w:t>
      </w:r>
      <w:r w:rsidR="0003045F">
        <w:rPr>
          <w:sz w:val="26"/>
          <w:szCs w:val="26"/>
        </w:rPr>
        <w:t xml:space="preserve"> 15</w:t>
      </w:r>
      <w:r w:rsidR="001F1DA4" w:rsidRPr="005C260E">
        <w:rPr>
          <w:sz w:val="26"/>
          <w:szCs w:val="26"/>
        </w:rPr>
        <w:t>, 201</w:t>
      </w:r>
      <w:r w:rsidR="00F90089">
        <w:rPr>
          <w:sz w:val="26"/>
          <w:szCs w:val="26"/>
        </w:rPr>
        <w:t>9</w:t>
      </w:r>
      <w:r w:rsidR="00A50430" w:rsidRPr="005C260E">
        <w:rPr>
          <w:sz w:val="26"/>
          <w:szCs w:val="26"/>
        </w:rPr>
        <w:t>,</w:t>
      </w:r>
      <w:r w:rsidR="00B206E5" w:rsidRPr="005C260E">
        <w:rPr>
          <w:sz w:val="26"/>
          <w:szCs w:val="26"/>
        </w:rPr>
        <w:t xml:space="preserve"> in the above-captioned proceeding.  </w:t>
      </w:r>
      <w:r w:rsidR="00700E59" w:rsidRPr="005C260E">
        <w:rPr>
          <w:sz w:val="26"/>
          <w:szCs w:val="26"/>
        </w:rPr>
        <w:t xml:space="preserve">Exceptions have not been filed.  </w:t>
      </w:r>
      <w:r w:rsidR="00BE7433" w:rsidRPr="005C260E">
        <w:rPr>
          <w:sz w:val="26"/>
          <w:szCs w:val="26"/>
        </w:rPr>
        <w:t>However, we</w:t>
      </w:r>
      <w:r w:rsidR="001A2F1D" w:rsidRPr="005C260E">
        <w:rPr>
          <w:sz w:val="26"/>
          <w:szCs w:val="26"/>
        </w:rPr>
        <w:t xml:space="preserve"> have</w:t>
      </w:r>
      <w:r w:rsidR="00BE7433" w:rsidRPr="005C260E">
        <w:rPr>
          <w:sz w:val="26"/>
          <w:szCs w:val="26"/>
        </w:rPr>
        <w:t xml:space="preserve"> exercised our right to review </w:t>
      </w:r>
      <w:r w:rsidR="008B24E5" w:rsidRPr="005C260E">
        <w:rPr>
          <w:sz w:val="26"/>
          <w:szCs w:val="26"/>
        </w:rPr>
        <w:t xml:space="preserve">the Initial Decision pursuant to Section 332(h) of the Public Utility Code (Code), 66 Pa. C.S. § 332(h).  For the reasons stated below, we </w:t>
      </w:r>
      <w:r w:rsidR="0009625E">
        <w:rPr>
          <w:sz w:val="26"/>
          <w:szCs w:val="26"/>
        </w:rPr>
        <w:t>shall</w:t>
      </w:r>
      <w:r w:rsidR="000F680F">
        <w:rPr>
          <w:sz w:val="26"/>
          <w:szCs w:val="26"/>
        </w:rPr>
        <w:t xml:space="preserve"> modify </w:t>
      </w:r>
      <w:r w:rsidR="001F1DA4" w:rsidRPr="005C260E">
        <w:rPr>
          <w:sz w:val="26"/>
          <w:szCs w:val="26"/>
        </w:rPr>
        <w:t xml:space="preserve">the Initial Decision, </w:t>
      </w:r>
      <w:r w:rsidR="005C1345" w:rsidRPr="005C260E">
        <w:rPr>
          <w:sz w:val="26"/>
          <w:szCs w:val="26"/>
        </w:rPr>
        <w:t xml:space="preserve">consistent with this </w:t>
      </w:r>
      <w:r w:rsidR="00D64371" w:rsidRPr="005C260E">
        <w:rPr>
          <w:sz w:val="26"/>
          <w:szCs w:val="26"/>
        </w:rPr>
        <w:t>Opinion and Order.</w:t>
      </w:r>
    </w:p>
    <w:p w14:paraId="5C220F79" w14:textId="77777777" w:rsidR="009304FE" w:rsidRDefault="00F55BED" w:rsidP="00077AFA">
      <w:pPr>
        <w:keepNext/>
        <w:keepLines/>
        <w:spacing w:line="360" w:lineRule="auto"/>
        <w:contextualSpacing/>
        <w:jc w:val="center"/>
        <w:rPr>
          <w:b/>
          <w:sz w:val="26"/>
          <w:szCs w:val="26"/>
        </w:rPr>
      </w:pPr>
      <w:r w:rsidRPr="005C260E">
        <w:rPr>
          <w:b/>
          <w:sz w:val="26"/>
          <w:szCs w:val="26"/>
        </w:rPr>
        <w:lastRenderedPageBreak/>
        <w:t>History of the Proceeding</w:t>
      </w:r>
    </w:p>
    <w:p w14:paraId="21B87C83" w14:textId="77777777" w:rsidR="00016820" w:rsidRPr="005C260E" w:rsidRDefault="00016820" w:rsidP="00077AFA">
      <w:pPr>
        <w:keepNext/>
        <w:keepLines/>
        <w:spacing w:line="360" w:lineRule="auto"/>
        <w:contextualSpacing/>
        <w:jc w:val="center"/>
        <w:rPr>
          <w:b/>
          <w:sz w:val="26"/>
          <w:szCs w:val="26"/>
        </w:rPr>
      </w:pPr>
    </w:p>
    <w:p w14:paraId="3D8D621D" w14:textId="77777777" w:rsidR="00115B22" w:rsidRPr="00AD3DE3" w:rsidRDefault="00460897" w:rsidP="002937B5">
      <w:pPr>
        <w:spacing w:line="360" w:lineRule="auto"/>
        <w:ind w:firstLine="1440"/>
        <w:textAlignment w:val="baseline"/>
        <w:rPr>
          <w:color w:val="000000"/>
          <w:sz w:val="26"/>
          <w:szCs w:val="26"/>
        </w:rPr>
      </w:pPr>
      <w:r>
        <w:rPr>
          <w:color w:val="000000"/>
          <w:sz w:val="26"/>
          <w:szCs w:val="26"/>
        </w:rPr>
        <w:t>On</w:t>
      </w:r>
      <w:r w:rsidR="00CB39A9">
        <w:rPr>
          <w:color w:val="000000"/>
          <w:sz w:val="26"/>
          <w:szCs w:val="26"/>
        </w:rPr>
        <w:t xml:space="preserve"> December 7</w:t>
      </w:r>
      <w:r>
        <w:rPr>
          <w:color w:val="000000"/>
          <w:sz w:val="26"/>
          <w:szCs w:val="26"/>
        </w:rPr>
        <w:t>, 201</w:t>
      </w:r>
      <w:r w:rsidR="00CB39A9">
        <w:rPr>
          <w:color w:val="000000"/>
          <w:sz w:val="26"/>
          <w:szCs w:val="26"/>
        </w:rPr>
        <w:t>8</w:t>
      </w:r>
      <w:r>
        <w:rPr>
          <w:color w:val="000000"/>
          <w:sz w:val="26"/>
          <w:szCs w:val="26"/>
        </w:rPr>
        <w:t xml:space="preserve">, </w:t>
      </w:r>
      <w:r w:rsidR="00CB39A9">
        <w:rPr>
          <w:color w:val="000000"/>
          <w:sz w:val="26"/>
          <w:szCs w:val="26"/>
        </w:rPr>
        <w:t>Anthony Venini</w:t>
      </w:r>
      <w:r w:rsidR="00AD3DE3" w:rsidRPr="00AD3DE3">
        <w:rPr>
          <w:color w:val="000000"/>
          <w:sz w:val="26"/>
          <w:szCs w:val="26"/>
        </w:rPr>
        <w:t xml:space="preserve"> (Complainant or Mr.</w:t>
      </w:r>
      <w:r w:rsidR="00CB39A9">
        <w:rPr>
          <w:color w:val="000000"/>
          <w:sz w:val="26"/>
          <w:szCs w:val="26"/>
        </w:rPr>
        <w:t xml:space="preserve"> Venini</w:t>
      </w:r>
      <w:r w:rsidR="00AD3DE3" w:rsidRPr="00AD3DE3">
        <w:rPr>
          <w:color w:val="000000"/>
          <w:sz w:val="26"/>
          <w:szCs w:val="26"/>
        </w:rPr>
        <w:t xml:space="preserve">) filed a </w:t>
      </w:r>
      <w:r>
        <w:rPr>
          <w:color w:val="000000"/>
          <w:sz w:val="26"/>
          <w:szCs w:val="26"/>
        </w:rPr>
        <w:t>F</w:t>
      </w:r>
      <w:r w:rsidR="00AD3DE3" w:rsidRPr="00AD3DE3">
        <w:rPr>
          <w:color w:val="000000"/>
          <w:sz w:val="26"/>
          <w:szCs w:val="26"/>
        </w:rPr>
        <w:t xml:space="preserve">ormal </w:t>
      </w:r>
      <w:r>
        <w:rPr>
          <w:color w:val="000000"/>
          <w:sz w:val="26"/>
          <w:szCs w:val="26"/>
        </w:rPr>
        <w:t>C</w:t>
      </w:r>
      <w:r w:rsidR="00AD3DE3" w:rsidRPr="00AD3DE3">
        <w:rPr>
          <w:color w:val="000000"/>
          <w:sz w:val="26"/>
          <w:szCs w:val="26"/>
        </w:rPr>
        <w:t>omplaint (</w:t>
      </w:r>
      <w:r w:rsidR="002C1950">
        <w:rPr>
          <w:color w:val="000000"/>
          <w:sz w:val="26"/>
          <w:szCs w:val="26"/>
        </w:rPr>
        <w:t>C</w:t>
      </w:r>
      <w:r w:rsidR="00AD3DE3" w:rsidRPr="00AD3DE3">
        <w:rPr>
          <w:color w:val="000000"/>
          <w:sz w:val="26"/>
          <w:szCs w:val="26"/>
        </w:rPr>
        <w:t>omplaint) against</w:t>
      </w:r>
      <w:r w:rsidR="00CB39A9">
        <w:rPr>
          <w:color w:val="000000"/>
          <w:sz w:val="26"/>
          <w:szCs w:val="26"/>
        </w:rPr>
        <w:t xml:space="preserve"> PPL Electric Utilities Corporation</w:t>
      </w:r>
      <w:r w:rsidR="00AD3DE3" w:rsidRPr="00AD3DE3">
        <w:rPr>
          <w:color w:val="000000"/>
          <w:sz w:val="26"/>
          <w:szCs w:val="26"/>
        </w:rPr>
        <w:t xml:space="preserve"> (</w:t>
      </w:r>
      <w:r w:rsidR="00CB39A9">
        <w:rPr>
          <w:color w:val="000000"/>
          <w:sz w:val="26"/>
          <w:szCs w:val="26"/>
        </w:rPr>
        <w:t>PPL</w:t>
      </w:r>
      <w:r w:rsidR="00563536">
        <w:rPr>
          <w:color w:val="000000"/>
          <w:sz w:val="26"/>
          <w:szCs w:val="26"/>
        </w:rPr>
        <w:t xml:space="preserve"> or the Company</w:t>
      </w:r>
      <w:r w:rsidR="00AD3DE3" w:rsidRPr="00AD3DE3">
        <w:rPr>
          <w:color w:val="000000"/>
          <w:sz w:val="26"/>
          <w:szCs w:val="26"/>
        </w:rPr>
        <w:t>)</w:t>
      </w:r>
      <w:r w:rsidR="00DB5FF1">
        <w:rPr>
          <w:color w:val="000000"/>
          <w:sz w:val="26"/>
          <w:szCs w:val="26"/>
        </w:rPr>
        <w:t xml:space="preserve"> seeking</w:t>
      </w:r>
      <w:r w:rsidR="00CB39A9">
        <w:rPr>
          <w:color w:val="000000"/>
          <w:sz w:val="26"/>
          <w:szCs w:val="26"/>
        </w:rPr>
        <w:t xml:space="preserve"> to prevent installation of </w:t>
      </w:r>
      <w:r w:rsidR="00D02297">
        <w:rPr>
          <w:color w:val="000000"/>
          <w:sz w:val="26"/>
          <w:szCs w:val="26"/>
        </w:rPr>
        <w:t xml:space="preserve">a </w:t>
      </w:r>
      <w:r w:rsidR="00CB39A9">
        <w:rPr>
          <w:color w:val="000000"/>
          <w:sz w:val="26"/>
          <w:szCs w:val="26"/>
        </w:rPr>
        <w:t>smart meter at his residence, 1094 Graber Road, Red Hill, Montgomery County, Pennsylvania (Service Address)</w:t>
      </w:r>
      <w:r w:rsidR="00DB5FF1">
        <w:rPr>
          <w:color w:val="000000"/>
          <w:sz w:val="26"/>
          <w:szCs w:val="26"/>
        </w:rPr>
        <w:t xml:space="preserve">.  </w:t>
      </w:r>
      <w:r w:rsidR="00CB39A9">
        <w:rPr>
          <w:color w:val="000000"/>
          <w:sz w:val="26"/>
          <w:szCs w:val="26"/>
        </w:rPr>
        <w:t xml:space="preserve">The Complainant alleged that PPL is threatening to terminate his electric service due to his refusal to allow the Company </w:t>
      </w:r>
      <w:r w:rsidR="00083CD8">
        <w:rPr>
          <w:color w:val="000000"/>
          <w:sz w:val="26"/>
          <w:szCs w:val="26"/>
        </w:rPr>
        <w:t>to install</w:t>
      </w:r>
      <w:r w:rsidR="00CB39A9">
        <w:rPr>
          <w:color w:val="000000"/>
          <w:sz w:val="26"/>
          <w:szCs w:val="26"/>
        </w:rPr>
        <w:t xml:space="preserve"> a smart meter.  Mr. Venini averred that he has electromagnetic hypersensitivity and wants to keep an analog meter because</w:t>
      </w:r>
      <w:r w:rsidR="00006A99">
        <w:rPr>
          <w:color w:val="000000"/>
          <w:sz w:val="26"/>
          <w:szCs w:val="26"/>
        </w:rPr>
        <w:t xml:space="preserve"> of</w:t>
      </w:r>
      <w:r w:rsidR="00CB39A9">
        <w:rPr>
          <w:color w:val="000000"/>
          <w:sz w:val="26"/>
          <w:szCs w:val="26"/>
        </w:rPr>
        <w:t xml:space="preserve"> the radio </w:t>
      </w:r>
      <w:r w:rsidR="00083CD8">
        <w:rPr>
          <w:color w:val="000000"/>
          <w:sz w:val="26"/>
          <w:szCs w:val="26"/>
        </w:rPr>
        <w:t>frequency (RF) radiation emitted by a smart meter.  The Complainant also alleged incorrect charges on his account.  According to the Complainant,</w:t>
      </w:r>
      <w:r w:rsidR="00B61F91">
        <w:rPr>
          <w:color w:val="000000"/>
          <w:sz w:val="26"/>
          <w:szCs w:val="26"/>
        </w:rPr>
        <w:t xml:space="preserve"> in response to his </w:t>
      </w:r>
      <w:r w:rsidR="00083CD8">
        <w:rPr>
          <w:color w:val="000000"/>
          <w:sz w:val="26"/>
          <w:szCs w:val="26"/>
        </w:rPr>
        <w:t>complaint about the incorrect charges</w:t>
      </w:r>
      <w:r w:rsidR="00D02297">
        <w:rPr>
          <w:color w:val="000000"/>
          <w:sz w:val="26"/>
          <w:szCs w:val="26"/>
        </w:rPr>
        <w:t>,</w:t>
      </w:r>
      <w:r w:rsidR="00083CD8">
        <w:rPr>
          <w:color w:val="000000"/>
          <w:sz w:val="26"/>
          <w:szCs w:val="26"/>
        </w:rPr>
        <w:t xml:space="preserve"> PPL sent him several reimbursement checks</w:t>
      </w:r>
      <w:r w:rsidR="00B61F91">
        <w:rPr>
          <w:color w:val="000000"/>
          <w:sz w:val="26"/>
          <w:szCs w:val="26"/>
        </w:rPr>
        <w:t xml:space="preserve"> </w:t>
      </w:r>
      <w:r w:rsidR="00083CD8">
        <w:rPr>
          <w:color w:val="000000"/>
          <w:sz w:val="26"/>
          <w:szCs w:val="26"/>
        </w:rPr>
        <w:t xml:space="preserve">but the check amounts were less than the overcharges on his bills.  </w:t>
      </w:r>
      <w:r>
        <w:rPr>
          <w:color w:val="000000"/>
          <w:sz w:val="26"/>
          <w:szCs w:val="26"/>
        </w:rPr>
        <w:t xml:space="preserve">Complaint at </w:t>
      </w:r>
      <w:r w:rsidR="00DB5FF1">
        <w:rPr>
          <w:color w:val="000000"/>
          <w:sz w:val="26"/>
          <w:szCs w:val="26"/>
        </w:rPr>
        <w:t>2</w:t>
      </w:r>
      <w:r w:rsidR="00083CD8">
        <w:rPr>
          <w:color w:val="000000"/>
          <w:sz w:val="26"/>
          <w:szCs w:val="26"/>
        </w:rPr>
        <w:t xml:space="preserve">.  For relief, the </w:t>
      </w:r>
      <w:r w:rsidR="00083CD8" w:rsidRPr="00AD3DE3">
        <w:rPr>
          <w:color w:val="000000"/>
          <w:sz w:val="26"/>
          <w:szCs w:val="26"/>
        </w:rPr>
        <w:t>Complainant requested</w:t>
      </w:r>
      <w:r w:rsidR="00083CD8">
        <w:rPr>
          <w:color w:val="000000"/>
          <w:sz w:val="26"/>
          <w:szCs w:val="26"/>
        </w:rPr>
        <w:t>, among other things, that PPL</w:t>
      </w:r>
      <w:r w:rsidR="00B61F91">
        <w:rPr>
          <w:color w:val="000000"/>
          <w:sz w:val="26"/>
          <w:szCs w:val="26"/>
        </w:rPr>
        <w:t xml:space="preserve"> should refrain </w:t>
      </w:r>
      <w:r w:rsidR="00083CD8">
        <w:rPr>
          <w:color w:val="000000"/>
          <w:sz w:val="26"/>
          <w:szCs w:val="26"/>
        </w:rPr>
        <w:t xml:space="preserve">from installing a smart meter at the Service Address and </w:t>
      </w:r>
      <w:r w:rsidR="00B32694">
        <w:rPr>
          <w:color w:val="000000"/>
          <w:sz w:val="26"/>
          <w:szCs w:val="26"/>
        </w:rPr>
        <w:t xml:space="preserve">also requested </w:t>
      </w:r>
      <w:r w:rsidR="00083CD8">
        <w:rPr>
          <w:color w:val="000000"/>
          <w:sz w:val="26"/>
          <w:szCs w:val="26"/>
        </w:rPr>
        <w:t>financial reimbursement for the overcharges.  Complaint at 3.</w:t>
      </w:r>
      <w:r w:rsidR="00115B22">
        <w:rPr>
          <w:color w:val="000000"/>
          <w:sz w:val="26"/>
          <w:szCs w:val="26"/>
        </w:rPr>
        <w:t xml:space="preserve">  </w:t>
      </w:r>
    </w:p>
    <w:p w14:paraId="73F9D909" w14:textId="77777777" w:rsidR="00E43E34" w:rsidRDefault="00AD3DE3" w:rsidP="00AD3DE3">
      <w:pPr>
        <w:spacing w:before="415" w:line="360" w:lineRule="auto"/>
        <w:ind w:firstLine="1440"/>
        <w:textAlignment w:val="baseline"/>
        <w:rPr>
          <w:color w:val="000000"/>
          <w:sz w:val="26"/>
          <w:szCs w:val="26"/>
        </w:rPr>
      </w:pPr>
      <w:r w:rsidRPr="00AD3DE3">
        <w:rPr>
          <w:color w:val="000000"/>
          <w:sz w:val="26"/>
          <w:szCs w:val="26"/>
        </w:rPr>
        <w:t>On</w:t>
      </w:r>
      <w:r w:rsidR="0060395B">
        <w:rPr>
          <w:color w:val="000000"/>
          <w:sz w:val="26"/>
          <w:szCs w:val="26"/>
        </w:rPr>
        <w:t xml:space="preserve"> December </w:t>
      </w:r>
      <w:r w:rsidR="00D1192D">
        <w:rPr>
          <w:color w:val="000000"/>
          <w:sz w:val="26"/>
          <w:szCs w:val="26"/>
        </w:rPr>
        <w:t>28</w:t>
      </w:r>
      <w:r w:rsidR="0060395B">
        <w:rPr>
          <w:color w:val="000000"/>
          <w:sz w:val="26"/>
          <w:szCs w:val="26"/>
        </w:rPr>
        <w:t xml:space="preserve">, 2018, </w:t>
      </w:r>
      <w:r w:rsidR="000362A1">
        <w:rPr>
          <w:color w:val="000000"/>
          <w:sz w:val="26"/>
          <w:szCs w:val="26"/>
        </w:rPr>
        <w:t xml:space="preserve">PPL </w:t>
      </w:r>
      <w:r w:rsidR="00016820">
        <w:rPr>
          <w:color w:val="000000"/>
          <w:sz w:val="26"/>
          <w:szCs w:val="26"/>
        </w:rPr>
        <w:t xml:space="preserve">filed an Answer </w:t>
      </w:r>
      <w:r w:rsidR="0060395B">
        <w:rPr>
          <w:color w:val="000000"/>
          <w:sz w:val="26"/>
          <w:szCs w:val="26"/>
        </w:rPr>
        <w:t>in which it admitted and denied certain allegations in the Complaint (Answer).</w:t>
      </w:r>
      <w:r w:rsidR="002D0967">
        <w:rPr>
          <w:rStyle w:val="FootnoteReference"/>
          <w:color w:val="000000"/>
        </w:rPr>
        <w:footnoteReference w:id="1"/>
      </w:r>
      <w:r w:rsidR="0060395B">
        <w:rPr>
          <w:color w:val="000000"/>
          <w:sz w:val="26"/>
          <w:szCs w:val="26"/>
        </w:rPr>
        <w:t xml:space="preserve">  PPL </w:t>
      </w:r>
      <w:r w:rsidR="00016820">
        <w:rPr>
          <w:color w:val="000000"/>
          <w:sz w:val="26"/>
          <w:szCs w:val="26"/>
        </w:rPr>
        <w:t>admitt</w:t>
      </w:r>
      <w:r w:rsidR="0060395B">
        <w:rPr>
          <w:color w:val="000000"/>
          <w:sz w:val="26"/>
          <w:szCs w:val="26"/>
        </w:rPr>
        <w:t>ed</w:t>
      </w:r>
      <w:r w:rsidR="00016820">
        <w:rPr>
          <w:color w:val="000000"/>
          <w:sz w:val="26"/>
          <w:szCs w:val="26"/>
        </w:rPr>
        <w:t xml:space="preserve"> </w:t>
      </w:r>
      <w:r w:rsidR="0060395B">
        <w:rPr>
          <w:color w:val="000000"/>
          <w:sz w:val="26"/>
          <w:szCs w:val="26"/>
        </w:rPr>
        <w:t>it</w:t>
      </w:r>
      <w:r w:rsidR="000362A1">
        <w:rPr>
          <w:color w:val="000000"/>
          <w:sz w:val="26"/>
          <w:szCs w:val="26"/>
        </w:rPr>
        <w:t xml:space="preserve"> </w:t>
      </w:r>
      <w:r w:rsidR="0060395B">
        <w:rPr>
          <w:color w:val="000000"/>
          <w:sz w:val="26"/>
          <w:szCs w:val="26"/>
        </w:rPr>
        <w:t>attempted to install a new automated metering infrastructure (AMI) meter or smart meter at the Service Address and had sent a termination notice to the Complainant for failure to provide access to install</w:t>
      </w:r>
      <w:r w:rsidR="00836DC7">
        <w:rPr>
          <w:color w:val="000000"/>
          <w:sz w:val="26"/>
          <w:szCs w:val="26"/>
        </w:rPr>
        <w:t xml:space="preserve"> a smart </w:t>
      </w:r>
      <w:r w:rsidR="0060395B">
        <w:rPr>
          <w:color w:val="000000"/>
          <w:sz w:val="26"/>
          <w:szCs w:val="26"/>
        </w:rPr>
        <w:t>meter</w:t>
      </w:r>
      <w:r w:rsidR="007F4FDC">
        <w:rPr>
          <w:color w:val="000000"/>
          <w:sz w:val="26"/>
          <w:szCs w:val="26"/>
        </w:rPr>
        <w:t xml:space="preserve"> at the Service Address</w:t>
      </w:r>
      <w:r w:rsidR="0060395B">
        <w:rPr>
          <w:color w:val="000000"/>
          <w:sz w:val="26"/>
          <w:szCs w:val="26"/>
        </w:rPr>
        <w:t>.</w:t>
      </w:r>
      <w:r w:rsidR="007E0EEA">
        <w:rPr>
          <w:color w:val="000000"/>
          <w:sz w:val="26"/>
          <w:szCs w:val="26"/>
        </w:rPr>
        <w:t xml:space="preserve">  </w:t>
      </w:r>
      <w:r w:rsidR="0060395B">
        <w:rPr>
          <w:color w:val="000000"/>
          <w:sz w:val="26"/>
          <w:szCs w:val="26"/>
        </w:rPr>
        <w:t>PPL</w:t>
      </w:r>
      <w:r w:rsidR="007E0EEA">
        <w:rPr>
          <w:color w:val="000000"/>
          <w:sz w:val="26"/>
          <w:szCs w:val="26"/>
        </w:rPr>
        <w:t xml:space="preserve"> however</w:t>
      </w:r>
      <w:r w:rsidR="0060395B">
        <w:rPr>
          <w:color w:val="000000"/>
          <w:sz w:val="26"/>
          <w:szCs w:val="26"/>
        </w:rPr>
        <w:t xml:space="preserve"> denied the termination notice was unlawful because </w:t>
      </w:r>
      <w:r w:rsidR="00BE2299">
        <w:rPr>
          <w:color w:val="000000"/>
          <w:sz w:val="26"/>
          <w:szCs w:val="26"/>
        </w:rPr>
        <w:t xml:space="preserve">according to PPL, </w:t>
      </w:r>
      <w:r w:rsidR="0060395B">
        <w:rPr>
          <w:color w:val="000000"/>
          <w:sz w:val="26"/>
          <w:szCs w:val="26"/>
        </w:rPr>
        <w:t>the Company is legally required to install AMI meters.  PPL also denied that the AMI meter is a health hazard or an invasion of privacy</w:t>
      </w:r>
      <w:r w:rsidR="00E43E34">
        <w:rPr>
          <w:color w:val="000000"/>
          <w:sz w:val="26"/>
          <w:szCs w:val="26"/>
        </w:rPr>
        <w:t xml:space="preserve">.  Answer at 1-5.  </w:t>
      </w:r>
    </w:p>
    <w:p w14:paraId="53081AB1" w14:textId="77777777" w:rsidR="00E43E34" w:rsidRDefault="00E43E34" w:rsidP="00AD3DE3">
      <w:pPr>
        <w:spacing w:before="415" w:line="360" w:lineRule="auto"/>
        <w:ind w:firstLine="1440"/>
        <w:textAlignment w:val="baseline"/>
        <w:rPr>
          <w:color w:val="000000"/>
          <w:sz w:val="26"/>
          <w:szCs w:val="26"/>
        </w:rPr>
      </w:pPr>
      <w:r>
        <w:rPr>
          <w:color w:val="000000"/>
          <w:sz w:val="26"/>
          <w:szCs w:val="26"/>
        </w:rPr>
        <w:lastRenderedPageBreak/>
        <w:t xml:space="preserve">PPL further denied that there are incorrect charges on the Complainant’s bill or that the Company overcharged the Complainant.  PPL argued it properly charged the Complainant for his electric service based on his electric consumption.  PPL </w:t>
      </w:r>
      <w:r w:rsidR="000843CA">
        <w:rPr>
          <w:color w:val="000000"/>
          <w:sz w:val="26"/>
          <w:szCs w:val="26"/>
        </w:rPr>
        <w:t xml:space="preserve">also </w:t>
      </w:r>
      <w:r>
        <w:rPr>
          <w:color w:val="000000"/>
          <w:sz w:val="26"/>
          <w:szCs w:val="26"/>
        </w:rPr>
        <w:t>denied sending checks to the Complainant for any alleged overcharges.  According to PPL, it has no record of such checks and that its practice is to credit customer accounts directly rather than to issue checks to customers.  PPL</w:t>
      </w:r>
      <w:r w:rsidR="000843CA">
        <w:rPr>
          <w:color w:val="000000"/>
          <w:sz w:val="26"/>
          <w:szCs w:val="26"/>
        </w:rPr>
        <w:t xml:space="preserve"> </w:t>
      </w:r>
      <w:r>
        <w:rPr>
          <w:color w:val="000000"/>
          <w:sz w:val="26"/>
          <w:szCs w:val="26"/>
        </w:rPr>
        <w:t xml:space="preserve">stated that to the extent that the Complainant’s electric generation supplier sent him checks, PPL would have no record of those checks being sent.  Answer at 5. </w:t>
      </w:r>
    </w:p>
    <w:p w14:paraId="78F4CBD8" w14:textId="77777777" w:rsidR="0086163E" w:rsidRPr="0086163E" w:rsidRDefault="0086163E" w:rsidP="00AD3DE3">
      <w:pPr>
        <w:spacing w:before="415" w:line="360" w:lineRule="auto"/>
        <w:ind w:firstLine="1440"/>
        <w:textAlignment w:val="baseline"/>
        <w:rPr>
          <w:sz w:val="26"/>
          <w:szCs w:val="26"/>
        </w:rPr>
      </w:pPr>
      <w:r w:rsidRPr="0086163E">
        <w:rPr>
          <w:sz w:val="26"/>
          <w:szCs w:val="26"/>
        </w:rPr>
        <w:t xml:space="preserve">On January 10, 2019, a Notice was issued scheduling a telephonic evidentiary hearing for July 1, 2019. </w:t>
      </w:r>
    </w:p>
    <w:p w14:paraId="623D0B9D" w14:textId="77777777" w:rsidR="001429E5" w:rsidRDefault="0086163E" w:rsidP="00AD3DE3">
      <w:pPr>
        <w:spacing w:before="415" w:line="360" w:lineRule="auto"/>
        <w:ind w:firstLine="1440"/>
        <w:textAlignment w:val="baseline"/>
        <w:rPr>
          <w:sz w:val="26"/>
          <w:szCs w:val="26"/>
        </w:rPr>
      </w:pPr>
      <w:r w:rsidRPr="0086163E">
        <w:rPr>
          <w:sz w:val="26"/>
          <w:szCs w:val="26"/>
        </w:rPr>
        <w:t xml:space="preserve">On January 17, 2019, a Prehearing Order was issued establishing procedural rules as well as a deadline for </w:t>
      </w:r>
      <w:r w:rsidR="00A01E03">
        <w:rPr>
          <w:sz w:val="26"/>
          <w:szCs w:val="26"/>
        </w:rPr>
        <w:t xml:space="preserve">the </w:t>
      </w:r>
      <w:r w:rsidRPr="0086163E">
        <w:rPr>
          <w:sz w:val="26"/>
          <w:szCs w:val="26"/>
        </w:rPr>
        <w:t xml:space="preserve">Complainant to serve PPL </w:t>
      </w:r>
      <w:r w:rsidR="00D02297">
        <w:rPr>
          <w:sz w:val="26"/>
          <w:szCs w:val="26"/>
        </w:rPr>
        <w:t xml:space="preserve">with </w:t>
      </w:r>
      <w:r w:rsidRPr="0086163E">
        <w:rPr>
          <w:sz w:val="26"/>
          <w:szCs w:val="26"/>
        </w:rPr>
        <w:t>his expert witness’ written testimony and exhibits by April 1, 2019.</w:t>
      </w:r>
      <w:r w:rsidR="001429E5">
        <w:rPr>
          <w:sz w:val="26"/>
          <w:szCs w:val="26"/>
        </w:rPr>
        <w:t xml:space="preserve">  The </w:t>
      </w:r>
      <w:r w:rsidRPr="0086163E">
        <w:rPr>
          <w:sz w:val="26"/>
          <w:szCs w:val="26"/>
        </w:rPr>
        <w:t>Complainant did not serve any list of witnesses, written testimony or exhibits by</w:t>
      </w:r>
      <w:r w:rsidR="00A01E03">
        <w:rPr>
          <w:sz w:val="26"/>
          <w:szCs w:val="26"/>
        </w:rPr>
        <w:t xml:space="preserve"> the</w:t>
      </w:r>
      <w:r w:rsidRPr="0086163E">
        <w:rPr>
          <w:sz w:val="26"/>
          <w:szCs w:val="26"/>
        </w:rPr>
        <w:t xml:space="preserve"> April 1, 2019</w:t>
      </w:r>
      <w:r w:rsidR="00A01E03">
        <w:rPr>
          <w:sz w:val="26"/>
          <w:szCs w:val="26"/>
        </w:rPr>
        <w:t xml:space="preserve"> due date</w:t>
      </w:r>
      <w:r w:rsidRPr="0086163E">
        <w:rPr>
          <w:sz w:val="26"/>
          <w:szCs w:val="26"/>
        </w:rPr>
        <w:t xml:space="preserve">. </w:t>
      </w:r>
    </w:p>
    <w:p w14:paraId="5AF36079" w14:textId="77777777" w:rsidR="008806C8" w:rsidRPr="008806C8" w:rsidRDefault="008806C8" w:rsidP="00AD3DE3">
      <w:pPr>
        <w:spacing w:before="415" w:line="360" w:lineRule="auto"/>
        <w:ind w:firstLine="1440"/>
        <w:textAlignment w:val="baseline"/>
        <w:rPr>
          <w:sz w:val="26"/>
          <w:szCs w:val="26"/>
        </w:rPr>
      </w:pPr>
      <w:r w:rsidRPr="008806C8">
        <w:rPr>
          <w:sz w:val="26"/>
          <w:szCs w:val="26"/>
        </w:rPr>
        <w:t>On April 2, 2019, PPL served its Set I Interrogatories and Requests for Production of Documents (Set I</w:t>
      </w:r>
      <w:r w:rsidR="00461BBF">
        <w:rPr>
          <w:sz w:val="26"/>
          <w:szCs w:val="26"/>
        </w:rPr>
        <w:t xml:space="preserve"> Interrogatories</w:t>
      </w:r>
      <w:r w:rsidRPr="008806C8">
        <w:rPr>
          <w:sz w:val="26"/>
          <w:szCs w:val="26"/>
        </w:rPr>
        <w:t xml:space="preserve">) upon </w:t>
      </w:r>
      <w:r w:rsidR="008E41A1">
        <w:rPr>
          <w:sz w:val="26"/>
          <w:szCs w:val="26"/>
        </w:rPr>
        <w:t xml:space="preserve">the </w:t>
      </w:r>
      <w:r w:rsidRPr="008806C8">
        <w:rPr>
          <w:sz w:val="26"/>
          <w:szCs w:val="26"/>
        </w:rPr>
        <w:t>Complainant.  Objections, if any, were due by April 12, 2019, and responses were due on or before April 25, 2019.</w:t>
      </w:r>
      <w:r>
        <w:rPr>
          <w:sz w:val="26"/>
          <w:szCs w:val="26"/>
        </w:rPr>
        <w:t xml:space="preserve">  Mr. Venini did not serve objections or responses to PPL</w:t>
      </w:r>
      <w:r w:rsidR="001922ED">
        <w:rPr>
          <w:sz w:val="26"/>
          <w:szCs w:val="26"/>
        </w:rPr>
        <w:t>’s Set I Interrogatories</w:t>
      </w:r>
      <w:r>
        <w:rPr>
          <w:sz w:val="26"/>
          <w:szCs w:val="26"/>
        </w:rPr>
        <w:t>.</w:t>
      </w:r>
    </w:p>
    <w:p w14:paraId="45C8E503" w14:textId="77777777" w:rsidR="00F56D45" w:rsidRDefault="0086163E" w:rsidP="00AD3DE3">
      <w:pPr>
        <w:spacing w:before="415" w:line="360" w:lineRule="auto"/>
        <w:ind w:firstLine="1440"/>
        <w:textAlignment w:val="baseline"/>
        <w:rPr>
          <w:sz w:val="26"/>
          <w:szCs w:val="26"/>
        </w:rPr>
      </w:pPr>
      <w:r w:rsidRPr="0086163E">
        <w:rPr>
          <w:sz w:val="26"/>
          <w:szCs w:val="26"/>
        </w:rPr>
        <w:t>On June 24, 2019, PPL filed a request for a continuance of the hearing, which was granted.</w:t>
      </w:r>
      <w:r w:rsidR="008C5223">
        <w:rPr>
          <w:sz w:val="26"/>
          <w:szCs w:val="26"/>
        </w:rPr>
        <w:t xml:space="preserve">  </w:t>
      </w:r>
      <w:r w:rsidRPr="0086163E">
        <w:rPr>
          <w:sz w:val="26"/>
          <w:szCs w:val="26"/>
        </w:rPr>
        <w:t>The hearing was rescheduled to November 19, 2019</w:t>
      </w:r>
      <w:r w:rsidR="00F56D45">
        <w:rPr>
          <w:sz w:val="26"/>
          <w:szCs w:val="26"/>
        </w:rPr>
        <w:t>.</w:t>
      </w:r>
    </w:p>
    <w:p w14:paraId="470682E0" w14:textId="77777777" w:rsidR="00E43E34" w:rsidRDefault="00F56D45" w:rsidP="00AD3DE3">
      <w:pPr>
        <w:spacing w:before="415" w:line="360" w:lineRule="auto"/>
        <w:ind w:firstLine="1440"/>
        <w:textAlignment w:val="baseline"/>
        <w:rPr>
          <w:sz w:val="26"/>
          <w:szCs w:val="26"/>
        </w:rPr>
      </w:pPr>
      <w:r>
        <w:rPr>
          <w:sz w:val="26"/>
          <w:szCs w:val="26"/>
        </w:rPr>
        <w:t>On August 5, 2019, a</w:t>
      </w:r>
      <w:r w:rsidR="0086163E" w:rsidRPr="0086163E">
        <w:rPr>
          <w:sz w:val="26"/>
          <w:szCs w:val="26"/>
        </w:rPr>
        <w:t xml:space="preserve"> Second Prehearing Order was issued</w:t>
      </w:r>
      <w:r>
        <w:rPr>
          <w:sz w:val="26"/>
          <w:szCs w:val="26"/>
        </w:rPr>
        <w:t xml:space="preserve"> (Second Prehearing Order)</w:t>
      </w:r>
      <w:r w:rsidR="00B1056C">
        <w:rPr>
          <w:sz w:val="26"/>
          <w:szCs w:val="26"/>
        </w:rPr>
        <w:t xml:space="preserve"> </w:t>
      </w:r>
      <w:r w:rsidR="0086163E" w:rsidRPr="0086163E">
        <w:rPr>
          <w:sz w:val="26"/>
          <w:szCs w:val="26"/>
        </w:rPr>
        <w:t>directing</w:t>
      </w:r>
      <w:r w:rsidR="001E3411">
        <w:rPr>
          <w:sz w:val="26"/>
          <w:szCs w:val="26"/>
        </w:rPr>
        <w:t xml:space="preserve"> Mr. Venini</w:t>
      </w:r>
      <w:r w:rsidR="0086163E" w:rsidRPr="0086163E">
        <w:rPr>
          <w:sz w:val="26"/>
          <w:szCs w:val="26"/>
        </w:rPr>
        <w:t xml:space="preserve"> to serve </w:t>
      </w:r>
      <w:r w:rsidR="00FB6AD0" w:rsidRPr="0086163E">
        <w:rPr>
          <w:sz w:val="26"/>
          <w:szCs w:val="26"/>
        </w:rPr>
        <w:t>upon</w:t>
      </w:r>
      <w:r w:rsidR="00FB6AD0">
        <w:rPr>
          <w:sz w:val="26"/>
          <w:szCs w:val="26"/>
        </w:rPr>
        <w:t xml:space="preserve"> the Company </w:t>
      </w:r>
      <w:r w:rsidR="00FB6AD0" w:rsidRPr="0086163E">
        <w:rPr>
          <w:sz w:val="26"/>
          <w:szCs w:val="26"/>
        </w:rPr>
        <w:t>by September 16, 2019</w:t>
      </w:r>
      <w:r w:rsidR="00FB6AD0">
        <w:rPr>
          <w:sz w:val="26"/>
          <w:szCs w:val="26"/>
        </w:rPr>
        <w:t xml:space="preserve">, </w:t>
      </w:r>
      <w:r w:rsidR="0086163E" w:rsidRPr="0086163E">
        <w:rPr>
          <w:sz w:val="26"/>
          <w:szCs w:val="26"/>
        </w:rPr>
        <w:t>copies of statements, reports and any direct written testimony of any expert witnesses he intended to call at the hearing.</w:t>
      </w:r>
    </w:p>
    <w:p w14:paraId="5FD79C98" w14:textId="77777777" w:rsidR="00546543" w:rsidRDefault="008C5223" w:rsidP="00AD3DE3">
      <w:pPr>
        <w:spacing w:before="415" w:line="360" w:lineRule="auto"/>
        <w:ind w:firstLine="1440"/>
        <w:textAlignment w:val="baseline"/>
        <w:rPr>
          <w:sz w:val="26"/>
          <w:szCs w:val="26"/>
        </w:rPr>
      </w:pPr>
      <w:r w:rsidRPr="008C5223">
        <w:rPr>
          <w:sz w:val="26"/>
          <w:szCs w:val="26"/>
        </w:rPr>
        <w:lastRenderedPageBreak/>
        <w:t>On September 12, 2019, PPL filed a Motion to Compel</w:t>
      </w:r>
      <w:r>
        <w:rPr>
          <w:sz w:val="26"/>
          <w:szCs w:val="26"/>
        </w:rPr>
        <w:t xml:space="preserve">.  </w:t>
      </w:r>
      <w:r w:rsidR="00546543" w:rsidRPr="00546543">
        <w:rPr>
          <w:sz w:val="26"/>
          <w:szCs w:val="26"/>
        </w:rPr>
        <w:t>In its Motion to Compel, PPL sought an order compelling full responses to Set I Interrogatories Questions 1-7.</w:t>
      </w:r>
      <w:r w:rsidR="00546543">
        <w:rPr>
          <w:sz w:val="26"/>
          <w:szCs w:val="26"/>
        </w:rPr>
        <w:t xml:space="preserve">  </w:t>
      </w:r>
      <w:r w:rsidR="00546543" w:rsidRPr="00546543">
        <w:rPr>
          <w:sz w:val="26"/>
          <w:szCs w:val="26"/>
        </w:rPr>
        <w:t xml:space="preserve">Specifically, PPL requested information about </w:t>
      </w:r>
      <w:r w:rsidR="00546543">
        <w:rPr>
          <w:sz w:val="26"/>
          <w:szCs w:val="26"/>
        </w:rPr>
        <w:t xml:space="preserve">the </w:t>
      </w:r>
      <w:r w:rsidR="00546543" w:rsidRPr="00546543">
        <w:rPr>
          <w:sz w:val="26"/>
          <w:szCs w:val="26"/>
        </w:rPr>
        <w:t>Complainant’s above-mentioned allegations.</w:t>
      </w:r>
      <w:r w:rsidR="00546543">
        <w:rPr>
          <w:sz w:val="26"/>
          <w:szCs w:val="26"/>
        </w:rPr>
        <w:t xml:space="preserve">  </w:t>
      </w:r>
      <w:r w:rsidR="00546543" w:rsidRPr="00546543">
        <w:rPr>
          <w:sz w:val="26"/>
          <w:szCs w:val="26"/>
        </w:rPr>
        <w:t xml:space="preserve">PPL sought the identification of all wireless phones, cellphones, microwave ovens, wireless routers, wi-fi networks, tablets, computers, Bluetooth speakers, wireless security systems, smart speakers, garage door openers, baby monitors, and walkie talkies in the </w:t>
      </w:r>
      <w:r w:rsidR="003629BE">
        <w:rPr>
          <w:sz w:val="26"/>
          <w:szCs w:val="26"/>
        </w:rPr>
        <w:t>S</w:t>
      </w:r>
      <w:r w:rsidR="00546543" w:rsidRPr="00546543">
        <w:rPr>
          <w:sz w:val="26"/>
          <w:szCs w:val="26"/>
        </w:rPr>
        <w:t>ervice</w:t>
      </w:r>
      <w:r w:rsidR="003629BE">
        <w:rPr>
          <w:sz w:val="26"/>
          <w:szCs w:val="26"/>
        </w:rPr>
        <w:t xml:space="preserve"> Address</w:t>
      </w:r>
      <w:r w:rsidR="00546543" w:rsidRPr="00546543">
        <w:rPr>
          <w:sz w:val="26"/>
          <w:szCs w:val="26"/>
        </w:rPr>
        <w:t>.</w:t>
      </w:r>
      <w:r w:rsidR="00546543">
        <w:rPr>
          <w:sz w:val="26"/>
          <w:szCs w:val="26"/>
        </w:rPr>
        <w:t xml:space="preserve">  </w:t>
      </w:r>
      <w:r w:rsidR="00546543" w:rsidRPr="00546543">
        <w:rPr>
          <w:sz w:val="26"/>
          <w:szCs w:val="26"/>
        </w:rPr>
        <w:t xml:space="preserve">PPL requested the amount of cell phone usage and </w:t>
      </w:r>
      <w:r w:rsidR="00546543">
        <w:rPr>
          <w:sz w:val="26"/>
          <w:szCs w:val="26"/>
        </w:rPr>
        <w:t>twelve</w:t>
      </w:r>
      <w:r w:rsidR="00546543" w:rsidRPr="00546543">
        <w:rPr>
          <w:sz w:val="26"/>
          <w:szCs w:val="26"/>
        </w:rPr>
        <w:t xml:space="preserve"> months of phone bills showing usage.</w:t>
      </w:r>
      <w:r w:rsidR="00546543">
        <w:rPr>
          <w:sz w:val="26"/>
          <w:szCs w:val="26"/>
        </w:rPr>
        <w:t xml:space="preserve">  </w:t>
      </w:r>
      <w:r w:rsidR="00546543" w:rsidRPr="00546543">
        <w:rPr>
          <w:sz w:val="26"/>
          <w:szCs w:val="26"/>
        </w:rPr>
        <w:t xml:space="preserve">PPL requested medical records, medical diagnoses and/or prescribed treatment of therapy associated with the medical conditions </w:t>
      </w:r>
      <w:r w:rsidR="003629BE">
        <w:rPr>
          <w:sz w:val="26"/>
          <w:szCs w:val="26"/>
        </w:rPr>
        <w:t xml:space="preserve">the </w:t>
      </w:r>
      <w:r w:rsidR="00546543" w:rsidRPr="00546543">
        <w:rPr>
          <w:sz w:val="26"/>
          <w:szCs w:val="26"/>
        </w:rPr>
        <w:t>Complainant alleges result from exposure to meters.</w:t>
      </w:r>
      <w:r w:rsidR="00546543">
        <w:rPr>
          <w:sz w:val="26"/>
          <w:szCs w:val="26"/>
        </w:rPr>
        <w:t xml:space="preserve">  </w:t>
      </w:r>
      <w:r w:rsidR="00546543" w:rsidRPr="00546543">
        <w:rPr>
          <w:sz w:val="26"/>
          <w:szCs w:val="26"/>
        </w:rPr>
        <w:t xml:space="preserve">PPL requested the identification of every witness </w:t>
      </w:r>
      <w:r w:rsidR="00546543">
        <w:rPr>
          <w:sz w:val="26"/>
          <w:szCs w:val="26"/>
        </w:rPr>
        <w:t xml:space="preserve">the </w:t>
      </w:r>
      <w:r w:rsidR="00546543" w:rsidRPr="00546543">
        <w:rPr>
          <w:sz w:val="26"/>
          <w:szCs w:val="26"/>
        </w:rPr>
        <w:t>Complainant intended to call at the hearing, the curriculum vitae of the witness, subject matter and sources of information relied upon or referenced in the witness’ testimony.</w:t>
      </w:r>
      <w:r w:rsidR="00546543">
        <w:rPr>
          <w:sz w:val="26"/>
          <w:szCs w:val="26"/>
        </w:rPr>
        <w:t xml:space="preserve">  </w:t>
      </w:r>
      <w:r w:rsidR="00546543" w:rsidRPr="00546543">
        <w:rPr>
          <w:sz w:val="26"/>
          <w:szCs w:val="26"/>
        </w:rPr>
        <w:t xml:space="preserve">Finally, PPL requested copies of all exhibits </w:t>
      </w:r>
      <w:r w:rsidR="003629BE">
        <w:rPr>
          <w:sz w:val="26"/>
          <w:szCs w:val="26"/>
        </w:rPr>
        <w:t xml:space="preserve">the </w:t>
      </w:r>
      <w:r w:rsidR="00546543" w:rsidRPr="00546543">
        <w:rPr>
          <w:sz w:val="26"/>
          <w:szCs w:val="26"/>
        </w:rPr>
        <w:t>Complainant intended to present at the evidentiary hearing.</w:t>
      </w:r>
      <w:r w:rsidR="00546543">
        <w:rPr>
          <w:sz w:val="26"/>
          <w:szCs w:val="26"/>
        </w:rPr>
        <w:t xml:space="preserve">  </w:t>
      </w:r>
    </w:p>
    <w:p w14:paraId="6D9F6F86" w14:textId="77777777" w:rsidR="008C5223" w:rsidRDefault="00790BCE" w:rsidP="00AD3DE3">
      <w:pPr>
        <w:spacing w:before="415" w:line="360" w:lineRule="auto"/>
        <w:ind w:firstLine="1440"/>
        <w:textAlignment w:val="baseline"/>
        <w:rPr>
          <w:sz w:val="23"/>
          <w:szCs w:val="23"/>
        </w:rPr>
      </w:pPr>
      <w:r>
        <w:rPr>
          <w:sz w:val="26"/>
          <w:szCs w:val="26"/>
        </w:rPr>
        <w:t>On September 30, 2019, the Commission issued an Order granting the</w:t>
      </w:r>
      <w:r w:rsidR="008C5223" w:rsidRPr="008C5223">
        <w:rPr>
          <w:sz w:val="26"/>
          <w:szCs w:val="26"/>
        </w:rPr>
        <w:t xml:space="preserve"> Motion to Compel</w:t>
      </w:r>
      <w:r>
        <w:rPr>
          <w:sz w:val="26"/>
          <w:szCs w:val="26"/>
        </w:rPr>
        <w:t xml:space="preserve"> (Motion to Compel Order).  The</w:t>
      </w:r>
      <w:r w:rsidR="00705187">
        <w:rPr>
          <w:sz w:val="26"/>
          <w:szCs w:val="26"/>
        </w:rPr>
        <w:t xml:space="preserve"> </w:t>
      </w:r>
      <w:r>
        <w:rPr>
          <w:sz w:val="26"/>
          <w:szCs w:val="26"/>
        </w:rPr>
        <w:t xml:space="preserve">Motion to Compel Order </w:t>
      </w:r>
      <w:r w:rsidR="008C5223" w:rsidRPr="008C5223">
        <w:rPr>
          <w:sz w:val="26"/>
          <w:szCs w:val="26"/>
        </w:rPr>
        <w:t>compell</w:t>
      </w:r>
      <w:r>
        <w:rPr>
          <w:sz w:val="26"/>
          <w:szCs w:val="26"/>
        </w:rPr>
        <w:t>ed</w:t>
      </w:r>
      <w:r w:rsidR="00833D04">
        <w:rPr>
          <w:sz w:val="26"/>
          <w:szCs w:val="26"/>
        </w:rPr>
        <w:t xml:space="preserve"> the Complainant</w:t>
      </w:r>
      <w:r w:rsidR="008C5223" w:rsidRPr="008C5223">
        <w:rPr>
          <w:sz w:val="26"/>
          <w:szCs w:val="26"/>
        </w:rPr>
        <w:t xml:space="preserve"> to answer Set I Interrogatories Questions 1-7 by October 20, 2019.</w:t>
      </w:r>
      <w:r w:rsidR="008C5223">
        <w:rPr>
          <w:sz w:val="26"/>
          <w:szCs w:val="26"/>
        </w:rPr>
        <w:t xml:space="preserve">  Mr. Venini did not serve </w:t>
      </w:r>
      <w:r w:rsidR="008C5223" w:rsidRPr="008C5223">
        <w:rPr>
          <w:sz w:val="26"/>
          <w:szCs w:val="26"/>
        </w:rPr>
        <w:t>any statements, reports or direct testimony of any expert witness t</w:t>
      </w:r>
      <w:r w:rsidR="008C5223">
        <w:rPr>
          <w:sz w:val="26"/>
          <w:szCs w:val="26"/>
        </w:rPr>
        <w:t>o</w:t>
      </w:r>
      <w:r>
        <w:rPr>
          <w:sz w:val="26"/>
          <w:szCs w:val="26"/>
        </w:rPr>
        <w:t xml:space="preserve"> PPL</w:t>
      </w:r>
      <w:r w:rsidR="00625E58">
        <w:rPr>
          <w:sz w:val="26"/>
          <w:szCs w:val="26"/>
        </w:rPr>
        <w:t xml:space="preserve"> and</w:t>
      </w:r>
      <w:r w:rsidR="008C5223">
        <w:rPr>
          <w:sz w:val="26"/>
          <w:szCs w:val="26"/>
        </w:rPr>
        <w:t xml:space="preserve"> did not </w:t>
      </w:r>
      <w:r w:rsidR="008C5223" w:rsidRPr="008C5223">
        <w:rPr>
          <w:sz w:val="26"/>
          <w:szCs w:val="26"/>
        </w:rPr>
        <w:t>compl</w:t>
      </w:r>
      <w:r w:rsidR="008C5223">
        <w:rPr>
          <w:sz w:val="26"/>
          <w:szCs w:val="26"/>
        </w:rPr>
        <w:t>y</w:t>
      </w:r>
      <w:r w:rsidR="008C5223" w:rsidRPr="008C5223">
        <w:rPr>
          <w:sz w:val="26"/>
          <w:szCs w:val="26"/>
        </w:rPr>
        <w:t xml:space="preserve"> with the </w:t>
      </w:r>
      <w:r>
        <w:rPr>
          <w:sz w:val="26"/>
          <w:szCs w:val="26"/>
        </w:rPr>
        <w:t xml:space="preserve">Motion to Compel Order </w:t>
      </w:r>
      <w:r w:rsidR="008C5223" w:rsidRPr="008C5223">
        <w:rPr>
          <w:sz w:val="26"/>
          <w:szCs w:val="26"/>
        </w:rPr>
        <w:t>pursuant to 52 Pa. Code § 5.321</w:t>
      </w:r>
      <w:r w:rsidR="008C5223">
        <w:rPr>
          <w:sz w:val="23"/>
          <w:szCs w:val="23"/>
        </w:rPr>
        <w:t>.</w:t>
      </w:r>
    </w:p>
    <w:p w14:paraId="18864EA2" w14:textId="40DC0970" w:rsidR="00942E39" w:rsidRPr="00942E39" w:rsidRDefault="004F2030" w:rsidP="00790BCE">
      <w:pPr>
        <w:spacing w:before="415" w:line="360" w:lineRule="auto"/>
        <w:ind w:firstLine="1440"/>
        <w:textAlignment w:val="baseline"/>
        <w:rPr>
          <w:color w:val="000000"/>
          <w:sz w:val="26"/>
          <w:szCs w:val="26"/>
        </w:rPr>
      </w:pPr>
      <w:r w:rsidRPr="004F2030">
        <w:rPr>
          <w:sz w:val="26"/>
          <w:szCs w:val="26"/>
        </w:rPr>
        <w:t>On October 21, 2019,</w:t>
      </w:r>
      <w:r>
        <w:rPr>
          <w:sz w:val="26"/>
          <w:szCs w:val="26"/>
        </w:rPr>
        <w:t xml:space="preserve"> PPL </w:t>
      </w:r>
      <w:r w:rsidRPr="004F2030">
        <w:rPr>
          <w:sz w:val="26"/>
          <w:szCs w:val="26"/>
        </w:rPr>
        <w:t>filed a Motion to Dismiss the</w:t>
      </w:r>
      <w:r>
        <w:rPr>
          <w:sz w:val="26"/>
          <w:szCs w:val="26"/>
        </w:rPr>
        <w:t xml:space="preserve"> </w:t>
      </w:r>
      <w:r w:rsidRPr="004F2030">
        <w:rPr>
          <w:sz w:val="26"/>
          <w:szCs w:val="26"/>
        </w:rPr>
        <w:t xml:space="preserve">Complaint </w:t>
      </w:r>
      <w:r w:rsidR="00942E39">
        <w:rPr>
          <w:sz w:val="26"/>
          <w:szCs w:val="26"/>
        </w:rPr>
        <w:t xml:space="preserve">(Motion to Dismiss) </w:t>
      </w:r>
      <w:r w:rsidRPr="004F2030">
        <w:rPr>
          <w:sz w:val="26"/>
          <w:szCs w:val="26"/>
        </w:rPr>
        <w:t xml:space="preserve">with a notice to plead instructing </w:t>
      </w:r>
      <w:r>
        <w:rPr>
          <w:sz w:val="26"/>
          <w:szCs w:val="26"/>
        </w:rPr>
        <w:t xml:space="preserve">the </w:t>
      </w:r>
      <w:r w:rsidRPr="004F2030">
        <w:rPr>
          <w:sz w:val="26"/>
          <w:szCs w:val="26"/>
        </w:rPr>
        <w:t>Complainant to reply within five days from the date of service of the motion pursuant to 52 Pa. Code § 5.371(b) (relating to sanctions – general).</w:t>
      </w:r>
      <w:r>
        <w:rPr>
          <w:rStyle w:val="FootnoteReference"/>
        </w:rPr>
        <w:footnoteReference w:id="2"/>
      </w:r>
      <w:r w:rsidR="00790BCE">
        <w:rPr>
          <w:sz w:val="26"/>
          <w:szCs w:val="26"/>
        </w:rPr>
        <w:t xml:space="preserve">  </w:t>
      </w:r>
      <w:r w:rsidR="00790BCE" w:rsidRPr="00790BCE">
        <w:rPr>
          <w:sz w:val="26"/>
          <w:szCs w:val="26"/>
        </w:rPr>
        <w:t xml:space="preserve">In the Motion to Dismiss, PPL argued that the </w:t>
      </w:r>
      <w:r w:rsidR="00790BCE" w:rsidRPr="00790BCE">
        <w:rPr>
          <w:sz w:val="26"/>
          <w:szCs w:val="26"/>
        </w:rPr>
        <w:lastRenderedPageBreak/>
        <w:t>Complaint should be dismissed in its entirety as a sanction pursuant to 52 Pa. Code §</w:t>
      </w:r>
      <w:r w:rsidR="005C1E9D">
        <w:rPr>
          <w:sz w:val="26"/>
          <w:szCs w:val="26"/>
        </w:rPr>
        <w:t> </w:t>
      </w:r>
      <w:r w:rsidR="00790BCE" w:rsidRPr="00790BCE">
        <w:rPr>
          <w:sz w:val="26"/>
          <w:szCs w:val="26"/>
        </w:rPr>
        <w:t xml:space="preserve">5.371(a)(3) due to the Complainant’s failure to comply with </w:t>
      </w:r>
      <w:r w:rsidR="001E1508">
        <w:rPr>
          <w:sz w:val="26"/>
          <w:szCs w:val="26"/>
        </w:rPr>
        <w:t xml:space="preserve">the </w:t>
      </w:r>
      <w:r w:rsidR="00790BCE">
        <w:rPr>
          <w:sz w:val="26"/>
          <w:szCs w:val="26"/>
        </w:rPr>
        <w:t xml:space="preserve">Motion to Compel Order. </w:t>
      </w:r>
      <w:r w:rsidR="00942E39" w:rsidRPr="00942E39">
        <w:rPr>
          <w:sz w:val="26"/>
          <w:szCs w:val="26"/>
        </w:rPr>
        <w:t>The Complainant did not file a certificate of service regarding his service of discovery responses upon</w:t>
      </w:r>
      <w:r w:rsidR="00570761">
        <w:rPr>
          <w:sz w:val="26"/>
          <w:szCs w:val="26"/>
        </w:rPr>
        <w:t xml:space="preserve"> PPL</w:t>
      </w:r>
      <w:r w:rsidR="00942E39" w:rsidRPr="00942E39">
        <w:rPr>
          <w:sz w:val="26"/>
          <w:szCs w:val="26"/>
        </w:rPr>
        <w:t xml:space="preserve"> or provide a list of witnesses, any proposed expert witness’ written testimony or exhibits.  Mr. Venini </w:t>
      </w:r>
      <w:r w:rsidR="00570761">
        <w:rPr>
          <w:sz w:val="26"/>
          <w:szCs w:val="26"/>
        </w:rPr>
        <w:t>also did not</w:t>
      </w:r>
      <w:r w:rsidR="00942E39" w:rsidRPr="00942E39">
        <w:rPr>
          <w:sz w:val="26"/>
          <w:szCs w:val="26"/>
        </w:rPr>
        <w:t xml:space="preserve"> file a response to the Motion to Dismiss.</w:t>
      </w:r>
    </w:p>
    <w:p w14:paraId="73836681" w14:textId="77777777" w:rsidR="00531560" w:rsidRPr="00942E39" w:rsidRDefault="00531560" w:rsidP="00531560">
      <w:pPr>
        <w:spacing w:before="412" w:line="360" w:lineRule="auto"/>
        <w:ind w:firstLine="1440"/>
        <w:textAlignment w:val="baseline"/>
        <w:rPr>
          <w:color w:val="000000"/>
          <w:sz w:val="26"/>
          <w:szCs w:val="26"/>
        </w:rPr>
      </w:pPr>
      <w:r w:rsidRPr="00942E39">
        <w:rPr>
          <w:color w:val="000000"/>
          <w:sz w:val="26"/>
          <w:szCs w:val="26"/>
        </w:rPr>
        <w:t xml:space="preserve">The record closed on </w:t>
      </w:r>
      <w:r w:rsidR="00942E39" w:rsidRPr="00942E39">
        <w:rPr>
          <w:sz w:val="26"/>
          <w:szCs w:val="26"/>
        </w:rPr>
        <w:t>October 28, 2019, the day a response to the Motion to Dismiss was due.</w:t>
      </w:r>
    </w:p>
    <w:p w14:paraId="130051E9" w14:textId="77777777" w:rsidR="008117D8" w:rsidRDefault="00D1117C" w:rsidP="00531560">
      <w:pPr>
        <w:spacing w:before="412" w:line="360" w:lineRule="auto"/>
        <w:ind w:firstLine="1440"/>
        <w:textAlignment w:val="baseline"/>
        <w:rPr>
          <w:sz w:val="26"/>
          <w:szCs w:val="26"/>
        </w:rPr>
      </w:pPr>
      <w:r w:rsidRPr="005C260E">
        <w:rPr>
          <w:sz w:val="26"/>
          <w:szCs w:val="26"/>
        </w:rPr>
        <w:t>On</w:t>
      </w:r>
      <w:r w:rsidR="00B107AC">
        <w:rPr>
          <w:sz w:val="26"/>
          <w:szCs w:val="26"/>
        </w:rPr>
        <w:t xml:space="preserve"> November</w:t>
      </w:r>
      <w:r w:rsidR="00531560">
        <w:rPr>
          <w:sz w:val="26"/>
          <w:szCs w:val="26"/>
        </w:rPr>
        <w:t xml:space="preserve"> 15</w:t>
      </w:r>
      <w:r w:rsidRPr="005C260E">
        <w:rPr>
          <w:sz w:val="26"/>
          <w:szCs w:val="26"/>
        </w:rPr>
        <w:t>, 201</w:t>
      </w:r>
      <w:r w:rsidR="00143E2B">
        <w:rPr>
          <w:sz w:val="26"/>
          <w:szCs w:val="26"/>
        </w:rPr>
        <w:t>9</w:t>
      </w:r>
      <w:r w:rsidRPr="005C260E">
        <w:rPr>
          <w:sz w:val="26"/>
          <w:szCs w:val="26"/>
        </w:rPr>
        <w:t xml:space="preserve">, </w:t>
      </w:r>
      <w:r w:rsidR="00C8620E">
        <w:rPr>
          <w:sz w:val="26"/>
          <w:szCs w:val="26"/>
        </w:rPr>
        <w:t xml:space="preserve">the Commission </w:t>
      </w:r>
      <w:r w:rsidR="00C67AD2">
        <w:rPr>
          <w:sz w:val="26"/>
          <w:szCs w:val="26"/>
        </w:rPr>
        <w:t xml:space="preserve">issued </w:t>
      </w:r>
      <w:r w:rsidR="00C67AD2" w:rsidRPr="005C260E">
        <w:rPr>
          <w:sz w:val="26"/>
          <w:szCs w:val="26"/>
        </w:rPr>
        <w:t>the</w:t>
      </w:r>
      <w:r w:rsidRPr="005C260E">
        <w:rPr>
          <w:sz w:val="26"/>
          <w:szCs w:val="26"/>
        </w:rPr>
        <w:t xml:space="preserve"> Initial Decision of </w:t>
      </w:r>
      <w:r w:rsidR="00942E39">
        <w:rPr>
          <w:sz w:val="26"/>
          <w:szCs w:val="26"/>
        </w:rPr>
        <w:t>ALJ Barnes</w:t>
      </w:r>
      <w:r w:rsidR="005C35A8">
        <w:rPr>
          <w:sz w:val="26"/>
          <w:szCs w:val="26"/>
        </w:rPr>
        <w:t xml:space="preserve"> </w:t>
      </w:r>
      <w:r w:rsidR="00942E39">
        <w:rPr>
          <w:sz w:val="26"/>
          <w:szCs w:val="26"/>
        </w:rPr>
        <w:t>which</w:t>
      </w:r>
      <w:r w:rsidR="00BF1F83">
        <w:rPr>
          <w:sz w:val="26"/>
          <w:szCs w:val="26"/>
        </w:rPr>
        <w:t xml:space="preserve"> </w:t>
      </w:r>
      <w:r w:rsidR="00942E39">
        <w:rPr>
          <w:sz w:val="26"/>
          <w:szCs w:val="26"/>
        </w:rPr>
        <w:t>granted PPL’s Motion to Dismiss, cancelled the evidentiary hearing scheduled for November 19, 2019 at Docket No. C-2018-3006469</w:t>
      </w:r>
      <w:r w:rsidR="008B1B25">
        <w:rPr>
          <w:sz w:val="26"/>
          <w:szCs w:val="26"/>
        </w:rPr>
        <w:t xml:space="preserve">, and dismissed </w:t>
      </w:r>
      <w:r w:rsidR="008B1B25" w:rsidRPr="005C260E">
        <w:rPr>
          <w:sz w:val="26"/>
          <w:szCs w:val="26"/>
        </w:rPr>
        <w:t>the Complaint</w:t>
      </w:r>
      <w:r w:rsidR="008B1B25">
        <w:rPr>
          <w:sz w:val="26"/>
          <w:szCs w:val="26"/>
        </w:rPr>
        <w:t xml:space="preserve"> with prejudice</w:t>
      </w:r>
      <w:r w:rsidR="00A84CFE" w:rsidRPr="005C260E">
        <w:rPr>
          <w:sz w:val="26"/>
          <w:szCs w:val="26"/>
        </w:rPr>
        <w:t>.  I.D. at 1</w:t>
      </w:r>
      <w:r w:rsidR="00531560">
        <w:rPr>
          <w:sz w:val="26"/>
          <w:szCs w:val="26"/>
        </w:rPr>
        <w:t>, 1</w:t>
      </w:r>
      <w:r w:rsidR="00942E39">
        <w:rPr>
          <w:sz w:val="26"/>
          <w:szCs w:val="26"/>
        </w:rPr>
        <w:t>1</w:t>
      </w:r>
      <w:r w:rsidR="00A84CFE" w:rsidRPr="005C260E">
        <w:rPr>
          <w:sz w:val="26"/>
          <w:szCs w:val="26"/>
        </w:rPr>
        <w:t>.</w:t>
      </w:r>
    </w:p>
    <w:p w14:paraId="0E53129E" w14:textId="77777777" w:rsidR="005D5E0E" w:rsidRPr="005C260E" w:rsidRDefault="005D5E0E" w:rsidP="00E046C7">
      <w:pPr>
        <w:spacing w:line="360" w:lineRule="auto"/>
        <w:ind w:firstLine="1440"/>
        <w:contextualSpacing/>
        <w:rPr>
          <w:sz w:val="26"/>
          <w:szCs w:val="26"/>
        </w:rPr>
      </w:pPr>
    </w:p>
    <w:p w14:paraId="23FDE901" w14:textId="77777777" w:rsidR="003F2BF4" w:rsidRPr="005C260E" w:rsidRDefault="003F2BF4" w:rsidP="009E740E">
      <w:pPr>
        <w:keepNext/>
        <w:keepLines/>
        <w:spacing w:line="360" w:lineRule="auto"/>
        <w:contextualSpacing/>
        <w:jc w:val="center"/>
        <w:rPr>
          <w:b/>
          <w:sz w:val="26"/>
          <w:szCs w:val="26"/>
        </w:rPr>
      </w:pPr>
      <w:r w:rsidRPr="005C260E">
        <w:rPr>
          <w:b/>
          <w:sz w:val="26"/>
          <w:szCs w:val="26"/>
        </w:rPr>
        <w:t>Discussion</w:t>
      </w:r>
    </w:p>
    <w:p w14:paraId="5EE08847" w14:textId="77777777" w:rsidR="003F2BF4" w:rsidRPr="005C260E" w:rsidRDefault="003F2BF4" w:rsidP="009E740E">
      <w:pPr>
        <w:keepNext/>
        <w:keepLines/>
        <w:spacing w:line="360" w:lineRule="auto"/>
        <w:contextualSpacing/>
        <w:jc w:val="center"/>
        <w:rPr>
          <w:sz w:val="26"/>
          <w:szCs w:val="26"/>
        </w:rPr>
      </w:pPr>
    </w:p>
    <w:p w14:paraId="66D8FF7B" w14:textId="77777777" w:rsidR="003F2BF4" w:rsidRPr="005C260E" w:rsidRDefault="003F2BF4" w:rsidP="00E046C7">
      <w:pPr>
        <w:spacing w:line="360" w:lineRule="auto"/>
        <w:contextualSpacing/>
        <w:rPr>
          <w:b/>
          <w:sz w:val="26"/>
          <w:szCs w:val="26"/>
        </w:rPr>
      </w:pPr>
      <w:r w:rsidRPr="005C260E">
        <w:rPr>
          <w:b/>
          <w:sz w:val="26"/>
          <w:szCs w:val="26"/>
        </w:rPr>
        <w:t>Legal Standards</w:t>
      </w:r>
    </w:p>
    <w:p w14:paraId="2DCDFCE8" w14:textId="77777777" w:rsidR="003F2BF4" w:rsidRPr="005C260E" w:rsidRDefault="003F2BF4" w:rsidP="00E046C7">
      <w:pPr>
        <w:spacing w:line="360" w:lineRule="auto"/>
        <w:ind w:firstLine="1440"/>
        <w:contextualSpacing/>
        <w:rPr>
          <w:sz w:val="26"/>
          <w:szCs w:val="26"/>
        </w:rPr>
      </w:pPr>
    </w:p>
    <w:p w14:paraId="526C2759" w14:textId="77777777" w:rsidR="007E3217" w:rsidRPr="00A9787D" w:rsidRDefault="007E3217" w:rsidP="007E3217">
      <w:pPr>
        <w:keepNext/>
        <w:spacing w:line="360" w:lineRule="auto"/>
        <w:rPr>
          <w:sz w:val="26"/>
          <w:szCs w:val="26"/>
        </w:rPr>
      </w:pPr>
      <w:r w:rsidRPr="00A9787D">
        <w:rPr>
          <w:sz w:val="26"/>
          <w:szCs w:val="26"/>
        </w:rPr>
        <w:tab/>
      </w:r>
      <w:r>
        <w:rPr>
          <w:sz w:val="26"/>
          <w:szCs w:val="26"/>
        </w:rPr>
        <w:tab/>
      </w:r>
      <w:r w:rsidRPr="00A9787D">
        <w:rPr>
          <w:sz w:val="26"/>
          <w:szCs w:val="26"/>
        </w:rPr>
        <w:t xml:space="preserve">As the proponent of a rule or order, the </w:t>
      </w:r>
      <w:r>
        <w:rPr>
          <w:sz w:val="26"/>
          <w:szCs w:val="26"/>
        </w:rPr>
        <w:t>Complainant</w:t>
      </w:r>
      <w:r w:rsidRPr="00A9787D">
        <w:rPr>
          <w:sz w:val="26"/>
          <w:szCs w:val="26"/>
        </w:rPr>
        <w:t xml:space="preserve"> in this proceeding bear</w:t>
      </w:r>
      <w:r>
        <w:rPr>
          <w:sz w:val="26"/>
          <w:szCs w:val="26"/>
        </w:rPr>
        <w:t>s</w:t>
      </w:r>
      <w:r w:rsidRPr="00A9787D">
        <w:rPr>
          <w:sz w:val="26"/>
          <w:szCs w:val="26"/>
        </w:rPr>
        <w:t xml:space="preserve"> the burden of proof pursuant to Section 332(a) of the Code, 66 Pa. C.S. § 332(a).  To establish a sufficient case and satisfy the burden of proof, the </w:t>
      </w:r>
      <w:r>
        <w:rPr>
          <w:sz w:val="26"/>
          <w:szCs w:val="26"/>
        </w:rPr>
        <w:t>Complainant</w:t>
      </w:r>
      <w:r w:rsidRPr="00A9787D">
        <w:rPr>
          <w:color w:val="FF0000"/>
          <w:sz w:val="26"/>
          <w:szCs w:val="26"/>
        </w:rPr>
        <w:t xml:space="preserve"> </w:t>
      </w:r>
      <w:r w:rsidRPr="00A9787D">
        <w:rPr>
          <w:sz w:val="26"/>
          <w:szCs w:val="26"/>
        </w:rPr>
        <w:t>must show that</w:t>
      </w:r>
      <w:r w:rsidR="00AB5F4D">
        <w:rPr>
          <w:sz w:val="26"/>
          <w:szCs w:val="26"/>
        </w:rPr>
        <w:t xml:space="preserve"> PPL</w:t>
      </w:r>
      <w:r w:rsidRPr="00A9787D">
        <w:rPr>
          <w:sz w:val="26"/>
          <w:szCs w:val="26"/>
        </w:rPr>
        <w:t xml:space="preserve"> is responsible or accountable for the problem described in the Complaint.  </w:t>
      </w:r>
      <w:r w:rsidRPr="00A9787D">
        <w:rPr>
          <w:i/>
          <w:sz w:val="26"/>
          <w:szCs w:val="26"/>
        </w:rPr>
        <w:t>Patterson v. The Bell Telephone Company of Pennsylvania</w:t>
      </w:r>
      <w:r w:rsidRPr="00A9787D">
        <w:rPr>
          <w:sz w:val="26"/>
          <w:szCs w:val="26"/>
        </w:rPr>
        <w:t xml:space="preserve">, 72 Pa. P.U.C. 196 (1990).  Such a showing must be by a preponderance of the evidence.  </w:t>
      </w:r>
      <w:r w:rsidRPr="00A9787D">
        <w:rPr>
          <w:i/>
          <w:iCs/>
          <w:sz w:val="26"/>
          <w:szCs w:val="26"/>
        </w:rPr>
        <w:t>Samuel J. Lansberry, Inc. v. Pa. PUC</w:t>
      </w:r>
      <w:r w:rsidRPr="00A9787D">
        <w:rPr>
          <w:sz w:val="26"/>
          <w:szCs w:val="26"/>
        </w:rPr>
        <w:t xml:space="preserve">, 578 A.2d 600 (Pa. Cmwlth. 1990), </w:t>
      </w:r>
      <w:r w:rsidRPr="00A9787D">
        <w:rPr>
          <w:i/>
          <w:sz w:val="26"/>
          <w:szCs w:val="26"/>
        </w:rPr>
        <w:t>alloc. denied</w:t>
      </w:r>
      <w:r w:rsidRPr="000A0088">
        <w:rPr>
          <w:iCs/>
          <w:sz w:val="26"/>
          <w:szCs w:val="26"/>
        </w:rPr>
        <w:t>,</w:t>
      </w:r>
      <w:r w:rsidRPr="00A9787D">
        <w:rPr>
          <w:sz w:val="26"/>
          <w:szCs w:val="26"/>
        </w:rPr>
        <w:t xml:space="preserve"> 529 Pa. 654, 602 A.2d 863 (1992).  That is, the </w:t>
      </w:r>
      <w:r>
        <w:rPr>
          <w:sz w:val="26"/>
          <w:szCs w:val="26"/>
        </w:rPr>
        <w:t>Complainant</w:t>
      </w:r>
      <w:r w:rsidRPr="00A9787D">
        <w:rPr>
          <w:sz w:val="26"/>
          <w:szCs w:val="26"/>
        </w:rPr>
        <w:t>’</w:t>
      </w:r>
      <w:r>
        <w:rPr>
          <w:sz w:val="26"/>
          <w:szCs w:val="26"/>
        </w:rPr>
        <w:t>s</w:t>
      </w:r>
      <w:r w:rsidRPr="00A9787D">
        <w:rPr>
          <w:color w:val="FF0000"/>
          <w:sz w:val="26"/>
          <w:szCs w:val="26"/>
        </w:rPr>
        <w:t xml:space="preserve"> </w:t>
      </w:r>
      <w:r w:rsidRPr="00A9787D">
        <w:rPr>
          <w:sz w:val="26"/>
          <w:szCs w:val="26"/>
        </w:rPr>
        <w:t>evidence must be more convincing, by even the smallest amount, than that presented by</w:t>
      </w:r>
      <w:r w:rsidR="005510ED">
        <w:rPr>
          <w:sz w:val="26"/>
          <w:szCs w:val="26"/>
        </w:rPr>
        <w:t xml:space="preserve"> PPL</w:t>
      </w:r>
      <w:r w:rsidRPr="00A9787D">
        <w:rPr>
          <w:sz w:val="26"/>
          <w:szCs w:val="26"/>
        </w:rPr>
        <w:t xml:space="preserve">.  </w:t>
      </w:r>
      <w:r w:rsidRPr="00A9787D">
        <w:rPr>
          <w:i/>
          <w:sz w:val="26"/>
          <w:szCs w:val="26"/>
        </w:rPr>
        <w:t>Se-Ling Hosiery, Inc. v. Margulies</w:t>
      </w:r>
      <w:r w:rsidRPr="00A9787D">
        <w:rPr>
          <w:sz w:val="26"/>
          <w:szCs w:val="26"/>
        </w:rPr>
        <w:t xml:space="preserve">, 364 Pa. 45, 70 A.2d 854 (1950).  Additionally, this Commission’s decision must be supported by </w:t>
      </w:r>
      <w:r w:rsidRPr="00A9787D">
        <w:rPr>
          <w:sz w:val="26"/>
          <w:szCs w:val="26"/>
        </w:rPr>
        <w:lastRenderedPageBreak/>
        <w:t xml:space="preserve">substantial evidence in the record.  </w:t>
      </w:r>
      <w:r w:rsidRPr="00A9787D">
        <w:rPr>
          <w:i/>
          <w:sz w:val="26"/>
          <w:szCs w:val="26"/>
        </w:rPr>
        <w:t>Mill v. Pa</w:t>
      </w:r>
      <w:r>
        <w:rPr>
          <w:i/>
          <w:sz w:val="26"/>
          <w:szCs w:val="26"/>
        </w:rPr>
        <w:t>.</w:t>
      </w:r>
      <w:r w:rsidRPr="00A9787D">
        <w:rPr>
          <w:i/>
          <w:sz w:val="26"/>
          <w:szCs w:val="26"/>
        </w:rPr>
        <w:t xml:space="preserve"> PUC</w:t>
      </w:r>
      <w:r w:rsidRPr="000A0088">
        <w:rPr>
          <w:iCs/>
          <w:sz w:val="26"/>
          <w:szCs w:val="26"/>
        </w:rPr>
        <w:t xml:space="preserve">, </w:t>
      </w:r>
      <w:r w:rsidR="00695C90">
        <w:rPr>
          <w:sz w:val="26"/>
          <w:szCs w:val="26"/>
        </w:rPr>
        <w:t>447 A.2d 1100 (Pa. </w:t>
      </w:r>
      <w:r w:rsidRPr="00A9787D">
        <w:rPr>
          <w:sz w:val="26"/>
          <w:szCs w:val="26"/>
        </w:rPr>
        <w:t xml:space="preserve">Cmwlth. 1982).  More is required than a mere trace of evidence or a suspicion of the existence of a fact sought to be established.  </w:t>
      </w:r>
      <w:r w:rsidRPr="00A9787D">
        <w:rPr>
          <w:i/>
          <w:sz w:val="26"/>
          <w:szCs w:val="26"/>
        </w:rPr>
        <w:t>Norfolk &amp; Western Ry. Co. v. Pa. PUC</w:t>
      </w:r>
      <w:r w:rsidRPr="000A0088">
        <w:rPr>
          <w:iCs/>
          <w:sz w:val="26"/>
          <w:szCs w:val="26"/>
        </w:rPr>
        <w:t>,</w:t>
      </w:r>
      <w:r w:rsidRPr="00A9787D">
        <w:rPr>
          <w:i/>
          <w:sz w:val="26"/>
          <w:szCs w:val="26"/>
        </w:rPr>
        <w:t xml:space="preserve"> </w:t>
      </w:r>
      <w:r w:rsidR="00695C90">
        <w:rPr>
          <w:sz w:val="26"/>
          <w:szCs w:val="26"/>
        </w:rPr>
        <w:t>489 </w:t>
      </w:r>
      <w:r w:rsidRPr="00A9787D">
        <w:rPr>
          <w:sz w:val="26"/>
          <w:szCs w:val="26"/>
        </w:rPr>
        <w:t>Pa. 109, 413 A.2d 1037 (1980).</w:t>
      </w:r>
    </w:p>
    <w:p w14:paraId="1A2E5DB9" w14:textId="77777777" w:rsidR="007E3217" w:rsidRPr="00A9787D" w:rsidRDefault="007E3217" w:rsidP="007E3217">
      <w:pPr>
        <w:spacing w:line="360" w:lineRule="auto"/>
        <w:rPr>
          <w:sz w:val="26"/>
          <w:szCs w:val="26"/>
        </w:rPr>
      </w:pPr>
    </w:p>
    <w:p w14:paraId="7FCE3441" w14:textId="77777777" w:rsidR="007E3217" w:rsidRPr="004B7B69" w:rsidRDefault="007E3217" w:rsidP="007E3217">
      <w:pPr>
        <w:spacing w:line="360" w:lineRule="auto"/>
        <w:ind w:firstLine="1440"/>
        <w:rPr>
          <w:i/>
          <w:iCs/>
          <w:sz w:val="26"/>
          <w:szCs w:val="26"/>
        </w:rPr>
      </w:pPr>
      <w:r w:rsidRPr="00A9787D">
        <w:rPr>
          <w:sz w:val="26"/>
          <w:szCs w:val="26"/>
        </w:rPr>
        <w:t xml:space="preserve">Upon the presentation by the </w:t>
      </w:r>
      <w:r>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w:t>
      </w:r>
      <w:r w:rsidR="005510ED">
        <w:rPr>
          <w:sz w:val="26"/>
          <w:szCs w:val="26"/>
        </w:rPr>
        <w:t xml:space="preserve"> PPL</w:t>
      </w:r>
      <w:r w:rsidRPr="00A9787D">
        <w:rPr>
          <w:sz w:val="26"/>
          <w:szCs w:val="26"/>
        </w:rPr>
        <w:t>.  If the evidence presented by</w:t>
      </w:r>
      <w:r w:rsidR="005510ED">
        <w:rPr>
          <w:sz w:val="26"/>
          <w:szCs w:val="26"/>
        </w:rPr>
        <w:t xml:space="preserve"> PPL</w:t>
      </w:r>
      <w:r w:rsidRPr="00A9787D">
        <w:rPr>
          <w:sz w:val="26"/>
          <w:szCs w:val="26"/>
        </w:rPr>
        <w:t xml:space="preserve"> is of co</w:t>
      </w:r>
      <w:r w:rsidRPr="00A9787D">
        <w:rPr>
          <w:sz w:val="26"/>
          <w:szCs w:val="26"/>
        </w:rPr>
        <w:noBreakHyphen/>
        <w:t xml:space="preserve">equal value or “weight,” the burden of proof has not been satisfied.  The </w:t>
      </w:r>
      <w:r>
        <w:rPr>
          <w:sz w:val="26"/>
          <w:szCs w:val="26"/>
        </w:rPr>
        <w:t>Complainant</w:t>
      </w:r>
      <w:r w:rsidRPr="00A9787D">
        <w:rPr>
          <w:sz w:val="26"/>
          <w:szCs w:val="26"/>
        </w:rPr>
        <w:t xml:space="preserve"> now ha</w:t>
      </w:r>
      <w:r>
        <w:rPr>
          <w:sz w:val="26"/>
          <w:szCs w:val="26"/>
        </w:rPr>
        <w:t>s</w:t>
      </w:r>
      <w:r w:rsidRPr="00A9787D">
        <w:rPr>
          <w:sz w:val="26"/>
          <w:szCs w:val="26"/>
        </w:rPr>
        <w:t xml:space="preserve"> to provide some additional evidence to rebut that of</w:t>
      </w:r>
      <w:r w:rsidR="005510ED">
        <w:rPr>
          <w:sz w:val="26"/>
          <w:szCs w:val="26"/>
        </w:rPr>
        <w:t xml:space="preserve"> PPL</w:t>
      </w:r>
      <w:r w:rsidRPr="00A9787D">
        <w:rPr>
          <w:sz w:val="26"/>
          <w:szCs w:val="26"/>
        </w:rPr>
        <w:t xml:space="preserve">. </w:t>
      </w:r>
      <w:r w:rsidRPr="00A9787D">
        <w:rPr>
          <w:iCs/>
          <w:sz w:val="26"/>
          <w:szCs w:val="26"/>
        </w:rPr>
        <w:t xml:space="preserve"> </w:t>
      </w:r>
      <w:hyperlink r:id="rId8" w:history="1">
        <w:r w:rsidR="00695C90">
          <w:rPr>
            <w:rStyle w:val="Hyperlink"/>
            <w:i/>
            <w:iCs/>
            <w:color w:val="auto"/>
            <w:sz w:val="26"/>
            <w:szCs w:val="26"/>
            <w:u w:val="none"/>
          </w:rPr>
          <w:t>Burleson v. Pa. </w:t>
        </w:r>
        <w:r w:rsidRPr="004B7B69">
          <w:rPr>
            <w:rStyle w:val="Hyperlink"/>
            <w:i/>
            <w:iCs/>
            <w:color w:val="auto"/>
            <w:sz w:val="26"/>
            <w:szCs w:val="26"/>
            <w:u w:val="none"/>
          </w:rPr>
          <w:t>PUC</w:t>
        </w:r>
        <w:r w:rsidRPr="000A0088">
          <w:rPr>
            <w:rStyle w:val="Hyperlink"/>
            <w:color w:val="auto"/>
            <w:sz w:val="26"/>
            <w:szCs w:val="26"/>
            <w:u w:val="none"/>
          </w:rPr>
          <w:t xml:space="preserve">, 443 A.2d 1373 (Pa. Cmwlth. 1982), </w:t>
        </w:r>
        <w:r w:rsidRPr="004B7B69">
          <w:rPr>
            <w:rStyle w:val="Hyperlink"/>
            <w:i/>
            <w:iCs/>
            <w:color w:val="auto"/>
            <w:sz w:val="26"/>
            <w:szCs w:val="26"/>
            <w:u w:val="none"/>
          </w:rPr>
          <w:t>aff’d</w:t>
        </w:r>
        <w:r w:rsidRPr="000A0088">
          <w:rPr>
            <w:rStyle w:val="Hyperlink"/>
            <w:color w:val="auto"/>
            <w:sz w:val="26"/>
            <w:szCs w:val="26"/>
            <w:u w:val="none"/>
          </w:rPr>
          <w:t>, 501 Pa. 433, 461 A.2d 1234 (1983).</w:t>
        </w:r>
      </w:hyperlink>
    </w:p>
    <w:p w14:paraId="24B7AEB5" w14:textId="77777777" w:rsidR="007E3217" w:rsidRPr="004B7B69" w:rsidRDefault="007E3217" w:rsidP="007E3217">
      <w:pPr>
        <w:spacing w:line="360" w:lineRule="auto"/>
        <w:ind w:firstLine="1440"/>
        <w:rPr>
          <w:i/>
          <w:iCs/>
          <w:sz w:val="26"/>
          <w:szCs w:val="26"/>
        </w:rPr>
      </w:pPr>
    </w:p>
    <w:p w14:paraId="35B60A6E" w14:textId="77777777" w:rsidR="007E3217" w:rsidRDefault="007E3217" w:rsidP="007E3217">
      <w:pPr>
        <w:spacing w:line="360" w:lineRule="auto"/>
        <w:ind w:firstLine="1440"/>
        <w:rPr>
          <w:sz w:val="26"/>
          <w:szCs w:val="26"/>
        </w:rPr>
      </w:pPr>
      <w:r w:rsidRPr="004B7B69">
        <w:rPr>
          <w:sz w:val="26"/>
          <w:szCs w:val="26"/>
        </w:rPr>
        <w:t xml:space="preserve">While the burden of going forward with the evidence may </w:t>
      </w:r>
      <w:r w:rsidRPr="004B7B69">
        <w:rPr>
          <w:rStyle w:val="term1"/>
          <w:b w:val="0"/>
          <w:bCs w:val="0"/>
          <w:sz w:val="26"/>
          <w:szCs w:val="26"/>
        </w:rPr>
        <w:t>shift</w:t>
      </w:r>
      <w:r w:rsidRPr="004B7B69">
        <w:rPr>
          <w:sz w:val="26"/>
          <w:szCs w:val="26"/>
        </w:rPr>
        <w:t xml:space="preserve"> back and forth during a proceeding, the </w:t>
      </w:r>
      <w:r w:rsidRPr="004B7B69">
        <w:rPr>
          <w:rStyle w:val="term1"/>
          <w:b w:val="0"/>
          <w:bCs w:val="0"/>
          <w:sz w:val="26"/>
          <w:szCs w:val="26"/>
        </w:rPr>
        <w:t>burden of proof</w:t>
      </w:r>
      <w:r w:rsidRPr="004B7B69">
        <w:rPr>
          <w:sz w:val="26"/>
          <w:szCs w:val="26"/>
        </w:rPr>
        <w:t xml:space="preserve"> never</w:t>
      </w:r>
      <w:r w:rsidRPr="004B7B69">
        <w:rPr>
          <w:b/>
          <w:bCs/>
          <w:sz w:val="26"/>
          <w:szCs w:val="26"/>
        </w:rPr>
        <w:t xml:space="preserve"> </w:t>
      </w:r>
      <w:r w:rsidRPr="004B7B69">
        <w:rPr>
          <w:rStyle w:val="term1"/>
          <w:b w:val="0"/>
          <w:bCs w:val="0"/>
          <w:sz w:val="26"/>
          <w:szCs w:val="26"/>
        </w:rPr>
        <w:t>shifts.</w:t>
      </w:r>
      <w:r w:rsidRPr="004B7B69">
        <w:rPr>
          <w:rStyle w:val="term1"/>
          <w:sz w:val="26"/>
          <w:szCs w:val="26"/>
        </w:rPr>
        <w:t xml:space="preserve">  </w:t>
      </w:r>
      <w:r w:rsidRPr="004B7B69">
        <w:rPr>
          <w:rStyle w:val="term1"/>
          <w:b w:val="0"/>
          <w:bCs w:val="0"/>
          <w:sz w:val="26"/>
          <w:szCs w:val="26"/>
        </w:rPr>
        <w:t>The burden of proof</w:t>
      </w:r>
      <w:r w:rsidRPr="004B7B69">
        <w:rPr>
          <w:sz w:val="26"/>
          <w:szCs w:val="26"/>
        </w:rPr>
        <w:t xml:space="preserve"> always remains on the party seeking affirmative relief from the Commission.  </w:t>
      </w:r>
      <w:r w:rsidRPr="004B7B69">
        <w:rPr>
          <w:i/>
          <w:sz w:val="26"/>
          <w:szCs w:val="26"/>
        </w:rPr>
        <w:t>Milkie v. Pa. PUC</w:t>
      </w:r>
      <w:r w:rsidRPr="000A0088">
        <w:rPr>
          <w:iCs/>
          <w:sz w:val="26"/>
          <w:szCs w:val="26"/>
        </w:rPr>
        <w:t>,</w:t>
      </w:r>
      <w:r w:rsidRPr="004B7B69">
        <w:rPr>
          <w:i/>
          <w:sz w:val="26"/>
          <w:szCs w:val="26"/>
        </w:rPr>
        <w:t xml:space="preserve"> </w:t>
      </w:r>
      <w:r w:rsidRPr="004B7B69">
        <w:rPr>
          <w:sz w:val="26"/>
          <w:szCs w:val="26"/>
        </w:rPr>
        <w:t>768 A.2d 1217 (Pa. Cmwlth. 2001).</w:t>
      </w:r>
    </w:p>
    <w:p w14:paraId="23BAEC0A" w14:textId="77777777" w:rsidR="005510ED" w:rsidRPr="004B7B69" w:rsidRDefault="005510ED" w:rsidP="007E3217">
      <w:pPr>
        <w:spacing w:line="360" w:lineRule="auto"/>
        <w:ind w:firstLine="1440"/>
        <w:rPr>
          <w:sz w:val="26"/>
          <w:szCs w:val="26"/>
        </w:rPr>
      </w:pPr>
    </w:p>
    <w:p w14:paraId="54FDF973" w14:textId="77777777" w:rsidR="000A0088" w:rsidRDefault="005510ED" w:rsidP="000A0088">
      <w:pPr>
        <w:pStyle w:val="NormalWeb"/>
        <w:spacing w:before="0" w:beforeAutospacing="0" w:after="0" w:afterAutospacing="0" w:line="360" w:lineRule="auto"/>
        <w:ind w:firstLine="1440"/>
        <w:rPr>
          <w:sz w:val="26"/>
          <w:szCs w:val="26"/>
        </w:rPr>
      </w:pPr>
      <w:r w:rsidRPr="005510ED">
        <w:rPr>
          <w:sz w:val="26"/>
          <w:szCs w:val="26"/>
        </w:rPr>
        <w:t xml:space="preserve">Commission </w:t>
      </w:r>
      <w:r w:rsidR="00455E23">
        <w:rPr>
          <w:sz w:val="26"/>
          <w:szCs w:val="26"/>
        </w:rPr>
        <w:t>R</w:t>
      </w:r>
      <w:r w:rsidRPr="005510ED">
        <w:rPr>
          <w:sz w:val="26"/>
          <w:szCs w:val="26"/>
        </w:rPr>
        <w:t>egulations permit the discovery of “any matter, not privileged, which is relevant to the subject matter involved in the pending action.” 52 Pa.</w:t>
      </w:r>
      <w:r w:rsidR="00455E23">
        <w:rPr>
          <w:sz w:val="26"/>
          <w:szCs w:val="26"/>
        </w:rPr>
        <w:t xml:space="preserve"> </w:t>
      </w:r>
      <w:r w:rsidRPr="005510ED">
        <w:rPr>
          <w:sz w:val="26"/>
          <w:szCs w:val="26"/>
        </w:rPr>
        <w:t>Code § 5.321(c).</w:t>
      </w:r>
      <w:r w:rsidR="00455E23">
        <w:rPr>
          <w:sz w:val="26"/>
          <w:szCs w:val="26"/>
        </w:rPr>
        <w:t xml:space="preserve">  </w:t>
      </w:r>
      <w:r w:rsidRPr="005510ED">
        <w:rPr>
          <w:sz w:val="26"/>
          <w:szCs w:val="26"/>
        </w:rPr>
        <w:t>Generally speaking, the Commission applies a standard of relevance which is less restrictive than that required by parties to present information into the evidentiary record.</w:t>
      </w:r>
      <w:r w:rsidR="00455E23">
        <w:rPr>
          <w:sz w:val="26"/>
          <w:szCs w:val="26"/>
        </w:rPr>
        <w:t xml:space="preserve">  </w:t>
      </w:r>
      <w:r w:rsidRPr="005510ED">
        <w:rPr>
          <w:sz w:val="26"/>
          <w:szCs w:val="26"/>
        </w:rPr>
        <w:t>As long as the information sought in a discovery request appears reasonably calculated to lead to the discovery of admissible evidence, a party may not object to the discovery request on the basis that the information sought will be inadmissible at a hearing.</w:t>
      </w:r>
      <w:r w:rsidR="006318D8">
        <w:rPr>
          <w:sz w:val="26"/>
          <w:szCs w:val="26"/>
        </w:rPr>
        <w:t xml:space="preserve">  </w:t>
      </w:r>
      <w:r w:rsidRPr="005510ED">
        <w:rPr>
          <w:sz w:val="26"/>
          <w:szCs w:val="26"/>
        </w:rPr>
        <w:t>52 Pa.</w:t>
      </w:r>
      <w:r w:rsidR="00455E23">
        <w:rPr>
          <w:sz w:val="26"/>
          <w:szCs w:val="26"/>
        </w:rPr>
        <w:t xml:space="preserve"> </w:t>
      </w:r>
      <w:r w:rsidRPr="005510ED">
        <w:rPr>
          <w:sz w:val="26"/>
          <w:szCs w:val="26"/>
        </w:rPr>
        <w:t>Code § 5.321(c).</w:t>
      </w:r>
    </w:p>
    <w:p w14:paraId="2E578500" w14:textId="77777777" w:rsidR="007D3953" w:rsidRDefault="007D3953" w:rsidP="000A0088">
      <w:pPr>
        <w:pStyle w:val="NormalWeb"/>
        <w:spacing w:before="0" w:beforeAutospacing="0" w:after="0" w:afterAutospacing="0" w:line="360" w:lineRule="auto"/>
        <w:ind w:firstLine="1440"/>
        <w:rPr>
          <w:sz w:val="26"/>
          <w:szCs w:val="26"/>
        </w:rPr>
      </w:pPr>
    </w:p>
    <w:p w14:paraId="6E960AC4" w14:textId="77777777" w:rsidR="007D3953" w:rsidRPr="007D3953" w:rsidRDefault="007D3953" w:rsidP="000A0088">
      <w:pPr>
        <w:pStyle w:val="NormalWeb"/>
        <w:spacing w:before="0" w:beforeAutospacing="0" w:after="0" w:afterAutospacing="0" w:line="360" w:lineRule="auto"/>
        <w:ind w:firstLine="1440"/>
        <w:rPr>
          <w:sz w:val="26"/>
          <w:szCs w:val="26"/>
        </w:rPr>
      </w:pPr>
      <w:r w:rsidRPr="007D3953">
        <w:rPr>
          <w:sz w:val="26"/>
          <w:szCs w:val="26"/>
        </w:rPr>
        <w:t>Furthermore, 52 Pa. Code § 5.342(a)(4), provides that a party must answer fully and completely unless an objection is made.</w:t>
      </w:r>
      <w:r>
        <w:rPr>
          <w:sz w:val="26"/>
          <w:szCs w:val="26"/>
        </w:rPr>
        <w:t xml:space="preserve">  </w:t>
      </w:r>
      <w:r w:rsidRPr="007D3953">
        <w:rPr>
          <w:sz w:val="26"/>
          <w:szCs w:val="26"/>
        </w:rPr>
        <w:t xml:space="preserve">This includes the production of documents and information sought through </w:t>
      </w:r>
      <w:r w:rsidR="00CC251C">
        <w:rPr>
          <w:sz w:val="26"/>
          <w:szCs w:val="26"/>
        </w:rPr>
        <w:t xml:space="preserve">the </w:t>
      </w:r>
      <w:r w:rsidRPr="007D3953">
        <w:rPr>
          <w:sz w:val="26"/>
          <w:szCs w:val="26"/>
        </w:rPr>
        <w:t>Set I Interrogatories.</w:t>
      </w:r>
      <w:r>
        <w:rPr>
          <w:sz w:val="26"/>
          <w:szCs w:val="26"/>
        </w:rPr>
        <w:t xml:space="preserve">  </w:t>
      </w:r>
      <w:r w:rsidRPr="007D3953">
        <w:rPr>
          <w:i/>
          <w:iCs/>
          <w:sz w:val="26"/>
          <w:szCs w:val="26"/>
        </w:rPr>
        <w:t xml:space="preserve">See </w:t>
      </w:r>
      <w:r w:rsidRPr="007D3953">
        <w:rPr>
          <w:sz w:val="26"/>
          <w:szCs w:val="26"/>
        </w:rPr>
        <w:t xml:space="preserve">Section </w:t>
      </w:r>
      <w:r w:rsidRPr="007D3953">
        <w:rPr>
          <w:sz w:val="26"/>
          <w:szCs w:val="26"/>
        </w:rPr>
        <w:lastRenderedPageBreak/>
        <w:t>5.341(c).</w:t>
      </w:r>
      <w:r w:rsidR="0030133A">
        <w:rPr>
          <w:sz w:val="26"/>
          <w:szCs w:val="26"/>
        </w:rPr>
        <w:t xml:space="preserve">  </w:t>
      </w:r>
      <w:r w:rsidRPr="007D3953">
        <w:rPr>
          <w:sz w:val="26"/>
          <w:szCs w:val="26"/>
        </w:rPr>
        <w:t>Objections must be served within ten days of service of the interrogatories.</w:t>
      </w:r>
      <w:r>
        <w:rPr>
          <w:sz w:val="26"/>
          <w:szCs w:val="26"/>
        </w:rPr>
        <w:t xml:space="preserve">  </w:t>
      </w:r>
      <w:r w:rsidRPr="007D3953">
        <w:rPr>
          <w:sz w:val="26"/>
          <w:szCs w:val="26"/>
        </w:rPr>
        <w:t>52 Pa. Code § 5.342(</w:t>
      </w:r>
      <w:r>
        <w:rPr>
          <w:sz w:val="26"/>
          <w:szCs w:val="26"/>
        </w:rPr>
        <w:t>e</w:t>
      </w:r>
      <w:r w:rsidRPr="007D3953">
        <w:rPr>
          <w:sz w:val="26"/>
          <w:szCs w:val="26"/>
        </w:rPr>
        <w:t>).</w:t>
      </w:r>
    </w:p>
    <w:p w14:paraId="0D280322" w14:textId="77777777" w:rsidR="005510ED" w:rsidRDefault="005510ED" w:rsidP="000A0088">
      <w:pPr>
        <w:pStyle w:val="NormalWeb"/>
        <w:spacing w:before="0" w:beforeAutospacing="0" w:after="0" w:afterAutospacing="0" w:line="360" w:lineRule="auto"/>
        <w:ind w:firstLine="1440"/>
        <w:rPr>
          <w:sz w:val="26"/>
          <w:szCs w:val="26"/>
        </w:rPr>
      </w:pPr>
    </w:p>
    <w:p w14:paraId="530CE1A1" w14:textId="77777777" w:rsidR="00671812" w:rsidRDefault="00671812" w:rsidP="00671812">
      <w:pPr>
        <w:pStyle w:val="Default"/>
        <w:spacing w:line="360" w:lineRule="auto"/>
        <w:ind w:firstLine="1440"/>
        <w:rPr>
          <w:sz w:val="23"/>
          <w:szCs w:val="23"/>
        </w:rPr>
      </w:pPr>
      <w:r w:rsidRPr="00802250">
        <w:rPr>
          <w:sz w:val="26"/>
          <w:szCs w:val="26"/>
        </w:rPr>
        <w:t xml:space="preserve">The burden of proof for “high bill” complaint was discussed in </w:t>
      </w:r>
      <w:r w:rsidRPr="00802250">
        <w:rPr>
          <w:i/>
          <w:iCs/>
          <w:sz w:val="26"/>
          <w:szCs w:val="26"/>
        </w:rPr>
        <w:t xml:space="preserve">Waldron v. Philadelphia Electric Company, </w:t>
      </w:r>
      <w:r w:rsidRPr="00802250">
        <w:rPr>
          <w:sz w:val="26"/>
          <w:szCs w:val="26"/>
        </w:rPr>
        <w:t>54 Pa. PUC 98 (1980)</w:t>
      </w:r>
      <w:r>
        <w:rPr>
          <w:sz w:val="26"/>
          <w:szCs w:val="26"/>
        </w:rPr>
        <w:t xml:space="preserve"> </w:t>
      </w:r>
      <w:r w:rsidRPr="00026516">
        <w:rPr>
          <w:i/>
          <w:iCs/>
          <w:sz w:val="26"/>
          <w:szCs w:val="26"/>
        </w:rPr>
        <w:t>(Waldron)</w:t>
      </w:r>
      <w:r w:rsidRPr="00802250">
        <w:rPr>
          <w:sz w:val="26"/>
          <w:szCs w:val="26"/>
        </w:rPr>
        <w:t>.</w:t>
      </w:r>
      <w:r>
        <w:rPr>
          <w:sz w:val="26"/>
          <w:szCs w:val="26"/>
        </w:rPr>
        <w:t xml:space="preserve">  </w:t>
      </w:r>
      <w:r w:rsidRPr="00802250">
        <w:rPr>
          <w:sz w:val="26"/>
          <w:szCs w:val="26"/>
        </w:rPr>
        <w:t xml:space="preserve">In </w:t>
      </w:r>
      <w:r w:rsidRPr="00802250">
        <w:rPr>
          <w:i/>
          <w:iCs/>
          <w:sz w:val="26"/>
          <w:szCs w:val="26"/>
        </w:rPr>
        <w:t>Waldron</w:t>
      </w:r>
      <w:r w:rsidRPr="00802250">
        <w:rPr>
          <w:sz w:val="26"/>
          <w:szCs w:val="26"/>
        </w:rPr>
        <w:t>, the Commission stated that the accuracy of the meter is an important factor but not the sole criterion.</w:t>
      </w:r>
      <w:r>
        <w:rPr>
          <w:sz w:val="26"/>
          <w:szCs w:val="26"/>
        </w:rPr>
        <w:t xml:space="preserve">  </w:t>
      </w:r>
      <w:r w:rsidRPr="00802250">
        <w:rPr>
          <w:sz w:val="26"/>
          <w:szCs w:val="26"/>
        </w:rPr>
        <w:t xml:space="preserve">The Commission </w:t>
      </w:r>
      <w:r>
        <w:rPr>
          <w:sz w:val="26"/>
          <w:szCs w:val="26"/>
        </w:rPr>
        <w:t xml:space="preserve">further </w:t>
      </w:r>
      <w:r w:rsidRPr="00802250">
        <w:rPr>
          <w:sz w:val="26"/>
          <w:szCs w:val="26"/>
        </w:rPr>
        <w:t>stated that it would also consider other factors, such as the billing history of the complainant; any change in the number of occupants residing at the household; the potential for energy utilization; and any other relevant facts or circumstances that are brought to light during the complaint proceeding.</w:t>
      </w:r>
      <w:r>
        <w:rPr>
          <w:sz w:val="26"/>
          <w:szCs w:val="26"/>
        </w:rPr>
        <w:t xml:space="preserve">  </w:t>
      </w:r>
      <w:r w:rsidRPr="00802250">
        <w:rPr>
          <w:i/>
          <w:iCs/>
          <w:sz w:val="26"/>
          <w:szCs w:val="26"/>
        </w:rPr>
        <w:t xml:space="preserve">Waldron </w:t>
      </w:r>
      <w:r w:rsidRPr="00802250">
        <w:rPr>
          <w:sz w:val="26"/>
          <w:szCs w:val="26"/>
        </w:rPr>
        <w:t xml:space="preserve">at 100. </w:t>
      </w:r>
    </w:p>
    <w:p w14:paraId="3038B2C2" w14:textId="77777777" w:rsidR="00671812" w:rsidRDefault="00671812" w:rsidP="00671812">
      <w:pPr>
        <w:pStyle w:val="Default"/>
        <w:rPr>
          <w:sz w:val="23"/>
          <w:szCs w:val="23"/>
        </w:rPr>
      </w:pPr>
    </w:p>
    <w:p w14:paraId="0A2E8B14" w14:textId="77777777" w:rsidR="00671812" w:rsidRDefault="00671812" w:rsidP="00671812">
      <w:pPr>
        <w:pStyle w:val="Default"/>
        <w:spacing w:line="360" w:lineRule="auto"/>
        <w:ind w:left="720" w:firstLine="720"/>
        <w:rPr>
          <w:sz w:val="26"/>
          <w:szCs w:val="26"/>
        </w:rPr>
      </w:pPr>
      <w:r>
        <w:rPr>
          <w:sz w:val="26"/>
          <w:szCs w:val="26"/>
        </w:rPr>
        <w:t>In discussing the burden of proof,</w:t>
      </w:r>
      <w:r w:rsidRPr="00026516">
        <w:rPr>
          <w:sz w:val="26"/>
          <w:szCs w:val="26"/>
        </w:rPr>
        <w:t xml:space="preserve"> </w:t>
      </w:r>
      <w:r w:rsidRPr="00026516">
        <w:rPr>
          <w:i/>
          <w:iCs/>
          <w:sz w:val="26"/>
          <w:szCs w:val="26"/>
        </w:rPr>
        <w:t xml:space="preserve">Waldron </w:t>
      </w:r>
      <w:r w:rsidRPr="00026516">
        <w:rPr>
          <w:sz w:val="26"/>
          <w:szCs w:val="26"/>
        </w:rPr>
        <w:t xml:space="preserve">states: </w:t>
      </w:r>
    </w:p>
    <w:p w14:paraId="369A467F" w14:textId="77777777" w:rsidR="00671812" w:rsidRPr="00026516" w:rsidRDefault="00671812" w:rsidP="00671812">
      <w:pPr>
        <w:pStyle w:val="Default"/>
        <w:spacing w:line="360" w:lineRule="auto"/>
        <w:ind w:left="720" w:firstLine="720"/>
        <w:rPr>
          <w:sz w:val="26"/>
          <w:szCs w:val="26"/>
        </w:rPr>
      </w:pPr>
    </w:p>
    <w:p w14:paraId="578F53DF" w14:textId="77777777" w:rsidR="00671812" w:rsidRDefault="00671812" w:rsidP="00671812">
      <w:pPr>
        <w:pStyle w:val="Default"/>
        <w:ind w:left="1440" w:right="1440"/>
        <w:rPr>
          <w:sz w:val="26"/>
          <w:szCs w:val="26"/>
        </w:rPr>
      </w:pPr>
      <w:r w:rsidRPr="00026516">
        <w:rPr>
          <w:sz w:val="26"/>
          <w:szCs w:val="26"/>
        </w:rPr>
        <w:t>[</w:t>
      </w:r>
      <w:r>
        <w:rPr>
          <w:sz w:val="26"/>
          <w:szCs w:val="26"/>
        </w:rPr>
        <w:t>T</w:t>
      </w:r>
      <w:r w:rsidRPr="00026516">
        <w:rPr>
          <w:sz w:val="26"/>
          <w:szCs w:val="26"/>
        </w:rPr>
        <w:t xml:space="preserve">]he </w:t>
      </w:r>
      <w:r w:rsidRPr="00026516">
        <w:rPr>
          <w:i/>
          <w:iCs/>
          <w:sz w:val="26"/>
          <w:szCs w:val="26"/>
        </w:rPr>
        <w:t xml:space="preserve">Waldron </w:t>
      </w:r>
      <w:r w:rsidRPr="00026516">
        <w:rPr>
          <w:sz w:val="26"/>
          <w:szCs w:val="26"/>
        </w:rPr>
        <w:t xml:space="preserve">Rule allows a complainant to establish a </w:t>
      </w:r>
      <w:r w:rsidRPr="00026516">
        <w:rPr>
          <w:i/>
          <w:iCs/>
          <w:sz w:val="26"/>
          <w:szCs w:val="26"/>
        </w:rPr>
        <w:t xml:space="preserve">prima facie </w:t>
      </w:r>
      <w:r w:rsidRPr="00026516">
        <w:rPr>
          <w:sz w:val="26"/>
          <w:szCs w:val="26"/>
        </w:rPr>
        <w:t xml:space="preserve">case in a “high bill” complaint by showing that the disputed bill is abnormally high when compared to prior usage patterns and his or her pattern of usage has not changed </w:t>
      </w:r>
      <w:r w:rsidRPr="00026516">
        <w:rPr>
          <w:i/>
          <w:iCs/>
          <w:sz w:val="26"/>
          <w:szCs w:val="26"/>
        </w:rPr>
        <w:t>or by providing other relevant evidence showing that the disputed bill is unreasonably high</w:t>
      </w:r>
      <w:r w:rsidRPr="00026516">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026516">
        <w:rPr>
          <w:i/>
          <w:iCs/>
          <w:sz w:val="26"/>
          <w:szCs w:val="26"/>
        </w:rPr>
        <w:t>and any other relevant facts or circumstances that come to light during the proceeding</w:t>
      </w:r>
      <w:r w:rsidRPr="00026516">
        <w:rPr>
          <w:sz w:val="26"/>
          <w:szCs w:val="26"/>
        </w:rPr>
        <w:t xml:space="preserve">.” </w:t>
      </w:r>
    </w:p>
    <w:p w14:paraId="309174C5" w14:textId="77777777" w:rsidR="00671812" w:rsidRDefault="00671812" w:rsidP="00671812">
      <w:pPr>
        <w:pStyle w:val="Default"/>
        <w:ind w:left="1440" w:right="1440"/>
        <w:rPr>
          <w:sz w:val="23"/>
          <w:szCs w:val="23"/>
        </w:rPr>
      </w:pPr>
    </w:p>
    <w:p w14:paraId="57396C7A" w14:textId="77777777" w:rsidR="00671812" w:rsidRDefault="00671812" w:rsidP="00671812">
      <w:pPr>
        <w:pStyle w:val="Default"/>
        <w:rPr>
          <w:sz w:val="23"/>
          <w:szCs w:val="23"/>
        </w:rPr>
      </w:pPr>
    </w:p>
    <w:p w14:paraId="51036607" w14:textId="77777777" w:rsidR="00671812" w:rsidRPr="00026516" w:rsidRDefault="00671812" w:rsidP="00671812">
      <w:pPr>
        <w:spacing w:line="360" w:lineRule="auto"/>
        <w:rPr>
          <w:sz w:val="26"/>
          <w:szCs w:val="26"/>
        </w:rPr>
      </w:pPr>
      <w:r w:rsidRPr="00026516">
        <w:rPr>
          <w:i/>
          <w:iCs/>
          <w:sz w:val="26"/>
          <w:szCs w:val="26"/>
        </w:rPr>
        <w:t xml:space="preserve">Thomas v. PECO Energy Company, </w:t>
      </w:r>
      <w:r w:rsidRPr="00026516">
        <w:rPr>
          <w:sz w:val="26"/>
          <w:szCs w:val="26"/>
        </w:rPr>
        <w:t xml:space="preserve">Docket No. C-2010-2187197 (Order entered November 15, 2011) at 5 (quoting </w:t>
      </w:r>
      <w:r w:rsidRPr="00026516">
        <w:rPr>
          <w:i/>
          <w:iCs/>
          <w:sz w:val="26"/>
          <w:szCs w:val="26"/>
        </w:rPr>
        <w:t xml:space="preserve">Bennett v. The Peoples Natural Gas Company, </w:t>
      </w:r>
      <w:r w:rsidRPr="00026516">
        <w:rPr>
          <w:sz w:val="26"/>
          <w:szCs w:val="26"/>
        </w:rPr>
        <w:t>Docket No. C-2009-2122979 (Order entered October 13, 2010).</w:t>
      </w:r>
    </w:p>
    <w:p w14:paraId="0A6DEEFE" w14:textId="77777777" w:rsidR="00671812" w:rsidRDefault="00671812" w:rsidP="000A0088">
      <w:pPr>
        <w:pStyle w:val="NormalWeb"/>
        <w:spacing w:before="0" w:beforeAutospacing="0" w:after="0" w:afterAutospacing="0" w:line="360" w:lineRule="auto"/>
        <w:ind w:firstLine="1440"/>
        <w:rPr>
          <w:sz w:val="26"/>
          <w:szCs w:val="26"/>
        </w:rPr>
      </w:pPr>
    </w:p>
    <w:p w14:paraId="36762E96" w14:textId="77777777" w:rsidR="00671812" w:rsidRDefault="00671812" w:rsidP="000A0088">
      <w:pPr>
        <w:pStyle w:val="NormalWeb"/>
        <w:spacing w:before="0" w:beforeAutospacing="0" w:after="0" w:afterAutospacing="0" w:line="360" w:lineRule="auto"/>
        <w:ind w:firstLine="1440"/>
        <w:rPr>
          <w:sz w:val="26"/>
          <w:szCs w:val="26"/>
        </w:rPr>
      </w:pPr>
    </w:p>
    <w:p w14:paraId="6EE5FFB0" w14:textId="77777777" w:rsidR="00671812" w:rsidRDefault="00671812" w:rsidP="000A0088">
      <w:pPr>
        <w:pStyle w:val="NormalWeb"/>
        <w:spacing w:before="0" w:beforeAutospacing="0" w:after="0" w:afterAutospacing="0" w:line="360" w:lineRule="auto"/>
        <w:ind w:firstLine="1440"/>
        <w:rPr>
          <w:sz w:val="26"/>
          <w:szCs w:val="26"/>
        </w:rPr>
      </w:pPr>
    </w:p>
    <w:p w14:paraId="088F02EB" w14:textId="77777777" w:rsidR="00671812" w:rsidRDefault="00671812" w:rsidP="000A0088">
      <w:pPr>
        <w:pStyle w:val="NormalWeb"/>
        <w:spacing w:before="0" w:beforeAutospacing="0" w:after="0" w:afterAutospacing="0" w:line="360" w:lineRule="auto"/>
        <w:ind w:firstLine="1440"/>
        <w:rPr>
          <w:sz w:val="26"/>
          <w:szCs w:val="26"/>
        </w:rPr>
      </w:pPr>
    </w:p>
    <w:p w14:paraId="78337AD7" w14:textId="127025E7" w:rsidR="00F57512" w:rsidRDefault="008E5CE1" w:rsidP="009E740E">
      <w:pPr>
        <w:keepNext/>
        <w:keepLines/>
        <w:spacing w:line="360" w:lineRule="auto"/>
        <w:contextualSpacing/>
        <w:rPr>
          <w:b/>
          <w:sz w:val="26"/>
          <w:szCs w:val="26"/>
        </w:rPr>
      </w:pPr>
      <w:r>
        <w:rPr>
          <w:b/>
          <w:sz w:val="26"/>
          <w:szCs w:val="26"/>
        </w:rPr>
        <w:lastRenderedPageBreak/>
        <w:t>ALJ</w:t>
      </w:r>
      <w:r w:rsidR="00B51A7C" w:rsidRPr="005C260E">
        <w:rPr>
          <w:b/>
          <w:sz w:val="26"/>
          <w:szCs w:val="26"/>
        </w:rPr>
        <w:t>’</w:t>
      </w:r>
      <w:r w:rsidR="00F57512" w:rsidRPr="005C260E">
        <w:rPr>
          <w:b/>
          <w:sz w:val="26"/>
          <w:szCs w:val="26"/>
        </w:rPr>
        <w:t>s Initial Decision</w:t>
      </w:r>
    </w:p>
    <w:p w14:paraId="736AC790" w14:textId="77777777" w:rsidR="008A4C57" w:rsidRPr="005C260E" w:rsidRDefault="008A4C57" w:rsidP="009E740E">
      <w:pPr>
        <w:keepNext/>
        <w:keepLines/>
        <w:spacing w:line="360" w:lineRule="auto"/>
        <w:contextualSpacing/>
        <w:rPr>
          <w:b/>
          <w:sz w:val="26"/>
          <w:szCs w:val="26"/>
        </w:rPr>
      </w:pPr>
    </w:p>
    <w:p w14:paraId="0896D829" w14:textId="018149B6" w:rsidR="008A4C57" w:rsidRDefault="008A4C57" w:rsidP="00487A9C">
      <w:pPr>
        <w:spacing w:line="360" w:lineRule="auto"/>
        <w:ind w:firstLine="1440"/>
        <w:contextualSpacing/>
        <w:rPr>
          <w:sz w:val="26"/>
          <w:szCs w:val="26"/>
        </w:rPr>
      </w:pPr>
      <w:r>
        <w:rPr>
          <w:sz w:val="26"/>
          <w:szCs w:val="26"/>
        </w:rPr>
        <w:t>ALJ Barnes</w:t>
      </w:r>
      <w:r w:rsidRPr="005C260E">
        <w:rPr>
          <w:sz w:val="26"/>
          <w:szCs w:val="26"/>
        </w:rPr>
        <w:t xml:space="preserve"> made </w:t>
      </w:r>
      <w:r>
        <w:rPr>
          <w:sz w:val="26"/>
          <w:szCs w:val="26"/>
        </w:rPr>
        <w:t>eighteen</w:t>
      </w:r>
      <w:r w:rsidRPr="005C260E">
        <w:rPr>
          <w:sz w:val="26"/>
          <w:szCs w:val="26"/>
        </w:rPr>
        <w:t xml:space="preserve"> Findings of Fact and reached</w:t>
      </w:r>
      <w:r>
        <w:rPr>
          <w:sz w:val="26"/>
          <w:szCs w:val="26"/>
        </w:rPr>
        <w:t xml:space="preserve"> seven</w:t>
      </w:r>
      <w:r w:rsidRPr="005C260E">
        <w:rPr>
          <w:sz w:val="26"/>
          <w:szCs w:val="26"/>
        </w:rPr>
        <w:t xml:space="preserve"> Conclusions of Law.  I.D. at </w:t>
      </w:r>
      <w:r>
        <w:rPr>
          <w:sz w:val="26"/>
          <w:szCs w:val="26"/>
        </w:rPr>
        <w:t>3-5, 9-10</w:t>
      </w:r>
      <w:r w:rsidRPr="005C260E">
        <w:rPr>
          <w:sz w:val="26"/>
          <w:szCs w:val="26"/>
        </w:rPr>
        <w:t>.  We shall adopt and incorporate herein by reference the</w:t>
      </w:r>
      <w:r>
        <w:rPr>
          <w:sz w:val="26"/>
          <w:szCs w:val="26"/>
        </w:rPr>
        <w:t xml:space="preserve"> ALJ’s</w:t>
      </w:r>
      <w:r w:rsidRPr="005C260E">
        <w:rPr>
          <w:sz w:val="26"/>
          <w:szCs w:val="26"/>
        </w:rPr>
        <w:t xml:space="preserve"> Findings of Fact and Conclusions of Law, unless they are reversed or modified by this Opinion and Order, either expressly or by necessary implication.</w:t>
      </w:r>
    </w:p>
    <w:p w14:paraId="7F2AB25B" w14:textId="77777777" w:rsidR="008A4C57" w:rsidRDefault="008A4C57" w:rsidP="00487A9C">
      <w:pPr>
        <w:spacing w:line="360" w:lineRule="auto"/>
        <w:ind w:firstLine="1440"/>
        <w:contextualSpacing/>
        <w:rPr>
          <w:sz w:val="26"/>
          <w:szCs w:val="26"/>
        </w:rPr>
      </w:pPr>
    </w:p>
    <w:p w14:paraId="19E2588C" w14:textId="1DEF44AF" w:rsidR="009C08C5" w:rsidRDefault="00487A9C" w:rsidP="00487A9C">
      <w:pPr>
        <w:spacing w:line="360" w:lineRule="auto"/>
        <w:ind w:firstLine="1440"/>
        <w:contextualSpacing/>
        <w:rPr>
          <w:sz w:val="26"/>
          <w:szCs w:val="26"/>
        </w:rPr>
      </w:pPr>
      <w:r w:rsidRPr="005C260E">
        <w:rPr>
          <w:sz w:val="26"/>
          <w:szCs w:val="26"/>
        </w:rPr>
        <w:t>In h</w:t>
      </w:r>
      <w:r w:rsidR="009C08C5">
        <w:rPr>
          <w:sz w:val="26"/>
          <w:szCs w:val="26"/>
        </w:rPr>
        <w:t>er</w:t>
      </w:r>
      <w:r w:rsidRPr="005C260E">
        <w:rPr>
          <w:sz w:val="26"/>
          <w:szCs w:val="26"/>
        </w:rPr>
        <w:t xml:space="preserve"> Initial Decision, ALJ</w:t>
      </w:r>
      <w:r>
        <w:rPr>
          <w:sz w:val="26"/>
          <w:szCs w:val="26"/>
        </w:rPr>
        <w:t xml:space="preserve"> </w:t>
      </w:r>
      <w:r w:rsidR="009C08C5">
        <w:rPr>
          <w:sz w:val="26"/>
          <w:szCs w:val="26"/>
        </w:rPr>
        <w:t>Barnes d</w:t>
      </w:r>
      <w:r w:rsidR="009C08C5" w:rsidRPr="009C08C5">
        <w:rPr>
          <w:sz w:val="26"/>
          <w:szCs w:val="26"/>
        </w:rPr>
        <w:t>ismissed the Complaint for failure of the Complainant to</w:t>
      </w:r>
      <w:r w:rsidR="009C08C5">
        <w:rPr>
          <w:sz w:val="26"/>
          <w:szCs w:val="26"/>
        </w:rPr>
        <w:t xml:space="preserve"> </w:t>
      </w:r>
      <w:r w:rsidR="009C08C5" w:rsidRPr="009C08C5">
        <w:rPr>
          <w:sz w:val="26"/>
          <w:szCs w:val="26"/>
        </w:rPr>
        <w:t>comply with</w:t>
      </w:r>
      <w:r w:rsidR="009C08C5">
        <w:rPr>
          <w:sz w:val="26"/>
          <w:szCs w:val="26"/>
        </w:rPr>
        <w:t>: (1) the</w:t>
      </w:r>
      <w:r w:rsidR="003618E3">
        <w:rPr>
          <w:sz w:val="26"/>
          <w:szCs w:val="26"/>
        </w:rPr>
        <w:t xml:space="preserve"> </w:t>
      </w:r>
      <w:r w:rsidR="009C08C5" w:rsidRPr="009C08C5">
        <w:rPr>
          <w:sz w:val="26"/>
          <w:szCs w:val="26"/>
        </w:rPr>
        <w:t>Motion to Comp</w:t>
      </w:r>
      <w:r w:rsidR="003618E3">
        <w:rPr>
          <w:sz w:val="26"/>
          <w:szCs w:val="26"/>
        </w:rPr>
        <w:t>el Order</w:t>
      </w:r>
      <w:r w:rsidR="009C08C5">
        <w:rPr>
          <w:sz w:val="26"/>
          <w:szCs w:val="26"/>
        </w:rPr>
        <w:t xml:space="preserve">; </w:t>
      </w:r>
      <w:r w:rsidR="00DF3C6F">
        <w:rPr>
          <w:sz w:val="26"/>
          <w:szCs w:val="26"/>
        </w:rPr>
        <w:t xml:space="preserve">and </w:t>
      </w:r>
      <w:r w:rsidR="009C08C5">
        <w:rPr>
          <w:sz w:val="26"/>
          <w:szCs w:val="26"/>
        </w:rPr>
        <w:t xml:space="preserve">(2) the </w:t>
      </w:r>
      <w:r w:rsidR="009C08C5" w:rsidRPr="009C08C5">
        <w:rPr>
          <w:sz w:val="26"/>
          <w:szCs w:val="26"/>
        </w:rPr>
        <w:t>Second Prehearing Order, as the</w:t>
      </w:r>
      <w:r w:rsidR="00DF3C6F">
        <w:rPr>
          <w:sz w:val="26"/>
          <w:szCs w:val="26"/>
        </w:rPr>
        <w:t xml:space="preserve"> Complainant failed to </w:t>
      </w:r>
      <w:r w:rsidR="009C08C5" w:rsidRPr="009C08C5">
        <w:rPr>
          <w:sz w:val="26"/>
          <w:szCs w:val="26"/>
        </w:rPr>
        <w:t xml:space="preserve">provide a list of witnesses, any proposed expert witness’ written testimony or exhibits by </w:t>
      </w:r>
      <w:r w:rsidR="00E17CB9">
        <w:rPr>
          <w:sz w:val="26"/>
          <w:szCs w:val="26"/>
        </w:rPr>
        <w:t xml:space="preserve">the </w:t>
      </w:r>
      <w:r w:rsidR="009C08C5" w:rsidRPr="009C08C5">
        <w:rPr>
          <w:sz w:val="26"/>
          <w:szCs w:val="26"/>
        </w:rPr>
        <w:t>September 16, 2019</w:t>
      </w:r>
      <w:r w:rsidR="00E17CB9">
        <w:rPr>
          <w:sz w:val="26"/>
          <w:szCs w:val="26"/>
        </w:rPr>
        <w:t xml:space="preserve"> due date</w:t>
      </w:r>
      <w:r w:rsidR="009C08C5" w:rsidRPr="009C08C5">
        <w:rPr>
          <w:sz w:val="26"/>
          <w:szCs w:val="26"/>
        </w:rPr>
        <w:t>.</w:t>
      </w:r>
      <w:r w:rsidR="009C08C5">
        <w:rPr>
          <w:sz w:val="26"/>
          <w:szCs w:val="26"/>
        </w:rPr>
        <w:t xml:space="preserve">  </w:t>
      </w:r>
      <w:r w:rsidR="002B46C8" w:rsidRPr="002B46C8">
        <w:rPr>
          <w:sz w:val="26"/>
          <w:szCs w:val="26"/>
        </w:rPr>
        <w:t>According to the ALJ, the Complainant failed to comply with Ordering Paragraph No. 9 of the Second Prehearing Order, which stated: “On or before September 16, 2019, Complainant is directed to serve copies of statements, reports, and any direct written testimony of any expert witnesses [he] intends to call at the hearing upon Respondent pursuant to 52 Pa. Code § 5.412(a).”</w:t>
      </w:r>
      <w:r w:rsidR="002B46C8">
        <w:rPr>
          <w:sz w:val="23"/>
          <w:szCs w:val="23"/>
        </w:rPr>
        <w:t xml:space="preserve">  </w:t>
      </w:r>
      <w:r w:rsidR="009C08C5">
        <w:rPr>
          <w:sz w:val="26"/>
          <w:szCs w:val="26"/>
        </w:rPr>
        <w:t>I.D. at 1</w:t>
      </w:r>
      <w:r w:rsidR="003618E3">
        <w:rPr>
          <w:sz w:val="26"/>
          <w:szCs w:val="26"/>
        </w:rPr>
        <w:t xml:space="preserve">, </w:t>
      </w:r>
      <w:r w:rsidR="002B46C8">
        <w:rPr>
          <w:sz w:val="26"/>
          <w:szCs w:val="26"/>
        </w:rPr>
        <w:t xml:space="preserve">5, </w:t>
      </w:r>
      <w:r w:rsidR="003618E3">
        <w:rPr>
          <w:sz w:val="26"/>
          <w:szCs w:val="26"/>
        </w:rPr>
        <w:t>11</w:t>
      </w:r>
      <w:r w:rsidR="009C08C5">
        <w:rPr>
          <w:sz w:val="26"/>
          <w:szCs w:val="26"/>
        </w:rPr>
        <w:t xml:space="preserve">. </w:t>
      </w:r>
    </w:p>
    <w:p w14:paraId="1B6BB672" w14:textId="77777777" w:rsidR="00487A9C" w:rsidRDefault="00487A9C" w:rsidP="00487A9C">
      <w:pPr>
        <w:spacing w:line="360" w:lineRule="auto"/>
        <w:contextualSpacing/>
        <w:rPr>
          <w:sz w:val="26"/>
          <w:szCs w:val="26"/>
        </w:rPr>
      </w:pPr>
    </w:p>
    <w:p w14:paraId="0E43071D" w14:textId="77777777" w:rsidR="00476235" w:rsidRDefault="00CE56E6" w:rsidP="00DF3CAF">
      <w:pPr>
        <w:spacing w:line="360" w:lineRule="auto"/>
        <w:ind w:firstLine="1440"/>
        <w:contextualSpacing/>
        <w:rPr>
          <w:sz w:val="26"/>
          <w:szCs w:val="26"/>
        </w:rPr>
      </w:pPr>
      <w:r>
        <w:rPr>
          <w:sz w:val="26"/>
          <w:szCs w:val="26"/>
        </w:rPr>
        <w:t xml:space="preserve">Specifically, the ALJ stated that PPL </w:t>
      </w:r>
      <w:r w:rsidRPr="00CE56E6">
        <w:rPr>
          <w:sz w:val="26"/>
          <w:szCs w:val="26"/>
        </w:rPr>
        <w:t xml:space="preserve">is entitled to engage in discovery in order to obtain information that is relevant and material to the issues raised by </w:t>
      </w:r>
      <w:r w:rsidR="00DF3CAF">
        <w:rPr>
          <w:sz w:val="26"/>
          <w:szCs w:val="26"/>
        </w:rPr>
        <w:t xml:space="preserve">the </w:t>
      </w:r>
      <w:r w:rsidRPr="00CE56E6">
        <w:rPr>
          <w:sz w:val="26"/>
          <w:szCs w:val="26"/>
        </w:rPr>
        <w:t>Complainant</w:t>
      </w:r>
      <w:r>
        <w:rPr>
          <w:sz w:val="26"/>
          <w:szCs w:val="26"/>
        </w:rPr>
        <w:t xml:space="preserve">.  </w:t>
      </w:r>
      <w:r w:rsidR="00B31267">
        <w:rPr>
          <w:sz w:val="26"/>
          <w:szCs w:val="26"/>
        </w:rPr>
        <w:t>T</w:t>
      </w:r>
      <w:r>
        <w:rPr>
          <w:sz w:val="26"/>
          <w:szCs w:val="26"/>
        </w:rPr>
        <w:t xml:space="preserve">he ALJ noted that PPL filed </w:t>
      </w:r>
      <w:r w:rsidRPr="00CE56E6">
        <w:rPr>
          <w:sz w:val="26"/>
          <w:szCs w:val="26"/>
        </w:rPr>
        <w:t xml:space="preserve">a certificate of service showing its service of discovery requests upon </w:t>
      </w:r>
      <w:r>
        <w:rPr>
          <w:sz w:val="26"/>
          <w:szCs w:val="26"/>
        </w:rPr>
        <w:t xml:space="preserve">the </w:t>
      </w:r>
      <w:r w:rsidRPr="00CE56E6">
        <w:rPr>
          <w:sz w:val="26"/>
          <w:szCs w:val="26"/>
        </w:rPr>
        <w:t>Complainant on March 25, 2019.</w:t>
      </w:r>
      <w:r>
        <w:rPr>
          <w:sz w:val="26"/>
          <w:szCs w:val="26"/>
        </w:rPr>
        <w:t xml:space="preserve">  I.D. at 5-6.  The ALJ stated that </w:t>
      </w:r>
      <w:r w:rsidRPr="00CE56E6">
        <w:rPr>
          <w:sz w:val="26"/>
          <w:szCs w:val="26"/>
        </w:rPr>
        <w:t>Commission</w:t>
      </w:r>
      <w:r>
        <w:rPr>
          <w:sz w:val="26"/>
          <w:szCs w:val="26"/>
        </w:rPr>
        <w:t xml:space="preserve"> R</w:t>
      </w:r>
      <w:r w:rsidRPr="00CE56E6">
        <w:rPr>
          <w:sz w:val="26"/>
          <w:szCs w:val="26"/>
        </w:rPr>
        <w:t>egulations at 52 Pa.</w:t>
      </w:r>
      <w:r>
        <w:rPr>
          <w:sz w:val="26"/>
          <w:szCs w:val="26"/>
        </w:rPr>
        <w:t xml:space="preserve"> </w:t>
      </w:r>
      <w:r w:rsidRPr="00CE56E6">
        <w:rPr>
          <w:sz w:val="26"/>
          <w:szCs w:val="26"/>
        </w:rPr>
        <w:t>Code §§ 5.342(d) and (e)</w:t>
      </w:r>
      <w:r w:rsidR="00B31267">
        <w:rPr>
          <w:sz w:val="26"/>
          <w:szCs w:val="26"/>
        </w:rPr>
        <w:t>,</w:t>
      </w:r>
      <w:r w:rsidRPr="00CE56E6">
        <w:rPr>
          <w:sz w:val="26"/>
          <w:szCs w:val="26"/>
        </w:rPr>
        <w:t xml:space="preserve"> provide that a party must serve answers to interrogatories within twenty days of service and objections within ten days of service.</w:t>
      </w:r>
      <w:r>
        <w:rPr>
          <w:sz w:val="26"/>
          <w:szCs w:val="26"/>
        </w:rPr>
        <w:t xml:space="preserve">  According to the ALJ, i</w:t>
      </w:r>
      <w:r w:rsidRPr="00CE56E6">
        <w:rPr>
          <w:sz w:val="26"/>
          <w:szCs w:val="26"/>
        </w:rPr>
        <w:t xml:space="preserve">n this case, </w:t>
      </w:r>
      <w:r>
        <w:rPr>
          <w:sz w:val="26"/>
          <w:szCs w:val="26"/>
        </w:rPr>
        <w:t xml:space="preserve">the </w:t>
      </w:r>
      <w:r w:rsidRPr="00CE56E6">
        <w:rPr>
          <w:sz w:val="26"/>
          <w:szCs w:val="26"/>
        </w:rPr>
        <w:t xml:space="preserve">Complainant failed to file a certificate of service showing his service of responses or any objections to the discovery requests, in violation of Commission </w:t>
      </w:r>
      <w:r>
        <w:rPr>
          <w:sz w:val="26"/>
          <w:szCs w:val="26"/>
        </w:rPr>
        <w:t>R</w:t>
      </w:r>
      <w:r w:rsidRPr="00CE56E6">
        <w:rPr>
          <w:sz w:val="26"/>
          <w:szCs w:val="26"/>
        </w:rPr>
        <w:t>egulations.</w:t>
      </w:r>
      <w:r>
        <w:rPr>
          <w:sz w:val="26"/>
          <w:szCs w:val="26"/>
        </w:rPr>
        <w:t xml:space="preserve">  </w:t>
      </w:r>
      <w:r w:rsidRPr="00CE56E6">
        <w:rPr>
          <w:i/>
          <w:iCs/>
          <w:sz w:val="26"/>
          <w:szCs w:val="26"/>
        </w:rPr>
        <w:t>Id.</w:t>
      </w:r>
      <w:r>
        <w:rPr>
          <w:sz w:val="26"/>
          <w:szCs w:val="26"/>
        </w:rPr>
        <w:t xml:space="preserve"> at 6. </w:t>
      </w:r>
    </w:p>
    <w:p w14:paraId="3C7492E4" w14:textId="77777777" w:rsidR="00155D22" w:rsidRDefault="00155D22" w:rsidP="00DF3CAF">
      <w:pPr>
        <w:spacing w:line="360" w:lineRule="auto"/>
        <w:ind w:firstLine="1440"/>
        <w:contextualSpacing/>
        <w:rPr>
          <w:sz w:val="26"/>
          <w:szCs w:val="26"/>
        </w:rPr>
      </w:pPr>
    </w:p>
    <w:p w14:paraId="5F3406DF" w14:textId="46E97472" w:rsidR="00CE56E6" w:rsidRDefault="00CE56E6" w:rsidP="00DF3CAF">
      <w:pPr>
        <w:spacing w:line="360" w:lineRule="auto"/>
        <w:ind w:firstLine="1440"/>
        <w:contextualSpacing/>
        <w:rPr>
          <w:sz w:val="26"/>
          <w:szCs w:val="26"/>
        </w:rPr>
      </w:pPr>
      <w:r>
        <w:rPr>
          <w:sz w:val="26"/>
          <w:szCs w:val="26"/>
        </w:rPr>
        <w:t xml:space="preserve"> </w:t>
      </w:r>
      <w:r w:rsidR="0030133A">
        <w:rPr>
          <w:sz w:val="26"/>
          <w:szCs w:val="26"/>
        </w:rPr>
        <w:t>T</w:t>
      </w:r>
      <w:r>
        <w:rPr>
          <w:sz w:val="26"/>
          <w:szCs w:val="26"/>
        </w:rPr>
        <w:t xml:space="preserve">he ALJ </w:t>
      </w:r>
      <w:r w:rsidR="0030133A">
        <w:rPr>
          <w:sz w:val="26"/>
          <w:szCs w:val="26"/>
        </w:rPr>
        <w:t xml:space="preserve">further </w:t>
      </w:r>
      <w:r>
        <w:rPr>
          <w:sz w:val="26"/>
          <w:szCs w:val="26"/>
        </w:rPr>
        <w:t xml:space="preserve">stated that </w:t>
      </w:r>
      <w:r w:rsidRPr="00CE56E6">
        <w:rPr>
          <w:sz w:val="26"/>
          <w:szCs w:val="26"/>
        </w:rPr>
        <w:t xml:space="preserve">Commission </w:t>
      </w:r>
      <w:r>
        <w:rPr>
          <w:sz w:val="26"/>
          <w:szCs w:val="26"/>
        </w:rPr>
        <w:t>R</w:t>
      </w:r>
      <w:r w:rsidRPr="00CE56E6">
        <w:rPr>
          <w:sz w:val="26"/>
          <w:szCs w:val="26"/>
        </w:rPr>
        <w:t>egulations at 52 Pa.</w:t>
      </w:r>
      <w:r>
        <w:rPr>
          <w:sz w:val="26"/>
          <w:szCs w:val="26"/>
        </w:rPr>
        <w:t xml:space="preserve"> </w:t>
      </w:r>
      <w:r w:rsidRPr="00CE56E6">
        <w:rPr>
          <w:sz w:val="26"/>
          <w:szCs w:val="26"/>
        </w:rPr>
        <w:t>Code §</w:t>
      </w:r>
      <w:r w:rsidR="00D02297">
        <w:rPr>
          <w:sz w:val="26"/>
          <w:szCs w:val="26"/>
        </w:rPr>
        <w:t> </w:t>
      </w:r>
      <w:r w:rsidRPr="00CE56E6">
        <w:rPr>
          <w:sz w:val="26"/>
          <w:szCs w:val="26"/>
        </w:rPr>
        <w:t xml:space="preserve">5.371 address the consequences of a participant’s failure to comply with Commission’s </w:t>
      </w:r>
      <w:r w:rsidRPr="00CE56E6">
        <w:rPr>
          <w:sz w:val="26"/>
          <w:szCs w:val="26"/>
        </w:rPr>
        <w:lastRenderedPageBreak/>
        <w:t xml:space="preserve">discovery regulations and </w:t>
      </w:r>
      <w:r w:rsidR="00CC0B93">
        <w:rPr>
          <w:sz w:val="26"/>
          <w:szCs w:val="26"/>
        </w:rPr>
        <w:t xml:space="preserve">provides </w:t>
      </w:r>
      <w:r w:rsidRPr="00CE56E6">
        <w:rPr>
          <w:sz w:val="26"/>
          <w:szCs w:val="26"/>
        </w:rPr>
        <w:t>that the Commission or the presiding officer may, on motion, make an appropriate order if a party fails to appear, answer, file sufficient answers, file objections, make a designation, or otherwise respond to discovery requests.</w:t>
      </w:r>
      <w:r>
        <w:rPr>
          <w:sz w:val="26"/>
          <w:szCs w:val="26"/>
        </w:rPr>
        <w:t xml:space="preserve">  </w:t>
      </w:r>
      <w:r w:rsidRPr="00CE56E6">
        <w:rPr>
          <w:i/>
          <w:iCs/>
          <w:sz w:val="26"/>
          <w:szCs w:val="26"/>
        </w:rPr>
        <w:t>Id.</w:t>
      </w:r>
      <w:r>
        <w:rPr>
          <w:sz w:val="26"/>
          <w:szCs w:val="26"/>
        </w:rPr>
        <w:t xml:space="preserve"> </w:t>
      </w:r>
      <w:r w:rsidR="00DF3CAF">
        <w:rPr>
          <w:sz w:val="26"/>
          <w:szCs w:val="26"/>
        </w:rPr>
        <w:t xml:space="preserve">  </w:t>
      </w:r>
      <w:r w:rsidRPr="00CE56E6">
        <w:rPr>
          <w:sz w:val="26"/>
          <w:szCs w:val="26"/>
        </w:rPr>
        <w:t xml:space="preserve">Further, </w:t>
      </w:r>
      <w:r w:rsidR="00DF3CAF">
        <w:rPr>
          <w:sz w:val="26"/>
          <w:szCs w:val="26"/>
        </w:rPr>
        <w:t xml:space="preserve">according to the ALJ, </w:t>
      </w:r>
      <w:r w:rsidRPr="00CE56E6">
        <w:rPr>
          <w:sz w:val="26"/>
          <w:szCs w:val="26"/>
        </w:rPr>
        <w:t>52 Pa.</w:t>
      </w:r>
      <w:r w:rsidR="00DF3CAF">
        <w:rPr>
          <w:sz w:val="26"/>
          <w:szCs w:val="26"/>
        </w:rPr>
        <w:t xml:space="preserve"> </w:t>
      </w:r>
      <w:r w:rsidRPr="00CE56E6">
        <w:rPr>
          <w:sz w:val="26"/>
          <w:szCs w:val="26"/>
        </w:rPr>
        <w:t xml:space="preserve">Code § 5.372 provides that the presiding officer may impose appropriate sanctions upon a party found to be in violation of the obligations set forth in the Commission’s </w:t>
      </w:r>
      <w:r w:rsidR="00DF3CAF">
        <w:rPr>
          <w:sz w:val="26"/>
          <w:szCs w:val="26"/>
        </w:rPr>
        <w:t>R</w:t>
      </w:r>
      <w:r w:rsidRPr="00CE56E6">
        <w:rPr>
          <w:sz w:val="26"/>
          <w:szCs w:val="26"/>
        </w:rPr>
        <w:t>egulations.</w:t>
      </w:r>
      <w:r w:rsidR="00DF3CAF">
        <w:rPr>
          <w:sz w:val="26"/>
          <w:szCs w:val="26"/>
        </w:rPr>
        <w:t xml:space="preserve">  </w:t>
      </w:r>
      <w:r w:rsidR="00DF3CAF" w:rsidRPr="00CE56E6">
        <w:rPr>
          <w:i/>
          <w:iCs/>
          <w:sz w:val="26"/>
          <w:szCs w:val="26"/>
        </w:rPr>
        <w:t>Id.</w:t>
      </w:r>
      <w:r w:rsidR="00DF3CAF">
        <w:rPr>
          <w:sz w:val="26"/>
          <w:szCs w:val="26"/>
        </w:rPr>
        <w:t xml:space="preserve">   </w:t>
      </w:r>
    </w:p>
    <w:p w14:paraId="69F8953E" w14:textId="77777777" w:rsidR="00B94782" w:rsidRDefault="00B94782" w:rsidP="00DF3CAF">
      <w:pPr>
        <w:spacing w:line="360" w:lineRule="auto"/>
        <w:ind w:firstLine="1440"/>
        <w:contextualSpacing/>
        <w:rPr>
          <w:sz w:val="26"/>
          <w:szCs w:val="26"/>
        </w:rPr>
      </w:pPr>
    </w:p>
    <w:p w14:paraId="00824B83" w14:textId="6C787C9F" w:rsidR="00B94782" w:rsidRPr="00B94782" w:rsidRDefault="00B94782" w:rsidP="00DF3CAF">
      <w:pPr>
        <w:spacing w:line="360" w:lineRule="auto"/>
        <w:ind w:firstLine="1440"/>
        <w:contextualSpacing/>
        <w:rPr>
          <w:sz w:val="26"/>
          <w:szCs w:val="26"/>
        </w:rPr>
      </w:pPr>
      <w:r w:rsidRPr="00B94782">
        <w:rPr>
          <w:sz w:val="26"/>
          <w:szCs w:val="26"/>
        </w:rPr>
        <w:t>The ALJ</w:t>
      </w:r>
      <w:r w:rsidR="00C84001">
        <w:rPr>
          <w:sz w:val="26"/>
          <w:szCs w:val="26"/>
        </w:rPr>
        <w:t xml:space="preserve"> stated</w:t>
      </w:r>
      <w:r w:rsidRPr="00B94782">
        <w:rPr>
          <w:sz w:val="26"/>
          <w:szCs w:val="26"/>
        </w:rPr>
        <w:t xml:space="preserve"> that the Motion to Compel Order found that </w:t>
      </w:r>
      <w:r>
        <w:rPr>
          <w:sz w:val="26"/>
          <w:szCs w:val="26"/>
        </w:rPr>
        <w:t xml:space="preserve">the </w:t>
      </w:r>
      <w:r w:rsidRPr="00B94782">
        <w:rPr>
          <w:sz w:val="26"/>
          <w:szCs w:val="26"/>
        </w:rPr>
        <w:t xml:space="preserve">information requested in PPL </w:t>
      </w:r>
      <w:r w:rsidR="00C84001">
        <w:rPr>
          <w:sz w:val="26"/>
          <w:szCs w:val="26"/>
        </w:rPr>
        <w:t xml:space="preserve">Set I </w:t>
      </w:r>
      <w:r w:rsidRPr="00B94782">
        <w:rPr>
          <w:sz w:val="26"/>
          <w:szCs w:val="26"/>
        </w:rPr>
        <w:t>Interrogatories 1-7 may be admissible or lead to discovery of admissible evidence at the hearing and is discoverable under the broad terms of 52 Pa. Code § 5.321</w:t>
      </w:r>
      <w:r w:rsidR="00CC0B93">
        <w:rPr>
          <w:sz w:val="26"/>
          <w:szCs w:val="26"/>
        </w:rPr>
        <w:t>.  According to the ALJ,</w:t>
      </w:r>
      <w:r w:rsidR="00292516">
        <w:rPr>
          <w:sz w:val="26"/>
          <w:szCs w:val="26"/>
        </w:rPr>
        <w:t xml:space="preserve"> </w:t>
      </w:r>
      <w:r>
        <w:rPr>
          <w:sz w:val="26"/>
          <w:szCs w:val="26"/>
        </w:rPr>
        <w:t xml:space="preserve">in </w:t>
      </w:r>
      <w:r w:rsidRPr="00B94782">
        <w:rPr>
          <w:sz w:val="26"/>
          <w:szCs w:val="26"/>
        </w:rPr>
        <w:t>the event no response was filed on or before October 20, 2019,</w:t>
      </w:r>
      <w:r>
        <w:rPr>
          <w:sz w:val="26"/>
          <w:szCs w:val="26"/>
        </w:rPr>
        <w:t xml:space="preserve"> </w:t>
      </w:r>
      <w:r w:rsidRPr="00B94782">
        <w:rPr>
          <w:sz w:val="26"/>
          <w:szCs w:val="26"/>
        </w:rPr>
        <w:t>PPL</w:t>
      </w:r>
      <w:r>
        <w:rPr>
          <w:sz w:val="26"/>
          <w:szCs w:val="26"/>
        </w:rPr>
        <w:t xml:space="preserve"> </w:t>
      </w:r>
      <w:r w:rsidRPr="00B94782">
        <w:rPr>
          <w:sz w:val="26"/>
          <w:szCs w:val="26"/>
        </w:rPr>
        <w:t>was entitled to file a motion for sanctions pursuant to 52 Pa. Code § 5.371.</w:t>
      </w:r>
      <w:r>
        <w:rPr>
          <w:sz w:val="26"/>
          <w:szCs w:val="26"/>
        </w:rPr>
        <w:t xml:space="preserve">  The ALJ noted that the </w:t>
      </w:r>
      <w:r w:rsidRPr="00B94782">
        <w:rPr>
          <w:sz w:val="26"/>
          <w:szCs w:val="26"/>
        </w:rPr>
        <w:t xml:space="preserve">Complainant was notified that failure to comply with an </w:t>
      </w:r>
      <w:r w:rsidR="00D627B4">
        <w:rPr>
          <w:sz w:val="26"/>
          <w:szCs w:val="26"/>
        </w:rPr>
        <w:t>o</w:t>
      </w:r>
      <w:r w:rsidRPr="00B94782">
        <w:rPr>
          <w:sz w:val="26"/>
          <w:szCs w:val="26"/>
        </w:rPr>
        <w:t>rder issued by an</w:t>
      </w:r>
      <w:r>
        <w:rPr>
          <w:sz w:val="26"/>
          <w:szCs w:val="26"/>
        </w:rPr>
        <w:t xml:space="preserve"> </w:t>
      </w:r>
      <w:r w:rsidRPr="00B94782">
        <w:rPr>
          <w:sz w:val="26"/>
          <w:szCs w:val="26"/>
        </w:rPr>
        <w:t>ALJ</w:t>
      </w:r>
      <w:r>
        <w:rPr>
          <w:sz w:val="26"/>
          <w:szCs w:val="26"/>
        </w:rPr>
        <w:t xml:space="preserve"> </w:t>
      </w:r>
      <w:r w:rsidRPr="00B94782">
        <w:rPr>
          <w:sz w:val="26"/>
          <w:szCs w:val="26"/>
        </w:rPr>
        <w:t>constitutes grounds for dismissal of a case.</w:t>
      </w:r>
      <w:r>
        <w:rPr>
          <w:sz w:val="26"/>
          <w:szCs w:val="26"/>
        </w:rPr>
        <w:t xml:space="preserve">  </w:t>
      </w:r>
      <w:r w:rsidR="00292516">
        <w:rPr>
          <w:sz w:val="26"/>
          <w:szCs w:val="26"/>
        </w:rPr>
        <w:t>C</w:t>
      </w:r>
      <w:r w:rsidR="0042376B" w:rsidRPr="0042376B">
        <w:rPr>
          <w:sz w:val="26"/>
          <w:szCs w:val="26"/>
        </w:rPr>
        <w:t xml:space="preserve">iting to </w:t>
      </w:r>
      <w:r w:rsidR="0042376B" w:rsidRPr="0042376B">
        <w:rPr>
          <w:i/>
          <w:iCs/>
          <w:sz w:val="26"/>
          <w:szCs w:val="26"/>
        </w:rPr>
        <w:t>Snyderville Community Development Corporation v. Philadelphia Gas Works</w:t>
      </w:r>
      <w:r w:rsidR="0042376B" w:rsidRPr="0042376B">
        <w:rPr>
          <w:sz w:val="26"/>
          <w:szCs w:val="26"/>
        </w:rPr>
        <w:t>, Docket No. C</w:t>
      </w:r>
      <w:r w:rsidR="002A6263">
        <w:rPr>
          <w:sz w:val="26"/>
          <w:szCs w:val="26"/>
        </w:rPr>
        <w:noBreakHyphen/>
      </w:r>
      <w:r w:rsidR="0042376B" w:rsidRPr="0042376B">
        <w:rPr>
          <w:sz w:val="26"/>
          <w:szCs w:val="26"/>
        </w:rPr>
        <w:t>20055032 (Opinion and Order entered July 31, 2006)</w:t>
      </w:r>
      <w:r w:rsidR="0042376B">
        <w:rPr>
          <w:sz w:val="26"/>
          <w:szCs w:val="26"/>
        </w:rPr>
        <w:t xml:space="preserve"> and </w:t>
      </w:r>
      <w:r w:rsidR="0042376B" w:rsidRPr="0042376B">
        <w:rPr>
          <w:sz w:val="26"/>
          <w:szCs w:val="26"/>
        </w:rPr>
        <w:t>52 Pa. Code § 5.371</w:t>
      </w:r>
      <w:r w:rsidR="0042376B">
        <w:rPr>
          <w:sz w:val="26"/>
          <w:szCs w:val="26"/>
        </w:rPr>
        <w:t xml:space="preserve">, the </w:t>
      </w:r>
      <w:r w:rsidR="00882D35">
        <w:rPr>
          <w:sz w:val="26"/>
          <w:szCs w:val="26"/>
        </w:rPr>
        <w:t xml:space="preserve">ALJ noted that the </w:t>
      </w:r>
      <w:r w:rsidR="0042376B" w:rsidRPr="0042376B">
        <w:rPr>
          <w:sz w:val="26"/>
          <w:szCs w:val="26"/>
        </w:rPr>
        <w:t xml:space="preserve">Commission has held that parties must comply with the orders of an ALJ, and a </w:t>
      </w:r>
      <w:r w:rsidR="005402CC">
        <w:rPr>
          <w:sz w:val="26"/>
          <w:szCs w:val="26"/>
        </w:rPr>
        <w:t>c</w:t>
      </w:r>
      <w:r w:rsidR="0042376B" w:rsidRPr="0042376B">
        <w:rPr>
          <w:sz w:val="26"/>
          <w:szCs w:val="26"/>
        </w:rPr>
        <w:t>omplainant’s failure to do so is a sufficient basis to support dismissal of the matter.</w:t>
      </w:r>
      <w:r w:rsidR="0042376B">
        <w:rPr>
          <w:sz w:val="23"/>
          <w:szCs w:val="23"/>
        </w:rPr>
        <w:t xml:space="preserve">  </w:t>
      </w:r>
      <w:r w:rsidRPr="00CE56E6">
        <w:rPr>
          <w:i/>
          <w:iCs/>
          <w:sz w:val="26"/>
          <w:szCs w:val="26"/>
        </w:rPr>
        <w:t>Id.</w:t>
      </w:r>
      <w:r>
        <w:rPr>
          <w:sz w:val="26"/>
          <w:szCs w:val="26"/>
        </w:rPr>
        <w:t xml:space="preserve"> at 7.</w:t>
      </w:r>
    </w:p>
    <w:p w14:paraId="219787DB" w14:textId="77777777" w:rsidR="00CE56E6" w:rsidRPr="00AD6596" w:rsidRDefault="00CE56E6" w:rsidP="00487A9C">
      <w:pPr>
        <w:spacing w:line="360" w:lineRule="auto"/>
        <w:ind w:firstLine="1440"/>
        <w:contextualSpacing/>
        <w:rPr>
          <w:sz w:val="26"/>
          <w:szCs w:val="26"/>
        </w:rPr>
      </w:pPr>
    </w:p>
    <w:p w14:paraId="4D4396EE" w14:textId="437375CB" w:rsidR="00AD6596" w:rsidRDefault="00AD6596" w:rsidP="00487A9C">
      <w:pPr>
        <w:spacing w:line="360" w:lineRule="auto"/>
        <w:ind w:firstLine="1440"/>
        <w:contextualSpacing/>
        <w:rPr>
          <w:i/>
          <w:iCs/>
          <w:sz w:val="26"/>
          <w:szCs w:val="26"/>
        </w:rPr>
      </w:pPr>
      <w:r w:rsidRPr="00AD6596">
        <w:rPr>
          <w:sz w:val="26"/>
          <w:szCs w:val="26"/>
        </w:rPr>
        <w:t xml:space="preserve">More importantly, the ALJ stated that the Commission has been dismissing complaints in cases involving smart meters as a sanction for </w:t>
      </w:r>
      <w:r w:rsidR="00D02297">
        <w:rPr>
          <w:sz w:val="26"/>
          <w:szCs w:val="26"/>
        </w:rPr>
        <w:t xml:space="preserve">a complainant’s </w:t>
      </w:r>
      <w:r w:rsidRPr="00AD6596">
        <w:rPr>
          <w:sz w:val="26"/>
          <w:szCs w:val="26"/>
        </w:rPr>
        <w:t xml:space="preserve">failure  to comply with similar prehearing orders compelling service of witness lists and discovery </w:t>
      </w:r>
      <w:r w:rsidRPr="00AD6596">
        <w:rPr>
          <w:sz w:val="26"/>
          <w:szCs w:val="26"/>
        </w:rPr>
        <w:lastRenderedPageBreak/>
        <w:t>responses to an EDC regarding the identification of medical records, witnesses, electronic devices in the service location emitting radio frequency fields, etc.</w:t>
      </w:r>
      <w:r>
        <w:rPr>
          <w:rStyle w:val="FootnoteReference"/>
        </w:rPr>
        <w:footnoteReference w:id="3"/>
      </w:r>
      <w:r>
        <w:rPr>
          <w:sz w:val="26"/>
          <w:szCs w:val="26"/>
        </w:rPr>
        <w:t xml:space="preserve">  </w:t>
      </w:r>
      <w:r w:rsidRPr="00CE56E6">
        <w:rPr>
          <w:i/>
          <w:iCs/>
          <w:sz w:val="26"/>
          <w:szCs w:val="26"/>
        </w:rPr>
        <w:t>Id.</w:t>
      </w:r>
    </w:p>
    <w:p w14:paraId="3F7AB6DA" w14:textId="77777777" w:rsidR="00A21FC2" w:rsidRPr="00AD6596" w:rsidRDefault="00A21FC2" w:rsidP="00487A9C">
      <w:pPr>
        <w:spacing w:line="360" w:lineRule="auto"/>
        <w:ind w:firstLine="1440"/>
        <w:contextualSpacing/>
        <w:rPr>
          <w:sz w:val="26"/>
          <w:szCs w:val="26"/>
        </w:rPr>
      </w:pPr>
    </w:p>
    <w:p w14:paraId="3501FA8C" w14:textId="7A93598A" w:rsidR="00AD6596" w:rsidRDefault="00AD6596" w:rsidP="00487A9C">
      <w:pPr>
        <w:spacing w:line="360" w:lineRule="auto"/>
        <w:ind w:firstLine="1440"/>
        <w:contextualSpacing/>
        <w:rPr>
          <w:sz w:val="26"/>
          <w:szCs w:val="26"/>
        </w:rPr>
      </w:pPr>
      <w:r w:rsidRPr="00AD6596">
        <w:rPr>
          <w:sz w:val="26"/>
          <w:szCs w:val="26"/>
        </w:rPr>
        <w:t xml:space="preserve">According to the ALJ, the </w:t>
      </w:r>
      <w:r w:rsidR="00A24DE8">
        <w:rPr>
          <w:sz w:val="26"/>
          <w:szCs w:val="26"/>
        </w:rPr>
        <w:t>c</w:t>
      </w:r>
      <w:r w:rsidRPr="00AD6596">
        <w:rPr>
          <w:sz w:val="26"/>
          <w:szCs w:val="26"/>
        </w:rPr>
        <w:t xml:space="preserve">omplainants in the aforementioned cases also requested to opt out of an AMI meter installation for health, safety, or data privacy reasons and these </w:t>
      </w:r>
      <w:r w:rsidR="00A24DE8">
        <w:rPr>
          <w:sz w:val="26"/>
          <w:szCs w:val="26"/>
        </w:rPr>
        <w:t>c</w:t>
      </w:r>
      <w:r w:rsidRPr="00AD6596">
        <w:rPr>
          <w:sz w:val="26"/>
          <w:szCs w:val="26"/>
        </w:rPr>
        <w:t>omplainants also did not comply with orders compelling the production of witness lists and other discovery responses</w:t>
      </w:r>
      <w:r w:rsidR="00112490">
        <w:rPr>
          <w:sz w:val="26"/>
          <w:szCs w:val="26"/>
        </w:rPr>
        <w:t xml:space="preserve">.  </w:t>
      </w:r>
      <w:r w:rsidRPr="00AD6596">
        <w:rPr>
          <w:sz w:val="26"/>
          <w:szCs w:val="26"/>
        </w:rPr>
        <w:t xml:space="preserve">The ALJ stated that </w:t>
      </w:r>
      <w:r w:rsidR="00D02297">
        <w:rPr>
          <w:sz w:val="26"/>
          <w:szCs w:val="26"/>
        </w:rPr>
        <w:t>in those cases</w:t>
      </w:r>
      <w:r w:rsidR="001578D3">
        <w:rPr>
          <w:sz w:val="26"/>
          <w:szCs w:val="26"/>
        </w:rPr>
        <w:t xml:space="preserve">, </w:t>
      </w:r>
      <w:r w:rsidR="00D02297">
        <w:rPr>
          <w:sz w:val="26"/>
          <w:szCs w:val="26"/>
        </w:rPr>
        <w:t xml:space="preserve">the assigned ALJ granted the motions to dismiss the complaint by Initial Decisions </w:t>
      </w:r>
      <w:r w:rsidRPr="00AD6596">
        <w:rPr>
          <w:sz w:val="26"/>
          <w:szCs w:val="26"/>
        </w:rPr>
        <w:t xml:space="preserve">because the </w:t>
      </w:r>
      <w:r w:rsidR="001142A6">
        <w:rPr>
          <w:sz w:val="26"/>
          <w:szCs w:val="26"/>
        </w:rPr>
        <w:t>c</w:t>
      </w:r>
      <w:r w:rsidRPr="00AD6596">
        <w:rPr>
          <w:sz w:val="26"/>
          <w:szCs w:val="26"/>
        </w:rPr>
        <w:t xml:space="preserve">omplainants </w:t>
      </w:r>
      <w:r w:rsidR="00C9669B">
        <w:rPr>
          <w:sz w:val="26"/>
          <w:szCs w:val="26"/>
        </w:rPr>
        <w:t xml:space="preserve">in </w:t>
      </w:r>
      <w:r w:rsidR="00D02297">
        <w:rPr>
          <w:sz w:val="26"/>
          <w:szCs w:val="26"/>
        </w:rPr>
        <w:t>those</w:t>
      </w:r>
      <w:r w:rsidR="00C9669B">
        <w:rPr>
          <w:sz w:val="26"/>
          <w:szCs w:val="26"/>
        </w:rPr>
        <w:t xml:space="preserve"> cases </w:t>
      </w:r>
      <w:r w:rsidR="00D02297">
        <w:rPr>
          <w:sz w:val="26"/>
          <w:szCs w:val="26"/>
        </w:rPr>
        <w:t xml:space="preserve">had </w:t>
      </w:r>
      <w:r w:rsidRPr="00AD6596">
        <w:rPr>
          <w:sz w:val="26"/>
          <w:szCs w:val="26"/>
        </w:rPr>
        <w:t>failed to comply with an ALJ’s order compelling discovery responses</w:t>
      </w:r>
      <w:r w:rsidR="00D02297">
        <w:rPr>
          <w:sz w:val="26"/>
          <w:szCs w:val="26"/>
        </w:rPr>
        <w:t xml:space="preserve">.  </w:t>
      </w:r>
      <w:r w:rsidRPr="00AD6596">
        <w:rPr>
          <w:sz w:val="26"/>
          <w:szCs w:val="26"/>
        </w:rPr>
        <w:t xml:space="preserve"> </w:t>
      </w:r>
      <w:r w:rsidR="001578D3">
        <w:rPr>
          <w:sz w:val="26"/>
          <w:szCs w:val="26"/>
        </w:rPr>
        <w:t xml:space="preserve">Subsequently, </w:t>
      </w:r>
      <w:r w:rsidR="001578D3" w:rsidRPr="00AD6596">
        <w:rPr>
          <w:sz w:val="26"/>
          <w:szCs w:val="26"/>
        </w:rPr>
        <w:t>those</w:t>
      </w:r>
      <w:r w:rsidRPr="00AD6596">
        <w:rPr>
          <w:sz w:val="26"/>
          <w:szCs w:val="26"/>
        </w:rPr>
        <w:t xml:space="preserve"> decisions </w:t>
      </w:r>
      <w:r w:rsidR="00D02297">
        <w:rPr>
          <w:sz w:val="26"/>
          <w:szCs w:val="26"/>
        </w:rPr>
        <w:t>became</w:t>
      </w:r>
      <w:r w:rsidRPr="00AD6596">
        <w:rPr>
          <w:sz w:val="26"/>
          <w:szCs w:val="26"/>
        </w:rPr>
        <w:t xml:space="preserve"> final by operation of law</w:t>
      </w:r>
      <w:r w:rsidR="00D02297">
        <w:rPr>
          <w:sz w:val="26"/>
          <w:szCs w:val="26"/>
        </w:rPr>
        <w:t>.</w:t>
      </w:r>
      <w:r w:rsidRPr="00AD6596">
        <w:rPr>
          <w:sz w:val="26"/>
          <w:szCs w:val="26"/>
        </w:rPr>
        <w:t xml:space="preserve">  </w:t>
      </w:r>
      <w:r w:rsidRPr="00AD6596">
        <w:rPr>
          <w:i/>
          <w:iCs/>
          <w:sz w:val="26"/>
          <w:szCs w:val="26"/>
        </w:rPr>
        <w:t>Id.</w:t>
      </w:r>
      <w:r w:rsidRPr="00AD6596">
        <w:rPr>
          <w:sz w:val="26"/>
          <w:szCs w:val="26"/>
        </w:rPr>
        <w:t xml:space="preserve"> at 7-8, citing 66 Pa. C.S. § 332(h).</w:t>
      </w:r>
    </w:p>
    <w:p w14:paraId="27F592FE" w14:textId="77777777" w:rsidR="00AD6596" w:rsidRDefault="00AD6596" w:rsidP="00487A9C">
      <w:pPr>
        <w:spacing w:line="360" w:lineRule="auto"/>
        <w:ind w:firstLine="1440"/>
        <w:contextualSpacing/>
        <w:rPr>
          <w:sz w:val="26"/>
          <w:szCs w:val="26"/>
        </w:rPr>
      </w:pPr>
    </w:p>
    <w:p w14:paraId="1314F4B7" w14:textId="30F2F5E6" w:rsidR="00AD6596" w:rsidRDefault="00C9669B" w:rsidP="00487A9C">
      <w:pPr>
        <w:spacing w:line="360" w:lineRule="auto"/>
        <w:ind w:firstLine="1440"/>
        <w:contextualSpacing/>
        <w:rPr>
          <w:sz w:val="26"/>
          <w:szCs w:val="26"/>
        </w:rPr>
      </w:pPr>
      <w:r>
        <w:rPr>
          <w:sz w:val="26"/>
          <w:szCs w:val="26"/>
        </w:rPr>
        <w:t>T</w:t>
      </w:r>
      <w:r w:rsidR="00AD6596" w:rsidRPr="00A471D6">
        <w:rPr>
          <w:sz w:val="26"/>
          <w:szCs w:val="26"/>
        </w:rPr>
        <w:t xml:space="preserve">he ALJ stated that the instant case is similar to </w:t>
      </w:r>
      <w:r w:rsidR="00D02297">
        <w:rPr>
          <w:sz w:val="26"/>
          <w:szCs w:val="26"/>
        </w:rPr>
        <w:t>those cases</w:t>
      </w:r>
      <w:r w:rsidR="00AD6596" w:rsidRPr="00A471D6">
        <w:rPr>
          <w:sz w:val="26"/>
          <w:szCs w:val="26"/>
        </w:rPr>
        <w:t xml:space="preserve"> in that the Complainant was warned that failure to comply with an order compelling discovery responses could result in the filing of a motion for sanctions and possible dismissal of his case.  Additionally, </w:t>
      </w:r>
      <w:r w:rsidR="00D02297">
        <w:rPr>
          <w:sz w:val="26"/>
          <w:szCs w:val="26"/>
        </w:rPr>
        <w:t xml:space="preserve">the ALJ noted that </w:t>
      </w:r>
      <w:r w:rsidR="00AD6596" w:rsidRPr="00A471D6">
        <w:rPr>
          <w:sz w:val="26"/>
          <w:szCs w:val="26"/>
        </w:rPr>
        <w:t xml:space="preserve"> the Complainant in the instant case </w:t>
      </w:r>
      <w:r w:rsidR="00D02297">
        <w:rPr>
          <w:sz w:val="26"/>
          <w:szCs w:val="26"/>
        </w:rPr>
        <w:t xml:space="preserve">failed to comply with </w:t>
      </w:r>
      <w:r w:rsidR="00AD6596" w:rsidRPr="00A471D6">
        <w:rPr>
          <w:sz w:val="26"/>
          <w:szCs w:val="26"/>
        </w:rPr>
        <w:t xml:space="preserve"> two interim orders by </w:t>
      </w:r>
      <w:r w:rsidR="00D02297">
        <w:rPr>
          <w:sz w:val="26"/>
          <w:szCs w:val="26"/>
        </w:rPr>
        <w:t xml:space="preserve">not providing </w:t>
      </w:r>
      <w:r w:rsidR="00AD6596" w:rsidRPr="00A471D6">
        <w:rPr>
          <w:sz w:val="26"/>
          <w:szCs w:val="26"/>
        </w:rPr>
        <w:t xml:space="preserve"> discovery responses</w:t>
      </w:r>
      <w:r>
        <w:rPr>
          <w:sz w:val="26"/>
          <w:szCs w:val="26"/>
        </w:rPr>
        <w:t xml:space="preserve"> and </w:t>
      </w:r>
      <w:r w:rsidR="00D02297">
        <w:rPr>
          <w:sz w:val="26"/>
          <w:szCs w:val="26"/>
        </w:rPr>
        <w:t xml:space="preserve">by </w:t>
      </w:r>
      <w:r>
        <w:rPr>
          <w:sz w:val="26"/>
          <w:szCs w:val="26"/>
        </w:rPr>
        <w:t xml:space="preserve">failing </w:t>
      </w:r>
      <w:r w:rsidR="00AD6596" w:rsidRPr="00A471D6">
        <w:rPr>
          <w:sz w:val="26"/>
          <w:szCs w:val="26"/>
        </w:rPr>
        <w:t xml:space="preserve">to serve any witness list, statements of expert witnesses or exhibits by the September 16, </w:t>
      </w:r>
      <w:r w:rsidR="00AD6596" w:rsidRPr="00A471D6">
        <w:rPr>
          <w:sz w:val="26"/>
          <w:szCs w:val="26"/>
        </w:rPr>
        <w:lastRenderedPageBreak/>
        <w:t xml:space="preserve">2019 deadline </w:t>
      </w:r>
      <w:r w:rsidR="00D02297">
        <w:rPr>
          <w:sz w:val="26"/>
          <w:szCs w:val="26"/>
        </w:rPr>
        <w:t xml:space="preserve">set forth </w:t>
      </w:r>
      <w:r w:rsidR="00AD6596" w:rsidRPr="00A471D6">
        <w:rPr>
          <w:sz w:val="26"/>
          <w:szCs w:val="26"/>
        </w:rPr>
        <w:t>in the Second Prehearing Order.   Hence, in consideration of the prior cases noted above</w:t>
      </w:r>
      <w:r w:rsidR="0008421E">
        <w:rPr>
          <w:sz w:val="26"/>
          <w:szCs w:val="26"/>
        </w:rPr>
        <w:t xml:space="preserve"> and </w:t>
      </w:r>
      <w:r w:rsidR="00AD6596" w:rsidRPr="00A471D6">
        <w:rPr>
          <w:sz w:val="26"/>
          <w:szCs w:val="26"/>
        </w:rPr>
        <w:t xml:space="preserve">under the principle of </w:t>
      </w:r>
      <w:r w:rsidR="00AD6596" w:rsidRPr="00A471D6">
        <w:rPr>
          <w:i/>
          <w:iCs/>
          <w:sz w:val="26"/>
          <w:szCs w:val="26"/>
        </w:rPr>
        <w:t>stare decisis</w:t>
      </w:r>
      <w:r w:rsidR="00AD6596" w:rsidRPr="00A471D6">
        <w:rPr>
          <w:sz w:val="26"/>
          <w:szCs w:val="26"/>
        </w:rPr>
        <w:t>,</w:t>
      </w:r>
      <w:r w:rsidR="00A471D6">
        <w:rPr>
          <w:sz w:val="26"/>
          <w:szCs w:val="26"/>
        </w:rPr>
        <w:t xml:space="preserve"> the ALJ noted that </w:t>
      </w:r>
      <w:r>
        <w:rPr>
          <w:sz w:val="26"/>
          <w:szCs w:val="26"/>
        </w:rPr>
        <w:t>s</w:t>
      </w:r>
      <w:r w:rsidR="00A471D6">
        <w:rPr>
          <w:sz w:val="26"/>
          <w:szCs w:val="26"/>
        </w:rPr>
        <w:t>he followed</w:t>
      </w:r>
      <w:r w:rsidR="00AD6596" w:rsidRPr="00A471D6">
        <w:rPr>
          <w:sz w:val="26"/>
          <w:szCs w:val="26"/>
        </w:rPr>
        <w:t xml:space="preserve"> this policy for consistency as the facts are more similar than distinguishable.</w:t>
      </w:r>
      <w:r w:rsidR="00A471D6">
        <w:rPr>
          <w:sz w:val="26"/>
          <w:szCs w:val="26"/>
        </w:rPr>
        <w:t xml:space="preserve">  I.D. at 8, citing </w:t>
      </w:r>
      <w:r w:rsidR="00AD6596" w:rsidRPr="00A471D6">
        <w:rPr>
          <w:i/>
          <w:iCs/>
          <w:sz w:val="26"/>
          <w:szCs w:val="26"/>
        </w:rPr>
        <w:t xml:space="preserve">George Crawford v. National Fuel Gas Distribution Corporation, </w:t>
      </w:r>
      <w:r w:rsidR="00AD6596" w:rsidRPr="00A471D6">
        <w:rPr>
          <w:sz w:val="26"/>
          <w:szCs w:val="26"/>
        </w:rPr>
        <w:t>C-20066348 (Opinion and Order entered December 6, 2017) at 3-4.</w:t>
      </w:r>
    </w:p>
    <w:p w14:paraId="25FCCD2D" w14:textId="77777777" w:rsidR="00D02297" w:rsidRPr="00A471D6" w:rsidRDefault="00D02297" w:rsidP="00487A9C">
      <w:pPr>
        <w:spacing w:line="360" w:lineRule="auto"/>
        <w:ind w:firstLine="1440"/>
        <w:contextualSpacing/>
        <w:rPr>
          <w:sz w:val="26"/>
          <w:szCs w:val="26"/>
        </w:rPr>
      </w:pPr>
    </w:p>
    <w:p w14:paraId="6E57EFC4" w14:textId="77777777" w:rsidR="0034472A" w:rsidRPr="0034472A" w:rsidRDefault="0034472A" w:rsidP="0034472A">
      <w:pPr>
        <w:pStyle w:val="Default"/>
        <w:spacing w:line="360" w:lineRule="auto"/>
        <w:ind w:firstLine="1440"/>
        <w:rPr>
          <w:sz w:val="26"/>
          <w:szCs w:val="26"/>
        </w:rPr>
      </w:pPr>
      <w:r>
        <w:rPr>
          <w:sz w:val="26"/>
          <w:szCs w:val="26"/>
        </w:rPr>
        <w:t>Further, the ALJ stated that i</w:t>
      </w:r>
      <w:r w:rsidRPr="0034472A">
        <w:rPr>
          <w:sz w:val="26"/>
          <w:szCs w:val="26"/>
        </w:rPr>
        <w:t xml:space="preserve">n the instant case, if </w:t>
      </w:r>
      <w:r w:rsidR="00AF3806">
        <w:rPr>
          <w:sz w:val="26"/>
          <w:szCs w:val="26"/>
        </w:rPr>
        <w:t xml:space="preserve">the </w:t>
      </w:r>
      <w:r w:rsidRPr="0034472A">
        <w:rPr>
          <w:sz w:val="26"/>
          <w:szCs w:val="26"/>
        </w:rPr>
        <w:t xml:space="preserve">Complainant was unable or unwilling to provide responses to the discovery requests, </w:t>
      </w:r>
      <w:r>
        <w:rPr>
          <w:sz w:val="26"/>
          <w:szCs w:val="26"/>
        </w:rPr>
        <w:t xml:space="preserve">the </w:t>
      </w:r>
      <w:r w:rsidRPr="0034472A">
        <w:rPr>
          <w:sz w:val="26"/>
          <w:szCs w:val="26"/>
        </w:rPr>
        <w:t>Complainant could have filed objections or asked for additional time to respond.</w:t>
      </w:r>
      <w:r>
        <w:rPr>
          <w:sz w:val="26"/>
          <w:szCs w:val="26"/>
        </w:rPr>
        <w:t xml:space="preserve">  Rather, the </w:t>
      </w:r>
      <w:r w:rsidRPr="0034472A">
        <w:rPr>
          <w:sz w:val="26"/>
          <w:szCs w:val="26"/>
        </w:rPr>
        <w:t>Complainant did neither and, in fact, filed no responses at all.</w:t>
      </w:r>
      <w:r>
        <w:rPr>
          <w:sz w:val="26"/>
          <w:szCs w:val="26"/>
        </w:rPr>
        <w:t xml:space="preserve">  </w:t>
      </w:r>
      <w:r w:rsidRPr="0034472A">
        <w:rPr>
          <w:sz w:val="26"/>
          <w:szCs w:val="26"/>
        </w:rPr>
        <w:t xml:space="preserve">Additionally, </w:t>
      </w:r>
      <w:r w:rsidR="00AF3806">
        <w:rPr>
          <w:sz w:val="26"/>
          <w:szCs w:val="26"/>
        </w:rPr>
        <w:t xml:space="preserve">according to the ALJ, </w:t>
      </w:r>
      <w:r>
        <w:rPr>
          <w:sz w:val="26"/>
          <w:szCs w:val="26"/>
        </w:rPr>
        <w:t xml:space="preserve">the </w:t>
      </w:r>
      <w:r w:rsidRPr="0034472A">
        <w:rPr>
          <w:sz w:val="26"/>
          <w:szCs w:val="26"/>
        </w:rPr>
        <w:t>Complainant did not serve any written expert testimony, statements or pre-marked exhibits intended for the November 19, 2019 hearing by the deadline provided in</w:t>
      </w:r>
      <w:r w:rsidR="00AF3806">
        <w:rPr>
          <w:sz w:val="26"/>
          <w:szCs w:val="26"/>
        </w:rPr>
        <w:t xml:space="preserve"> the </w:t>
      </w:r>
      <w:r w:rsidRPr="0034472A">
        <w:rPr>
          <w:sz w:val="26"/>
          <w:szCs w:val="26"/>
        </w:rPr>
        <w:t>Second Prehearing Order.</w:t>
      </w:r>
      <w:r>
        <w:rPr>
          <w:sz w:val="26"/>
          <w:szCs w:val="26"/>
        </w:rPr>
        <w:t xml:space="preserve">  I.D. at 9.</w:t>
      </w:r>
    </w:p>
    <w:p w14:paraId="3E9629CA" w14:textId="77777777" w:rsidR="0034472A" w:rsidRDefault="0034472A" w:rsidP="0034472A">
      <w:pPr>
        <w:pStyle w:val="Default"/>
        <w:rPr>
          <w:sz w:val="23"/>
          <w:szCs w:val="23"/>
        </w:rPr>
      </w:pPr>
    </w:p>
    <w:p w14:paraId="21CE0054" w14:textId="1F2E3114" w:rsidR="00A046BA" w:rsidRDefault="008B3A89" w:rsidP="000C3224">
      <w:pPr>
        <w:spacing w:line="360" w:lineRule="auto"/>
        <w:ind w:firstLine="1440"/>
        <w:contextualSpacing/>
        <w:rPr>
          <w:sz w:val="26"/>
          <w:szCs w:val="26"/>
        </w:rPr>
      </w:pPr>
      <w:r>
        <w:rPr>
          <w:sz w:val="26"/>
          <w:szCs w:val="26"/>
        </w:rPr>
        <w:t>T</w:t>
      </w:r>
      <w:r w:rsidR="0034472A" w:rsidRPr="0034472A">
        <w:rPr>
          <w:sz w:val="26"/>
          <w:szCs w:val="26"/>
        </w:rPr>
        <w:t>he ALJ</w:t>
      </w:r>
      <w:r>
        <w:rPr>
          <w:sz w:val="26"/>
          <w:szCs w:val="26"/>
        </w:rPr>
        <w:t xml:space="preserve"> stated that </w:t>
      </w:r>
      <w:r w:rsidR="0034472A" w:rsidRPr="0034472A">
        <w:rPr>
          <w:sz w:val="26"/>
          <w:szCs w:val="26"/>
        </w:rPr>
        <w:t xml:space="preserve">both Parties </w:t>
      </w:r>
      <w:r w:rsidR="0012095B">
        <w:rPr>
          <w:sz w:val="26"/>
          <w:szCs w:val="26"/>
        </w:rPr>
        <w:t xml:space="preserve">in the instant proceeding </w:t>
      </w:r>
      <w:r w:rsidR="0034472A" w:rsidRPr="0034472A">
        <w:rPr>
          <w:sz w:val="26"/>
          <w:szCs w:val="26"/>
        </w:rPr>
        <w:t>have due process rights that must be protected.</w:t>
      </w:r>
      <w:r w:rsidR="0034472A">
        <w:rPr>
          <w:sz w:val="26"/>
          <w:szCs w:val="26"/>
        </w:rPr>
        <w:t xml:space="preserve">  The ALJ</w:t>
      </w:r>
      <w:r w:rsidR="007E38E1">
        <w:rPr>
          <w:sz w:val="26"/>
          <w:szCs w:val="26"/>
        </w:rPr>
        <w:t xml:space="preserve"> </w:t>
      </w:r>
      <w:r w:rsidR="00D02297">
        <w:rPr>
          <w:sz w:val="26"/>
          <w:szCs w:val="26"/>
        </w:rPr>
        <w:t>noted</w:t>
      </w:r>
      <w:r w:rsidR="0034472A">
        <w:rPr>
          <w:sz w:val="26"/>
          <w:szCs w:val="26"/>
        </w:rPr>
        <w:t xml:space="preserve"> that the </w:t>
      </w:r>
      <w:r w:rsidR="0034472A" w:rsidRPr="0034472A">
        <w:rPr>
          <w:sz w:val="26"/>
          <w:szCs w:val="26"/>
        </w:rPr>
        <w:t>Complainant did not file a certificate of service showing service of his responses to the discovery requests upon</w:t>
      </w:r>
      <w:r w:rsidR="007E38E1">
        <w:rPr>
          <w:sz w:val="26"/>
          <w:szCs w:val="26"/>
        </w:rPr>
        <w:t xml:space="preserve"> PPL</w:t>
      </w:r>
      <w:r w:rsidR="0034472A" w:rsidRPr="0034472A">
        <w:rPr>
          <w:sz w:val="26"/>
          <w:szCs w:val="26"/>
        </w:rPr>
        <w:t>.</w:t>
      </w:r>
      <w:r w:rsidR="007E38E1">
        <w:rPr>
          <w:sz w:val="26"/>
          <w:szCs w:val="26"/>
        </w:rPr>
        <w:t xml:space="preserve">  </w:t>
      </w:r>
      <w:r w:rsidR="00D02297">
        <w:rPr>
          <w:sz w:val="26"/>
          <w:szCs w:val="26"/>
        </w:rPr>
        <w:t>Thus, the</w:t>
      </w:r>
      <w:r w:rsidR="0034472A">
        <w:rPr>
          <w:sz w:val="26"/>
          <w:szCs w:val="26"/>
        </w:rPr>
        <w:t xml:space="preserve"> ALJ</w:t>
      </w:r>
      <w:r w:rsidR="007E38E1">
        <w:rPr>
          <w:sz w:val="26"/>
          <w:szCs w:val="26"/>
        </w:rPr>
        <w:t xml:space="preserve"> determined </w:t>
      </w:r>
      <w:r w:rsidR="0034472A">
        <w:rPr>
          <w:sz w:val="26"/>
          <w:szCs w:val="26"/>
        </w:rPr>
        <w:t xml:space="preserve">that the </w:t>
      </w:r>
      <w:r w:rsidR="0034472A" w:rsidRPr="0034472A">
        <w:rPr>
          <w:sz w:val="26"/>
          <w:szCs w:val="26"/>
        </w:rPr>
        <w:t>Complainant’s actions denied</w:t>
      </w:r>
      <w:r w:rsidR="0034472A">
        <w:rPr>
          <w:sz w:val="26"/>
          <w:szCs w:val="26"/>
        </w:rPr>
        <w:t xml:space="preserve"> PPL</w:t>
      </w:r>
      <w:r w:rsidR="0034472A" w:rsidRPr="0034472A">
        <w:rPr>
          <w:sz w:val="26"/>
          <w:szCs w:val="26"/>
        </w:rPr>
        <w:t xml:space="preserve"> the opportunity to prepare a defense to </w:t>
      </w:r>
      <w:r w:rsidR="00C447E3">
        <w:rPr>
          <w:sz w:val="26"/>
          <w:szCs w:val="26"/>
        </w:rPr>
        <w:t xml:space="preserve">the </w:t>
      </w:r>
      <w:r w:rsidR="0034472A" w:rsidRPr="0034472A">
        <w:rPr>
          <w:sz w:val="26"/>
          <w:szCs w:val="26"/>
        </w:rPr>
        <w:t>Complainant’s claims and demonstrated a lack of intent to prosecute his claims.</w:t>
      </w:r>
      <w:r w:rsidR="00C447E3">
        <w:rPr>
          <w:sz w:val="26"/>
          <w:szCs w:val="26"/>
        </w:rPr>
        <w:t xml:space="preserve">  </w:t>
      </w:r>
      <w:r w:rsidR="00D02297">
        <w:rPr>
          <w:sz w:val="26"/>
          <w:szCs w:val="26"/>
        </w:rPr>
        <w:t>Also, t</w:t>
      </w:r>
      <w:r w:rsidR="00C447E3">
        <w:rPr>
          <w:sz w:val="26"/>
          <w:szCs w:val="26"/>
        </w:rPr>
        <w:t>he ALJ stated that t</w:t>
      </w:r>
      <w:r w:rsidR="0034472A" w:rsidRPr="0034472A">
        <w:rPr>
          <w:sz w:val="26"/>
          <w:szCs w:val="26"/>
        </w:rPr>
        <w:t xml:space="preserve">o proceed with this matter would result in the denial of </w:t>
      </w:r>
      <w:r w:rsidR="00C447E3">
        <w:rPr>
          <w:sz w:val="26"/>
          <w:szCs w:val="26"/>
        </w:rPr>
        <w:t>PPL’s</w:t>
      </w:r>
      <w:r w:rsidR="0034472A" w:rsidRPr="0034472A">
        <w:rPr>
          <w:sz w:val="26"/>
          <w:szCs w:val="26"/>
        </w:rPr>
        <w:t xml:space="preserve"> due process rights.</w:t>
      </w:r>
      <w:r w:rsidR="00C447E3">
        <w:rPr>
          <w:sz w:val="26"/>
          <w:szCs w:val="26"/>
        </w:rPr>
        <w:t xml:space="preserve">  </w:t>
      </w:r>
      <w:r w:rsidR="00765AF5">
        <w:rPr>
          <w:sz w:val="26"/>
          <w:szCs w:val="26"/>
        </w:rPr>
        <w:t>Therefore</w:t>
      </w:r>
      <w:r w:rsidR="00C447E3">
        <w:rPr>
          <w:sz w:val="26"/>
          <w:szCs w:val="26"/>
        </w:rPr>
        <w:t xml:space="preserve">, the ALJ concluded that a </w:t>
      </w:r>
      <w:r w:rsidR="00C447E3" w:rsidRPr="00C447E3">
        <w:rPr>
          <w:sz w:val="26"/>
          <w:szCs w:val="26"/>
        </w:rPr>
        <w:t>hearing in this matter is not necessary or appropriate and is not in the public interest.</w:t>
      </w:r>
      <w:r w:rsidR="00C447E3">
        <w:rPr>
          <w:sz w:val="26"/>
          <w:szCs w:val="26"/>
        </w:rPr>
        <w:t xml:space="preserve">  I.D. at 9. </w:t>
      </w:r>
    </w:p>
    <w:p w14:paraId="76EF571A" w14:textId="77777777" w:rsidR="00061216" w:rsidRPr="000C3224" w:rsidRDefault="00061216" w:rsidP="00E046C7">
      <w:pPr>
        <w:spacing w:line="360" w:lineRule="auto"/>
        <w:ind w:firstLine="1440"/>
        <w:contextualSpacing/>
        <w:rPr>
          <w:sz w:val="26"/>
          <w:szCs w:val="26"/>
        </w:rPr>
      </w:pPr>
    </w:p>
    <w:p w14:paraId="56ED7050" w14:textId="77777777" w:rsidR="00867150" w:rsidRPr="005C260E" w:rsidRDefault="00867150" w:rsidP="00E046C7">
      <w:pPr>
        <w:keepNext/>
        <w:keepLines/>
        <w:spacing w:line="360" w:lineRule="auto"/>
        <w:contextualSpacing/>
        <w:rPr>
          <w:b/>
          <w:sz w:val="26"/>
          <w:szCs w:val="26"/>
        </w:rPr>
      </w:pPr>
      <w:r w:rsidRPr="005C260E">
        <w:rPr>
          <w:b/>
          <w:sz w:val="26"/>
          <w:szCs w:val="26"/>
        </w:rPr>
        <w:t>Disposition</w:t>
      </w:r>
    </w:p>
    <w:p w14:paraId="6DFA8E3E" w14:textId="77777777" w:rsidR="00AC275F" w:rsidRPr="005C260E" w:rsidRDefault="00AC275F" w:rsidP="00E046C7">
      <w:pPr>
        <w:keepNext/>
        <w:keepLines/>
        <w:spacing w:line="360" w:lineRule="auto"/>
        <w:ind w:firstLine="1440"/>
        <w:contextualSpacing/>
        <w:rPr>
          <w:sz w:val="26"/>
          <w:szCs w:val="26"/>
        </w:rPr>
      </w:pPr>
    </w:p>
    <w:p w14:paraId="402FD0EB" w14:textId="77777777" w:rsidR="00650412" w:rsidRDefault="00CA6D4A" w:rsidP="00E046C7">
      <w:pPr>
        <w:spacing w:line="360" w:lineRule="auto"/>
        <w:ind w:firstLine="1440"/>
        <w:contextualSpacing/>
        <w:rPr>
          <w:sz w:val="26"/>
          <w:szCs w:val="26"/>
        </w:rPr>
      </w:pPr>
      <w:r w:rsidRPr="005C260E">
        <w:rPr>
          <w:sz w:val="26"/>
          <w:szCs w:val="26"/>
        </w:rPr>
        <w:t xml:space="preserve">We advise the Parties that, as a preliminary matter, any issue that we do not specifically delineate shall be deemed to have been duly considered and denied without further discussion.  We are not required to consider expressly or at length each contention </w:t>
      </w:r>
      <w:r w:rsidRPr="005C260E">
        <w:rPr>
          <w:sz w:val="26"/>
          <w:szCs w:val="26"/>
        </w:rPr>
        <w:lastRenderedPageBreak/>
        <w:t xml:space="preserve">or argument raised by the </w:t>
      </w:r>
      <w:r w:rsidR="00470E13" w:rsidRPr="005C260E">
        <w:rPr>
          <w:sz w:val="26"/>
          <w:szCs w:val="26"/>
        </w:rPr>
        <w:t>Parties</w:t>
      </w:r>
      <w:r w:rsidRPr="005C260E">
        <w:rPr>
          <w:sz w:val="26"/>
          <w:szCs w:val="26"/>
        </w:rPr>
        <w:t xml:space="preserve">.  </w:t>
      </w:r>
      <w:r w:rsidRPr="005C260E">
        <w:rPr>
          <w:i/>
          <w:iCs/>
          <w:sz w:val="26"/>
          <w:szCs w:val="26"/>
        </w:rPr>
        <w:t>Consolidated Rail Corp. v. Pa. PUC</w:t>
      </w:r>
      <w:r w:rsidRPr="00C116C7">
        <w:rPr>
          <w:sz w:val="26"/>
          <w:szCs w:val="26"/>
        </w:rPr>
        <w:t>,</w:t>
      </w:r>
      <w:r w:rsidRPr="005C260E">
        <w:rPr>
          <w:i/>
          <w:iCs/>
          <w:sz w:val="26"/>
          <w:szCs w:val="26"/>
        </w:rPr>
        <w:t xml:space="preserve"> </w:t>
      </w:r>
      <w:r w:rsidRPr="005C260E">
        <w:rPr>
          <w:sz w:val="26"/>
          <w:szCs w:val="26"/>
        </w:rPr>
        <w:t xml:space="preserve">625 A.2d 741 (Pa. Cmwlth. 1993); </w:t>
      </w:r>
      <w:r w:rsidRPr="005C260E">
        <w:rPr>
          <w:i/>
          <w:sz w:val="26"/>
          <w:szCs w:val="26"/>
        </w:rPr>
        <w:t xml:space="preserve">also </w:t>
      </w:r>
      <w:r w:rsidRPr="005C260E">
        <w:rPr>
          <w:i/>
          <w:iCs/>
          <w:sz w:val="26"/>
          <w:szCs w:val="26"/>
        </w:rPr>
        <w:t>see, generally, University of Pennsylvania v. Pa. PUC</w:t>
      </w:r>
      <w:r w:rsidRPr="005C260E">
        <w:rPr>
          <w:sz w:val="26"/>
          <w:szCs w:val="26"/>
        </w:rPr>
        <w:t>, 485</w:t>
      </w:r>
      <w:r w:rsidR="00C116C7">
        <w:rPr>
          <w:sz w:val="26"/>
          <w:szCs w:val="26"/>
        </w:rPr>
        <w:t> </w:t>
      </w:r>
      <w:r w:rsidRPr="005C260E">
        <w:rPr>
          <w:sz w:val="26"/>
          <w:szCs w:val="26"/>
        </w:rPr>
        <w:t xml:space="preserve">A.2d 1217 (Pa. Cmwlth. 1984).  </w:t>
      </w:r>
    </w:p>
    <w:p w14:paraId="056E8C89" w14:textId="77777777" w:rsidR="00EF5B45" w:rsidRDefault="00EF5B45" w:rsidP="00E046C7">
      <w:pPr>
        <w:spacing w:line="360" w:lineRule="auto"/>
        <w:ind w:firstLine="1440"/>
        <w:contextualSpacing/>
        <w:rPr>
          <w:sz w:val="26"/>
          <w:szCs w:val="26"/>
        </w:rPr>
      </w:pPr>
    </w:p>
    <w:p w14:paraId="7D1209FB" w14:textId="09FA56D6" w:rsidR="0067067C" w:rsidRPr="000A0088" w:rsidRDefault="00CA6D4A" w:rsidP="00E046C7">
      <w:pPr>
        <w:spacing w:line="360" w:lineRule="auto"/>
        <w:ind w:firstLine="1440"/>
        <w:contextualSpacing/>
        <w:rPr>
          <w:sz w:val="26"/>
          <w:szCs w:val="26"/>
        </w:rPr>
      </w:pPr>
      <w:r w:rsidRPr="005C260E">
        <w:rPr>
          <w:sz w:val="26"/>
          <w:szCs w:val="26"/>
        </w:rPr>
        <w:t xml:space="preserve">On </w:t>
      </w:r>
      <w:r w:rsidRPr="000A0088">
        <w:rPr>
          <w:sz w:val="26"/>
          <w:szCs w:val="26"/>
        </w:rPr>
        <w:t xml:space="preserve">exercise of our independent review of the </w:t>
      </w:r>
      <w:r w:rsidR="00D02297">
        <w:rPr>
          <w:sz w:val="26"/>
          <w:szCs w:val="26"/>
        </w:rPr>
        <w:t xml:space="preserve">Parties’ </w:t>
      </w:r>
      <w:r w:rsidR="001578D3" w:rsidRPr="000A0088">
        <w:rPr>
          <w:sz w:val="26"/>
          <w:szCs w:val="26"/>
        </w:rPr>
        <w:t>positions and</w:t>
      </w:r>
      <w:r w:rsidRPr="000A0088">
        <w:rPr>
          <w:sz w:val="26"/>
          <w:szCs w:val="26"/>
        </w:rPr>
        <w:t xml:space="preserve"> the record evidence, </w:t>
      </w:r>
      <w:r w:rsidR="00D1546B" w:rsidRPr="000A0088">
        <w:rPr>
          <w:sz w:val="26"/>
          <w:szCs w:val="26"/>
        </w:rPr>
        <w:t>we shall</w:t>
      </w:r>
      <w:r w:rsidR="00EF5B45">
        <w:rPr>
          <w:sz w:val="26"/>
          <w:szCs w:val="26"/>
        </w:rPr>
        <w:t xml:space="preserve"> </w:t>
      </w:r>
      <w:r w:rsidR="00DC0F73">
        <w:rPr>
          <w:sz w:val="26"/>
          <w:szCs w:val="26"/>
        </w:rPr>
        <w:t xml:space="preserve">modify ALJ Barnes’ </w:t>
      </w:r>
      <w:r w:rsidR="00A94A2A">
        <w:rPr>
          <w:sz w:val="26"/>
          <w:szCs w:val="26"/>
        </w:rPr>
        <w:t>I</w:t>
      </w:r>
      <w:r w:rsidR="00DC0F73">
        <w:rPr>
          <w:sz w:val="26"/>
          <w:szCs w:val="26"/>
        </w:rPr>
        <w:t xml:space="preserve">nitial Decision </w:t>
      </w:r>
      <w:r w:rsidR="00A94A2A">
        <w:rPr>
          <w:sz w:val="26"/>
          <w:szCs w:val="26"/>
        </w:rPr>
        <w:t>a</w:t>
      </w:r>
      <w:r w:rsidR="00DC0F73">
        <w:rPr>
          <w:sz w:val="26"/>
          <w:szCs w:val="26"/>
        </w:rPr>
        <w:t>s follows.  We shall adopt ALJ Barnes</w:t>
      </w:r>
      <w:r w:rsidR="001578D3">
        <w:rPr>
          <w:sz w:val="26"/>
          <w:szCs w:val="26"/>
        </w:rPr>
        <w:t xml:space="preserve">’ </w:t>
      </w:r>
      <w:r w:rsidR="001578D3" w:rsidRPr="000A0088">
        <w:rPr>
          <w:sz w:val="26"/>
          <w:szCs w:val="26"/>
        </w:rPr>
        <w:t>Initial</w:t>
      </w:r>
      <w:r w:rsidRPr="000A0088">
        <w:rPr>
          <w:sz w:val="26"/>
          <w:szCs w:val="26"/>
        </w:rPr>
        <w:t xml:space="preserve"> Decision</w:t>
      </w:r>
      <w:r w:rsidR="0045391E">
        <w:rPr>
          <w:sz w:val="26"/>
          <w:szCs w:val="26"/>
        </w:rPr>
        <w:t xml:space="preserve"> t</w:t>
      </w:r>
      <w:r w:rsidR="00EF5B45">
        <w:rPr>
          <w:sz w:val="26"/>
          <w:szCs w:val="26"/>
        </w:rPr>
        <w:t xml:space="preserve">o the extent that </w:t>
      </w:r>
      <w:r w:rsidR="0045391E">
        <w:rPr>
          <w:sz w:val="26"/>
          <w:szCs w:val="26"/>
        </w:rPr>
        <w:t xml:space="preserve">the Initial Decision </w:t>
      </w:r>
      <w:r w:rsidR="00EF5B45">
        <w:rPr>
          <w:sz w:val="26"/>
          <w:szCs w:val="26"/>
        </w:rPr>
        <w:t>grant</w:t>
      </w:r>
      <w:r w:rsidR="0045391E">
        <w:rPr>
          <w:sz w:val="26"/>
          <w:szCs w:val="26"/>
        </w:rPr>
        <w:t>s</w:t>
      </w:r>
      <w:r w:rsidR="00EF5B45">
        <w:rPr>
          <w:sz w:val="26"/>
          <w:szCs w:val="26"/>
        </w:rPr>
        <w:t xml:space="preserve"> the Motion to Dismiss the </w:t>
      </w:r>
      <w:r w:rsidR="0045391E">
        <w:rPr>
          <w:sz w:val="26"/>
          <w:szCs w:val="26"/>
        </w:rPr>
        <w:t xml:space="preserve">Complainant’s </w:t>
      </w:r>
      <w:r w:rsidR="00EF5B45">
        <w:rPr>
          <w:sz w:val="26"/>
          <w:szCs w:val="26"/>
        </w:rPr>
        <w:t>smart meter</w:t>
      </w:r>
      <w:r w:rsidR="0045391E">
        <w:rPr>
          <w:sz w:val="26"/>
          <w:szCs w:val="26"/>
        </w:rPr>
        <w:t xml:space="preserve"> allegations in the </w:t>
      </w:r>
      <w:r w:rsidR="00EF5B45">
        <w:rPr>
          <w:sz w:val="26"/>
          <w:szCs w:val="26"/>
        </w:rPr>
        <w:t xml:space="preserve">Complaint.  However, we shall reverse the ALJ’s Initial Decision that grants the Motion to Dismiss the </w:t>
      </w:r>
      <w:r w:rsidR="005D4FAD">
        <w:rPr>
          <w:sz w:val="26"/>
          <w:szCs w:val="26"/>
        </w:rPr>
        <w:t xml:space="preserve">Complainant’s allegations regarding incorrect charges </w:t>
      </w:r>
      <w:r w:rsidR="005E12F4">
        <w:rPr>
          <w:sz w:val="26"/>
          <w:szCs w:val="26"/>
        </w:rPr>
        <w:t>and</w:t>
      </w:r>
      <w:r w:rsidR="0012095B">
        <w:rPr>
          <w:sz w:val="26"/>
          <w:szCs w:val="26"/>
        </w:rPr>
        <w:t xml:space="preserve"> </w:t>
      </w:r>
      <w:r w:rsidR="00EF5B45">
        <w:rPr>
          <w:sz w:val="26"/>
          <w:szCs w:val="26"/>
        </w:rPr>
        <w:t>high bill</w:t>
      </w:r>
      <w:r w:rsidR="0012095B">
        <w:rPr>
          <w:sz w:val="26"/>
          <w:szCs w:val="26"/>
        </w:rPr>
        <w:t>ing</w:t>
      </w:r>
      <w:r w:rsidR="005E12F4">
        <w:rPr>
          <w:sz w:val="26"/>
          <w:szCs w:val="26"/>
        </w:rPr>
        <w:t xml:space="preserve"> </w:t>
      </w:r>
      <w:r w:rsidR="005D4FAD" w:rsidRPr="00ED2677">
        <w:rPr>
          <w:sz w:val="26"/>
          <w:szCs w:val="26"/>
        </w:rPr>
        <w:t>and remand the proceeding to the Office of Administrative Law Judge (OALJ) for further proceedings</w:t>
      </w:r>
      <w:r w:rsidR="005D4FAD">
        <w:rPr>
          <w:sz w:val="26"/>
          <w:szCs w:val="26"/>
        </w:rPr>
        <w:t xml:space="preserve"> as </w:t>
      </w:r>
      <w:r w:rsidR="00EF1041">
        <w:rPr>
          <w:sz w:val="26"/>
          <w:szCs w:val="26"/>
        </w:rPr>
        <w:t xml:space="preserve">may be deemed </w:t>
      </w:r>
      <w:r w:rsidR="005D4FAD">
        <w:rPr>
          <w:sz w:val="26"/>
          <w:szCs w:val="26"/>
        </w:rPr>
        <w:t>appropriate</w:t>
      </w:r>
      <w:r w:rsidR="00650412" w:rsidRPr="000A0088">
        <w:rPr>
          <w:sz w:val="26"/>
          <w:szCs w:val="26"/>
        </w:rPr>
        <w:t>, consistent with</w:t>
      </w:r>
      <w:r w:rsidR="00E8678C">
        <w:rPr>
          <w:sz w:val="26"/>
          <w:szCs w:val="26"/>
        </w:rPr>
        <w:t xml:space="preserve"> th</w:t>
      </w:r>
      <w:r w:rsidR="0012095B">
        <w:rPr>
          <w:sz w:val="26"/>
          <w:szCs w:val="26"/>
        </w:rPr>
        <w:t>e following discussion</w:t>
      </w:r>
      <w:r w:rsidR="00E8678C">
        <w:rPr>
          <w:sz w:val="26"/>
          <w:szCs w:val="26"/>
        </w:rPr>
        <w:t>.</w:t>
      </w:r>
    </w:p>
    <w:p w14:paraId="3815D473" w14:textId="77777777" w:rsidR="00650412" w:rsidRPr="000A0088" w:rsidRDefault="00650412" w:rsidP="00E046C7">
      <w:pPr>
        <w:spacing w:line="360" w:lineRule="auto"/>
        <w:ind w:firstLine="1440"/>
        <w:contextualSpacing/>
        <w:rPr>
          <w:sz w:val="26"/>
          <w:szCs w:val="26"/>
        </w:rPr>
      </w:pPr>
    </w:p>
    <w:p w14:paraId="388419C4" w14:textId="77777777" w:rsidR="0051095D" w:rsidRDefault="00815C93" w:rsidP="00EB47C4">
      <w:pPr>
        <w:spacing w:line="360" w:lineRule="auto"/>
        <w:ind w:firstLine="1440"/>
        <w:contextualSpacing/>
        <w:rPr>
          <w:sz w:val="26"/>
          <w:szCs w:val="26"/>
        </w:rPr>
      </w:pPr>
      <w:r>
        <w:rPr>
          <w:sz w:val="26"/>
          <w:szCs w:val="26"/>
        </w:rPr>
        <w:t>Initially,</w:t>
      </w:r>
      <w:r w:rsidR="00392025">
        <w:rPr>
          <w:sz w:val="26"/>
          <w:szCs w:val="26"/>
        </w:rPr>
        <w:t xml:space="preserve"> with regard to</w:t>
      </w:r>
      <w:r w:rsidR="00F030B8">
        <w:rPr>
          <w:sz w:val="26"/>
          <w:szCs w:val="26"/>
        </w:rPr>
        <w:t xml:space="preserve"> the ALJ’s Initial Decision granting the Motion to Dismiss the Complainant’s smart meter allegations</w:t>
      </w:r>
      <w:r w:rsidR="00487A9C">
        <w:rPr>
          <w:sz w:val="26"/>
          <w:szCs w:val="26"/>
        </w:rPr>
        <w:t>,</w:t>
      </w:r>
      <w:r w:rsidR="00155D22">
        <w:rPr>
          <w:sz w:val="26"/>
          <w:szCs w:val="26"/>
        </w:rPr>
        <w:t xml:space="preserve"> w</w:t>
      </w:r>
      <w:r w:rsidR="0051095D" w:rsidRPr="0051095D">
        <w:rPr>
          <w:sz w:val="26"/>
          <w:szCs w:val="26"/>
        </w:rPr>
        <w:t>e agree with the ALJ that the failure of any party to comply with orders of the Commission or an ALJ provides ample grounds for sanctions.</w:t>
      </w:r>
      <w:r w:rsidR="00EB47C4">
        <w:rPr>
          <w:sz w:val="26"/>
          <w:szCs w:val="26"/>
        </w:rPr>
        <w:t xml:space="preserve">  </w:t>
      </w:r>
      <w:r w:rsidR="0051095D" w:rsidRPr="0051095D">
        <w:rPr>
          <w:sz w:val="26"/>
          <w:szCs w:val="26"/>
        </w:rPr>
        <w:t>There are numerous Commission dockets in which sanctions are appropriately applied for such failure</w:t>
      </w:r>
      <w:r w:rsidR="00EB47C4">
        <w:rPr>
          <w:sz w:val="26"/>
          <w:szCs w:val="26"/>
        </w:rPr>
        <w:t xml:space="preserve">.  </w:t>
      </w:r>
      <w:r w:rsidR="0051095D" w:rsidRPr="0051095D">
        <w:rPr>
          <w:sz w:val="26"/>
          <w:szCs w:val="26"/>
        </w:rPr>
        <w:t>The sanctions will vary depending upon the nature of the action or omission.  In smart meter cases, for example, it is crucial to the fair conduct of the litigation that the parties exchange witness lists in advance.  They must be given an opportunity to prepare their own cases by reviewing what the other side will offer at the hearing.  When one side fails to provide this information, the other side’s ability to prepare for the case is unfairly restricted.  That is why the appropriate sanction, after several warnings to the offending party, is to dismiss the complaint.  A complex litigated proceeding must be held to a high standard.</w:t>
      </w:r>
    </w:p>
    <w:p w14:paraId="3EDD53D0" w14:textId="77777777" w:rsidR="00D71BC4" w:rsidRDefault="00D71BC4" w:rsidP="00D71BC4">
      <w:pPr>
        <w:spacing w:line="360" w:lineRule="auto"/>
        <w:rPr>
          <w:sz w:val="26"/>
          <w:szCs w:val="26"/>
        </w:rPr>
      </w:pPr>
    </w:p>
    <w:p w14:paraId="4BE523B6" w14:textId="77777777" w:rsidR="00487A9C" w:rsidRDefault="0051095D" w:rsidP="00487A9C">
      <w:pPr>
        <w:spacing w:line="360" w:lineRule="auto"/>
        <w:ind w:firstLine="1440"/>
        <w:rPr>
          <w:sz w:val="26"/>
          <w:szCs w:val="26"/>
        </w:rPr>
      </w:pPr>
      <w:r w:rsidRPr="0051095D">
        <w:rPr>
          <w:sz w:val="26"/>
          <w:szCs w:val="26"/>
        </w:rPr>
        <w:t>However,</w:t>
      </w:r>
      <w:r w:rsidR="00F030B8">
        <w:rPr>
          <w:sz w:val="26"/>
          <w:szCs w:val="26"/>
        </w:rPr>
        <w:t xml:space="preserve"> we disagree with the ALJ’s</w:t>
      </w:r>
      <w:r w:rsidR="00B225B8">
        <w:rPr>
          <w:sz w:val="26"/>
          <w:szCs w:val="26"/>
        </w:rPr>
        <w:t xml:space="preserve"> decision to grant </w:t>
      </w:r>
      <w:r w:rsidR="00F030B8">
        <w:rPr>
          <w:sz w:val="26"/>
          <w:szCs w:val="26"/>
        </w:rPr>
        <w:t>PPL’s Motion to Dismiss the Complainant’s allegations regarding incorrect charges</w:t>
      </w:r>
      <w:r w:rsidR="00DD4C36">
        <w:rPr>
          <w:sz w:val="26"/>
          <w:szCs w:val="26"/>
        </w:rPr>
        <w:t xml:space="preserve"> and </w:t>
      </w:r>
      <w:r w:rsidR="00F030B8">
        <w:rPr>
          <w:sz w:val="26"/>
          <w:szCs w:val="26"/>
        </w:rPr>
        <w:t>high bill</w:t>
      </w:r>
      <w:r w:rsidR="00B225B8">
        <w:rPr>
          <w:sz w:val="26"/>
          <w:szCs w:val="26"/>
        </w:rPr>
        <w:t>ing</w:t>
      </w:r>
      <w:r w:rsidR="00F030B8">
        <w:rPr>
          <w:sz w:val="26"/>
          <w:szCs w:val="26"/>
        </w:rPr>
        <w:t xml:space="preserve">.  We note that </w:t>
      </w:r>
      <w:r w:rsidRPr="0051095D">
        <w:rPr>
          <w:sz w:val="26"/>
          <w:szCs w:val="26"/>
        </w:rPr>
        <w:t xml:space="preserve">the Commission does not dismiss high billing complaints for failure to respond </w:t>
      </w:r>
      <w:r w:rsidRPr="0051095D">
        <w:rPr>
          <w:sz w:val="26"/>
          <w:szCs w:val="26"/>
        </w:rPr>
        <w:lastRenderedPageBreak/>
        <w:t>to discovery or to provide a witness list in advance.  In fact, rarely is there a justification for serving discovery on a</w:t>
      </w:r>
      <w:r w:rsidR="00472037">
        <w:rPr>
          <w:sz w:val="26"/>
          <w:szCs w:val="26"/>
        </w:rPr>
        <w:t xml:space="preserve"> </w:t>
      </w:r>
      <w:r w:rsidR="00472037" w:rsidRPr="00472037">
        <w:rPr>
          <w:i/>
          <w:iCs/>
          <w:sz w:val="26"/>
          <w:szCs w:val="26"/>
        </w:rPr>
        <w:t>pro se</w:t>
      </w:r>
      <w:r w:rsidRPr="00472037">
        <w:rPr>
          <w:i/>
          <w:iCs/>
          <w:sz w:val="26"/>
          <w:szCs w:val="26"/>
        </w:rPr>
        <w:t xml:space="preserve"> </w:t>
      </w:r>
      <w:r w:rsidRPr="0051095D">
        <w:rPr>
          <w:sz w:val="26"/>
          <w:szCs w:val="26"/>
        </w:rPr>
        <w:t>complainant in a high billing complaint.  While we cannot say that it would never be justified to dismiss a high billing complaint for a customer’s failure to respond to discovery, it would need to be under very specific circumstances.</w:t>
      </w:r>
      <w:r w:rsidR="00815C93">
        <w:rPr>
          <w:sz w:val="26"/>
          <w:szCs w:val="26"/>
        </w:rPr>
        <w:t xml:space="preserve">  </w:t>
      </w:r>
      <w:r w:rsidR="0081727C">
        <w:rPr>
          <w:sz w:val="26"/>
          <w:szCs w:val="26"/>
        </w:rPr>
        <w:t xml:space="preserve">Under the circumstances of this case, while </w:t>
      </w:r>
      <w:r w:rsidR="0081727C" w:rsidRPr="0051095D">
        <w:rPr>
          <w:sz w:val="26"/>
          <w:szCs w:val="26"/>
        </w:rPr>
        <w:t xml:space="preserve">the smart meter portion of the </w:t>
      </w:r>
      <w:r w:rsidR="0081727C">
        <w:rPr>
          <w:sz w:val="26"/>
          <w:szCs w:val="26"/>
        </w:rPr>
        <w:t>C</w:t>
      </w:r>
      <w:r w:rsidR="0081727C" w:rsidRPr="0051095D">
        <w:rPr>
          <w:sz w:val="26"/>
          <w:szCs w:val="26"/>
        </w:rPr>
        <w:t>omplaint will be barred for failure</w:t>
      </w:r>
      <w:r w:rsidR="00FB0E9D">
        <w:rPr>
          <w:sz w:val="26"/>
          <w:szCs w:val="26"/>
        </w:rPr>
        <w:t xml:space="preserve"> </w:t>
      </w:r>
      <w:r w:rsidR="0081727C" w:rsidRPr="0051095D">
        <w:rPr>
          <w:sz w:val="26"/>
          <w:szCs w:val="26"/>
        </w:rPr>
        <w:t>to comply with the ALJ’s Orders</w:t>
      </w:r>
      <w:r w:rsidR="00FB0E9D">
        <w:rPr>
          <w:sz w:val="26"/>
          <w:szCs w:val="26"/>
        </w:rPr>
        <w:t xml:space="preserve">, </w:t>
      </w:r>
      <w:r w:rsidR="0081727C">
        <w:rPr>
          <w:sz w:val="26"/>
          <w:szCs w:val="26"/>
        </w:rPr>
        <w:t>w</w:t>
      </w:r>
      <w:r w:rsidRPr="0051095D">
        <w:rPr>
          <w:sz w:val="26"/>
          <w:szCs w:val="26"/>
        </w:rPr>
        <w:t>e believe</w:t>
      </w:r>
      <w:r w:rsidR="0081727C">
        <w:rPr>
          <w:sz w:val="26"/>
          <w:szCs w:val="26"/>
        </w:rPr>
        <w:t xml:space="preserve"> </w:t>
      </w:r>
      <w:r w:rsidRPr="0051095D">
        <w:rPr>
          <w:sz w:val="26"/>
          <w:szCs w:val="26"/>
        </w:rPr>
        <w:t>th</w:t>
      </w:r>
      <w:r w:rsidR="0081727C">
        <w:rPr>
          <w:sz w:val="26"/>
          <w:szCs w:val="26"/>
        </w:rPr>
        <w:t>e Complainant’s</w:t>
      </w:r>
      <w:r w:rsidRPr="0051095D">
        <w:rPr>
          <w:sz w:val="26"/>
          <w:szCs w:val="26"/>
        </w:rPr>
        <w:t xml:space="preserve"> high billing complaint should be set for hearing.</w:t>
      </w:r>
      <w:r w:rsidR="006916E0">
        <w:rPr>
          <w:sz w:val="26"/>
          <w:szCs w:val="26"/>
        </w:rPr>
        <w:t xml:space="preserve">  Therefore, we shall remand that portion of the Complaint to the OALJ</w:t>
      </w:r>
      <w:r w:rsidR="00B72A2C">
        <w:rPr>
          <w:sz w:val="26"/>
          <w:szCs w:val="26"/>
        </w:rPr>
        <w:t xml:space="preserve"> for further proceedings, as may be deemed necessary.</w:t>
      </w:r>
    </w:p>
    <w:p w14:paraId="3097CC18" w14:textId="77777777" w:rsidR="00234546" w:rsidRPr="0090453B" w:rsidRDefault="00234546" w:rsidP="00C116C7">
      <w:pPr>
        <w:spacing w:line="360" w:lineRule="auto"/>
        <w:ind w:firstLine="1440"/>
        <w:contextualSpacing/>
        <w:rPr>
          <w:sz w:val="26"/>
          <w:szCs w:val="26"/>
        </w:rPr>
      </w:pPr>
    </w:p>
    <w:p w14:paraId="4A7D796D" w14:textId="77777777" w:rsidR="00956972" w:rsidRPr="005C260E" w:rsidRDefault="00956972" w:rsidP="00C116C7">
      <w:pPr>
        <w:keepNext/>
        <w:keepLines/>
        <w:spacing w:line="360" w:lineRule="auto"/>
        <w:contextualSpacing/>
        <w:jc w:val="center"/>
        <w:rPr>
          <w:b/>
          <w:sz w:val="26"/>
          <w:szCs w:val="26"/>
        </w:rPr>
      </w:pPr>
      <w:r w:rsidRPr="005C260E">
        <w:rPr>
          <w:b/>
          <w:sz w:val="26"/>
          <w:szCs w:val="26"/>
        </w:rPr>
        <w:t>Conclusion</w:t>
      </w:r>
    </w:p>
    <w:p w14:paraId="4AA83A17" w14:textId="77777777" w:rsidR="006C56A5" w:rsidRPr="005C260E" w:rsidRDefault="006C56A5" w:rsidP="005C7D9F">
      <w:pPr>
        <w:keepNext/>
        <w:keepLines/>
        <w:tabs>
          <w:tab w:val="left" w:pos="1530"/>
        </w:tabs>
        <w:spacing w:line="360" w:lineRule="auto"/>
        <w:contextualSpacing/>
        <w:rPr>
          <w:sz w:val="26"/>
          <w:szCs w:val="26"/>
        </w:rPr>
      </w:pPr>
    </w:p>
    <w:p w14:paraId="32C968FC" w14:textId="77777777" w:rsidR="00956972" w:rsidRPr="005C260E" w:rsidRDefault="00487A9C" w:rsidP="00C116C7">
      <w:pPr>
        <w:spacing w:line="360" w:lineRule="auto"/>
        <w:ind w:firstLine="1440"/>
        <w:contextualSpacing/>
        <w:rPr>
          <w:sz w:val="26"/>
          <w:szCs w:val="26"/>
        </w:rPr>
      </w:pPr>
      <w:r w:rsidRPr="00D249A8">
        <w:rPr>
          <w:sz w:val="26"/>
          <w:szCs w:val="26"/>
        </w:rPr>
        <w:t xml:space="preserve">Upon review of the record, </w:t>
      </w:r>
      <w:r w:rsidR="005C7D9F" w:rsidRPr="000A0088">
        <w:rPr>
          <w:sz w:val="26"/>
          <w:szCs w:val="26"/>
        </w:rPr>
        <w:t>we shall</w:t>
      </w:r>
      <w:r w:rsidR="005C7D9F">
        <w:rPr>
          <w:sz w:val="26"/>
          <w:szCs w:val="26"/>
        </w:rPr>
        <w:t xml:space="preserve"> adopt </w:t>
      </w:r>
      <w:r w:rsidR="005C7D9F" w:rsidRPr="000A0088">
        <w:rPr>
          <w:sz w:val="26"/>
          <w:szCs w:val="26"/>
        </w:rPr>
        <w:t xml:space="preserve">the </w:t>
      </w:r>
      <w:r w:rsidR="00CF65DB">
        <w:rPr>
          <w:sz w:val="26"/>
          <w:szCs w:val="26"/>
        </w:rPr>
        <w:t xml:space="preserve">ALJ’s </w:t>
      </w:r>
      <w:r w:rsidR="005C7D9F" w:rsidRPr="000A0088">
        <w:rPr>
          <w:sz w:val="26"/>
          <w:szCs w:val="26"/>
        </w:rPr>
        <w:t>Initial Decision</w:t>
      </w:r>
      <w:r w:rsidR="00CF65DB">
        <w:rPr>
          <w:sz w:val="26"/>
          <w:szCs w:val="26"/>
        </w:rPr>
        <w:t>,</w:t>
      </w:r>
      <w:r w:rsidR="005C7D9F">
        <w:rPr>
          <w:sz w:val="26"/>
          <w:szCs w:val="26"/>
        </w:rPr>
        <w:t xml:space="preserve"> to the extent that </w:t>
      </w:r>
      <w:r w:rsidR="00CF65DB">
        <w:rPr>
          <w:sz w:val="26"/>
          <w:szCs w:val="26"/>
        </w:rPr>
        <w:t>it</w:t>
      </w:r>
      <w:r w:rsidR="005C7D9F">
        <w:rPr>
          <w:sz w:val="26"/>
          <w:szCs w:val="26"/>
        </w:rPr>
        <w:t xml:space="preserve"> grants the Motion to Dismiss the Complainant’s smart meter allegations.  However,</w:t>
      </w:r>
      <w:r w:rsidR="00CF65DB">
        <w:rPr>
          <w:sz w:val="26"/>
          <w:szCs w:val="26"/>
        </w:rPr>
        <w:t xml:space="preserve"> to the extent that the Initial Decision grants </w:t>
      </w:r>
      <w:r w:rsidR="005C7D9F">
        <w:rPr>
          <w:sz w:val="26"/>
          <w:szCs w:val="26"/>
        </w:rPr>
        <w:t>the Motion to Dismiss the Complainant’s allegations regarding high billing</w:t>
      </w:r>
      <w:r w:rsidR="00CF65DB">
        <w:rPr>
          <w:sz w:val="26"/>
          <w:szCs w:val="26"/>
        </w:rPr>
        <w:t>, we shall reverse the ALJ’s decision</w:t>
      </w:r>
      <w:r w:rsidR="005C7D9F">
        <w:rPr>
          <w:sz w:val="26"/>
          <w:szCs w:val="26"/>
        </w:rPr>
        <w:t xml:space="preserve"> </w:t>
      </w:r>
      <w:r w:rsidR="005C7D9F" w:rsidRPr="00ED2677">
        <w:rPr>
          <w:sz w:val="26"/>
          <w:szCs w:val="26"/>
        </w:rPr>
        <w:t>and remand the proceeding to the OALJ</w:t>
      </w:r>
      <w:r w:rsidR="005C7D9F">
        <w:rPr>
          <w:sz w:val="26"/>
          <w:szCs w:val="26"/>
        </w:rPr>
        <w:t xml:space="preserve"> </w:t>
      </w:r>
      <w:r w:rsidR="005C7D9F" w:rsidRPr="00ED2677">
        <w:rPr>
          <w:sz w:val="26"/>
          <w:szCs w:val="26"/>
        </w:rPr>
        <w:t>for further proceedings</w:t>
      </w:r>
      <w:r w:rsidR="005C7D9F">
        <w:rPr>
          <w:sz w:val="26"/>
          <w:szCs w:val="26"/>
        </w:rPr>
        <w:t xml:space="preserve"> as </w:t>
      </w:r>
      <w:r w:rsidR="00BF54B1">
        <w:rPr>
          <w:sz w:val="26"/>
          <w:szCs w:val="26"/>
        </w:rPr>
        <w:t xml:space="preserve">may be deemed </w:t>
      </w:r>
      <w:r w:rsidR="005C7D9F">
        <w:rPr>
          <w:sz w:val="26"/>
          <w:szCs w:val="26"/>
        </w:rPr>
        <w:t>appropriate</w:t>
      </w:r>
      <w:r w:rsidR="005C7D9F" w:rsidRPr="000A0088">
        <w:rPr>
          <w:sz w:val="26"/>
          <w:szCs w:val="26"/>
        </w:rPr>
        <w:t>, consistent with</w:t>
      </w:r>
      <w:r w:rsidR="005C7D9F">
        <w:rPr>
          <w:sz w:val="26"/>
          <w:szCs w:val="26"/>
        </w:rPr>
        <w:t xml:space="preserve"> this Opinion and Order</w:t>
      </w:r>
      <w:r w:rsidR="00905434" w:rsidRPr="005C260E">
        <w:rPr>
          <w:sz w:val="26"/>
          <w:szCs w:val="26"/>
        </w:rPr>
        <w:t>;</w:t>
      </w:r>
      <w:r w:rsidR="00956972" w:rsidRPr="005C260E">
        <w:rPr>
          <w:sz w:val="26"/>
          <w:szCs w:val="26"/>
        </w:rPr>
        <w:t xml:space="preserve"> </w:t>
      </w:r>
      <w:r w:rsidR="00956972" w:rsidRPr="005C260E">
        <w:rPr>
          <w:b/>
          <w:sz w:val="26"/>
          <w:szCs w:val="26"/>
        </w:rPr>
        <w:t>THEREFORE,</w:t>
      </w:r>
      <w:r w:rsidR="00956972" w:rsidRPr="005C260E">
        <w:rPr>
          <w:sz w:val="26"/>
          <w:szCs w:val="26"/>
        </w:rPr>
        <w:t xml:space="preserve"> </w:t>
      </w:r>
    </w:p>
    <w:p w14:paraId="73CD6336" w14:textId="77777777" w:rsidR="001A1AD3" w:rsidRPr="005C260E" w:rsidRDefault="001A1AD3" w:rsidP="0009625E">
      <w:pPr>
        <w:spacing w:line="360" w:lineRule="auto"/>
        <w:contextualSpacing/>
        <w:rPr>
          <w:sz w:val="26"/>
          <w:szCs w:val="26"/>
        </w:rPr>
      </w:pPr>
    </w:p>
    <w:p w14:paraId="2963FC64" w14:textId="77777777" w:rsidR="001A1AD3" w:rsidRPr="005C260E" w:rsidRDefault="001A1AD3" w:rsidP="009E740E">
      <w:pPr>
        <w:spacing w:line="360" w:lineRule="auto"/>
        <w:contextualSpacing/>
        <w:rPr>
          <w:b/>
          <w:sz w:val="26"/>
          <w:szCs w:val="26"/>
        </w:rPr>
      </w:pPr>
      <w:r w:rsidRPr="005C260E">
        <w:rPr>
          <w:sz w:val="26"/>
          <w:szCs w:val="26"/>
        </w:rPr>
        <w:tab/>
      </w:r>
      <w:r w:rsidRPr="005C260E">
        <w:rPr>
          <w:sz w:val="26"/>
          <w:szCs w:val="26"/>
        </w:rPr>
        <w:tab/>
      </w:r>
      <w:r w:rsidRPr="005C260E">
        <w:rPr>
          <w:b/>
          <w:sz w:val="26"/>
          <w:szCs w:val="26"/>
        </w:rPr>
        <w:t>IT IS ORDERED:</w:t>
      </w:r>
    </w:p>
    <w:p w14:paraId="7BD63FD9" w14:textId="77777777" w:rsidR="001A1AD3" w:rsidRPr="005C260E" w:rsidRDefault="001A1AD3" w:rsidP="009E740E">
      <w:pPr>
        <w:spacing w:line="360" w:lineRule="auto"/>
        <w:contextualSpacing/>
        <w:rPr>
          <w:sz w:val="26"/>
          <w:szCs w:val="26"/>
        </w:rPr>
      </w:pPr>
    </w:p>
    <w:p w14:paraId="04BCC7B6" w14:textId="09328308" w:rsidR="0033572B" w:rsidRDefault="001A1AD3" w:rsidP="00524E25">
      <w:pPr>
        <w:tabs>
          <w:tab w:val="left" w:pos="1440"/>
        </w:tabs>
        <w:spacing w:line="360" w:lineRule="auto"/>
        <w:contextualSpacing/>
        <w:rPr>
          <w:sz w:val="26"/>
          <w:szCs w:val="26"/>
        </w:rPr>
      </w:pPr>
      <w:r w:rsidRPr="005C260E">
        <w:rPr>
          <w:sz w:val="26"/>
          <w:szCs w:val="26"/>
        </w:rPr>
        <w:tab/>
      </w:r>
      <w:r w:rsidR="00487A9C">
        <w:rPr>
          <w:sz w:val="26"/>
          <w:szCs w:val="26"/>
        </w:rPr>
        <w:t>1</w:t>
      </w:r>
      <w:r w:rsidR="00487A9C" w:rsidRPr="005C260E">
        <w:rPr>
          <w:sz w:val="26"/>
          <w:szCs w:val="26"/>
        </w:rPr>
        <w:t>.</w:t>
      </w:r>
      <w:r w:rsidR="00487A9C" w:rsidRPr="005C260E">
        <w:rPr>
          <w:b/>
          <w:sz w:val="26"/>
          <w:szCs w:val="26"/>
        </w:rPr>
        <w:tab/>
      </w:r>
      <w:r w:rsidR="00487A9C" w:rsidRPr="005C260E">
        <w:rPr>
          <w:sz w:val="26"/>
          <w:szCs w:val="26"/>
        </w:rPr>
        <w:t xml:space="preserve">That </w:t>
      </w:r>
      <w:r w:rsidR="00487A9C" w:rsidRPr="00D365A7">
        <w:rPr>
          <w:sz w:val="26"/>
          <w:szCs w:val="26"/>
        </w:rPr>
        <w:t>the Initial Decision of Administra</w:t>
      </w:r>
      <w:r w:rsidR="00487A9C">
        <w:rPr>
          <w:sz w:val="26"/>
          <w:szCs w:val="26"/>
        </w:rPr>
        <w:t>tive Law Judge</w:t>
      </w:r>
      <w:r w:rsidR="005C7D9F">
        <w:rPr>
          <w:sz w:val="26"/>
          <w:szCs w:val="26"/>
        </w:rPr>
        <w:t xml:space="preserve"> Elizabeth H. Barnes</w:t>
      </w:r>
      <w:r w:rsidR="00487A9C" w:rsidRPr="00D365A7">
        <w:rPr>
          <w:sz w:val="26"/>
          <w:szCs w:val="26"/>
        </w:rPr>
        <w:t xml:space="preserve">, </w:t>
      </w:r>
      <w:r w:rsidR="00487A9C">
        <w:rPr>
          <w:sz w:val="26"/>
          <w:szCs w:val="26"/>
        </w:rPr>
        <w:t>issued on</w:t>
      </w:r>
      <w:r w:rsidR="005C7D9F">
        <w:rPr>
          <w:sz w:val="26"/>
          <w:szCs w:val="26"/>
        </w:rPr>
        <w:t xml:space="preserve"> November 15</w:t>
      </w:r>
      <w:r w:rsidR="00487A9C">
        <w:rPr>
          <w:sz w:val="26"/>
          <w:szCs w:val="26"/>
        </w:rPr>
        <w:t>, 2019</w:t>
      </w:r>
      <w:r w:rsidR="00487A9C" w:rsidRPr="00D365A7">
        <w:rPr>
          <w:sz w:val="26"/>
          <w:szCs w:val="26"/>
        </w:rPr>
        <w:t xml:space="preserve">, is </w:t>
      </w:r>
      <w:r w:rsidR="00487A9C">
        <w:rPr>
          <w:sz w:val="26"/>
          <w:szCs w:val="26"/>
        </w:rPr>
        <w:t>modified</w:t>
      </w:r>
      <w:r w:rsidR="00487A9C" w:rsidRPr="00D365A7">
        <w:rPr>
          <w:sz w:val="26"/>
          <w:szCs w:val="26"/>
        </w:rPr>
        <w:t>, consistent with this Opinion and Order.</w:t>
      </w:r>
    </w:p>
    <w:p w14:paraId="71D98A31" w14:textId="4055454E" w:rsidR="00524E25" w:rsidRDefault="00524E25" w:rsidP="00524E25">
      <w:pPr>
        <w:tabs>
          <w:tab w:val="left" w:pos="1440"/>
        </w:tabs>
        <w:spacing w:line="360" w:lineRule="auto"/>
        <w:contextualSpacing/>
        <w:rPr>
          <w:sz w:val="26"/>
          <w:szCs w:val="26"/>
        </w:rPr>
      </w:pPr>
    </w:p>
    <w:p w14:paraId="22509F60" w14:textId="09FED7C8" w:rsidR="00524E25" w:rsidRDefault="00524E25" w:rsidP="00524E25">
      <w:pPr>
        <w:tabs>
          <w:tab w:val="left" w:pos="1440"/>
        </w:tabs>
        <w:spacing w:line="360" w:lineRule="auto"/>
        <w:contextualSpacing/>
        <w:rPr>
          <w:sz w:val="26"/>
          <w:szCs w:val="26"/>
        </w:rPr>
      </w:pPr>
    </w:p>
    <w:p w14:paraId="10A8C616" w14:textId="35C3F6D6" w:rsidR="00524E25" w:rsidRDefault="00524E25" w:rsidP="00524E25">
      <w:pPr>
        <w:tabs>
          <w:tab w:val="left" w:pos="1440"/>
        </w:tabs>
        <w:spacing w:line="360" w:lineRule="auto"/>
        <w:contextualSpacing/>
        <w:rPr>
          <w:sz w:val="26"/>
          <w:szCs w:val="26"/>
        </w:rPr>
      </w:pPr>
    </w:p>
    <w:p w14:paraId="39E1361A" w14:textId="0FE54C6E" w:rsidR="00524E25" w:rsidRDefault="00524E25" w:rsidP="00524E25">
      <w:pPr>
        <w:tabs>
          <w:tab w:val="left" w:pos="1440"/>
        </w:tabs>
        <w:spacing w:line="360" w:lineRule="auto"/>
        <w:contextualSpacing/>
        <w:rPr>
          <w:sz w:val="26"/>
          <w:szCs w:val="26"/>
        </w:rPr>
      </w:pPr>
    </w:p>
    <w:p w14:paraId="6AB1C84A" w14:textId="415D9ECB" w:rsidR="00524E25" w:rsidRDefault="00524E25" w:rsidP="00524E25">
      <w:pPr>
        <w:tabs>
          <w:tab w:val="left" w:pos="1440"/>
        </w:tabs>
        <w:spacing w:line="360" w:lineRule="auto"/>
        <w:contextualSpacing/>
        <w:rPr>
          <w:sz w:val="26"/>
          <w:szCs w:val="26"/>
        </w:rPr>
      </w:pPr>
    </w:p>
    <w:p w14:paraId="5112FD17" w14:textId="77777777" w:rsidR="00487A9C" w:rsidRDefault="00487A9C" w:rsidP="00487A9C">
      <w:pPr>
        <w:spacing w:line="360" w:lineRule="auto"/>
        <w:ind w:firstLine="1440"/>
        <w:rPr>
          <w:sz w:val="26"/>
          <w:szCs w:val="26"/>
        </w:rPr>
      </w:pPr>
      <w:r>
        <w:rPr>
          <w:sz w:val="26"/>
          <w:szCs w:val="26"/>
        </w:rPr>
        <w:lastRenderedPageBreak/>
        <w:t xml:space="preserve">2. </w:t>
      </w:r>
      <w:r>
        <w:rPr>
          <w:sz w:val="26"/>
          <w:szCs w:val="26"/>
        </w:rPr>
        <w:tab/>
        <w:t>That this proceeding</w:t>
      </w:r>
      <w:r w:rsidRPr="00B42078">
        <w:rPr>
          <w:sz w:val="26"/>
          <w:szCs w:val="26"/>
        </w:rPr>
        <w:t xml:space="preserve"> is remanded to the Office of Administrative Law Judge for proceedings to</w:t>
      </w:r>
      <w:r w:rsidR="0033572B">
        <w:rPr>
          <w:sz w:val="26"/>
          <w:szCs w:val="26"/>
        </w:rPr>
        <w:t xml:space="preserve"> address the incorrect charges and high billing allegations of the Formal Complaint of Anthony Venini, filed on December 7, 2018</w:t>
      </w:r>
      <w:r>
        <w:rPr>
          <w:sz w:val="26"/>
          <w:szCs w:val="26"/>
        </w:rPr>
        <w:t xml:space="preserve">. </w:t>
      </w:r>
    </w:p>
    <w:p w14:paraId="240A900F" w14:textId="77777777" w:rsidR="00487A9C" w:rsidRDefault="00487A9C" w:rsidP="00487A9C">
      <w:pPr>
        <w:spacing w:line="360" w:lineRule="auto"/>
        <w:ind w:firstLine="1440"/>
        <w:rPr>
          <w:sz w:val="26"/>
          <w:szCs w:val="26"/>
        </w:rPr>
      </w:pPr>
    </w:p>
    <w:p w14:paraId="44455668" w14:textId="77777777" w:rsidR="00503B2F" w:rsidRPr="005C260E" w:rsidRDefault="00503B2F" w:rsidP="00695C90">
      <w:pPr>
        <w:keepNext/>
        <w:keepLines/>
        <w:spacing w:line="360" w:lineRule="auto"/>
        <w:ind w:left="5040"/>
        <w:contextualSpacing/>
        <w:rPr>
          <w:sz w:val="26"/>
          <w:szCs w:val="26"/>
        </w:rPr>
      </w:pPr>
      <w:r w:rsidRPr="005C260E">
        <w:rPr>
          <w:b/>
          <w:sz w:val="26"/>
          <w:szCs w:val="26"/>
        </w:rPr>
        <w:t>BY THE COMMISSION,</w:t>
      </w:r>
    </w:p>
    <w:p w14:paraId="66A926F2" w14:textId="77777777" w:rsidR="00695C90" w:rsidRPr="005C260E" w:rsidRDefault="00695C90" w:rsidP="00695C90">
      <w:pPr>
        <w:keepNext/>
        <w:keepLines/>
        <w:tabs>
          <w:tab w:val="left" w:pos="-720"/>
        </w:tabs>
        <w:suppressAutoHyphens/>
        <w:ind w:left="5040"/>
        <w:contextualSpacing/>
        <w:rPr>
          <w:sz w:val="26"/>
          <w:szCs w:val="26"/>
        </w:rPr>
      </w:pPr>
    </w:p>
    <w:p w14:paraId="02480921" w14:textId="3E13CC1D" w:rsidR="00503B2F" w:rsidRPr="005C260E" w:rsidRDefault="00A65B78" w:rsidP="00695C90">
      <w:pPr>
        <w:keepNext/>
        <w:keepLines/>
        <w:tabs>
          <w:tab w:val="left" w:pos="-720"/>
        </w:tabs>
        <w:suppressAutoHyphens/>
        <w:ind w:left="5040"/>
        <w:contextualSpacing/>
        <w:rPr>
          <w:sz w:val="26"/>
          <w:szCs w:val="26"/>
        </w:rPr>
      </w:pPr>
      <w:r>
        <w:rPr>
          <w:noProof/>
          <w:sz w:val="26"/>
          <w:szCs w:val="26"/>
        </w:rPr>
        <w:drawing>
          <wp:inline distT="0" distB="0" distL="0" distR="0" wp14:anchorId="188A4F93" wp14:editId="5A2EB217">
            <wp:extent cx="1965960" cy="749808"/>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749808"/>
                    </a:xfrm>
                    <a:prstGeom prst="rect">
                      <a:avLst/>
                    </a:prstGeom>
                  </pic:spPr>
                </pic:pic>
              </a:graphicData>
            </a:graphic>
          </wp:inline>
        </w:drawing>
      </w:r>
    </w:p>
    <w:p w14:paraId="2092EA17" w14:textId="77777777" w:rsidR="00503B2F" w:rsidRPr="005C260E" w:rsidRDefault="00503B2F" w:rsidP="00695C90">
      <w:pPr>
        <w:keepNext/>
        <w:keepLines/>
        <w:tabs>
          <w:tab w:val="left" w:pos="-720"/>
        </w:tabs>
        <w:suppressAutoHyphens/>
        <w:ind w:left="5040"/>
        <w:contextualSpacing/>
        <w:rPr>
          <w:sz w:val="26"/>
          <w:szCs w:val="26"/>
        </w:rPr>
      </w:pPr>
      <w:r w:rsidRPr="005C260E">
        <w:rPr>
          <w:sz w:val="26"/>
          <w:szCs w:val="26"/>
        </w:rPr>
        <w:t>Rosemary Chiavetta</w:t>
      </w:r>
    </w:p>
    <w:p w14:paraId="3F2B498D" w14:textId="77777777" w:rsidR="00503B2F" w:rsidRPr="005C260E" w:rsidRDefault="00503B2F" w:rsidP="00695C90">
      <w:pPr>
        <w:keepNext/>
        <w:keepLines/>
        <w:tabs>
          <w:tab w:val="left" w:pos="-720"/>
        </w:tabs>
        <w:suppressAutoHyphens/>
        <w:ind w:left="5040"/>
        <w:contextualSpacing/>
        <w:rPr>
          <w:sz w:val="26"/>
          <w:szCs w:val="26"/>
        </w:rPr>
      </w:pPr>
      <w:r w:rsidRPr="005C260E">
        <w:rPr>
          <w:sz w:val="26"/>
          <w:szCs w:val="26"/>
        </w:rPr>
        <w:t>Secretary</w:t>
      </w:r>
    </w:p>
    <w:p w14:paraId="7AB184DB" w14:textId="77777777" w:rsidR="00EC7358" w:rsidRPr="005C260E" w:rsidRDefault="00EC7358">
      <w:pPr>
        <w:keepNext/>
        <w:keepLines/>
        <w:tabs>
          <w:tab w:val="left" w:pos="-720"/>
        </w:tabs>
        <w:suppressAutoHyphens/>
        <w:contextualSpacing/>
        <w:rPr>
          <w:sz w:val="26"/>
          <w:szCs w:val="26"/>
        </w:rPr>
      </w:pPr>
    </w:p>
    <w:p w14:paraId="0742AF36" w14:textId="77777777" w:rsidR="00503B2F" w:rsidRPr="005C260E" w:rsidRDefault="00503B2F">
      <w:pPr>
        <w:keepNext/>
        <w:keepLines/>
        <w:tabs>
          <w:tab w:val="left" w:pos="-720"/>
        </w:tabs>
        <w:suppressAutoHyphens/>
        <w:contextualSpacing/>
        <w:rPr>
          <w:sz w:val="26"/>
          <w:szCs w:val="26"/>
        </w:rPr>
      </w:pPr>
    </w:p>
    <w:p w14:paraId="24486297" w14:textId="77777777" w:rsidR="00503B2F" w:rsidRPr="005C260E" w:rsidRDefault="00503B2F">
      <w:pPr>
        <w:keepNext/>
        <w:keepLines/>
        <w:tabs>
          <w:tab w:val="left" w:pos="-720"/>
        </w:tabs>
        <w:suppressAutoHyphens/>
        <w:contextualSpacing/>
        <w:rPr>
          <w:sz w:val="26"/>
          <w:szCs w:val="26"/>
        </w:rPr>
      </w:pPr>
      <w:r w:rsidRPr="005C260E">
        <w:rPr>
          <w:sz w:val="26"/>
          <w:szCs w:val="26"/>
        </w:rPr>
        <w:t>(SEAL)</w:t>
      </w:r>
    </w:p>
    <w:p w14:paraId="07FB08A3" w14:textId="77777777" w:rsidR="00503B2F" w:rsidRPr="005C260E" w:rsidRDefault="00503B2F">
      <w:pPr>
        <w:keepNext/>
        <w:keepLines/>
        <w:tabs>
          <w:tab w:val="left" w:pos="-720"/>
        </w:tabs>
        <w:suppressAutoHyphens/>
        <w:contextualSpacing/>
        <w:rPr>
          <w:sz w:val="26"/>
          <w:szCs w:val="26"/>
        </w:rPr>
      </w:pPr>
    </w:p>
    <w:p w14:paraId="4486F728" w14:textId="77777777" w:rsidR="00503B2F" w:rsidRPr="005C260E" w:rsidRDefault="00503B2F">
      <w:pPr>
        <w:keepNext/>
        <w:keepLines/>
        <w:tabs>
          <w:tab w:val="left" w:pos="-720"/>
        </w:tabs>
        <w:suppressAutoHyphens/>
        <w:contextualSpacing/>
        <w:rPr>
          <w:sz w:val="26"/>
          <w:szCs w:val="26"/>
        </w:rPr>
      </w:pPr>
      <w:r w:rsidRPr="005C260E">
        <w:rPr>
          <w:sz w:val="26"/>
          <w:szCs w:val="26"/>
        </w:rPr>
        <w:t>ORDER ADOPTED:</w:t>
      </w:r>
      <w:r w:rsidR="00FF14E7" w:rsidRPr="005C260E">
        <w:rPr>
          <w:sz w:val="26"/>
          <w:szCs w:val="26"/>
        </w:rPr>
        <w:t xml:space="preserve">  </w:t>
      </w:r>
      <w:r w:rsidR="0033572B">
        <w:rPr>
          <w:sz w:val="26"/>
          <w:szCs w:val="26"/>
        </w:rPr>
        <w:t>January 16</w:t>
      </w:r>
      <w:r w:rsidR="003A6175">
        <w:rPr>
          <w:sz w:val="26"/>
          <w:szCs w:val="26"/>
        </w:rPr>
        <w:t>, 20</w:t>
      </w:r>
      <w:r w:rsidR="0033572B">
        <w:rPr>
          <w:sz w:val="26"/>
          <w:szCs w:val="26"/>
        </w:rPr>
        <w:t>20</w:t>
      </w:r>
    </w:p>
    <w:p w14:paraId="08C49E3D" w14:textId="77777777" w:rsidR="00503B2F" w:rsidRPr="005C260E" w:rsidRDefault="00503B2F">
      <w:pPr>
        <w:keepNext/>
        <w:keepLines/>
        <w:tabs>
          <w:tab w:val="left" w:pos="-720"/>
        </w:tabs>
        <w:suppressAutoHyphens/>
        <w:contextualSpacing/>
        <w:rPr>
          <w:sz w:val="26"/>
          <w:szCs w:val="26"/>
        </w:rPr>
      </w:pPr>
    </w:p>
    <w:p w14:paraId="79F7426E" w14:textId="34C46589" w:rsidR="009304FE" w:rsidRPr="005C260E" w:rsidRDefault="00DD3119">
      <w:pPr>
        <w:keepNext/>
        <w:keepLines/>
        <w:tabs>
          <w:tab w:val="left" w:pos="-720"/>
        </w:tabs>
        <w:suppressAutoHyphens/>
        <w:contextualSpacing/>
        <w:rPr>
          <w:sz w:val="26"/>
          <w:szCs w:val="26"/>
        </w:rPr>
      </w:pPr>
      <w:r w:rsidRPr="005C260E">
        <w:rPr>
          <w:sz w:val="26"/>
          <w:szCs w:val="26"/>
        </w:rPr>
        <w:t xml:space="preserve">ORDER ENTERED:  </w:t>
      </w:r>
      <w:r w:rsidR="00A65B78">
        <w:rPr>
          <w:sz w:val="26"/>
          <w:szCs w:val="26"/>
        </w:rPr>
        <w:t>January 29, 2020</w:t>
      </w:r>
      <w:bookmarkStart w:id="0" w:name="_GoBack"/>
      <w:bookmarkEnd w:id="0"/>
    </w:p>
    <w:sectPr w:rsidR="009304FE" w:rsidRPr="005C260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A234" w14:textId="77777777" w:rsidR="00B65C01" w:rsidRDefault="00B65C01">
      <w:r>
        <w:separator/>
      </w:r>
    </w:p>
  </w:endnote>
  <w:endnote w:type="continuationSeparator" w:id="0">
    <w:p w14:paraId="18A7945A" w14:textId="77777777" w:rsidR="00B65C01" w:rsidRDefault="00B6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AD8A" w14:textId="77777777"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14:paraId="2DE557AF" w14:textId="77777777" w:rsidR="000B2A1C" w:rsidRDefault="000B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3AF1" w14:textId="77777777" w:rsidR="000B2A1C" w:rsidRPr="00C116C7" w:rsidRDefault="003C23C6" w:rsidP="00654A2F">
    <w:pPr>
      <w:pStyle w:val="Footer"/>
      <w:framePr w:wrap="around" w:vAnchor="text" w:hAnchor="margin" w:xAlign="center" w:y="1"/>
      <w:rPr>
        <w:rStyle w:val="PageNumber"/>
        <w:sz w:val="26"/>
        <w:szCs w:val="26"/>
      </w:rPr>
    </w:pPr>
    <w:r w:rsidRPr="00C116C7">
      <w:rPr>
        <w:rStyle w:val="PageNumber"/>
        <w:sz w:val="26"/>
        <w:szCs w:val="26"/>
      </w:rPr>
      <w:fldChar w:fldCharType="begin"/>
    </w:r>
    <w:r w:rsidR="000B2A1C" w:rsidRPr="00C116C7">
      <w:rPr>
        <w:rStyle w:val="PageNumber"/>
        <w:sz w:val="26"/>
        <w:szCs w:val="26"/>
      </w:rPr>
      <w:instrText xml:space="preserve">PAGE  </w:instrText>
    </w:r>
    <w:r w:rsidRPr="00C116C7">
      <w:rPr>
        <w:rStyle w:val="PageNumber"/>
        <w:sz w:val="26"/>
        <w:szCs w:val="26"/>
      </w:rPr>
      <w:fldChar w:fldCharType="separate"/>
    </w:r>
    <w:r w:rsidR="00EF5B0E">
      <w:rPr>
        <w:rStyle w:val="PageNumber"/>
        <w:noProof/>
        <w:sz w:val="26"/>
        <w:szCs w:val="26"/>
      </w:rPr>
      <w:t>12</w:t>
    </w:r>
    <w:r w:rsidRPr="00C116C7">
      <w:rPr>
        <w:rStyle w:val="PageNumber"/>
        <w:sz w:val="26"/>
        <w:szCs w:val="26"/>
      </w:rPr>
      <w:fldChar w:fldCharType="end"/>
    </w:r>
  </w:p>
  <w:p w14:paraId="6FAECF51" w14:textId="77777777" w:rsidR="000B2A1C" w:rsidRDefault="000B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109D" w14:textId="77777777" w:rsidR="00B65C01" w:rsidRDefault="00B65C01">
      <w:r>
        <w:separator/>
      </w:r>
    </w:p>
  </w:footnote>
  <w:footnote w:type="continuationSeparator" w:id="0">
    <w:p w14:paraId="260471A0" w14:textId="77777777" w:rsidR="00B65C01" w:rsidRDefault="00B65C01">
      <w:r>
        <w:continuationSeparator/>
      </w:r>
    </w:p>
  </w:footnote>
  <w:footnote w:id="1">
    <w:p w14:paraId="35569D48" w14:textId="77777777" w:rsidR="002D0967" w:rsidRPr="002D0967" w:rsidRDefault="002D0967">
      <w:pPr>
        <w:pStyle w:val="FootnoteText"/>
        <w:rPr>
          <w:rFonts w:ascii="Times New Roman" w:hAnsi="Times New Roman"/>
          <w:sz w:val="26"/>
          <w:szCs w:val="26"/>
        </w:rPr>
      </w:pPr>
      <w:r>
        <w:tab/>
      </w:r>
      <w:r w:rsidRPr="002D0967">
        <w:rPr>
          <w:rStyle w:val="FootnoteReference"/>
          <w:rFonts w:ascii="Times New Roman" w:hAnsi="Times New Roman"/>
        </w:rPr>
        <w:footnoteRef/>
      </w:r>
      <w:r w:rsidRPr="002D0967">
        <w:rPr>
          <w:rFonts w:ascii="Times New Roman" w:hAnsi="Times New Roman"/>
          <w:sz w:val="26"/>
          <w:szCs w:val="26"/>
        </w:rPr>
        <w:t xml:space="preserve"> </w:t>
      </w:r>
      <w:r w:rsidRPr="002D0967">
        <w:rPr>
          <w:rFonts w:ascii="Times New Roman" w:hAnsi="Times New Roman"/>
          <w:sz w:val="26"/>
          <w:szCs w:val="26"/>
        </w:rPr>
        <w:tab/>
        <w:t xml:space="preserve">The Complaint was served on PPL on December 11, 2018. </w:t>
      </w:r>
    </w:p>
  </w:footnote>
  <w:footnote w:id="2">
    <w:p w14:paraId="56DCA042" w14:textId="77777777" w:rsidR="004F2030" w:rsidRPr="004F2030" w:rsidRDefault="004F2030">
      <w:pPr>
        <w:pStyle w:val="FootnoteText"/>
        <w:rPr>
          <w:rFonts w:ascii="Times New Roman" w:hAnsi="Times New Roman"/>
          <w:sz w:val="26"/>
          <w:szCs w:val="26"/>
        </w:rPr>
      </w:pPr>
      <w:r>
        <w:tab/>
      </w:r>
      <w:r w:rsidRPr="004F2030">
        <w:rPr>
          <w:rStyle w:val="FootnoteReference"/>
          <w:rFonts w:ascii="Times New Roman" w:hAnsi="Times New Roman"/>
        </w:rPr>
        <w:footnoteRef/>
      </w:r>
      <w:r w:rsidRPr="004F2030">
        <w:rPr>
          <w:rFonts w:ascii="Times New Roman" w:hAnsi="Times New Roman"/>
          <w:sz w:val="26"/>
          <w:szCs w:val="26"/>
        </w:rPr>
        <w:t xml:space="preserve"> </w:t>
      </w:r>
      <w:r w:rsidRPr="004F2030">
        <w:rPr>
          <w:rFonts w:ascii="Times New Roman" w:hAnsi="Times New Roman"/>
          <w:sz w:val="26"/>
          <w:szCs w:val="26"/>
        </w:rPr>
        <w:tab/>
        <w:t xml:space="preserve">In the event </w:t>
      </w:r>
      <w:r w:rsidR="003A320A">
        <w:rPr>
          <w:rFonts w:ascii="Times New Roman" w:hAnsi="Times New Roman"/>
          <w:sz w:val="26"/>
          <w:szCs w:val="26"/>
        </w:rPr>
        <w:t xml:space="preserve">that </w:t>
      </w:r>
      <w:r w:rsidRPr="004F2030">
        <w:rPr>
          <w:rFonts w:ascii="Times New Roman" w:hAnsi="Times New Roman"/>
          <w:sz w:val="26"/>
          <w:szCs w:val="26"/>
        </w:rPr>
        <w:t>no response was filed on or before October 20, 2019, PPL</w:t>
      </w:r>
      <w:r w:rsidR="00D07682">
        <w:rPr>
          <w:rFonts w:ascii="Times New Roman" w:hAnsi="Times New Roman"/>
          <w:sz w:val="26"/>
          <w:szCs w:val="26"/>
        </w:rPr>
        <w:t xml:space="preserve"> is</w:t>
      </w:r>
      <w:r w:rsidRPr="004F2030">
        <w:rPr>
          <w:rFonts w:ascii="Times New Roman" w:hAnsi="Times New Roman"/>
          <w:sz w:val="26"/>
          <w:szCs w:val="26"/>
        </w:rPr>
        <w:t xml:space="preserve"> entitled to file a motion for sanctions pursuant to 52 Pa. Code § 5.371.</w:t>
      </w:r>
    </w:p>
  </w:footnote>
  <w:footnote w:id="3">
    <w:p w14:paraId="68FCDA4B" w14:textId="72B6029C" w:rsidR="00AD6596" w:rsidRPr="00AD6596" w:rsidRDefault="00AD6596" w:rsidP="00A21FC2">
      <w:pPr>
        <w:pStyle w:val="FootnoteText"/>
        <w:keepLines/>
        <w:rPr>
          <w:rFonts w:ascii="Times New Roman" w:hAnsi="Times New Roman"/>
          <w:sz w:val="26"/>
          <w:szCs w:val="26"/>
        </w:rPr>
      </w:pPr>
      <w:r>
        <w:tab/>
      </w:r>
      <w:r w:rsidRPr="00AD6596">
        <w:rPr>
          <w:rStyle w:val="FootnoteReference"/>
          <w:rFonts w:ascii="Times New Roman" w:hAnsi="Times New Roman"/>
        </w:rPr>
        <w:footnoteRef/>
      </w:r>
      <w:r w:rsidRPr="00AD6596">
        <w:rPr>
          <w:rFonts w:ascii="Times New Roman" w:hAnsi="Times New Roman"/>
          <w:sz w:val="26"/>
          <w:szCs w:val="26"/>
        </w:rPr>
        <w:t xml:space="preserve"> </w:t>
      </w:r>
      <w:r w:rsidRPr="00AD6596">
        <w:rPr>
          <w:rFonts w:ascii="Times New Roman" w:hAnsi="Times New Roman"/>
          <w:sz w:val="26"/>
          <w:szCs w:val="26"/>
        </w:rPr>
        <w:tab/>
      </w:r>
      <w:r w:rsidRPr="00AD6596">
        <w:rPr>
          <w:rFonts w:ascii="Times New Roman" w:hAnsi="Times New Roman"/>
          <w:i/>
          <w:iCs/>
          <w:sz w:val="26"/>
          <w:szCs w:val="26"/>
        </w:rPr>
        <w:t>See B. Susanne Spohn v. Metropolitan Edison Company</w:t>
      </w:r>
      <w:r w:rsidRPr="00AD6596">
        <w:rPr>
          <w:rFonts w:ascii="Times New Roman" w:hAnsi="Times New Roman"/>
          <w:sz w:val="26"/>
          <w:szCs w:val="26"/>
        </w:rPr>
        <w:t xml:space="preserve">, C-2018-3001725 (Final Order entered August 8, 2019); </w:t>
      </w:r>
      <w:r w:rsidRPr="00AD6596">
        <w:rPr>
          <w:rFonts w:ascii="Times New Roman" w:hAnsi="Times New Roman"/>
          <w:i/>
          <w:iCs/>
          <w:sz w:val="26"/>
          <w:szCs w:val="26"/>
        </w:rPr>
        <w:t>Kimberly Beckmann v. Metropolitan Edison Company</w:t>
      </w:r>
      <w:r w:rsidRPr="00AD6596">
        <w:rPr>
          <w:rFonts w:ascii="Times New Roman" w:hAnsi="Times New Roman"/>
          <w:sz w:val="26"/>
          <w:szCs w:val="26"/>
        </w:rPr>
        <w:t xml:space="preserve">, C-2017-2613702 (Final Order entered April 11, 2019); </w:t>
      </w:r>
      <w:r w:rsidRPr="00AD6596">
        <w:rPr>
          <w:rFonts w:ascii="Times New Roman" w:hAnsi="Times New Roman"/>
          <w:i/>
          <w:iCs/>
          <w:sz w:val="26"/>
          <w:szCs w:val="26"/>
        </w:rPr>
        <w:t>Carol Sojda and Carol Lutzkanin v. Metropolitan Edison Company</w:t>
      </w:r>
      <w:r w:rsidRPr="00AD6596">
        <w:rPr>
          <w:rFonts w:ascii="Times New Roman" w:hAnsi="Times New Roman"/>
          <w:sz w:val="26"/>
          <w:szCs w:val="26"/>
        </w:rPr>
        <w:t xml:space="preserve">, C-2017-2638350 (Final Order entered March 28, 2019); </w:t>
      </w:r>
      <w:r w:rsidRPr="00AD6596">
        <w:rPr>
          <w:rFonts w:ascii="Times New Roman" w:hAnsi="Times New Roman"/>
          <w:i/>
          <w:iCs/>
          <w:sz w:val="26"/>
          <w:szCs w:val="26"/>
        </w:rPr>
        <w:t xml:space="preserve">Darlene Stanton v. Pennsylvania Electric Co., </w:t>
      </w:r>
      <w:r w:rsidRPr="00AD6596">
        <w:rPr>
          <w:rFonts w:ascii="Times New Roman" w:hAnsi="Times New Roman"/>
          <w:sz w:val="26"/>
          <w:szCs w:val="26"/>
        </w:rPr>
        <w:t xml:space="preserve">C-2018-3001144 (Final Order entered July 11, 2019); </w:t>
      </w:r>
      <w:r w:rsidRPr="00AD6596">
        <w:rPr>
          <w:rFonts w:ascii="Times New Roman" w:hAnsi="Times New Roman"/>
          <w:i/>
          <w:iCs/>
          <w:sz w:val="26"/>
          <w:szCs w:val="26"/>
        </w:rPr>
        <w:t xml:space="preserve">Diana Cook v. West Penn Power Company, </w:t>
      </w:r>
      <w:r w:rsidRPr="00AD6596">
        <w:rPr>
          <w:rFonts w:ascii="Times New Roman" w:hAnsi="Times New Roman"/>
          <w:sz w:val="26"/>
          <w:szCs w:val="26"/>
        </w:rPr>
        <w:t>C</w:t>
      </w:r>
      <w:r w:rsidR="00A21FC2">
        <w:rPr>
          <w:rFonts w:ascii="Times New Roman" w:hAnsi="Times New Roman"/>
          <w:sz w:val="26"/>
          <w:szCs w:val="26"/>
        </w:rPr>
        <w:noBreakHyphen/>
      </w:r>
      <w:r w:rsidRPr="00AD6596">
        <w:rPr>
          <w:rFonts w:ascii="Times New Roman" w:hAnsi="Times New Roman"/>
          <w:sz w:val="26"/>
          <w:szCs w:val="26"/>
        </w:rPr>
        <w:t>2018</w:t>
      </w:r>
      <w:r w:rsidR="00A21FC2">
        <w:rPr>
          <w:rFonts w:ascii="Times New Roman" w:hAnsi="Times New Roman"/>
          <w:sz w:val="26"/>
          <w:szCs w:val="26"/>
        </w:rPr>
        <w:noBreakHyphen/>
      </w:r>
      <w:r w:rsidRPr="00AD6596">
        <w:rPr>
          <w:rFonts w:ascii="Times New Roman" w:hAnsi="Times New Roman"/>
          <w:sz w:val="26"/>
          <w:szCs w:val="26"/>
        </w:rPr>
        <w:t xml:space="preserve">3003051 (Final Order entered July 11, 2019); </w:t>
      </w:r>
      <w:r w:rsidRPr="00AD6596">
        <w:rPr>
          <w:rFonts w:ascii="Times New Roman" w:hAnsi="Times New Roman"/>
          <w:i/>
          <w:iCs/>
          <w:sz w:val="26"/>
          <w:szCs w:val="26"/>
        </w:rPr>
        <w:t xml:space="preserve">Ann H. Swartz v. Metropolitan Edison Company, </w:t>
      </w:r>
      <w:r w:rsidRPr="00AD6596">
        <w:rPr>
          <w:rFonts w:ascii="Times New Roman" w:hAnsi="Times New Roman"/>
          <w:sz w:val="26"/>
          <w:szCs w:val="26"/>
        </w:rPr>
        <w:t xml:space="preserve">C-2017-2626756 (Initial Decision issued June 28, 2019); </w:t>
      </w:r>
      <w:r w:rsidRPr="00AD6596">
        <w:rPr>
          <w:rFonts w:ascii="Times New Roman" w:hAnsi="Times New Roman"/>
          <w:i/>
          <w:iCs/>
          <w:sz w:val="26"/>
          <w:szCs w:val="26"/>
        </w:rPr>
        <w:t xml:space="preserve">Rebecca Pacifico v. Metropolitan Edison Company, </w:t>
      </w:r>
      <w:r w:rsidRPr="00AD6596">
        <w:rPr>
          <w:rFonts w:ascii="Times New Roman" w:hAnsi="Times New Roman"/>
          <w:sz w:val="26"/>
          <w:szCs w:val="26"/>
        </w:rPr>
        <w:t xml:space="preserve">C-2018-2645607 (Final Order entered August 23,2019; </w:t>
      </w:r>
      <w:r w:rsidRPr="00AD6596">
        <w:rPr>
          <w:rFonts w:ascii="Times New Roman" w:hAnsi="Times New Roman"/>
          <w:i/>
          <w:iCs/>
          <w:sz w:val="26"/>
          <w:szCs w:val="26"/>
        </w:rPr>
        <w:t>Lewis B. Smith v. Metropolitan Edison Company</w:t>
      </w:r>
      <w:r w:rsidRPr="00AD6596">
        <w:rPr>
          <w:rFonts w:ascii="Times New Roman" w:hAnsi="Times New Roman"/>
          <w:sz w:val="26"/>
          <w:szCs w:val="26"/>
        </w:rPr>
        <w:t xml:space="preserve">, C-2018-3000235 (Final Order entered 8/23/19); </w:t>
      </w:r>
      <w:r w:rsidRPr="00AD6596">
        <w:rPr>
          <w:rFonts w:ascii="Times New Roman" w:hAnsi="Times New Roman"/>
          <w:i/>
          <w:iCs/>
          <w:sz w:val="26"/>
          <w:szCs w:val="26"/>
        </w:rPr>
        <w:t>Dominic J. Ramaglia v. West Penn Power Company</w:t>
      </w:r>
      <w:r w:rsidRPr="00AD6596">
        <w:rPr>
          <w:rFonts w:ascii="Times New Roman" w:hAnsi="Times New Roman"/>
          <w:sz w:val="26"/>
          <w:szCs w:val="26"/>
        </w:rPr>
        <w:t xml:space="preserve">, C-2018- 3002778 (Final Order entered August 23, 2019); </w:t>
      </w:r>
      <w:r w:rsidRPr="00AD6596">
        <w:rPr>
          <w:rFonts w:ascii="Times New Roman" w:hAnsi="Times New Roman"/>
          <w:i/>
          <w:iCs/>
          <w:sz w:val="26"/>
          <w:szCs w:val="26"/>
        </w:rPr>
        <w:t>Susan and Paul Hanley v. Metropolitan Edison Company</w:t>
      </w:r>
      <w:r w:rsidRPr="00AD6596">
        <w:rPr>
          <w:rFonts w:ascii="Times New Roman" w:hAnsi="Times New Roman"/>
          <w:sz w:val="26"/>
          <w:szCs w:val="26"/>
        </w:rPr>
        <w:t xml:space="preserve">, C-2017-2631986 (Final Order entered August 28, 2019); and </w:t>
      </w:r>
      <w:r w:rsidRPr="00AD6596">
        <w:rPr>
          <w:rFonts w:ascii="Times New Roman" w:hAnsi="Times New Roman"/>
          <w:i/>
          <w:iCs/>
          <w:sz w:val="26"/>
          <w:szCs w:val="26"/>
        </w:rPr>
        <w:t>Killinger v. Metropolitan Edison Company</w:t>
      </w:r>
      <w:r w:rsidRPr="00AD6596">
        <w:rPr>
          <w:rFonts w:ascii="Times New Roman" w:hAnsi="Times New Roman"/>
          <w:sz w:val="26"/>
          <w:szCs w:val="26"/>
        </w:rPr>
        <w:t>, C-2017-2634224 (Final Order entered August 28,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95CC9"/>
    <w:multiLevelType w:val="hybridMultilevel"/>
    <w:tmpl w:val="CD42E5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F130F"/>
    <w:multiLevelType w:val="multilevel"/>
    <w:tmpl w:val="A91C19DA"/>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1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0815FFF"/>
    <w:multiLevelType w:val="hybridMultilevel"/>
    <w:tmpl w:val="F316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D2E44"/>
    <w:multiLevelType w:val="multilevel"/>
    <w:tmpl w:val="28E8CBF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4"/>
  </w:num>
  <w:num w:numId="4">
    <w:abstractNumId w:val="5"/>
  </w:num>
  <w:num w:numId="5">
    <w:abstractNumId w:val="9"/>
  </w:num>
  <w:num w:numId="6">
    <w:abstractNumId w:val="6"/>
  </w:num>
  <w:num w:numId="7">
    <w:abstractNumId w:val="4"/>
  </w:num>
  <w:num w:numId="8">
    <w:abstractNumId w:val="8"/>
  </w:num>
  <w:num w:numId="9">
    <w:abstractNumId w:val="13"/>
  </w:num>
  <w:num w:numId="10">
    <w:abstractNumId w:val="1"/>
  </w:num>
  <w:num w:numId="11">
    <w:abstractNumId w:val="0"/>
  </w:num>
  <w:num w:numId="12">
    <w:abstractNumId w:val="10"/>
  </w:num>
  <w:num w:numId="13">
    <w:abstractNumId w:val="2"/>
  </w:num>
  <w:num w:numId="14">
    <w:abstractNumId w:val="15"/>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A99"/>
    <w:rsid w:val="00006E37"/>
    <w:rsid w:val="00007106"/>
    <w:rsid w:val="000074DC"/>
    <w:rsid w:val="00010322"/>
    <w:rsid w:val="0001099D"/>
    <w:rsid w:val="00011888"/>
    <w:rsid w:val="00012A95"/>
    <w:rsid w:val="00013B94"/>
    <w:rsid w:val="0001411C"/>
    <w:rsid w:val="0001414B"/>
    <w:rsid w:val="000148F5"/>
    <w:rsid w:val="00015969"/>
    <w:rsid w:val="00015A01"/>
    <w:rsid w:val="00016820"/>
    <w:rsid w:val="00016CE0"/>
    <w:rsid w:val="00017033"/>
    <w:rsid w:val="0002086F"/>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01D5"/>
    <w:rsid w:val="0003045F"/>
    <w:rsid w:val="00030B16"/>
    <w:rsid w:val="000310BE"/>
    <w:rsid w:val="00031A0A"/>
    <w:rsid w:val="00031E93"/>
    <w:rsid w:val="0003278B"/>
    <w:rsid w:val="00032D5F"/>
    <w:rsid w:val="00033CB2"/>
    <w:rsid w:val="00034A3C"/>
    <w:rsid w:val="0003588B"/>
    <w:rsid w:val="00035F25"/>
    <w:rsid w:val="000362A1"/>
    <w:rsid w:val="00037182"/>
    <w:rsid w:val="000378DC"/>
    <w:rsid w:val="0004071F"/>
    <w:rsid w:val="000416ED"/>
    <w:rsid w:val="00044438"/>
    <w:rsid w:val="0004666D"/>
    <w:rsid w:val="0004679E"/>
    <w:rsid w:val="000472A4"/>
    <w:rsid w:val="000510D0"/>
    <w:rsid w:val="000510FD"/>
    <w:rsid w:val="000537BC"/>
    <w:rsid w:val="00053CED"/>
    <w:rsid w:val="000541A0"/>
    <w:rsid w:val="00054407"/>
    <w:rsid w:val="000547A2"/>
    <w:rsid w:val="00054F7A"/>
    <w:rsid w:val="00055EF9"/>
    <w:rsid w:val="00057057"/>
    <w:rsid w:val="000573BD"/>
    <w:rsid w:val="000610F9"/>
    <w:rsid w:val="00061216"/>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23E"/>
    <w:rsid w:val="00076433"/>
    <w:rsid w:val="00076F62"/>
    <w:rsid w:val="000777D8"/>
    <w:rsid w:val="00077822"/>
    <w:rsid w:val="00077AFA"/>
    <w:rsid w:val="00080C6A"/>
    <w:rsid w:val="000820F1"/>
    <w:rsid w:val="0008251E"/>
    <w:rsid w:val="0008326F"/>
    <w:rsid w:val="0008328F"/>
    <w:rsid w:val="00083CD8"/>
    <w:rsid w:val="0008421E"/>
    <w:rsid w:val="000843CA"/>
    <w:rsid w:val="0008445E"/>
    <w:rsid w:val="00085C73"/>
    <w:rsid w:val="00085FFB"/>
    <w:rsid w:val="00086411"/>
    <w:rsid w:val="00086D0B"/>
    <w:rsid w:val="0008768F"/>
    <w:rsid w:val="000876C2"/>
    <w:rsid w:val="00087C06"/>
    <w:rsid w:val="00087D18"/>
    <w:rsid w:val="00091937"/>
    <w:rsid w:val="00092384"/>
    <w:rsid w:val="00092796"/>
    <w:rsid w:val="000927EE"/>
    <w:rsid w:val="00092ABD"/>
    <w:rsid w:val="00094D6F"/>
    <w:rsid w:val="00096187"/>
    <w:rsid w:val="0009625E"/>
    <w:rsid w:val="000966DC"/>
    <w:rsid w:val="00097048"/>
    <w:rsid w:val="0009781B"/>
    <w:rsid w:val="000A0088"/>
    <w:rsid w:val="000A0D1C"/>
    <w:rsid w:val="000A1364"/>
    <w:rsid w:val="000A2F11"/>
    <w:rsid w:val="000A2FC9"/>
    <w:rsid w:val="000A35F4"/>
    <w:rsid w:val="000A4C46"/>
    <w:rsid w:val="000A6EB3"/>
    <w:rsid w:val="000A770A"/>
    <w:rsid w:val="000A7F96"/>
    <w:rsid w:val="000B0753"/>
    <w:rsid w:val="000B08D6"/>
    <w:rsid w:val="000B2688"/>
    <w:rsid w:val="000B2913"/>
    <w:rsid w:val="000B2A1C"/>
    <w:rsid w:val="000B2B80"/>
    <w:rsid w:val="000B3FB4"/>
    <w:rsid w:val="000B4F29"/>
    <w:rsid w:val="000B5487"/>
    <w:rsid w:val="000B5DF8"/>
    <w:rsid w:val="000B71E3"/>
    <w:rsid w:val="000B77E2"/>
    <w:rsid w:val="000B7E7F"/>
    <w:rsid w:val="000C3224"/>
    <w:rsid w:val="000C33A1"/>
    <w:rsid w:val="000C3997"/>
    <w:rsid w:val="000C4BFD"/>
    <w:rsid w:val="000C558D"/>
    <w:rsid w:val="000C608B"/>
    <w:rsid w:val="000C6C92"/>
    <w:rsid w:val="000C742F"/>
    <w:rsid w:val="000D0BAC"/>
    <w:rsid w:val="000D0D75"/>
    <w:rsid w:val="000D1965"/>
    <w:rsid w:val="000D1DF8"/>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44E"/>
    <w:rsid w:val="000F5A80"/>
    <w:rsid w:val="000F680F"/>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07838"/>
    <w:rsid w:val="001078D7"/>
    <w:rsid w:val="001112D8"/>
    <w:rsid w:val="0011244B"/>
    <w:rsid w:val="00112490"/>
    <w:rsid w:val="0011311C"/>
    <w:rsid w:val="001133C8"/>
    <w:rsid w:val="001142A6"/>
    <w:rsid w:val="00114D80"/>
    <w:rsid w:val="00115448"/>
    <w:rsid w:val="00115B22"/>
    <w:rsid w:val="00115FD9"/>
    <w:rsid w:val="001160BA"/>
    <w:rsid w:val="00116D79"/>
    <w:rsid w:val="0012095B"/>
    <w:rsid w:val="00120B75"/>
    <w:rsid w:val="00120C2F"/>
    <w:rsid w:val="00122C77"/>
    <w:rsid w:val="00122E0F"/>
    <w:rsid w:val="00123068"/>
    <w:rsid w:val="001234F1"/>
    <w:rsid w:val="00124138"/>
    <w:rsid w:val="00124A50"/>
    <w:rsid w:val="00124BD3"/>
    <w:rsid w:val="00126152"/>
    <w:rsid w:val="0012697D"/>
    <w:rsid w:val="001270AB"/>
    <w:rsid w:val="00127623"/>
    <w:rsid w:val="00127671"/>
    <w:rsid w:val="00127C7C"/>
    <w:rsid w:val="00130C69"/>
    <w:rsid w:val="00130D74"/>
    <w:rsid w:val="00131B43"/>
    <w:rsid w:val="00132193"/>
    <w:rsid w:val="00132429"/>
    <w:rsid w:val="00133265"/>
    <w:rsid w:val="00133878"/>
    <w:rsid w:val="001350BC"/>
    <w:rsid w:val="00135C86"/>
    <w:rsid w:val="00136E3D"/>
    <w:rsid w:val="00137A60"/>
    <w:rsid w:val="001401EC"/>
    <w:rsid w:val="00141877"/>
    <w:rsid w:val="00141882"/>
    <w:rsid w:val="00141DF0"/>
    <w:rsid w:val="0014205C"/>
    <w:rsid w:val="001429E5"/>
    <w:rsid w:val="00142D3A"/>
    <w:rsid w:val="0014347F"/>
    <w:rsid w:val="00143E2B"/>
    <w:rsid w:val="00143F43"/>
    <w:rsid w:val="00144166"/>
    <w:rsid w:val="001448EA"/>
    <w:rsid w:val="00144E09"/>
    <w:rsid w:val="001457F2"/>
    <w:rsid w:val="00145EDC"/>
    <w:rsid w:val="00146E12"/>
    <w:rsid w:val="00146E25"/>
    <w:rsid w:val="00147415"/>
    <w:rsid w:val="00150989"/>
    <w:rsid w:val="001509E0"/>
    <w:rsid w:val="001510BB"/>
    <w:rsid w:val="00151CCA"/>
    <w:rsid w:val="001523CA"/>
    <w:rsid w:val="00155D22"/>
    <w:rsid w:val="0015662E"/>
    <w:rsid w:val="001572C5"/>
    <w:rsid w:val="001578D3"/>
    <w:rsid w:val="0016005F"/>
    <w:rsid w:val="001606BC"/>
    <w:rsid w:val="00160F0A"/>
    <w:rsid w:val="0016115A"/>
    <w:rsid w:val="00161E82"/>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1AC6"/>
    <w:rsid w:val="00173EDA"/>
    <w:rsid w:val="00174FA1"/>
    <w:rsid w:val="0017591C"/>
    <w:rsid w:val="00175F2D"/>
    <w:rsid w:val="00177A43"/>
    <w:rsid w:val="00180E89"/>
    <w:rsid w:val="001811B8"/>
    <w:rsid w:val="00181347"/>
    <w:rsid w:val="001827DB"/>
    <w:rsid w:val="00183D96"/>
    <w:rsid w:val="001843B4"/>
    <w:rsid w:val="00185B5E"/>
    <w:rsid w:val="00185EB5"/>
    <w:rsid w:val="001865B9"/>
    <w:rsid w:val="00186887"/>
    <w:rsid w:val="00187BC6"/>
    <w:rsid w:val="00191250"/>
    <w:rsid w:val="0019214E"/>
    <w:rsid w:val="0019223A"/>
    <w:rsid w:val="001922ED"/>
    <w:rsid w:val="0019251E"/>
    <w:rsid w:val="0019318F"/>
    <w:rsid w:val="00193EF0"/>
    <w:rsid w:val="00194D5F"/>
    <w:rsid w:val="00197920"/>
    <w:rsid w:val="00197C2F"/>
    <w:rsid w:val="00197F3D"/>
    <w:rsid w:val="001A0516"/>
    <w:rsid w:val="001A12A1"/>
    <w:rsid w:val="001A18D5"/>
    <w:rsid w:val="001A1AD3"/>
    <w:rsid w:val="001A2F1D"/>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34CC"/>
    <w:rsid w:val="001B423C"/>
    <w:rsid w:val="001B5CD3"/>
    <w:rsid w:val="001B7A05"/>
    <w:rsid w:val="001C37DD"/>
    <w:rsid w:val="001C396E"/>
    <w:rsid w:val="001C42FD"/>
    <w:rsid w:val="001C4B37"/>
    <w:rsid w:val="001C4CAD"/>
    <w:rsid w:val="001C53B1"/>
    <w:rsid w:val="001C7E91"/>
    <w:rsid w:val="001C7F88"/>
    <w:rsid w:val="001D01F1"/>
    <w:rsid w:val="001D02A2"/>
    <w:rsid w:val="001D07AA"/>
    <w:rsid w:val="001D0A3F"/>
    <w:rsid w:val="001D0E29"/>
    <w:rsid w:val="001D1981"/>
    <w:rsid w:val="001D24BD"/>
    <w:rsid w:val="001D2BAD"/>
    <w:rsid w:val="001D491F"/>
    <w:rsid w:val="001D5345"/>
    <w:rsid w:val="001D70A6"/>
    <w:rsid w:val="001D7137"/>
    <w:rsid w:val="001E05C6"/>
    <w:rsid w:val="001E0B29"/>
    <w:rsid w:val="001E1508"/>
    <w:rsid w:val="001E19BC"/>
    <w:rsid w:val="001E1A53"/>
    <w:rsid w:val="001E2CFB"/>
    <w:rsid w:val="001E3411"/>
    <w:rsid w:val="001E3574"/>
    <w:rsid w:val="001E3854"/>
    <w:rsid w:val="001E4225"/>
    <w:rsid w:val="001E5B8E"/>
    <w:rsid w:val="001F0488"/>
    <w:rsid w:val="001F1DA4"/>
    <w:rsid w:val="001F21F5"/>
    <w:rsid w:val="001F3900"/>
    <w:rsid w:val="001F3B2B"/>
    <w:rsid w:val="001F3BF4"/>
    <w:rsid w:val="001F3C68"/>
    <w:rsid w:val="001F4194"/>
    <w:rsid w:val="001F49F1"/>
    <w:rsid w:val="001F55D5"/>
    <w:rsid w:val="001F5F40"/>
    <w:rsid w:val="001F75D6"/>
    <w:rsid w:val="001F79C6"/>
    <w:rsid w:val="001F7B55"/>
    <w:rsid w:val="00200D0C"/>
    <w:rsid w:val="00201059"/>
    <w:rsid w:val="00201916"/>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6D50"/>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4546"/>
    <w:rsid w:val="0023535F"/>
    <w:rsid w:val="00237CE3"/>
    <w:rsid w:val="00241AA6"/>
    <w:rsid w:val="00242639"/>
    <w:rsid w:val="00243016"/>
    <w:rsid w:val="0024349F"/>
    <w:rsid w:val="00243CC9"/>
    <w:rsid w:val="00243D31"/>
    <w:rsid w:val="00244528"/>
    <w:rsid w:val="002450F3"/>
    <w:rsid w:val="00245B0C"/>
    <w:rsid w:val="002469C9"/>
    <w:rsid w:val="00247332"/>
    <w:rsid w:val="00250E63"/>
    <w:rsid w:val="002515E1"/>
    <w:rsid w:val="00252313"/>
    <w:rsid w:val="00252626"/>
    <w:rsid w:val="00253CC7"/>
    <w:rsid w:val="00254560"/>
    <w:rsid w:val="002547A7"/>
    <w:rsid w:val="00254840"/>
    <w:rsid w:val="00255125"/>
    <w:rsid w:val="002556E9"/>
    <w:rsid w:val="002564D7"/>
    <w:rsid w:val="00256A4C"/>
    <w:rsid w:val="0025718D"/>
    <w:rsid w:val="00260276"/>
    <w:rsid w:val="00260919"/>
    <w:rsid w:val="002618AC"/>
    <w:rsid w:val="0026312F"/>
    <w:rsid w:val="00264ABB"/>
    <w:rsid w:val="002652DF"/>
    <w:rsid w:val="00265BD8"/>
    <w:rsid w:val="0026727E"/>
    <w:rsid w:val="0026758D"/>
    <w:rsid w:val="00267FDA"/>
    <w:rsid w:val="0027111A"/>
    <w:rsid w:val="00271322"/>
    <w:rsid w:val="002718EE"/>
    <w:rsid w:val="00271DE6"/>
    <w:rsid w:val="002723CB"/>
    <w:rsid w:val="00273450"/>
    <w:rsid w:val="0027458E"/>
    <w:rsid w:val="002749DC"/>
    <w:rsid w:val="00274EC0"/>
    <w:rsid w:val="00275533"/>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2516"/>
    <w:rsid w:val="002937B5"/>
    <w:rsid w:val="00294924"/>
    <w:rsid w:val="00295BB5"/>
    <w:rsid w:val="00296493"/>
    <w:rsid w:val="00297040"/>
    <w:rsid w:val="00297213"/>
    <w:rsid w:val="00297F92"/>
    <w:rsid w:val="002A0E82"/>
    <w:rsid w:val="002A17A4"/>
    <w:rsid w:val="002A3250"/>
    <w:rsid w:val="002A3A6E"/>
    <w:rsid w:val="002A3AC8"/>
    <w:rsid w:val="002A5399"/>
    <w:rsid w:val="002A579E"/>
    <w:rsid w:val="002A6263"/>
    <w:rsid w:val="002A740E"/>
    <w:rsid w:val="002A782B"/>
    <w:rsid w:val="002B0089"/>
    <w:rsid w:val="002B03EA"/>
    <w:rsid w:val="002B31AD"/>
    <w:rsid w:val="002B31B7"/>
    <w:rsid w:val="002B3767"/>
    <w:rsid w:val="002B46C8"/>
    <w:rsid w:val="002B4B0D"/>
    <w:rsid w:val="002B6B0C"/>
    <w:rsid w:val="002B7F6C"/>
    <w:rsid w:val="002C011D"/>
    <w:rsid w:val="002C060F"/>
    <w:rsid w:val="002C116F"/>
    <w:rsid w:val="002C1950"/>
    <w:rsid w:val="002C2053"/>
    <w:rsid w:val="002C3DE2"/>
    <w:rsid w:val="002C4014"/>
    <w:rsid w:val="002C4311"/>
    <w:rsid w:val="002C5763"/>
    <w:rsid w:val="002C61A7"/>
    <w:rsid w:val="002C6681"/>
    <w:rsid w:val="002D0259"/>
    <w:rsid w:val="002D08E2"/>
    <w:rsid w:val="002D0967"/>
    <w:rsid w:val="002D0BD9"/>
    <w:rsid w:val="002D13F6"/>
    <w:rsid w:val="002D2290"/>
    <w:rsid w:val="002D33E8"/>
    <w:rsid w:val="002D3569"/>
    <w:rsid w:val="002D5216"/>
    <w:rsid w:val="002D5C5B"/>
    <w:rsid w:val="002D650D"/>
    <w:rsid w:val="002D6FE5"/>
    <w:rsid w:val="002D775A"/>
    <w:rsid w:val="002E00A3"/>
    <w:rsid w:val="002E0503"/>
    <w:rsid w:val="002E1CA7"/>
    <w:rsid w:val="002E1E75"/>
    <w:rsid w:val="002E3288"/>
    <w:rsid w:val="002E4908"/>
    <w:rsid w:val="002E4E7C"/>
    <w:rsid w:val="002E5AF4"/>
    <w:rsid w:val="002E6F2D"/>
    <w:rsid w:val="002E7206"/>
    <w:rsid w:val="002F0238"/>
    <w:rsid w:val="002F1287"/>
    <w:rsid w:val="002F14FA"/>
    <w:rsid w:val="002F3B92"/>
    <w:rsid w:val="002F4D5E"/>
    <w:rsid w:val="002F50FB"/>
    <w:rsid w:val="002F57BA"/>
    <w:rsid w:val="002F5F71"/>
    <w:rsid w:val="002F6563"/>
    <w:rsid w:val="002F716A"/>
    <w:rsid w:val="00300C9D"/>
    <w:rsid w:val="0030133A"/>
    <w:rsid w:val="00301735"/>
    <w:rsid w:val="00301857"/>
    <w:rsid w:val="003021B0"/>
    <w:rsid w:val="00302FC9"/>
    <w:rsid w:val="00303915"/>
    <w:rsid w:val="00304ABF"/>
    <w:rsid w:val="0030541E"/>
    <w:rsid w:val="003054A6"/>
    <w:rsid w:val="00305684"/>
    <w:rsid w:val="00305B90"/>
    <w:rsid w:val="0030600D"/>
    <w:rsid w:val="00306310"/>
    <w:rsid w:val="00306411"/>
    <w:rsid w:val="00306AB1"/>
    <w:rsid w:val="003077A3"/>
    <w:rsid w:val="003100C8"/>
    <w:rsid w:val="00310188"/>
    <w:rsid w:val="00310CE1"/>
    <w:rsid w:val="00311849"/>
    <w:rsid w:val="00312108"/>
    <w:rsid w:val="0031247C"/>
    <w:rsid w:val="0031278E"/>
    <w:rsid w:val="003129BA"/>
    <w:rsid w:val="0031381F"/>
    <w:rsid w:val="00316B27"/>
    <w:rsid w:val="00316BFA"/>
    <w:rsid w:val="00316CCA"/>
    <w:rsid w:val="00317462"/>
    <w:rsid w:val="00321AF8"/>
    <w:rsid w:val="00322A65"/>
    <w:rsid w:val="0032388C"/>
    <w:rsid w:val="0032389C"/>
    <w:rsid w:val="00324417"/>
    <w:rsid w:val="00324791"/>
    <w:rsid w:val="00324954"/>
    <w:rsid w:val="00324B2C"/>
    <w:rsid w:val="00324E5B"/>
    <w:rsid w:val="00325440"/>
    <w:rsid w:val="0032579A"/>
    <w:rsid w:val="00325BDE"/>
    <w:rsid w:val="0032615A"/>
    <w:rsid w:val="00326A17"/>
    <w:rsid w:val="00327CBE"/>
    <w:rsid w:val="00330392"/>
    <w:rsid w:val="0033198B"/>
    <w:rsid w:val="0033572B"/>
    <w:rsid w:val="0033589A"/>
    <w:rsid w:val="0033672A"/>
    <w:rsid w:val="00337C48"/>
    <w:rsid w:val="00337DFD"/>
    <w:rsid w:val="00340B42"/>
    <w:rsid w:val="00340BE3"/>
    <w:rsid w:val="00340E96"/>
    <w:rsid w:val="00342149"/>
    <w:rsid w:val="003428C1"/>
    <w:rsid w:val="003440BD"/>
    <w:rsid w:val="00344581"/>
    <w:rsid w:val="0034472A"/>
    <w:rsid w:val="0034498C"/>
    <w:rsid w:val="003459E2"/>
    <w:rsid w:val="00345F95"/>
    <w:rsid w:val="0034695F"/>
    <w:rsid w:val="00346964"/>
    <w:rsid w:val="003471B4"/>
    <w:rsid w:val="00350442"/>
    <w:rsid w:val="00350B3E"/>
    <w:rsid w:val="00351974"/>
    <w:rsid w:val="00352BC7"/>
    <w:rsid w:val="00353578"/>
    <w:rsid w:val="003536D6"/>
    <w:rsid w:val="00353BBC"/>
    <w:rsid w:val="00353F42"/>
    <w:rsid w:val="0035474E"/>
    <w:rsid w:val="00354EEE"/>
    <w:rsid w:val="00355CEB"/>
    <w:rsid w:val="00355E73"/>
    <w:rsid w:val="00356A26"/>
    <w:rsid w:val="003573EB"/>
    <w:rsid w:val="00357A93"/>
    <w:rsid w:val="00357B6E"/>
    <w:rsid w:val="003618E3"/>
    <w:rsid w:val="00362707"/>
    <w:rsid w:val="003629BE"/>
    <w:rsid w:val="00362AC9"/>
    <w:rsid w:val="00363A1D"/>
    <w:rsid w:val="0036445F"/>
    <w:rsid w:val="003669C8"/>
    <w:rsid w:val="00366C32"/>
    <w:rsid w:val="00367224"/>
    <w:rsid w:val="00370193"/>
    <w:rsid w:val="003704B1"/>
    <w:rsid w:val="003708CD"/>
    <w:rsid w:val="00371B51"/>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87A4F"/>
    <w:rsid w:val="0039007A"/>
    <w:rsid w:val="003902DE"/>
    <w:rsid w:val="00390A6D"/>
    <w:rsid w:val="00390D53"/>
    <w:rsid w:val="00390FB3"/>
    <w:rsid w:val="00391B6F"/>
    <w:rsid w:val="00391BFC"/>
    <w:rsid w:val="00392025"/>
    <w:rsid w:val="00392572"/>
    <w:rsid w:val="003928E1"/>
    <w:rsid w:val="00392B85"/>
    <w:rsid w:val="003943C4"/>
    <w:rsid w:val="00394901"/>
    <w:rsid w:val="00395F28"/>
    <w:rsid w:val="003967A2"/>
    <w:rsid w:val="00396B0C"/>
    <w:rsid w:val="00396C50"/>
    <w:rsid w:val="00397F28"/>
    <w:rsid w:val="003A07CB"/>
    <w:rsid w:val="003A16F3"/>
    <w:rsid w:val="003A2DA0"/>
    <w:rsid w:val="003A2FF8"/>
    <w:rsid w:val="003A320A"/>
    <w:rsid w:val="003A37DD"/>
    <w:rsid w:val="003A4184"/>
    <w:rsid w:val="003A50AE"/>
    <w:rsid w:val="003A5385"/>
    <w:rsid w:val="003A54C7"/>
    <w:rsid w:val="003A6175"/>
    <w:rsid w:val="003A76DB"/>
    <w:rsid w:val="003B0BE3"/>
    <w:rsid w:val="003B3893"/>
    <w:rsid w:val="003B3CEA"/>
    <w:rsid w:val="003B3E5F"/>
    <w:rsid w:val="003B4218"/>
    <w:rsid w:val="003B4E05"/>
    <w:rsid w:val="003B561F"/>
    <w:rsid w:val="003B6109"/>
    <w:rsid w:val="003B68B4"/>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6F01"/>
    <w:rsid w:val="003D70DF"/>
    <w:rsid w:val="003D7753"/>
    <w:rsid w:val="003D7B97"/>
    <w:rsid w:val="003E0079"/>
    <w:rsid w:val="003E07E5"/>
    <w:rsid w:val="003E0C89"/>
    <w:rsid w:val="003E14D9"/>
    <w:rsid w:val="003E1907"/>
    <w:rsid w:val="003E21F7"/>
    <w:rsid w:val="003E22D4"/>
    <w:rsid w:val="003E2B94"/>
    <w:rsid w:val="003E3836"/>
    <w:rsid w:val="003E3E7D"/>
    <w:rsid w:val="003E441D"/>
    <w:rsid w:val="003E451B"/>
    <w:rsid w:val="003E4B1D"/>
    <w:rsid w:val="003E4CD9"/>
    <w:rsid w:val="003E5301"/>
    <w:rsid w:val="003E5CB0"/>
    <w:rsid w:val="003E73BC"/>
    <w:rsid w:val="003F07AF"/>
    <w:rsid w:val="003F0ABA"/>
    <w:rsid w:val="003F12B4"/>
    <w:rsid w:val="003F1AC5"/>
    <w:rsid w:val="003F1C7C"/>
    <w:rsid w:val="003F25E5"/>
    <w:rsid w:val="003F27D1"/>
    <w:rsid w:val="003F287E"/>
    <w:rsid w:val="003F2BF4"/>
    <w:rsid w:val="003F3939"/>
    <w:rsid w:val="003F43A2"/>
    <w:rsid w:val="003F5CC4"/>
    <w:rsid w:val="003F6450"/>
    <w:rsid w:val="003F78A2"/>
    <w:rsid w:val="00400A4D"/>
    <w:rsid w:val="0040233B"/>
    <w:rsid w:val="004023F4"/>
    <w:rsid w:val="00402479"/>
    <w:rsid w:val="00404B36"/>
    <w:rsid w:val="00404C07"/>
    <w:rsid w:val="004051BE"/>
    <w:rsid w:val="004059A2"/>
    <w:rsid w:val="00406D11"/>
    <w:rsid w:val="0041010A"/>
    <w:rsid w:val="00411FC9"/>
    <w:rsid w:val="00411FED"/>
    <w:rsid w:val="00412CAD"/>
    <w:rsid w:val="00413E2D"/>
    <w:rsid w:val="00414069"/>
    <w:rsid w:val="004140BA"/>
    <w:rsid w:val="004144EB"/>
    <w:rsid w:val="004144EE"/>
    <w:rsid w:val="004146BE"/>
    <w:rsid w:val="00414855"/>
    <w:rsid w:val="00414DD2"/>
    <w:rsid w:val="00415460"/>
    <w:rsid w:val="00415483"/>
    <w:rsid w:val="00415A5E"/>
    <w:rsid w:val="0041704E"/>
    <w:rsid w:val="004179C9"/>
    <w:rsid w:val="00417CCE"/>
    <w:rsid w:val="00420827"/>
    <w:rsid w:val="00421E3B"/>
    <w:rsid w:val="0042376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52B"/>
    <w:rsid w:val="004427E2"/>
    <w:rsid w:val="00442945"/>
    <w:rsid w:val="004430A9"/>
    <w:rsid w:val="00443198"/>
    <w:rsid w:val="0044366E"/>
    <w:rsid w:val="00443A90"/>
    <w:rsid w:val="00443DE7"/>
    <w:rsid w:val="00446BCB"/>
    <w:rsid w:val="00447592"/>
    <w:rsid w:val="00451543"/>
    <w:rsid w:val="004519D8"/>
    <w:rsid w:val="004531E6"/>
    <w:rsid w:val="0045391E"/>
    <w:rsid w:val="004551AB"/>
    <w:rsid w:val="00455C99"/>
    <w:rsid w:val="00455E23"/>
    <w:rsid w:val="004572B4"/>
    <w:rsid w:val="00457386"/>
    <w:rsid w:val="00460897"/>
    <w:rsid w:val="004610A5"/>
    <w:rsid w:val="00461752"/>
    <w:rsid w:val="00461AC0"/>
    <w:rsid w:val="00461BBF"/>
    <w:rsid w:val="00461E0C"/>
    <w:rsid w:val="004622AF"/>
    <w:rsid w:val="00463C5C"/>
    <w:rsid w:val="004659EF"/>
    <w:rsid w:val="004678B3"/>
    <w:rsid w:val="00470E13"/>
    <w:rsid w:val="004715B6"/>
    <w:rsid w:val="00472037"/>
    <w:rsid w:val="0047307A"/>
    <w:rsid w:val="00473CA5"/>
    <w:rsid w:val="00474DBB"/>
    <w:rsid w:val="00474F36"/>
    <w:rsid w:val="00474FC8"/>
    <w:rsid w:val="00475639"/>
    <w:rsid w:val="004760F2"/>
    <w:rsid w:val="004761B9"/>
    <w:rsid w:val="00476235"/>
    <w:rsid w:val="00476B76"/>
    <w:rsid w:val="004800AD"/>
    <w:rsid w:val="00480227"/>
    <w:rsid w:val="004854BF"/>
    <w:rsid w:val="004858D9"/>
    <w:rsid w:val="0048674B"/>
    <w:rsid w:val="00486EB7"/>
    <w:rsid w:val="0048747D"/>
    <w:rsid w:val="00487A9C"/>
    <w:rsid w:val="004913C4"/>
    <w:rsid w:val="00492432"/>
    <w:rsid w:val="00492787"/>
    <w:rsid w:val="004938FA"/>
    <w:rsid w:val="00493959"/>
    <w:rsid w:val="004949D0"/>
    <w:rsid w:val="00496725"/>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5C2"/>
    <w:rsid w:val="004B1F17"/>
    <w:rsid w:val="004B30C3"/>
    <w:rsid w:val="004B35DC"/>
    <w:rsid w:val="004B7B69"/>
    <w:rsid w:val="004C40E8"/>
    <w:rsid w:val="004C4F45"/>
    <w:rsid w:val="004C54A0"/>
    <w:rsid w:val="004C5B03"/>
    <w:rsid w:val="004C5B43"/>
    <w:rsid w:val="004C749A"/>
    <w:rsid w:val="004C74C1"/>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6636"/>
    <w:rsid w:val="004D75C4"/>
    <w:rsid w:val="004D75D8"/>
    <w:rsid w:val="004E05E7"/>
    <w:rsid w:val="004E142A"/>
    <w:rsid w:val="004E1757"/>
    <w:rsid w:val="004E2F35"/>
    <w:rsid w:val="004E3204"/>
    <w:rsid w:val="004E3FFF"/>
    <w:rsid w:val="004E58C3"/>
    <w:rsid w:val="004E65E9"/>
    <w:rsid w:val="004E66DA"/>
    <w:rsid w:val="004E75A8"/>
    <w:rsid w:val="004E7901"/>
    <w:rsid w:val="004E79BD"/>
    <w:rsid w:val="004F2030"/>
    <w:rsid w:val="004F2383"/>
    <w:rsid w:val="004F23E9"/>
    <w:rsid w:val="004F285C"/>
    <w:rsid w:val="004F2FF1"/>
    <w:rsid w:val="004F34C0"/>
    <w:rsid w:val="004F366A"/>
    <w:rsid w:val="004F3D3B"/>
    <w:rsid w:val="004F483C"/>
    <w:rsid w:val="004F53C9"/>
    <w:rsid w:val="004F5854"/>
    <w:rsid w:val="004F72E9"/>
    <w:rsid w:val="004F7B92"/>
    <w:rsid w:val="00500EDA"/>
    <w:rsid w:val="00502D50"/>
    <w:rsid w:val="005031C4"/>
    <w:rsid w:val="00503295"/>
    <w:rsid w:val="00503571"/>
    <w:rsid w:val="00503A81"/>
    <w:rsid w:val="00503B2F"/>
    <w:rsid w:val="00503E65"/>
    <w:rsid w:val="005045AE"/>
    <w:rsid w:val="00504CED"/>
    <w:rsid w:val="00504D5D"/>
    <w:rsid w:val="00505BA0"/>
    <w:rsid w:val="00505E50"/>
    <w:rsid w:val="00505FBC"/>
    <w:rsid w:val="00506172"/>
    <w:rsid w:val="005075B6"/>
    <w:rsid w:val="005078EB"/>
    <w:rsid w:val="0051095D"/>
    <w:rsid w:val="00510D8A"/>
    <w:rsid w:val="00510E63"/>
    <w:rsid w:val="00512853"/>
    <w:rsid w:val="00512C92"/>
    <w:rsid w:val="00514497"/>
    <w:rsid w:val="00514988"/>
    <w:rsid w:val="00514A69"/>
    <w:rsid w:val="00514EE5"/>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4E25"/>
    <w:rsid w:val="00525620"/>
    <w:rsid w:val="00525715"/>
    <w:rsid w:val="005258AD"/>
    <w:rsid w:val="00525DBB"/>
    <w:rsid w:val="005262C2"/>
    <w:rsid w:val="00526680"/>
    <w:rsid w:val="00527A20"/>
    <w:rsid w:val="005300C8"/>
    <w:rsid w:val="00530F5B"/>
    <w:rsid w:val="005310AE"/>
    <w:rsid w:val="00531560"/>
    <w:rsid w:val="005318B9"/>
    <w:rsid w:val="00531E07"/>
    <w:rsid w:val="005321F4"/>
    <w:rsid w:val="0053257C"/>
    <w:rsid w:val="0053271E"/>
    <w:rsid w:val="00532A18"/>
    <w:rsid w:val="00533178"/>
    <w:rsid w:val="005332F5"/>
    <w:rsid w:val="00534585"/>
    <w:rsid w:val="0053478E"/>
    <w:rsid w:val="00534A1D"/>
    <w:rsid w:val="00535011"/>
    <w:rsid w:val="00535439"/>
    <w:rsid w:val="00536EE4"/>
    <w:rsid w:val="005402CC"/>
    <w:rsid w:val="005409D2"/>
    <w:rsid w:val="00540F72"/>
    <w:rsid w:val="00541698"/>
    <w:rsid w:val="00542F46"/>
    <w:rsid w:val="00543297"/>
    <w:rsid w:val="00543543"/>
    <w:rsid w:val="00543DB7"/>
    <w:rsid w:val="00545FB5"/>
    <w:rsid w:val="005460F4"/>
    <w:rsid w:val="00546543"/>
    <w:rsid w:val="005469D0"/>
    <w:rsid w:val="005510ED"/>
    <w:rsid w:val="005519BC"/>
    <w:rsid w:val="00551BEE"/>
    <w:rsid w:val="00552C38"/>
    <w:rsid w:val="0055360E"/>
    <w:rsid w:val="005545BF"/>
    <w:rsid w:val="00555069"/>
    <w:rsid w:val="00555A12"/>
    <w:rsid w:val="00555CA0"/>
    <w:rsid w:val="0055745E"/>
    <w:rsid w:val="00557536"/>
    <w:rsid w:val="00557627"/>
    <w:rsid w:val="00560E96"/>
    <w:rsid w:val="005611AB"/>
    <w:rsid w:val="005618BC"/>
    <w:rsid w:val="00563536"/>
    <w:rsid w:val="0056564F"/>
    <w:rsid w:val="005673FC"/>
    <w:rsid w:val="00567F85"/>
    <w:rsid w:val="00570761"/>
    <w:rsid w:val="0057162C"/>
    <w:rsid w:val="00572F46"/>
    <w:rsid w:val="00574075"/>
    <w:rsid w:val="00574DF3"/>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4F81"/>
    <w:rsid w:val="0059500A"/>
    <w:rsid w:val="00596A48"/>
    <w:rsid w:val="005A08BE"/>
    <w:rsid w:val="005A098A"/>
    <w:rsid w:val="005A11A6"/>
    <w:rsid w:val="005A3BEF"/>
    <w:rsid w:val="005A3CB8"/>
    <w:rsid w:val="005A4358"/>
    <w:rsid w:val="005A4F7D"/>
    <w:rsid w:val="005A5285"/>
    <w:rsid w:val="005A5F10"/>
    <w:rsid w:val="005A6378"/>
    <w:rsid w:val="005A68A9"/>
    <w:rsid w:val="005A69E2"/>
    <w:rsid w:val="005A6C7B"/>
    <w:rsid w:val="005B01F2"/>
    <w:rsid w:val="005B1796"/>
    <w:rsid w:val="005B4F29"/>
    <w:rsid w:val="005B5378"/>
    <w:rsid w:val="005B5F54"/>
    <w:rsid w:val="005C1345"/>
    <w:rsid w:val="005C1E9D"/>
    <w:rsid w:val="005C260E"/>
    <w:rsid w:val="005C313C"/>
    <w:rsid w:val="005C35A8"/>
    <w:rsid w:val="005C3D9A"/>
    <w:rsid w:val="005C4A93"/>
    <w:rsid w:val="005C5271"/>
    <w:rsid w:val="005C55BC"/>
    <w:rsid w:val="005C7D9F"/>
    <w:rsid w:val="005D090E"/>
    <w:rsid w:val="005D33F7"/>
    <w:rsid w:val="005D40C7"/>
    <w:rsid w:val="005D436B"/>
    <w:rsid w:val="005D4382"/>
    <w:rsid w:val="005D4D4F"/>
    <w:rsid w:val="005D4FAD"/>
    <w:rsid w:val="005D5B48"/>
    <w:rsid w:val="005D5E0E"/>
    <w:rsid w:val="005D60FF"/>
    <w:rsid w:val="005D64F1"/>
    <w:rsid w:val="005D6922"/>
    <w:rsid w:val="005D74D6"/>
    <w:rsid w:val="005D75C3"/>
    <w:rsid w:val="005E0C51"/>
    <w:rsid w:val="005E12F4"/>
    <w:rsid w:val="005E214B"/>
    <w:rsid w:val="005E24EC"/>
    <w:rsid w:val="005E50A3"/>
    <w:rsid w:val="005E5393"/>
    <w:rsid w:val="005E56CB"/>
    <w:rsid w:val="005E6754"/>
    <w:rsid w:val="005E7204"/>
    <w:rsid w:val="005F05CF"/>
    <w:rsid w:val="005F10BC"/>
    <w:rsid w:val="005F178B"/>
    <w:rsid w:val="005F2E90"/>
    <w:rsid w:val="005F3184"/>
    <w:rsid w:val="005F35E2"/>
    <w:rsid w:val="005F3F88"/>
    <w:rsid w:val="005F4702"/>
    <w:rsid w:val="005F4A9E"/>
    <w:rsid w:val="005F4C5B"/>
    <w:rsid w:val="005F500A"/>
    <w:rsid w:val="005F5031"/>
    <w:rsid w:val="005F5398"/>
    <w:rsid w:val="005F6D05"/>
    <w:rsid w:val="005F7940"/>
    <w:rsid w:val="006000EA"/>
    <w:rsid w:val="00600271"/>
    <w:rsid w:val="00600538"/>
    <w:rsid w:val="006015C3"/>
    <w:rsid w:val="006016C0"/>
    <w:rsid w:val="0060192A"/>
    <w:rsid w:val="00601B0A"/>
    <w:rsid w:val="00601F67"/>
    <w:rsid w:val="00602E36"/>
    <w:rsid w:val="0060395B"/>
    <w:rsid w:val="00603D1C"/>
    <w:rsid w:val="00603EE2"/>
    <w:rsid w:val="00604B46"/>
    <w:rsid w:val="00607554"/>
    <w:rsid w:val="00607CD1"/>
    <w:rsid w:val="0061385F"/>
    <w:rsid w:val="00613C23"/>
    <w:rsid w:val="00613EA0"/>
    <w:rsid w:val="00613F67"/>
    <w:rsid w:val="00614009"/>
    <w:rsid w:val="0061492A"/>
    <w:rsid w:val="0061524E"/>
    <w:rsid w:val="00615576"/>
    <w:rsid w:val="0061563D"/>
    <w:rsid w:val="006158BA"/>
    <w:rsid w:val="00615BEA"/>
    <w:rsid w:val="00617175"/>
    <w:rsid w:val="006172CD"/>
    <w:rsid w:val="006207F3"/>
    <w:rsid w:val="00620B5D"/>
    <w:rsid w:val="006212C0"/>
    <w:rsid w:val="006216D9"/>
    <w:rsid w:val="0062174A"/>
    <w:rsid w:val="00621F3C"/>
    <w:rsid w:val="00623C44"/>
    <w:rsid w:val="00625470"/>
    <w:rsid w:val="00625C7F"/>
    <w:rsid w:val="00625E58"/>
    <w:rsid w:val="006301EB"/>
    <w:rsid w:val="006313B8"/>
    <w:rsid w:val="00631505"/>
    <w:rsid w:val="006318D8"/>
    <w:rsid w:val="006327F5"/>
    <w:rsid w:val="0063491D"/>
    <w:rsid w:val="00635B90"/>
    <w:rsid w:val="00636992"/>
    <w:rsid w:val="00637857"/>
    <w:rsid w:val="00640D08"/>
    <w:rsid w:val="00640D3D"/>
    <w:rsid w:val="0064249E"/>
    <w:rsid w:val="00642706"/>
    <w:rsid w:val="00642A13"/>
    <w:rsid w:val="00642A8F"/>
    <w:rsid w:val="006437DA"/>
    <w:rsid w:val="00643ECB"/>
    <w:rsid w:val="0064401B"/>
    <w:rsid w:val="00644062"/>
    <w:rsid w:val="0064422C"/>
    <w:rsid w:val="00644D7F"/>
    <w:rsid w:val="00645170"/>
    <w:rsid w:val="006451ED"/>
    <w:rsid w:val="00645E6F"/>
    <w:rsid w:val="00650412"/>
    <w:rsid w:val="00651A84"/>
    <w:rsid w:val="0065242B"/>
    <w:rsid w:val="00652638"/>
    <w:rsid w:val="00653FDD"/>
    <w:rsid w:val="00654369"/>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7C"/>
    <w:rsid w:val="006706A5"/>
    <w:rsid w:val="006709E7"/>
    <w:rsid w:val="00670BC5"/>
    <w:rsid w:val="0067105F"/>
    <w:rsid w:val="00671138"/>
    <w:rsid w:val="0067116A"/>
    <w:rsid w:val="00671309"/>
    <w:rsid w:val="00671812"/>
    <w:rsid w:val="00671A52"/>
    <w:rsid w:val="00671D61"/>
    <w:rsid w:val="00672851"/>
    <w:rsid w:val="0067310D"/>
    <w:rsid w:val="006736F3"/>
    <w:rsid w:val="00673B45"/>
    <w:rsid w:val="006751C5"/>
    <w:rsid w:val="00675EA4"/>
    <w:rsid w:val="00676A37"/>
    <w:rsid w:val="00676F8E"/>
    <w:rsid w:val="00677D41"/>
    <w:rsid w:val="00680324"/>
    <w:rsid w:val="00680C89"/>
    <w:rsid w:val="006811E0"/>
    <w:rsid w:val="006836BF"/>
    <w:rsid w:val="0068534E"/>
    <w:rsid w:val="00685438"/>
    <w:rsid w:val="00685C47"/>
    <w:rsid w:val="00686195"/>
    <w:rsid w:val="0068734F"/>
    <w:rsid w:val="006873CB"/>
    <w:rsid w:val="006878D9"/>
    <w:rsid w:val="00687991"/>
    <w:rsid w:val="006906C5"/>
    <w:rsid w:val="00690B33"/>
    <w:rsid w:val="00690F25"/>
    <w:rsid w:val="006916E0"/>
    <w:rsid w:val="00692A55"/>
    <w:rsid w:val="00693910"/>
    <w:rsid w:val="0069414D"/>
    <w:rsid w:val="00694864"/>
    <w:rsid w:val="00694B21"/>
    <w:rsid w:val="00695654"/>
    <w:rsid w:val="00695C90"/>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B75BD"/>
    <w:rsid w:val="006C0F2D"/>
    <w:rsid w:val="006C1A15"/>
    <w:rsid w:val="006C2D84"/>
    <w:rsid w:val="006C3710"/>
    <w:rsid w:val="006C56A5"/>
    <w:rsid w:val="006C58A2"/>
    <w:rsid w:val="006C5BFF"/>
    <w:rsid w:val="006C5D46"/>
    <w:rsid w:val="006C5DAF"/>
    <w:rsid w:val="006C65F1"/>
    <w:rsid w:val="006D0207"/>
    <w:rsid w:val="006D04EE"/>
    <w:rsid w:val="006D06EB"/>
    <w:rsid w:val="006D17C1"/>
    <w:rsid w:val="006D250A"/>
    <w:rsid w:val="006D2BF4"/>
    <w:rsid w:val="006D3169"/>
    <w:rsid w:val="006D3773"/>
    <w:rsid w:val="006D590F"/>
    <w:rsid w:val="006D60A4"/>
    <w:rsid w:val="006D6E56"/>
    <w:rsid w:val="006D7A5E"/>
    <w:rsid w:val="006D7E63"/>
    <w:rsid w:val="006E0ACD"/>
    <w:rsid w:val="006E19CA"/>
    <w:rsid w:val="006E270D"/>
    <w:rsid w:val="006E3777"/>
    <w:rsid w:val="006E3E10"/>
    <w:rsid w:val="006E50F1"/>
    <w:rsid w:val="006E7B1A"/>
    <w:rsid w:val="006F0018"/>
    <w:rsid w:val="006F12BF"/>
    <w:rsid w:val="006F32C7"/>
    <w:rsid w:val="006F381F"/>
    <w:rsid w:val="006F3881"/>
    <w:rsid w:val="006F4482"/>
    <w:rsid w:val="006F45BC"/>
    <w:rsid w:val="006F472E"/>
    <w:rsid w:val="006F59DE"/>
    <w:rsid w:val="006F5C13"/>
    <w:rsid w:val="006F7ABC"/>
    <w:rsid w:val="00700664"/>
    <w:rsid w:val="00700E59"/>
    <w:rsid w:val="00701FAC"/>
    <w:rsid w:val="00702EF7"/>
    <w:rsid w:val="007037D3"/>
    <w:rsid w:val="00704460"/>
    <w:rsid w:val="007047B6"/>
    <w:rsid w:val="00704A66"/>
    <w:rsid w:val="00705187"/>
    <w:rsid w:val="007052E1"/>
    <w:rsid w:val="0070698C"/>
    <w:rsid w:val="00706A32"/>
    <w:rsid w:val="007078B7"/>
    <w:rsid w:val="00710EAE"/>
    <w:rsid w:val="007119DA"/>
    <w:rsid w:val="00711BC0"/>
    <w:rsid w:val="00712F63"/>
    <w:rsid w:val="007132B5"/>
    <w:rsid w:val="0071440E"/>
    <w:rsid w:val="00714A09"/>
    <w:rsid w:val="00715A44"/>
    <w:rsid w:val="00715D19"/>
    <w:rsid w:val="00716105"/>
    <w:rsid w:val="00716C70"/>
    <w:rsid w:val="00716DBB"/>
    <w:rsid w:val="00717887"/>
    <w:rsid w:val="00717AA6"/>
    <w:rsid w:val="00720090"/>
    <w:rsid w:val="007227BD"/>
    <w:rsid w:val="00723F00"/>
    <w:rsid w:val="0072487D"/>
    <w:rsid w:val="007258B9"/>
    <w:rsid w:val="00725C83"/>
    <w:rsid w:val="007262BB"/>
    <w:rsid w:val="0072682D"/>
    <w:rsid w:val="00726FD4"/>
    <w:rsid w:val="007302CD"/>
    <w:rsid w:val="00732C4E"/>
    <w:rsid w:val="00733D05"/>
    <w:rsid w:val="0073478E"/>
    <w:rsid w:val="00735921"/>
    <w:rsid w:val="00736C80"/>
    <w:rsid w:val="00736CA8"/>
    <w:rsid w:val="00737C3A"/>
    <w:rsid w:val="00737D14"/>
    <w:rsid w:val="00737F05"/>
    <w:rsid w:val="007431F5"/>
    <w:rsid w:val="00744492"/>
    <w:rsid w:val="00745223"/>
    <w:rsid w:val="00745908"/>
    <w:rsid w:val="00745AD9"/>
    <w:rsid w:val="00747304"/>
    <w:rsid w:val="007473AC"/>
    <w:rsid w:val="007477F4"/>
    <w:rsid w:val="00751C3D"/>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5AF5"/>
    <w:rsid w:val="00766353"/>
    <w:rsid w:val="00766448"/>
    <w:rsid w:val="00771098"/>
    <w:rsid w:val="00773BDD"/>
    <w:rsid w:val="00774460"/>
    <w:rsid w:val="00774922"/>
    <w:rsid w:val="00776EC9"/>
    <w:rsid w:val="007771A4"/>
    <w:rsid w:val="00780290"/>
    <w:rsid w:val="00780296"/>
    <w:rsid w:val="00780707"/>
    <w:rsid w:val="00780972"/>
    <w:rsid w:val="00780E2F"/>
    <w:rsid w:val="00781C27"/>
    <w:rsid w:val="007846AF"/>
    <w:rsid w:val="00786B9A"/>
    <w:rsid w:val="00787B2C"/>
    <w:rsid w:val="00787B36"/>
    <w:rsid w:val="00787D24"/>
    <w:rsid w:val="007906AE"/>
    <w:rsid w:val="00790BCE"/>
    <w:rsid w:val="0079178B"/>
    <w:rsid w:val="00791EEE"/>
    <w:rsid w:val="007946EB"/>
    <w:rsid w:val="0079538E"/>
    <w:rsid w:val="0079543C"/>
    <w:rsid w:val="00795F8D"/>
    <w:rsid w:val="00796AEA"/>
    <w:rsid w:val="0079709E"/>
    <w:rsid w:val="00797D40"/>
    <w:rsid w:val="007A1316"/>
    <w:rsid w:val="007A1DC5"/>
    <w:rsid w:val="007A20AD"/>
    <w:rsid w:val="007A28CD"/>
    <w:rsid w:val="007A3F41"/>
    <w:rsid w:val="007A3F8F"/>
    <w:rsid w:val="007A5A18"/>
    <w:rsid w:val="007A5C01"/>
    <w:rsid w:val="007A5D05"/>
    <w:rsid w:val="007A5E2B"/>
    <w:rsid w:val="007A6BB9"/>
    <w:rsid w:val="007A7331"/>
    <w:rsid w:val="007A7415"/>
    <w:rsid w:val="007B0CB0"/>
    <w:rsid w:val="007B116D"/>
    <w:rsid w:val="007B1A13"/>
    <w:rsid w:val="007B1F99"/>
    <w:rsid w:val="007B27DF"/>
    <w:rsid w:val="007B3058"/>
    <w:rsid w:val="007B3A86"/>
    <w:rsid w:val="007B3DF4"/>
    <w:rsid w:val="007B54ED"/>
    <w:rsid w:val="007B596C"/>
    <w:rsid w:val="007B63CE"/>
    <w:rsid w:val="007B6462"/>
    <w:rsid w:val="007B6863"/>
    <w:rsid w:val="007B6EF3"/>
    <w:rsid w:val="007C0EAB"/>
    <w:rsid w:val="007C2AE2"/>
    <w:rsid w:val="007C2F4E"/>
    <w:rsid w:val="007C31CC"/>
    <w:rsid w:val="007C32C3"/>
    <w:rsid w:val="007C355D"/>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3953"/>
    <w:rsid w:val="007D5362"/>
    <w:rsid w:val="007D6110"/>
    <w:rsid w:val="007D6BBA"/>
    <w:rsid w:val="007D6C48"/>
    <w:rsid w:val="007D6DCD"/>
    <w:rsid w:val="007D71F7"/>
    <w:rsid w:val="007D74B9"/>
    <w:rsid w:val="007D7916"/>
    <w:rsid w:val="007E000F"/>
    <w:rsid w:val="007E0EEA"/>
    <w:rsid w:val="007E156E"/>
    <w:rsid w:val="007E2E70"/>
    <w:rsid w:val="007E3217"/>
    <w:rsid w:val="007E3501"/>
    <w:rsid w:val="007E38E1"/>
    <w:rsid w:val="007E4C3F"/>
    <w:rsid w:val="007E52B4"/>
    <w:rsid w:val="007E624D"/>
    <w:rsid w:val="007E65B1"/>
    <w:rsid w:val="007F0457"/>
    <w:rsid w:val="007F05C7"/>
    <w:rsid w:val="007F0FF4"/>
    <w:rsid w:val="007F16BA"/>
    <w:rsid w:val="007F2683"/>
    <w:rsid w:val="007F2956"/>
    <w:rsid w:val="007F2E32"/>
    <w:rsid w:val="007F3370"/>
    <w:rsid w:val="007F4FDC"/>
    <w:rsid w:val="007F6940"/>
    <w:rsid w:val="007F6A11"/>
    <w:rsid w:val="007F6CE2"/>
    <w:rsid w:val="008002AA"/>
    <w:rsid w:val="008015EA"/>
    <w:rsid w:val="008018EF"/>
    <w:rsid w:val="0080230D"/>
    <w:rsid w:val="008026D0"/>
    <w:rsid w:val="008036FD"/>
    <w:rsid w:val="0080383D"/>
    <w:rsid w:val="00807429"/>
    <w:rsid w:val="00810827"/>
    <w:rsid w:val="008109DE"/>
    <w:rsid w:val="008117D8"/>
    <w:rsid w:val="008127D6"/>
    <w:rsid w:val="00814E45"/>
    <w:rsid w:val="00815227"/>
    <w:rsid w:val="00815360"/>
    <w:rsid w:val="00815C93"/>
    <w:rsid w:val="0081727C"/>
    <w:rsid w:val="00817DA7"/>
    <w:rsid w:val="0082161C"/>
    <w:rsid w:val="00821B16"/>
    <w:rsid w:val="00823378"/>
    <w:rsid w:val="008243DF"/>
    <w:rsid w:val="0082459D"/>
    <w:rsid w:val="00824CEF"/>
    <w:rsid w:val="00825345"/>
    <w:rsid w:val="008254AB"/>
    <w:rsid w:val="00826480"/>
    <w:rsid w:val="00830148"/>
    <w:rsid w:val="008316AD"/>
    <w:rsid w:val="00831855"/>
    <w:rsid w:val="00832D13"/>
    <w:rsid w:val="00832F75"/>
    <w:rsid w:val="0083362F"/>
    <w:rsid w:val="00833D04"/>
    <w:rsid w:val="00835315"/>
    <w:rsid w:val="00835AEB"/>
    <w:rsid w:val="00835C93"/>
    <w:rsid w:val="00835DF3"/>
    <w:rsid w:val="00836BE5"/>
    <w:rsid w:val="00836DC7"/>
    <w:rsid w:val="00836F2D"/>
    <w:rsid w:val="00840D0F"/>
    <w:rsid w:val="00841870"/>
    <w:rsid w:val="0084200E"/>
    <w:rsid w:val="00842A84"/>
    <w:rsid w:val="00842FDE"/>
    <w:rsid w:val="008445D4"/>
    <w:rsid w:val="008446F1"/>
    <w:rsid w:val="00845E4B"/>
    <w:rsid w:val="00846FF0"/>
    <w:rsid w:val="00847CD0"/>
    <w:rsid w:val="00854B56"/>
    <w:rsid w:val="00855374"/>
    <w:rsid w:val="0085633C"/>
    <w:rsid w:val="0085728C"/>
    <w:rsid w:val="008579D6"/>
    <w:rsid w:val="00857A42"/>
    <w:rsid w:val="00857F65"/>
    <w:rsid w:val="00860158"/>
    <w:rsid w:val="00860737"/>
    <w:rsid w:val="008611A4"/>
    <w:rsid w:val="0086163E"/>
    <w:rsid w:val="00861FD7"/>
    <w:rsid w:val="0086249A"/>
    <w:rsid w:val="00862B1B"/>
    <w:rsid w:val="00862B56"/>
    <w:rsid w:val="0086363F"/>
    <w:rsid w:val="008639C9"/>
    <w:rsid w:val="008667AD"/>
    <w:rsid w:val="00866D13"/>
    <w:rsid w:val="00867150"/>
    <w:rsid w:val="00872C65"/>
    <w:rsid w:val="00874DEF"/>
    <w:rsid w:val="00876D09"/>
    <w:rsid w:val="00877308"/>
    <w:rsid w:val="0088013C"/>
    <w:rsid w:val="008806C8"/>
    <w:rsid w:val="00881882"/>
    <w:rsid w:val="00882AC7"/>
    <w:rsid w:val="00882CC5"/>
    <w:rsid w:val="00882D35"/>
    <w:rsid w:val="008835E3"/>
    <w:rsid w:val="0088368C"/>
    <w:rsid w:val="00884416"/>
    <w:rsid w:val="00884452"/>
    <w:rsid w:val="0089037C"/>
    <w:rsid w:val="008905D7"/>
    <w:rsid w:val="0089145E"/>
    <w:rsid w:val="00891B5C"/>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4C57"/>
    <w:rsid w:val="008A50D9"/>
    <w:rsid w:val="008A7133"/>
    <w:rsid w:val="008A7AE9"/>
    <w:rsid w:val="008B0C5E"/>
    <w:rsid w:val="008B0EA9"/>
    <w:rsid w:val="008B1B25"/>
    <w:rsid w:val="008B1D85"/>
    <w:rsid w:val="008B24E5"/>
    <w:rsid w:val="008B270A"/>
    <w:rsid w:val="008B3920"/>
    <w:rsid w:val="008B3A89"/>
    <w:rsid w:val="008B496B"/>
    <w:rsid w:val="008B4EBA"/>
    <w:rsid w:val="008B5ADC"/>
    <w:rsid w:val="008B5B9D"/>
    <w:rsid w:val="008B68C6"/>
    <w:rsid w:val="008B6F16"/>
    <w:rsid w:val="008B6F4B"/>
    <w:rsid w:val="008C0156"/>
    <w:rsid w:val="008C0189"/>
    <w:rsid w:val="008C0257"/>
    <w:rsid w:val="008C12FB"/>
    <w:rsid w:val="008C2607"/>
    <w:rsid w:val="008C2E2F"/>
    <w:rsid w:val="008C465E"/>
    <w:rsid w:val="008C4CE4"/>
    <w:rsid w:val="008C5223"/>
    <w:rsid w:val="008C5AA7"/>
    <w:rsid w:val="008C6787"/>
    <w:rsid w:val="008C7207"/>
    <w:rsid w:val="008C73D6"/>
    <w:rsid w:val="008D0C62"/>
    <w:rsid w:val="008D20C1"/>
    <w:rsid w:val="008D2CD6"/>
    <w:rsid w:val="008D2F6B"/>
    <w:rsid w:val="008D4939"/>
    <w:rsid w:val="008D50C8"/>
    <w:rsid w:val="008D790B"/>
    <w:rsid w:val="008D7FC7"/>
    <w:rsid w:val="008E0C04"/>
    <w:rsid w:val="008E0FE3"/>
    <w:rsid w:val="008E2737"/>
    <w:rsid w:val="008E2D82"/>
    <w:rsid w:val="008E3D60"/>
    <w:rsid w:val="008E41A1"/>
    <w:rsid w:val="008E41E6"/>
    <w:rsid w:val="008E45DB"/>
    <w:rsid w:val="008E4DCD"/>
    <w:rsid w:val="008E4E47"/>
    <w:rsid w:val="008E5CE1"/>
    <w:rsid w:val="008E6098"/>
    <w:rsid w:val="008E627D"/>
    <w:rsid w:val="008E7390"/>
    <w:rsid w:val="008E7B58"/>
    <w:rsid w:val="008F05C2"/>
    <w:rsid w:val="008F1D7A"/>
    <w:rsid w:val="008F1E28"/>
    <w:rsid w:val="008F1F00"/>
    <w:rsid w:val="008F41ED"/>
    <w:rsid w:val="008F42BB"/>
    <w:rsid w:val="008F47D1"/>
    <w:rsid w:val="008F6368"/>
    <w:rsid w:val="008F6D2B"/>
    <w:rsid w:val="008F7005"/>
    <w:rsid w:val="00901E6F"/>
    <w:rsid w:val="0090284C"/>
    <w:rsid w:val="0090291C"/>
    <w:rsid w:val="00903B8C"/>
    <w:rsid w:val="009043BE"/>
    <w:rsid w:val="0090453B"/>
    <w:rsid w:val="00905434"/>
    <w:rsid w:val="00905C39"/>
    <w:rsid w:val="00905DE7"/>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3517"/>
    <w:rsid w:val="0093422B"/>
    <w:rsid w:val="009353DF"/>
    <w:rsid w:val="0093570A"/>
    <w:rsid w:val="00935F40"/>
    <w:rsid w:val="009363C8"/>
    <w:rsid w:val="009365CC"/>
    <w:rsid w:val="00936C3C"/>
    <w:rsid w:val="00936EC8"/>
    <w:rsid w:val="009378D2"/>
    <w:rsid w:val="00941138"/>
    <w:rsid w:val="00941302"/>
    <w:rsid w:val="00942DAE"/>
    <w:rsid w:val="00942E39"/>
    <w:rsid w:val="00943F6E"/>
    <w:rsid w:val="00944692"/>
    <w:rsid w:val="00945CCD"/>
    <w:rsid w:val="00945D59"/>
    <w:rsid w:val="00947C8A"/>
    <w:rsid w:val="00947F9D"/>
    <w:rsid w:val="00951D24"/>
    <w:rsid w:val="00952049"/>
    <w:rsid w:val="00952C86"/>
    <w:rsid w:val="00953BC2"/>
    <w:rsid w:val="009542EE"/>
    <w:rsid w:val="00954712"/>
    <w:rsid w:val="00954986"/>
    <w:rsid w:val="00955385"/>
    <w:rsid w:val="00955739"/>
    <w:rsid w:val="009559AF"/>
    <w:rsid w:val="009564F3"/>
    <w:rsid w:val="009565E3"/>
    <w:rsid w:val="00956972"/>
    <w:rsid w:val="00956CB8"/>
    <w:rsid w:val="0095714D"/>
    <w:rsid w:val="00957687"/>
    <w:rsid w:val="00957689"/>
    <w:rsid w:val="00957E20"/>
    <w:rsid w:val="00961E91"/>
    <w:rsid w:val="00963876"/>
    <w:rsid w:val="00964CD3"/>
    <w:rsid w:val="00966051"/>
    <w:rsid w:val="00970E28"/>
    <w:rsid w:val="00971F6E"/>
    <w:rsid w:val="00973088"/>
    <w:rsid w:val="00974568"/>
    <w:rsid w:val="0097493A"/>
    <w:rsid w:val="00974BBF"/>
    <w:rsid w:val="0097619C"/>
    <w:rsid w:val="00976280"/>
    <w:rsid w:val="009765DF"/>
    <w:rsid w:val="00977973"/>
    <w:rsid w:val="00981F79"/>
    <w:rsid w:val="009826A0"/>
    <w:rsid w:val="009834E9"/>
    <w:rsid w:val="00983A72"/>
    <w:rsid w:val="009850EF"/>
    <w:rsid w:val="009862E8"/>
    <w:rsid w:val="009868FC"/>
    <w:rsid w:val="00986D78"/>
    <w:rsid w:val="00987015"/>
    <w:rsid w:val="009876DE"/>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2200"/>
    <w:rsid w:val="009B32BB"/>
    <w:rsid w:val="009B3744"/>
    <w:rsid w:val="009B41FE"/>
    <w:rsid w:val="009B4416"/>
    <w:rsid w:val="009B4B28"/>
    <w:rsid w:val="009B4E8F"/>
    <w:rsid w:val="009B5E0E"/>
    <w:rsid w:val="009B75B8"/>
    <w:rsid w:val="009B7FCB"/>
    <w:rsid w:val="009C07DF"/>
    <w:rsid w:val="009C08C5"/>
    <w:rsid w:val="009C0E2E"/>
    <w:rsid w:val="009C1047"/>
    <w:rsid w:val="009C1908"/>
    <w:rsid w:val="009C190C"/>
    <w:rsid w:val="009C2436"/>
    <w:rsid w:val="009C2C3D"/>
    <w:rsid w:val="009C65B2"/>
    <w:rsid w:val="009C77A0"/>
    <w:rsid w:val="009C79CB"/>
    <w:rsid w:val="009C7C61"/>
    <w:rsid w:val="009D1640"/>
    <w:rsid w:val="009D1DCA"/>
    <w:rsid w:val="009D21D0"/>
    <w:rsid w:val="009D2D1D"/>
    <w:rsid w:val="009D2FBA"/>
    <w:rsid w:val="009D351E"/>
    <w:rsid w:val="009D5768"/>
    <w:rsid w:val="009D6D73"/>
    <w:rsid w:val="009D73AC"/>
    <w:rsid w:val="009D7787"/>
    <w:rsid w:val="009E02C9"/>
    <w:rsid w:val="009E1660"/>
    <w:rsid w:val="009E1F68"/>
    <w:rsid w:val="009E2A96"/>
    <w:rsid w:val="009E2E59"/>
    <w:rsid w:val="009E359F"/>
    <w:rsid w:val="009E39DC"/>
    <w:rsid w:val="009E3FC0"/>
    <w:rsid w:val="009E44D4"/>
    <w:rsid w:val="009E455F"/>
    <w:rsid w:val="009E5513"/>
    <w:rsid w:val="009E5645"/>
    <w:rsid w:val="009E56B4"/>
    <w:rsid w:val="009E59A2"/>
    <w:rsid w:val="009E67DD"/>
    <w:rsid w:val="009E740E"/>
    <w:rsid w:val="009F00E2"/>
    <w:rsid w:val="009F2BED"/>
    <w:rsid w:val="009F43C3"/>
    <w:rsid w:val="009F4C44"/>
    <w:rsid w:val="009F61A9"/>
    <w:rsid w:val="009F61B8"/>
    <w:rsid w:val="009F6A19"/>
    <w:rsid w:val="009F6C12"/>
    <w:rsid w:val="00A0156D"/>
    <w:rsid w:val="00A01E03"/>
    <w:rsid w:val="00A020B4"/>
    <w:rsid w:val="00A021C1"/>
    <w:rsid w:val="00A02F3C"/>
    <w:rsid w:val="00A03358"/>
    <w:rsid w:val="00A043FE"/>
    <w:rsid w:val="00A044A3"/>
    <w:rsid w:val="00A046BA"/>
    <w:rsid w:val="00A0471E"/>
    <w:rsid w:val="00A05916"/>
    <w:rsid w:val="00A05A6F"/>
    <w:rsid w:val="00A05AA6"/>
    <w:rsid w:val="00A06192"/>
    <w:rsid w:val="00A06818"/>
    <w:rsid w:val="00A07065"/>
    <w:rsid w:val="00A10886"/>
    <w:rsid w:val="00A11861"/>
    <w:rsid w:val="00A1266A"/>
    <w:rsid w:val="00A1389B"/>
    <w:rsid w:val="00A149DE"/>
    <w:rsid w:val="00A1622A"/>
    <w:rsid w:val="00A16D27"/>
    <w:rsid w:val="00A16E6B"/>
    <w:rsid w:val="00A16EEB"/>
    <w:rsid w:val="00A1774E"/>
    <w:rsid w:val="00A20575"/>
    <w:rsid w:val="00A208EB"/>
    <w:rsid w:val="00A2114F"/>
    <w:rsid w:val="00A2167C"/>
    <w:rsid w:val="00A21FC2"/>
    <w:rsid w:val="00A2216E"/>
    <w:rsid w:val="00A228C1"/>
    <w:rsid w:val="00A22F5A"/>
    <w:rsid w:val="00A23508"/>
    <w:rsid w:val="00A2370B"/>
    <w:rsid w:val="00A23F13"/>
    <w:rsid w:val="00A24DE8"/>
    <w:rsid w:val="00A26956"/>
    <w:rsid w:val="00A27ACC"/>
    <w:rsid w:val="00A27C20"/>
    <w:rsid w:val="00A303DA"/>
    <w:rsid w:val="00A30EA6"/>
    <w:rsid w:val="00A31499"/>
    <w:rsid w:val="00A31523"/>
    <w:rsid w:val="00A31536"/>
    <w:rsid w:val="00A31FAC"/>
    <w:rsid w:val="00A34595"/>
    <w:rsid w:val="00A346FE"/>
    <w:rsid w:val="00A3596C"/>
    <w:rsid w:val="00A36B1D"/>
    <w:rsid w:val="00A36D6B"/>
    <w:rsid w:val="00A36E14"/>
    <w:rsid w:val="00A40446"/>
    <w:rsid w:val="00A40A8F"/>
    <w:rsid w:val="00A41475"/>
    <w:rsid w:val="00A41B06"/>
    <w:rsid w:val="00A4277B"/>
    <w:rsid w:val="00A43468"/>
    <w:rsid w:val="00A437BB"/>
    <w:rsid w:val="00A4716C"/>
    <w:rsid w:val="00A471D6"/>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B78"/>
    <w:rsid w:val="00A65CB6"/>
    <w:rsid w:val="00A66253"/>
    <w:rsid w:val="00A666B7"/>
    <w:rsid w:val="00A66B50"/>
    <w:rsid w:val="00A677C0"/>
    <w:rsid w:val="00A67FAE"/>
    <w:rsid w:val="00A70249"/>
    <w:rsid w:val="00A71776"/>
    <w:rsid w:val="00A71A6C"/>
    <w:rsid w:val="00A721BA"/>
    <w:rsid w:val="00A72556"/>
    <w:rsid w:val="00A72AF8"/>
    <w:rsid w:val="00A7322E"/>
    <w:rsid w:val="00A73601"/>
    <w:rsid w:val="00A7422E"/>
    <w:rsid w:val="00A746B4"/>
    <w:rsid w:val="00A74F96"/>
    <w:rsid w:val="00A8041C"/>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1293"/>
    <w:rsid w:val="00A92240"/>
    <w:rsid w:val="00A926BB"/>
    <w:rsid w:val="00A92D24"/>
    <w:rsid w:val="00A9350D"/>
    <w:rsid w:val="00A940EA"/>
    <w:rsid w:val="00A94442"/>
    <w:rsid w:val="00A944A8"/>
    <w:rsid w:val="00A94A2A"/>
    <w:rsid w:val="00A94FA2"/>
    <w:rsid w:val="00A973D1"/>
    <w:rsid w:val="00A97F64"/>
    <w:rsid w:val="00AA0D13"/>
    <w:rsid w:val="00AA2F56"/>
    <w:rsid w:val="00AA32F4"/>
    <w:rsid w:val="00AA3F68"/>
    <w:rsid w:val="00AA3FE6"/>
    <w:rsid w:val="00AA41ED"/>
    <w:rsid w:val="00AA5366"/>
    <w:rsid w:val="00AA59A9"/>
    <w:rsid w:val="00AA5C5A"/>
    <w:rsid w:val="00AA650E"/>
    <w:rsid w:val="00AA72B5"/>
    <w:rsid w:val="00AB0EFE"/>
    <w:rsid w:val="00AB0F2F"/>
    <w:rsid w:val="00AB12D9"/>
    <w:rsid w:val="00AB195F"/>
    <w:rsid w:val="00AB1C09"/>
    <w:rsid w:val="00AB20C4"/>
    <w:rsid w:val="00AB2C4F"/>
    <w:rsid w:val="00AB3848"/>
    <w:rsid w:val="00AB3ACA"/>
    <w:rsid w:val="00AB5020"/>
    <w:rsid w:val="00AB5F4D"/>
    <w:rsid w:val="00AB5F73"/>
    <w:rsid w:val="00AB6968"/>
    <w:rsid w:val="00AB699B"/>
    <w:rsid w:val="00AB6EAA"/>
    <w:rsid w:val="00AC042B"/>
    <w:rsid w:val="00AC0A37"/>
    <w:rsid w:val="00AC113A"/>
    <w:rsid w:val="00AC1E64"/>
    <w:rsid w:val="00AC275F"/>
    <w:rsid w:val="00AC2919"/>
    <w:rsid w:val="00AC2F0C"/>
    <w:rsid w:val="00AC3473"/>
    <w:rsid w:val="00AC3742"/>
    <w:rsid w:val="00AC3CC5"/>
    <w:rsid w:val="00AC4230"/>
    <w:rsid w:val="00AC4746"/>
    <w:rsid w:val="00AC5D76"/>
    <w:rsid w:val="00AC5FB9"/>
    <w:rsid w:val="00AC6001"/>
    <w:rsid w:val="00AC6CAC"/>
    <w:rsid w:val="00AC6F04"/>
    <w:rsid w:val="00AC7080"/>
    <w:rsid w:val="00AC7204"/>
    <w:rsid w:val="00AC7711"/>
    <w:rsid w:val="00AD07F3"/>
    <w:rsid w:val="00AD1FB6"/>
    <w:rsid w:val="00AD20E2"/>
    <w:rsid w:val="00AD22B6"/>
    <w:rsid w:val="00AD2ADC"/>
    <w:rsid w:val="00AD2B54"/>
    <w:rsid w:val="00AD3DE3"/>
    <w:rsid w:val="00AD46E9"/>
    <w:rsid w:val="00AD5C38"/>
    <w:rsid w:val="00AD6596"/>
    <w:rsid w:val="00AD7019"/>
    <w:rsid w:val="00AD703E"/>
    <w:rsid w:val="00AD73AB"/>
    <w:rsid w:val="00AD76C7"/>
    <w:rsid w:val="00AD7C13"/>
    <w:rsid w:val="00AE2494"/>
    <w:rsid w:val="00AE2B63"/>
    <w:rsid w:val="00AE2D37"/>
    <w:rsid w:val="00AE2D7B"/>
    <w:rsid w:val="00AE36B8"/>
    <w:rsid w:val="00AE402B"/>
    <w:rsid w:val="00AE646E"/>
    <w:rsid w:val="00AE655A"/>
    <w:rsid w:val="00AF08B5"/>
    <w:rsid w:val="00AF0AC1"/>
    <w:rsid w:val="00AF16AA"/>
    <w:rsid w:val="00AF3806"/>
    <w:rsid w:val="00AF41FA"/>
    <w:rsid w:val="00AF4B50"/>
    <w:rsid w:val="00AF4BB9"/>
    <w:rsid w:val="00AF4E66"/>
    <w:rsid w:val="00AF545D"/>
    <w:rsid w:val="00AF6DD9"/>
    <w:rsid w:val="00AF7AD4"/>
    <w:rsid w:val="00B001CE"/>
    <w:rsid w:val="00B01F47"/>
    <w:rsid w:val="00B021F9"/>
    <w:rsid w:val="00B0281D"/>
    <w:rsid w:val="00B03575"/>
    <w:rsid w:val="00B03703"/>
    <w:rsid w:val="00B03708"/>
    <w:rsid w:val="00B044F4"/>
    <w:rsid w:val="00B05C76"/>
    <w:rsid w:val="00B068F0"/>
    <w:rsid w:val="00B077A2"/>
    <w:rsid w:val="00B07E37"/>
    <w:rsid w:val="00B101A9"/>
    <w:rsid w:val="00B1056C"/>
    <w:rsid w:val="00B106F6"/>
    <w:rsid w:val="00B107AC"/>
    <w:rsid w:val="00B10A00"/>
    <w:rsid w:val="00B10F4E"/>
    <w:rsid w:val="00B11E5B"/>
    <w:rsid w:val="00B146AF"/>
    <w:rsid w:val="00B1511A"/>
    <w:rsid w:val="00B15D08"/>
    <w:rsid w:val="00B16E7E"/>
    <w:rsid w:val="00B17456"/>
    <w:rsid w:val="00B204F4"/>
    <w:rsid w:val="00B20655"/>
    <w:rsid w:val="00B206E5"/>
    <w:rsid w:val="00B20AC4"/>
    <w:rsid w:val="00B21A14"/>
    <w:rsid w:val="00B21FFE"/>
    <w:rsid w:val="00B225B8"/>
    <w:rsid w:val="00B229D6"/>
    <w:rsid w:val="00B23CE9"/>
    <w:rsid w:val="00B24127"/>
    <w:rsid w:val="00B24658"/>
    <w:rsid w:val="00B2631A"/>
    <w:rsid w:val="00B265B1"/>
    <w:rsid w:val="00B26D8F"/>
    <w:rsid w:val="00B300F8"/>
    <w:rsid w:val="00B301A2"/>
    <w:rsid w:val="00B303F0"/>
    <w:rsid w:val="00B30A47"/>
    <w:rsid w:val="00B31173"/>
    <w:rsid w:val="00B31267"/>
    <w:rsid w:val="00B312A4"/>
    <w:rsid w:val="00B320CE"/>
    <w:rsid w:val="00B32694"/>
    <w:rsid w:val="00B32735"/>
    <w:rsid w:val="00B32D74"/>
    <w:rsid w:val="00B3348E"/>
    <w:rsid w:val="00B33BDB"/>
    <w:rsid w:val="00B3498C"/>
    <w:rsid w:val="00B35059"/>
    <w:rsid w:val="00B35695"/>
    <w:rsid w:val="00B36F97"/>
    <w:rsid w:val="00B37AE2"/>
    <w:rsid w:val="00B40231"/>
    <w:rsid w:val="00B407CE"/>
    <w:rsid w:val="00B40C7A"/>
    <w:rsid w:val="00B419E0"/>
    <w:rsid w:val="00B4266C"/>
    <w:rsid w:val="00B42A6D"/>
    <w:rsid w:val="00B42ABB"/>
    <w:rsid w:val="00B42F5F"/>
    <w:rsid w:val="00B45042"/>
    <w:rsid w:val="00B45348"/>
    <w:rsid w:val="00B453FA"/>
    <w:rsid w:val="00B4548B"/>
    <w:rsid w:val="00B459C9"/>
    <w:rsid w:val="00B46895"/>
    <w:rsid w:val="00B508E9"/>
    <w:rsid w:val="00B50A01"/>
    <w:rsid w:val="00B50EFF"/>
    <w:rsid w:val="00B513A5"/>
    <w:rsid w:val="00B51A7C"/>
    <w:rsid w:val="00B52B1B"/>
    <w:rsid w:val="00B531F1"/>
    <w:rsid w:val="00B547FB"/>
    <w:rsid w:val="00B555ED"/>
    <w:rsid w:val="00B55B97"/>
    <w:rsid w:val="00B56942"/>
    <w:rsid w:val="00B56E5D"/>
    <w:rsid w:val="00B5729D"/>
    <w:rsid w:val="00B5735F"/>
    <w:rsid w:val="00B573B5"/>
    <w:rsid w:val="00B57E11"/>
    <w:rsid w:val="00B61727"/>
    <w:rsid w:val="00B6173F"/>
    <w:rsid w:val="00B61F91"/>
    <w:rsid w:val="00B64C58"/>
    <w:rsid w:val="00B65C01"/>
    <w:rsid w:val="00B66BAE"/>
    <w:rsid w:val="00B66CCF"/>
    <w:rsid w:val="00B67590"/>
    <w:rsid w:val="00B6764B"/>
    <w:rsid w:val="00B67B4E"/>
    <w:rsid w:val="00B67B96"/>
    <w:rsid w:val="00B70517"/>
    <w:rsid w:val="00B7116C"/>
    <w:rsid w:val="00B7181E"/>
    <w:rsid w:val="00B719B0"/>
    <w:rsid w:val="00B72736"/>
    <w:rsid w:val="00B72809"/>
    <w:rsid w:val="00B72A2A"/>
    <w:rsid w:val="00B72A2C"/>
    <w:rsid w:val="00B72D9A"/>
    <w:rsid w:val="00B72FCE"/>
    <w:rsid w:val="00B735FE"/>
    <w:rsid w:val="00B7409D"/>
    <w:rsid w:val="00B7468A"/>
    <w:rsid w:val="00B74F9D"/>
    <w:rsid w:val="00B751FF"/>
    <w:rsid w:val="00B75BB3"/>
    <w:rsid w:val="00B8045B"/>
    <w:rsid w:val="00B809EB"/>
    <w:rsid w:val="00B80D03"/>
    <w:rsid w:val="00B8177E"/>
    <w:rsid w:val="00B81FD1"/>
    <w:rsid w:val="00B82267"/>
    <w:rsid w:val="00B82620"/>
    <w:rsid w:val="00B828BD"/>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4782"/>
    <w:rsid w:val="00B951C0"/>
    <w:rsid w:val="00B9567A"/>
    <w:rsid w:val="00B95A7D"/>
    <w:rsid w:val="00B96A3D"/>
    <w:rsid w:val="00B97D16"/>
    <w:rsid w:val="00BA0275"/>
    <w:rsid w:val="00BA188B"/>
    <w:rsid w:val="00BA2395"/>
    <w:rsid w:val="00BA4772"/>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B78E1"/>
    <w:rsid w:val="00BC0BCB"/>
    <w:rsid w:val="00BC107A"/>
    <w:rsid w:val="00BC108B"/>
    <w:rsid w:val="00BC12B6"/>
    <w:rsid w:val="00BC2DCC"/>
    <w:rsid w:val="00BC2DF0"/>
    <w:rsid w:val="00BC321A"/>
    <w:rsid w:val="00BC3F05"/>
    <w:rsid w:val="00BC45CB"/>
    <w:rsid w:val="00BC4D98"/>
    <w:rsid w:val="00BC5AB0"/>
    <w:rsid w:val="00BC5C7E"/>
    <w:rsid w:val="00BC6222"/>
    <w:rsid w:val="00BC7B1A"/>
    <w:rsid w:val="00BD074E"/>
    <w:rsid w:val="00BD1AD4"/>
    <w:rsid w:val="00BD1E93"/>
    <w:rsid w:val="00BD1F85"/>
    <w:rsid w:val="00BD223D"/>
    <w:rsid w:val="00BD27A4"/>
    <w:rsid w:val="00BD4D28"/>
    <w:rsid w:val="00BD54B0"/>
    <w:rsid w:val="00BD57BE"/>
    <w:rsid w:val="00BD6587"/>
    <w:rsid w:val="00BD720D"/>
    <w:rsid w:val="00BE0162"/>
    <w:rsid w:val="00BE07AC"/>
    <w:rsid w:val="00BE0929"/>
    <w:rsid w:val="00BE17C2"/>
    <w:rsid w:val="00BE1981"/>
    <w:rsid w:val="00BE1985"/>
    <w:rsid w:val="00BE2299"/>
    <w:rsid w:val="00BE2DFC"/>
    <w:rsid w:val="00BE33C9"/>
    <w:rsid w:val="00BE37E1"/>
    <w:rsid w:val="00BE448A"/>
    <w:rsid w:val="00BE6B92"/>
    <w:rsid w:val="00BE6BBF"/>
    <w:rsid w:val="00BE7433"/>
    <w:rsid w:val="00BE77C3"/>
    <w:rsid w:val="00BF0D7D"/>
    <w:rsid w:val="00BF1F83"/>
    <w:rsid w:val="00BF335C"/>
    <w:rsid w:val="00BF3465"/>
    <w:rsid w:val="00BF3876"/>
    <w:rsid w:val="00BF428E"/>
    <w:rsid w:val="00BF4490"/>
    <w:rsid w:val="00BF48C1"/>
    <w:rsid w:val="00BF54B1"/>
    <w:rsid w:val="00BF57E1"/>
    <w:rsid w:val="00BF5828"/>
    <w:rsid w:val="00BF6C75"/>
    <w:rsid w:val="00C00570"/>
    <w:rsid w:val="00C00AE5"/>
    <w:rsid w:val="00C028B5"/>
    <w:rsid w:val="00C02DFA"/>
    <w:rsid w:val="00C03981"/>
    <w:rsid w:val="00C03FC6"/>
    <w:rsid w:val="00C04218"/>
    <w:rsid w:val="00C04F43"/>
    <w:rsid w:val="00C05103"/>
    <w:rsid w:val="00C0542C"/>
    <w:rsid w:val="00C06BF3"/>
    <w:rsid w:val="00C0704F"/>
    <w:rsid w:val="00C07844"/>
    <w:rsid w:val="00C07AD3"/>
    <w:rsid w:val="00C100E8"/>
    <w:rsid w:val="00C10BBC"/>
    <w:rsid w:val="00C116C7"/>
    <w:rsid w:val="00C12C16"/>
    <w:rsid w:val="00C1369E"/>
    <w:rsid w:val="00C13ED1"/>
    <w:rsid w:val="00C14024"/>
    <w:rsid w:val="00C1408E"/>
    <w:rsid w:val="00C14801"/>
    <w:rsid w:val="00C14D24"/>
    <w:rsid w:val="00C15225"/>
    <w:rsid w:val="00C152B8"/>
    <w:rsid w:val="00C15CF0"/>
    <w:rsid w:val="00C16120"/>
    <w:rsid w:val="00C16966"/>
    <w:rsid w:val="00C16E1E"/>
    <w:rsid w:val="00C178B1"/>
    <w:rsid w:val="00C21F0C"/>
    <w:rsid w:val="00C22637"/>
    <w:rsid w:val="00C22F84"/>
    <w:rsid w:val="00C26284"/>
    <w:rsid w:val="00C26422"/>
    <w:rsid w:val="00C26763"/>
    <w:rsid w:val="00C267C0"/>
    <w:rsid w:val="00C26C7C"/>
    <w:rsid w:val="00C32484"/>
    <w:rsid w:val="00C3269F"/>
    <w:rsid w:val="00C334D7"/>
    <w:rsid w:val="00C33C89"/>
    <w:rsid w:val="00C33ED1"/>
    <w:rsid w:val="00C34D03"/>
    <w:rsid w:val="00C36BB1"/>
    <w:rsid w:val="00C36E14"/>
    <w:rsid w:val="00C375B0"/>
    <w:rsid w:val="00C4047F"/>
    <w:rsid w:val="00C41F4A"/>
    <w:rsid w:val="00C428D3"/>
    <w:rsid w:val="00C447E3"/>
    <w:rsid w:val="00C45358"/>
    <w:rsid w:val="00C45513"/>
    <w:rsid w:val="00C4681F"/>
    <w:rsid w:val="00C509DB"/>
    <w:rsid w:val="00C51391"/>
    <w:rsid w:val="00C535A8"/>
    <w:rsid w:val="00C5582E"/>
    <w:rsid w:val="00C56CDC"/>
    <w:rsid w:val="00C56DC5"/>
    <w:rsid w:val="00C577BF"/>
    <w:rsid w:val="00C609DF"/>
    <w:rsid w:val="00C6107C"/>
    <w:rsid w:val="00C6111C"/>
    <w:rsid w:val="00C61B79"/>
    <w:rsid w:val="00C65A7D"/>
    <w:rsid w:val="00C65E9D"/>
    <w:rsid w:val="00C679EC"/>
    <w:rsid w:val="00C67AD2"/>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2D50"/>
    <w:rsid w:val="00C83008"/>
    <w:rsid w:val="00C8399C"/>
    <w:rsid w:val="00C84001"/>
    <w:rsid w:val="00C848D1"/>
    <w:rsid w:val="00C84C8B"/>
    <w:rsid w:val="00C85B39"/>
    <w:rsid w:val="00C8620E"/>
    <w:rsid w:val="00C86351"/>
    <w:rsid w:val="00C869F3"/>
    <w:rsid w:val="00C86F0C"/>
    <w:rsid w:val="00C87880"/>
    <w:rsid w:val="00C906A2"/>
    <w:rsid w:val="00C918DF"/>
    <w:rsid w:val="00C93939"/>
    <w:rsid w:val="00C93C0C"/>
    <w:rsid w:val="00C940B5"/>
    <w:rsid w:val="00C95721"/>
    <w:rsid w:val="00C96027"/>
    <w:rsid w:val="00C9669B"/>
    <w:rsid w:val="00C96BC5"/>
    <w:rsid w:val="00C97BC9"/>
    <w:rsid w:val="00C97FC8"/>
    <w:rsid w:val="00CA01EF"/>
    <w:rsid w:val="00CA0625"/>
    <w:rsid w:val="00CA0724"/>
    <w:rsid w:val="00CA1972"/>
    <w:rsid w:val="00CA1C47"/>
    <w:rsid w:val="00CA3612"/>
    <w:rsid w:val="00CA372D"/>
    <w:rsid w:val="00CA3FCC"/>
    <w:rsid w:val="00CA4C2D"/>
    <w:rsid w:val="00CA574C"/>
    <w:rsid w:val="00CA5B4C"/>
    <w:rsid w:val="00CA630A"/>
    <w:rsid w:val="00CA63A8"/>
    <w:rsid w:val="00CA6536"/>
    <w:rsid w:val="00CA6891"/>
    <w:rsid w:val="00CA6B73"/>
    <w:rsid w:val="00CA6BAF"/>
    <w:rsid w:val="00CA6D4A"/>
    <w:rsid w:val="00CB0B66"/>
    <w:rsid w:val="00CB0FE1"/>
    <w:rsid w:val="00CB1C25"/>
    <w:rsid w:val="00CB3617"/>
    <w:rsid w:val="00CB39A9"/>
    <w:rsid w:val="00CB6336"/>
    <w:rsid w:val="00CB7B1A"/>
    <w:rsid w:val="00CB7C08"/>
    <w:rsid w:val="00CC00F7"/>
    <w:rsid w:val="00CC0273"/>
    <w:rsid w:val="00CC044C"/>
    <w:rsid w:val="00CC0B93"/>
    <w:rsid w:val="00CC131F"/>
    <w:rsid w:val="00CC14C4"/>
    <w:rsid w:val="00CC251C"/>
    <w:rsid w:val="00CC3C93"/>
    <w:rsid w:val="00CC45DD"/>
    <w:rsid w:val="00CC4AD7"/>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0404"/>
    <w:rsid w:val="00CE186F"/>
    <w:rsid w:val="00CE1FF3"/>
    <w:rsid w:val="00CE200F"/>
    <w:rsid w:val="00CE23AA"/>
    <w:rsid w:val="00CE2A5E"/>
    <w:rsid w:val="00CE3041"/>
    <w:rsid w:val="00CE3475"/>
    <w:rsid w:val="00CE4799"/>
    <w:rsid w:val="00CE4F5D"/>
    <w:rsid w:val="00CE55DA"/>
    <w:rsid w:val="00CE56E6"/>
    <w:rsid w:val="00CE6615"/>
    <w:rsid w:val="00CE680F"/>
    <w:rsid w:val="00CE69C0"/>
    <w:rsid w:val="00CE74F2"/>
    <w:rsid w:val="00CE799C"/>
    <w:rsid w:val="00CF0839"/>
    <w:rsid w:val="00CF0BAF"/>
    <w:rsid w:val="00CF109A"/>
    <w:rsid w:val="00CF1884"/>
    <w:rsid w:val="00CF1B89"/>
    <w:rsid w:val="00CF241F"/>
    <w:rsid w:val="00CF37BF"/>
    <w:rsid w:val="00CF4910"/>
    <w:rsid w:val="00CF5A26"/>
    <w:rsid w:val="00CF5CE6"/>
    <w:rsid w:val="00CF65DB"/>
    <w:rsid w:val="00CF6857"/>
    <w:rsid w:val="00CF6FAC"/>
    <w:rsid w:val="00CF72E0"/>
    <w:rsid w:val="00D00F16"/>
    <w:rsid w:val="00D01C1F"/>
    <w:rsid w:val="00D02297"/>
    <w:rsid w:val="00D025A0"/>
    <w:rsid w:val="00D0441F"/>
    <w:rsid w:val="00D04F78"/>
    <w:rsid w:val="00D05208"/>
    <w:rsid w:val="00D05704"/>
    <w:rsid w:val="00D06C90"/>
    <w:rsid w:val="00D07682"/>
    <w:rsid w:val="00D11139"/>
    <w:rsid w:val="00D1117C"/>
    <w:rsid w:val="00D1192D"/>
    <w:rsid w:val="00D11D66"/>
    <w:rsid w:val="00D11EF2"/>
    <w:rsid w:val="00D12493"/>
    <w:rsid w:val="00D12E44"/>
    <w:rsid w:val="00D141F3"/>
    <w:rsid w:val="00D14BE7"/>
    <w:rsid w:val="00D14EF9"/>
    <w:rsid w:val="00D151DF"/>
    <w:rsid w:val="00D1546B"/>
    <w:rsid w:val="00D15AE9"/>
    <w:rsid w:val="00D20AE0"/>
    <w:rsid w:val="00D21282"/>
    <w:rsid w:val="00D217EE"/>
    <w:rsid w:val="00D21CD0"/>
    <w:rsid w:val="00D222D0"/>
    <w:rsid w:val="00D2244F"/>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363BD"/>
    <w:rsid w:val="00D40999"/>
    <w:rsid w:val="00D4134F"/>
    <w:rsid w:val="00D416AA"/>
    <w:rsid w:val="00D41DE6"/>
    <w:rsid w:val="00D41FF6"/>
    <w:rsid w:val="00D43FE6"/>
    <w:rsid w:val="00D4491E"/>
    <w:rsid w:val="00D45FDF"/>
    <w:rsid w:val="00D50742"/>
    <w:rsid w:val="00D50EE4"/>
    <w:rsid w:val="00D52A6C"/>
    <w:rsid w:val="00D53221"/>
    <w:rsid w:val="00D53BB6"/>
    <w:rsid w:val="00D540B2"/>
    <w:rsid w:val="00D545B7"/>
    <w:rsid w:val="00D54954"/>
    <w:rsid w:val="00D54BCD"/>
    <w:rsid w:val="00D55558"/>
    <w:rsid w:val="00D5566B"/>
    <w:rsid w:val="00D556A2"/>
    <w:rsid w:val="00D55FDF"/>
    <w:rsid w:val="00D5616B"/>
    <w:rsid w:val="00D5673B"/>
    <w:rsid w:val="00D56769"/>
    <w:rsid w:val="00D56F3D"/>
    <w:rsid w:val="00D57E6D"/>
    <w:rsid w:val="00D611DB"/>
    <w:rsid w:val="00D627B4"/>
    <w:rsid w:val="00D63483"/>
    <w:rsid w:val="00D63FC0"/>
    <w:rsid w:val="00D64371"/>
    <w:rsid w:val="00D65037"/>
    <w:rsid w:val="00D66349"/>
    <w:rsid w:val="00D66661"/>
    <w:rsid w:val="00D66F4D"/>
    <w:rsid w:val="00D67D01"/>
    <w:rsid w:val="00D70033"/>
    <w:rsid w:val="00D71BC4"/>
    <w:rsid w:val="00D74447"/>
    <w:rsid w:val="00D7563C"/>
    <w:rsid w:val="00D75B68"/>
    <w:rsid w:val="00D75DD0"/>
    <w:rsid w:val="00D76810"/>
    <w:rsid w:val="00D76EF3"/>
    <w:rsid w:val="00D77106"/>
    <w:rsid w:val="00D80A47"/>
    <w:rsid w:val="00D81263"/>
    <w:rsid w:val="00D83927"/>
    <w:rsid w:val="00D848FA"/>
    <w:rsid w:val="00D854EE"/>
    <w:rsid w:val="00D85960"/>
    <w:rsid w:val="00D85E86"/>
    <w:rsid w:val="00D867A5"/>
    <w:rsid w:val="00D90AB8"/>
    <w:rsid w:val="00D923E5"/>
    <w:rsid w:val="00D92798"/>
    <w:rsid w:val="00D942D5"/>
    <w:rsid w:val="00D94DB6"/>
    <w:rsid w:val="00D964B5"/>
    <w:rsid w:val="00D97D9B"/>
    <w:rsid w:val="00DA0C64"/>
    <w:rsid w:val="00DA11B1"/>
    <w:rsid w:val="00DA1938"/>
    <w:rsid w:val="00DA2CEC"/>
    <w:rsid w:val="00DA3675"/>
    <w:rsid w:val="00DA3BAC"/>
    <w:rsid w:val="00DA4B4A"/>
    <w:rsid w:val="00DA5597"/>
    <w:rsid w:val="00DA5DF4"/>
    <w:rsid w:val="00DA6967"/>
    <w:rsid w:val="00DA70E4"/>
    <w:rsid w:val="00DA7199"/>
    <w:rsid w:val="00DB07BF"/>
    <w:rsid w:val="00DB15D9"/>
    <w:rsid w:val="00DB1610"/>
    <w:rsid w:val="00DB393B"/>
    <w:rsid w:val="00DB3F1E"/>
    <w:rsid w:val="00DB463D"/>
    <w:rsid w:val="00DB56B4"/>
    <w:rsid w:val="00DB5FF1"/>
    <w:rsid w:val="00DB61A8"/>
    <w:rsid w:val="00DB6841"/>
    <w:rsid w:val="00DB6E40"/>
    <w:rsid w:val="00DB75A7"/>
    <w:rsid w:val="00DC07A5"/>
    <w:rsid w:val="00DC0B14"/>
    <w:rsid w:val="00DC0F73"/>
    <w:rsid w:val="00DC134F"/>
    <w:rsid w:val="00DC14DE"/>
    <w:rsid w:val="00DC2DC4"/>
    <w:rsid w:val="00DC2FD3"/>
    <w:rsid w:val="00DC3A95"/>
    <w:rsid w:val="00DC4F0E"/>
    <w:rsid w:val="00DC5992"/>
    <w:rsid w:val="00DC5F21"/>
    <w:rsid w:val="00DC6174"/>
    <w:rsid w:val="00DC6C80"/>
    <w:rsid w:val="00DD009F"/>
    <w:rsid w:val="00DD0AF6"/>
    <w:rsid w:val="00DD0EEF"/>
    <w:rsid w:val="00DD3119"/>
    <w:rsid w:val="00DD3398"/>
    <w:rsid w:val="00DD3E1A"/>
    <w:rsid w:val="00DD461A"/>
    <w:rsid w:val="00DD479B"/>
    <w:rsid w:val="00DD4AD2"/>
    <w:rsid w:val="00DD4C36"/>
    <w:rsid w:val="00DD58FD"/>
    <w:rsid w:val="00DD5FC9"/>
    <w:rsid w:val="00DD6697"/>
    <w:rsid w:val="00DD6A5C"/>
    <w:rsid w:val="00DD6F0B"/>
    <w:rsid w:val="00DD7963"/>
    <w:rsid w:val="00DE06B7"/>
    <w:rsid w:val="00DE06E8"/>
    <w:rsid w:val="00DE0726"/>
    <w:rsid w:val="00DE139F"/>
    <w:rsid w:val="00DE167F"/>
    <w:rsid w:val="00DE1F57"/>
    <w:rsid w:val="00DE3207"/>
    <w:rsid w:val="00DE389A"/>
    <w:rsid w:val="00DE4D90"/>
    <w:rsid w:val="00DE5D05"/>
    <w:rsid w:val="00DE6CE8"/>
    <w:rsid w:val="00DE6DAB"/>
    <w:rsid w:val="00DE790F"/>
    <w:rsid w:val="00DE7AB3"/>
    <w:rsid w:val="00DF0036"/>
    <w:rsid w:val="00DF04E0"/>
    <w:rsid w:val="00DF0724"/>
    <w:rsid w:val="00DF1613"/>
    <w:rsid w:val="00DF1666"/>
    <w:rsid w:val="00DF1A1E"/>
    <w:rsid w:val="00DF2BFF"/>
    <w:rsid w:val="00DF2DAE"/>
    <w:rsid w:val="00DF3C6F"/>
    <w:rsid w:val="00DF3CAF"/>
    <w:rsid w:val="00DF4141"/>
    <w:rsid w:val="00DF4AA9"/>
    <w:rsid w:val="00DF6AC2"/>
    <w:rsid w:val="00DF7AAA"/>
    <w:rsid w:val="00E007AE"/>
    <w:rsid w:val="00E01407"/>
    <w:rsid w:val="00E02E7F"/>
    <w:rsid w:val="00E02FC4"/>
    <w:rsid w:val="00E04197"/>
    <w:rsid w:val="00E045C7"/>
    <w:rsid w:val="00E046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17CB9"/>
    <w:rsid w:val="00E209D0"/>
    <w:rsid w:val="00E20CDB"/>
    <w:rsid w:val="00E21E25"/>
    <w:rsid w:val="00E22AF2"/>
    <w:rsid w:val="00E22B89"/>
    <w:rsid w:val="00E238CB"/>
    <w:rsid w:val="00E23D74"/>
    <w:rsid w:val="00E240F1"/>
    <w:rsid w:val="00E245C5"/>
    <w:rsid w:val="00E25274"/>
    <w:rsid w:val="00E26111"/>
    <w:rsid w:val="00E2649B"/>
    <w:rsid w:val="00E266C1"/>
    <w:rsid w:val="00E26E0C"/>
    <w:rsid w:val="00E27658"/>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EF9"/>
    <w:rsid w:val="00E41FF0"/>
    <w:rsid w:val="00E42464"/>
    <w:rsid w:val="00E4269C"/>
    <w:rsid w:val="00E42B0D"/>
    <w:rsid w:val="00E43E34"/>
    <w:rsid w:val="00E44177"/>
    <w:rsid w:val="00E442D3"/>
    <w:rsid w:val="00E46795"/>
    <w:rsid w:val="00E46C3A"/>
    <w:rsid w:val="00E47B98"/>
    <w:rsid w:val="00E501E9"/>
    <w:rsid w:val="00E50CDF"/>
    <w:rsid w:val="00E52318"/>
    <w:rsid w:val="00E53376"/>
    <w:rsid w:val="00E53916"/>
    <w:rsid w:val="00E54B68"/>
    <w:rsid w:val="00E54F24"/>
    <w:rsid w:val="00E55533"/>
    <w:rsid w:val="00E5737B"/>
    <w:rsid w:val="00E574E0"/>
    <w:rsid w:val="00E577AE"/>
    <w:rsid w:val="00E57997"/>
    <w:rsid w:val="00E57BFD"/>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61E4"/>
    <w:rsid w:val="00E764BB"/>
    <w:rsid w:val="00E77ADD"/>
    <w:rsid w:val="00E83AD0"/>
    <w:rsid w:val="00E849FB"/>
    <w:rsid w:val="00E84AE9"/>
    <w:rsid w:val="00E865EA"/>
    <w:rsid w:val="00E8678C"/>
    <w:rsid w:val="00E87668"/>
    <w:rsid w:val="00E87AD0"/>
    <w:rsid w:val="00E912EB"/>
    <w:rsid w:val="00E91331"/>
    <w:rsid w:val="00E91337"/>
    <w:rsid w:val="00E91896"/>
    <w:rsid w:val="00E9272A"/>
    <w:rsid w:val="00E93FDD"/>
    <w:rsid w:val="00E9423B"/>
    <w:rsid w:val="00E95165"/>
    <w:rsid w:val="00E966E3"/>
    <w:rsid w:val="00E968B2"/>
    <w:rsid w:val="00E97BC1"/>
    <w:rsid w:val="00EA086B"/>
    <w:rsid w:val="00EA1A89"/>
    <w:rsid w:val="00EA1B47"/>
    <w:rsid w:val="00EA2EE1"/>
    <w:rsid w:val="00EA38C2"/>
    <w:rsid w:val="00EA3B35"/>
    <w:rsid w:val="00EA4666"/>
    <w:rsid w:val="00EA4EBA"/>
    <w:rsid w:val="00EA5CCE"/>
    <w:rsid w:val="00EA7014"/>
    <w:rsid w:val="00EA73FB"/>
    <w:rsid w:val="00EB2022"/>
    <w:rsid w:val="00EB3F2D"/>
    <w:rsid w:val="00EB41FD"/>
    <w:rsid w:val="00EB47C4"/>
    <w:rsid w:val="00EB52D7"/>
    <w:rsid w:val="00EB5DBD"/>
    <w:rsid w:val="00EB5E66"/>
    <w:rsid w:val="00EB6994"/>
    <w:rsid w:val="00EC09C8"/>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4E7"/>
    <w:rsid w:val="00EC7D98"/>
    <w:rsid w:val="00ED075D"/>
    <w:rsid w:val="00ED08E4"/>
    <w:rsid w:val="00ED114C"/>
    <w:rsid w:val="00ED1344"/>
    <w:rsid w:val="00ED1FAA"/>
    <w:rsid w:val="00ED249F"/>
    <w:rsid w:val="00ED3390"/>
    <w:rsid w:val="00ED3CE7"/>
    <w:rsid w:val="00ED4FE3"/>
    <w:rsid w:val="00ED5899"/>
    <w:rsid w:val="00ED64E6"/>
    <w:rsid w:val="00ED6560"/>
    <w:rsid w:val="00ED6C5C"/>
    <w:rsid w:val="00ED6EB2"/>
    <w:rsid w:val="00ED785A"/>
    <w:rsid w:val="00ED7F27"/>
    <w:rsid w:val="00EE21F4"/>
    <w:rsid w:val="00EE33DE"/>
    <w:rsid w:val="00EE37FC"/>
    <w:rsid w:val="00EE3C9B"/>
    <w:rsid w:val="00EE3F7C"/>
    <w:rsid w:val="00EE616D"/>
    <w:rsid w:val="00EE6603"/>
    <w:rsid w:val="00EE6605"/>
    <w:rsid w:val="00EF0212"/>
    <w:rsid w:val="00EF095C"/>
    <w:rsid w:val="00EF0F4B"/>
    <w:rsid w:val="00EF1041"/>
    <w:rsid w:val="00EF1579"/>
    <w:rsid w:val="00EF34E7"/>
    <w:rsid w:val="00EF35F2"/>
    <w:rsid w:val="00EF3738"/>
    <w:rsid w:val="00EF5B0E"/>
    <w:rsid w:val="00EF5B45"/>
    <w:rsid w:val="00EF782F"/>
    <w:rsid w:val="00EF79C5"/>
    <w:rsid w:val="00EF7CD6"/>
    <w:rsid w:val="00F00694"/>
    <w:rsid w:val="00F00985"/>
    <w:rsid w:val="00F00C8E"/>
    <w:rsid w:val="00F00E17"/>
    <w:rsid w:val="00F00F58"/>
    <w:rsid w:val="00F02ACE"/>
    <w:rsid w:val="00F030B8"/>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46E"/>
    <w:rsid w:val="00F177E3"/>
    <w:rsid w:val="00F20CB3"/>
    <w:rsid w:val="00F2175E"/>
    <w:rsid w:val="00F23162"/>
    <w:rsid w:val="00F23C76"/>
    <w:rsid w:val="00F24526"/>
    <w:rsid w:val="00F24926"/>
    <w:rsid w:val="00F24C1C"/>
    <w:rsid w:val="00F26031"/>
    <w:rsid w:val="00F26441"/>
    <w:rsid w:val="00F26602"/>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3261"/>
    <w:rsid w:val="00F54623"/>
    <w:rsid w:val="00F54D57"/>
    <w:rsid w:val="00F54ECE"/>
    <w:rsid w:val="00F550EA"/>
    <w:rsid w:val="00F55BED"/>
    <w:rsid w:val="00F56D45"/>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1E60"/>
    <w:rsid w:val="00F73965"/>
    <w:rsid w:val="00F74101"/>
    <w:rsid w:val="00F74D99"/>
    <w:rsid w:val="00F76534"/>
    <w:rsid w:val="00F77DDF"/>
    <w:rsid w:val="00F803E8"/>
    <w:rsid w:val="00F8097F"/>
    <w:rsid w:val="00F8178D"/>
    <w:rsid w:val="00F83944"/>
    <w:rsid w:val="00F83BAD"/>
    <w:rsid w:val="00F86732"/>
    <w:rsid w:val="00F86CD7"/>
    <w:rsid w:val="00F87775"/>
    <w:rsid w:val="00F90089"/>
    <w:rsid w:val="00F923D8"/>
    <w:rsid w:val="00F93027"/>
    <w:rsid w:val="00F94597"/>
    <w:rsid w:val="00F945B3"/>
    <w:rsid w:val="00F94633"/>
    <w:rsid w:val="00F948A6"/>
    <w:rsid w:val="00F95BA3"/>
    <w:rsid w:val="00F96208"/>
    <w:rsid w:val="00F96664"/>
    <w:rsid w:val="00F97807"/>
    <w:rsid w:val="00FA1E4A"/>
    <w:rsid w:val="00FA2C64"/>
    <w:rsid w:val="00FA3955"/>
    <w:rsid w:val="00FA4F12"/>
    <w:rsid w:val="00FA5043"/>
    <w:rsid w:val="00FA53F5"/>
    <w:rsid w:val="00FA5509"/>
    <w:rsid w:val="00FA6846"/>
    <w:rsid w:val="00FB0336"/>
    <w:rsid w:val="00FB0722"/>
    <w:rsid w:val="00FB0E9D"/>
    <w:rsid w:val="00FB1225"/>
    <w:rsid w:val="00FB1D58"/>
    <w:rsid w:val="00FB26F7"/>
    <w:rsid w:val="00FB2808"/>
    <w:rsid w:val="00FB29D2"/>
    <w:rsid w:val="00FB3291"/>
    <w:rsid w:val="00FB32B4"/>
    <w:rsid w:val="00FB37EA"/>
    <w:rsid w:val="00FB4388"/>
    <w:rsid w:val="00FB65AC"/>
    <w:rsid w:val="00FB6AD0"/>
    <w:rsid w:val="00FB6C98"/>
    <w:rsid w:val="00FB6CD4"/>
    <w:rsid w:val="00FB6F86"/>
    <w:rsid w:val="00FC01C0"/>
    <w:rsid w:val="00FC21C6"/>
    <w:rsid w:val="00FC2EBF"/>
    <w:rsid w:val="00FC42E4"/>
    <w:rsid w:val="00FC4BD9"/>
    <w:rsid w:val="00FC4D9A"/>
    <w:rsid w:val="00FC501B"/>
    <w:rsid w:val="00FC5547"/>
    <w:rsid w:val="00FC5E5D"/>
    <w:rsid w:val="00FC6EF1"/>
    <w:rsid w:val="00FC71E8"/>
    <w:rsid w:val="00FD0096"/>
    <w:rsid w:val="00FD14FE"/>
    <w:rsid w:val="00FD2521"/>
    <w:rsid w:val="00FD286B"/>
    <w:rsid w:val="00FD2B91"/>
    <w:rsid w:val="00FD3549"/>
    <w:rsid w:val="00FD4876"/>
    <w:rsid w:val="00FD497B"/>
    <w:rsid w:val="00FD5BB3"/>
    <w:rsid w:val="00FD7D6E"/>
    <w:rsid w:val="00FE0478"/>
    <w:rsid w:val="00FE0C89"/>
    <w:rsid w:val="00FE3446"/>
    <w:rsid w:val="00FE36D7"/>
    <w:rsid w:val="00FE390F"/>
    <w:rsid w:val="00FE3E56"/>
    <w:rsid w:val="00FE4072"/>
    <w:rsid w:val="00FE44BC"/>
    <w:rsid w:val="00FE4512"/>
    <w:rsid w:val="00FE479B"/>
    <w:rsid w:val="00FE63DF"/>
    <w:rsid w:val="00FE7087"/>
    <w:rsid w:val="00FE7460"/>
    <w:rsid w:val="00FE7B3B"/>
    <w:rsid w:val="00FF0555"/>
    <w:rsid w:val="00FF0EA6"/>
    <w:rsid w:val="00FF0F23"/>
    <w:rsid w:val="00FF14E7"/>
    <w:rsid w:val="00FF296D"/>
    <w:rsid w:val="00FF2AB9"/>
    <w:rsid w:val="00FF2C7C"/>
    <w:rsid w:val="00FF3335"/>
    <w:rsid w:val="00FF3F67"/>
    <w:rsid w:val="00FF4547"/>
    <w:rsid w:val="00FF4A2A"/>
    <w:rsid w:val="00FF4F7F"/>
    <w:rsid w:val="00FF5008"/>
    <w:rsid w:val="00FF572A"/>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1F26"/>
  <w15:docId w15:val="{B8B912F9-A17B-4582-B5B0-8CF746B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Header">
    <w:name w:val="header"/>
    <w:basedOn w:val="Normal"/>
    <w:link w:val="HeaderChar"/>
    <w:unhideWhenUsed/>
    <w:rsid w:val="00C116C7"/>
    <w:pPr>
      <w:tabs>
        <w:tab w:val="center" w:pos="4680"/>
        <w:tab w:val="right" w:pos="9360"/>
      </w:tabs>
    </w:pPr>
  </w:style>
  <w:style w:type="character" w:customStyle="1" w:styleId="HeaderChar">
    <w:name w:val="Header Char"/>
    <w:basedOn w:val="DefaultParagraphFont"/>
    <w:link w:val="Header"/>
    <w:rsid w:val="00C116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624123013">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073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DCC8-EB98-4F34-8B24-AE44F9C8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Reside, Melissa</cp:lastModifiedBy>
  <cp:revision>6</cp:revision>
  <cp:lastPrinted>2019-12-11T18:00:00Z</cp:lastPrinted>
  <dcterms:created xsi:type="dcterms:W3CDTF">2020-01-27T19:56:00Z</dcterms:created>
  <dcterms:modified xsi:type="dcterms:W3CDTF">2020-01-29T14:27:00Z</dcterms:modified>
</cp:coreProperties>
</file>