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C178" w14:textId="77777777" w:rsidR="009F7F17" w:rsidRPr="00321FE6" w:rsidRDefault="009F7F17" w:rsidP="004019C6">
      <w:pPr>
        <w:tabs>
          <w:tab w:val="left" w:pos="0"/>
        </w:tabs>
        <w:spacing w:line="240" w:lineRule="auto"/>
        <w:jc w:val="center"/>
        <w:rPr>
          <w:rFonts w:eastAsia="Times New Roman"/>
          <w:b/>
        </w:rPr>
      </w:pPr>
      <w:bookmarkStart w:id="0" w:name="_Hlk505846206"/>
      <w:r w:rsidRPr="00321FE6">
        <w:rPr>
          <w:rFonts w:eastAsia="Times New Roman"/>
          <w:b/>
        </w:rPr>
        <w:t>BEFORE THE</w:t>
      </w:r>
    </w:p>
    <w:p w14:paraId="201404DE" w14:textId="77777777" w:rsidR="009F7F17" w:rsidRPr="00321FE6" w:rsidRDefault="009F7F17" w:rsidP="004019C6">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14:paraId="3B0B7E2F" w14:textId="77777777" w:rsidR="009F7F17" w:rsidRPr="00321FE6" w:rsidRDefault="009F7F17" w:rsidP="004019C6">
      <w:pPr>
        <w:tabs>
          <w:tab w:val="left" w:pos="0"/>
        </w:tabs>
        <w:spacing w:line="240" w:lineRule="auto"/>
        <w:jc w:val="both"/>
        <w:rPr>
          <w:rFonts w:eastAsia="Times New Roman"/>
          <w:b/>
        </w:rPr>
      </w:pPr>
    </w:p>
    <w:p w14:paraId="42F49A21" w14:textId="77777777" w:rsidR="009F7F17" w:rsidRPr="00321FE6" w:rsidRDefault="009F7F17" w:rsidP="004019C6">
      <w:pPr>
        <w:tabs>
          <w:tab w:val="left" w:pos="0"/>
        </w:tabs>
        <w:spacing w:line="240" w:lineRule="auto"/>
        <w:jc w:val="both"/>
        <w:rPr>
          <w:rFonts w:eastAsia="Times New Roman"/>
          <w:b/>
        </w:rPr>
      </w:pPr>
    </w:p>
    <w:p w14:paraId="3CC9C1A6" w14:textId="77777777" w:rsidR="009F7F17" w:rsidRPr="00321FE6" w:rsidRDefault="009F7F17" w:rsidP="004019C6">
      <w:pPr>
        <w:tabs>
          <w:tab w:val="left" w:pos="0"/>
        </w:tabs>
        <w:spacing w:line="240" w:lineRule="auto"/>
        <w:jc w:val="both"/>
        <w:rPr>
          <w:rFonts w:eastAsia="Times New Roman"/>
          <w:b/>
        </w:rPr>
      </w:pPr>
    </w:p>
    <w:p w14:paraId="2316D918" w14:textId="2833DA48" w:rsidR="009F7F17" w:rsidRPr="00321FE6" w:rsidRDefault="00D6017C" w:rsidP="004019C6">
      <w:pPr>
        <w:tabs>
          <w:tab w:val="left" w:pos="0"/>
        </w:tabs>
        <w:spacing w:line="240" w:lineRule="auto"/>
        <w:jc w:val="both"/>
        <w:rPr>
          <w:rFonts w:eastAsia="Times New Roman"/>
          <w:b/>
        </w:rPr>
      </w:pPr>
      <w:r>
        <w:rPr>
          <w:rFonts w:eastAsia="Times New Roman"/>
        </w:rPr>
        <w:t>David Coyle</w:t>
      </w:r>
      <w:r w:rsidR="00764084">
        <w:rPr>
          <w:rFonts w:eastAsia="Times New Roman"/>
        </w:rPr>
        <w:tab/>
      </w:r>
      <w:r w:rsidR="00FA0D72">
        <w:rPr>
          <w:rFonts w:eastAsia="Times New Roman"/>
        </w:rPr>
        <w:tab/>
      </w:r>
      <w:r w:rsidR="00FA0D72">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14:paraId="3E9334C0" w14:textId="77777777" w:rsidR="009F7F17" w:rsidRPr="00321FE6" w:rsidRDefault="009F7F17" w:rsidP="004019C6">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305B8B15" w14:textId="6DDA6562" w:rsidR="009F7F17" w:rsidRPr="00321FE6" w:rsidRDefault="009F7F17" w:rsidP="004019C6">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00FA0D72">
        <w:rPr>
          <w:rFonts w:eastAsia="Times New Roman"/>
        </w:rPr>
        <w:t>C-2019-</w:t>
      </w:r>
      <w:r w:rsidR="00764084">
        <w:rPr>
          <w:rFonts w:eastAsia="Times New Roman"/>
        </w:rPr>
        <w:t>301</w:t>
      </w:r>
      <w:r w:rsidR="00D6017C">
        <w:rPr>
          <w:rFonts w:eastAsia="Times New Roman"/>
        </w:rPr>
        <w:t>4261</w:t>
      </w:r>
    </w:p>
    <w:p w14:paraId="42F37C98" w14:textId="77777777" w:rsidR="009F7F17" w:rsidRPr="00321FE6" w:rsidRDefault="009F7F17" w:rsidP="004019C6">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11FFB680" w14:textId="13A359C0" w:rsidR="009F7F17" w:rsidRPr="00321FE6" w:rsidRDefault="00D6017C" w:rsidP="004019C6">
      <w:pPr>
        <w:tabs>
          <w:tab w:val="left" w:pos="0"/>
        </w:tabs>
        <w:spacing w:line="240" w:lineRule="auto"/>
        <w:jc w:val="both"/>
        <w:rPr>
          <w:rFonts w:eastAsia="Times New Roman"/>
        </w:rPr>
      </w:pPr>
      <w:r>
        <w:rPr>
          <w:rFonts w:eastAsia="Times New Roman"/>
        </w:rPr>
        <w:t xml:space="preserve">West Penn </w:t>
      </w:r>
      <w:r w:rsidR="00764084">
        <w:rPr>
          <w:rFonts w:eastAsia="Times New Roman"/>
        </w:rPr>
        <w:t>Power Company</w:t>
      </w:r>
      <w:r>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14:paraId="1A0919D4" w14:textId="77777777" w:rsidR="009F7F17" w:rsidRDefault="009F7F17" w:rsidP="004019C6">
      <w:pPr>
        <w:spacing w:line="240" w:lineRule="auto"/>
      </w:pPr>
    </w:p>
    <w:p w14:paraId="6A309EDF" w14:textId="77777777" w:rsidR="009F7F17" w:rsidRDefault="009F7F17" w:rsidP="004019C6">
      <w:pPr>
        <w:spacing w:line="240" w:lineRule="auto"/>
      </w:pPr>
    </w:p>
    <w:p w14:paraId="664BCE71" w14:textId="77777777" w:rsidR="009F7F17" w:rsidRDefault="009F7F17" w:rsidP="004019C6">
      <w:pPr>
        <w:spacing w:line="240" w:lineRule="auto"/>
      </w:pPr>
    </w:p>
    <w:p w14:paraId="4AD27162" w14:textId="77777777" w:rsidR="004138B2" w:rsidRDefault="009F7F17" w:rsidP="004019C6">
      <w:pPr>
        <w:spacing w:line="240" w:lineRule="auto"/>
        <w:jc w:val="center"/>
        <w:rPr>
          <w:b/>
        </w:rPr>
      </w:pPr>
      <w:r w:rsidRPr="00574909">
        <w:rPr>
          <w:b/>
        </w:rPr>
        <w:t>INTERIM ORDER</w:t>
      </w:r>
      <w:r>
        <w:rPr>
          <w:b/>
        </w:rPr>
        <w:t xml:space="preserve"> </w:t>
      </w:r>
    </w:p>
    <w:p w14:paraId="5BAD1E1A" w14:textId="0CCEA269" w:rsidR="009F7F17" w:rsidRPr="004F4927" w:rsidRDefault="00685A8F" w:rsidP="004019C6">
      <w:pPr>
        <w:spacing w:line="240" w:lineRule="auto"/>
        <w:jc w:val="center"/>
        <w:rPr>
          <w:b/>
          <w:u w:val="single"/>
        </w:rPr>
      </w:pPr>
      <w:r>
        <w:rPr>
          <w:b/>
          <w:u w:val="single"/>
        </w:rPr>
        <w:t>HOLDING</w:t>
      </w:r>
      <w:r w:rsidR="004138B2" w:rsidRPr="004F4927">
        <w:rPr>
          <w:b/>
          <w:u w:val="single"/>
        </w:rPr>
        <w:t xml:space="preserve"> </w:t>
      </w:r>
      <w:r w:rsidR="009F7F17" w:rsidRPr="004F4927">
        <w:rPr>
          <w:b/>
          <w:u w:val="single"/>
        </w:rPr>
        <w:t>PRELIMINARY OBJECTIONS</w:t>
      </w:r>
      <w:r>
        <w:rPr>
          <w:b/>
          <w:u w:val="single"/>
        </w:rPr>
        <w:t xml:space="preserve"> IN ABEYANCE</w:t>
      </w:r>
      <w:r w:rsidR="009F7F17" w:rsidRPr="004F4927">
        <w:rPr>
          <w:b/>
          <w:u w:val="single"/>
        </w:rPr>
        <w:t xml:space="preserve"> </w:t>
      </w:r>
    </w:p>
    <w:bookmarkEnd w:id="0"/>
    <w:p w14:paraId="13EF9B17" w14:textId="77777777" w:rsidR="00606948" w:rsidRDefault="00606948" w:rsidP="009A5EA9"/>
    <w:p w14:paraId="72CB5D62" w14:textId="55373FAD" w:rsidR="00AE4DE9" w:rsidRDefault="00AE4DE9" w:rsidP="009A5EA9">
      <w:r>
        <w:tab/>
      </w:r>
      <w:r w:rsidR="00735722">
        <w:tab/>
      </w:r>
      <w:r w:rsidR="004F4927">
        <w:t xml:space="preserve">On </w:t>
      </w:r>
      <w:r w:rsidR="00D6017C">
        <w:t>November 12, 2019</w:t>
      </w:r>
      <w:r w:rsidR="004F4927">
        <w:t xml:space="preserve">, </w:t>
      </w:r>
      <w:r w:rsidR="00D6017C">
        <w:t>David Coyle</w:t>
      </w:r>
      <w:r w:rsidR="004F4927">
        <w:t xml:space="preserve"> (Complainant) filed a </w:t>
      </w:r>
      <w:r w:rsidR="00731FD3">
        <w:t>F</w:t>
      </w:r>
      <w:r w:rsidR="004F4927">
        <w:t xml:space="preserve">ormal </w:t>
      </w:r>
      <w:r w:rsidR="00731FD3">
        <w:t>C</w:t>
      </w:r>
      <w:r w:rsidR="004F4927">
        <w:t xml:space="preserve">omplaint against </w:t>
      </w:r>
      <w:r w:rsidR="00D6017C">
        <w:t xml:space="preserve">West Penn </w:t>
      </w:r>
      <w:r w:rsidR="004F4927">
        <w:t>Power Company (</w:t>
      </w:r>
      <w:r w:rsidR="00705EE2">
        <w:t>West Penn</w:t>
      </w:r>
      <w:r w:rsidR="00D6017C">
        <w:t xml:space="preserve"> or Respondent</w:t>
      </w:r>
      <w:r w:rsidR="004F4927">
        <w:t xml:space="preserve">). </w:t>
      </w:r>
      <w:r w:rsidR="0064563E">
        <w:t xml:space="preserve"> </w:t>
      </w:r>
      <w:r w:rsidR="004F4927">
        <w:t xml:space="preserve">The Complainant </w:t>
      </w:r>
      <w:r w:rsidR="00D6017C">
        <w:t xml:space="preserve">alleges Respondent is threatening to shut off his service due to smart meter installation refusal. </w:t>
      </w:r>
      <w:r w:rsidR="008B1AFA">
        <w:t xml:space="preserve"> </w:t>
      </w:r>
      <w:r w:rsidR="00D6017C">
        <w:t>Complaint alleges there are two children and a pregnant</w:t>
      </w:r>
      <w:r w:rsidR="008B1AFA">
        <w:t xml:space="preserve"> woman</w:t>
      </w:r>
      <w:r w:rsidR="00D6017C">
        <w:t xml:space="preserve"> living at the service address.</w:t>
      </w:r>
      <w:r w:rsidR="004F4927">
        <w:t xml:space="preserve">  </w:t>
      </w:r>
      <w:r>
        <w:t xml:space="preserve">As </w:t>
      </w:r>
      <w:r w:rsidR="001E08D8">
        <w:t>relief,</w:t>
      </w:r>
      <w:r>
        <w:t xml:space="preserve"> the Complainant requests </w:t>
      </w:r>
      <w:r w:rsidR="00D6017C">
        <w:t xml:space="preserve">“additional options’ to the installation of a smart meter at the service address. </w:t>
      </w:r>
    </w:p>
    <w:p w14:paraId="7ECA60E6" w14:textId="77777777" w:rsidR="00AE4DE9" w:rsidRDefault="00AE4DE9" w:rsidP="009A5EA9"/>
    <w:p w14:paraId="730E95D1" w14:textId="7A87E840" w:rsidR="003542C3" w:rsidRDefault="00AE4DE9" w:rsidP="009A5EA9">
      <w:r>
        <w:tab/>
      </w:r>
      <w:r w:rsidR="004B0E40">
        <w:tab/>
      </w:r>
      <w:r w:rsidR="00292D3A">
        <w:t>On December 3, 2019, West Penn</w:t>
      </w:r>
      <w:r w:rsidR="003E4E09" w:rsidRPr="00292D3A">
        <w:t xml:space="preserve"> filed an </w:t>
      </w:r>
      <w:r w:rsidR="00731FD3" w:rsidRPr="00292D3A">
        <w:t>A</w:t>
      </w:r>
      <w:r w:rsidR="003E4E09" w:rsidRPr="00292D3A">
        <w:t xml:space="preserve">nswer </w:t>
      </w:r>
      <w:r w:rsidR="00292D3A" w:rsidRPr="00292D3A">
        <w:t>and New Matter</w:t>
      </w:r>
      <w:r w:rsidR="00292D3A">
        <w:t xml:space="preserve">.  West Penn denied that the </w:t>
      </w:r>
      <w:r w:rsidR="00705EE2">
        <w:t>C</w:t>
      </w:r>
      <w:r w:rsidR="00292D3A">
        <w:t xml:space="preserve">ompany had </w:t>
      </w:r>
      <w:r w:rsidR="008B1AFA">
        <w:t>an</w:t>
      </w:r>
      <w:r w:rsidR="00292D3A">
        <w:t xml:space="preserve"> active intent to terminate Complainant’s electric service.  West Penn asserted that the Company has attempted to install a smart meter at the service location in accordance with Act 129 of 2008 (Act 129)</w:t>
      </w:r>
      <w:r w:rsidR="003542C3">
        <w:t>.</w:t>
      </w:r>
      <w:r w:rsidR="003542C3">
        <w:rPr>
          <w:rStyle w:val="FootnoteReference"/>
        </w:rPr>
        <w:footnoteReference w:id="1"/>
      </w:r>
      <w:r w:rsidR="00292D3A">
        <w:t xml:space="preserve"> </w:t>
      </w:r>
      <w:r w:rsidR="003542C3">
        <w:t xml:space="preserve"> Ho</w:t>
      </w:r>
      <w:r w:rsidR="00292D3A">
        <w:t xml:space="preserve">wever, Complainant has refused installation of the smart meter. </w:t>
      </w:r>
      <w:r w:rsidR="003542C3">
        <w:t xml:space="preserve"> West Penn contends that Complainant’s refusal to permit the Company to install a smart meter constitutes grounds for termination of service.</w:t>
      </w:r>
      <w:r w:rsidR="003542C3">
        <w:rPr>
          <w:rStyle w:val="FootnoteReference"/>
        </w:rPr>
        <w:footnoteReference w:id="2"/>
      </w:r>
      <w:r w:rsidR="00292D3A" w:rsidRPr="00292D3A">
        <w:t xml:space="preserve"> </w:t>
      </w:r>
      <w:r w:rsidR="003542C3">
        <w:t xml:space="preserve"> </w:t>
      </w:r>
      <w:r w:rsidR="00407E1D">
        <w:t xml:space="preserve">West Penn argues, “Further, if the Commission did rule in the Complainant’s favor and barred the Company from installing a smart meter at the Service Location, the Commission would be forcing the Company to be in violation of Act 129.”  As relief, West Penn requests that the Complaint be dismissed with prejudice. </w:t>
      </w:r>
    </w:p>
    <w:p w14:paraId="3B290164" w14:textId="77777777" w:rsidR="00407E1D" w:rsidRDefault="00407E1D" w:rsidP="009A5EA9">
      <w:r>
        <w:lastRenderedPageBreak/>
        <w:tab/>
      </w:r>
      <w:r>
        <w:tab/>
        <w:t>West Penn</w:t>
      </w:r>
      <w:r w:rsidR="00AE4DE9">
        <w:t xml:space="preserve"> also filed </w:t>
      </w:r>
      <w:r w:rsidR="00731FD3">
        <w:t>P</w:t>
      </w:r>
      <w:r w:rsidR="00AE4DE9">
        <w:t xml:space="preserve">reliminary </w:t>
      </w:r>
      <w:r w:rsidR="00731FD3">
        <w:t>O</w:t>
      </w:r>
      <w:r w:rsidR="00AE4DE9">
        <w:t xml:space="preserve">bjections on </w:t>
      </w:r>
      <w:r w:rsidR="003542C3">
        <w:t>December 3, 2019</w:t>
      </w:r>
      <w:r w:rsidR="00AE4DE9">
        <w:t xml:space="preserve">, which included a </w:t>
      </w:r>
      <w:r w:rsidR="00731FD3">
        <w:t>N</w:t>
      </w:r>
      <w:r w:rsidR="00AE4DE9">
        <w:t xml:space="preserve">otice to </w:t>
      </w:r>
      <w:r w:rsidR="00731FD3">
        <w:t>P</w:t>
      </w:r>
      <w:r w:rsidR="00AE4DE9">
        <w:t xml:space="preserve">lead.  </w:t>
      </w:r>
      <w:r>
        <w:t xml:space="preserve">As grounds for the </w:t>
      </w:r>
      <w:r w:rsidR="00731FD3">
        <w:t>P</w:t>
      </w:r>
      <w:r w:rsidR="00AE4DE9">
        <w:t xml:space="preserve">reliminary </w:t>
      </w:r>
      <w:r w:rsidR="00731FD3">
        <w:t>O</w:t>
      </w:r>
      <w:r w:rsidR="00AE4DE9">
        <w:t>bjections</w:t>
      </w:r>
      <w:r>
        <w:t>, West Penn submits the following:</w:t>
      </w:r>
    </w:p>
    <w:p w14:paraId="0A425412" w14:textId="77777777" w:rsidR="00407E1D" w:rsidRDefault="00407E1D" w:rsidP="009A5EA9">
      <w:pPr>
        <w:spacing w:line="240" w:lineRule="auto"/>
      </w:pPr>
    </w:p>
    <w:p w14:paraId="02F739A7" w14:textId="4A7796CF" w:rsidR="00892AE8" w:rsidRDefault="00892AE8" w:rsidP="009A5EA9">
      <w:pPr>
        <w:spacing w:line="240" w:lineRule="auto"/>
        <w:ind w:left="1440" w:right="720"/>
      </w:pPr>
      <w:r w:rsidRPr="00892AE8">
        <w:t>Because Act 129 and the Commission’s orders not only authorize but required the Comp</w:t>
      </w:r>
      <w:r>
        <w:t>any to develop and implement a smart meter procurement and installation plan, and do not allow a customer to opt out of having a smart meter installed, this Formal Complaint must be dismissed.  As a matter of law, the Company is required to install a smart meter at the Service Location.  As such, the Commission cannot find the Company to be in violation [of a Commission statute, regulation or order] for having attempted to follow the law as it has done here.</w:t>
      </w:r>
    </w:p>
    <w:p w14:paraId="68E17144" w14:textId="2BC33763" w:rsidR="00892AE8" w:rsidRDefault="00892AE8" w:rsidP="009A5EA9">
      <w:pPr>
        <w:spacing w:line="240" w:lineRule="auto"/>
        <w:ind w:left="1440" w:right="720"/>
      </w:pPr>
    </w:p>
    <w:p w14:paraId="2EF3C22D" w14:textId="18844724" w:rsidR="003E4E09" w:rsidRDefault="00892AE8" w:rsidP="009A5EA9">
      <w:r>
        <w:t>Preliminary Objections ¶18.  Essentially, West Penn objects that the Complaint is legally insufficient.</w:t>
      </w:r>
      <w:r>
        <w:rPr>
          <w:rStyle w:val="FootnoteReference"/>
        </w:rPr>
        <w:footnoteReference w:id="3"/>
      </w:r>
      <w:r w:rsidR="006272FA">
        <w:t xml:space="preserve">  Thus, West Penn requests </w:t>
      </w:r>
      <w:r w:rsidR="00596A46">
        <w:t>1) that Complainant’s request for an exemption from the installation of a smart meter be struck or 2) that the Complaint be dismissed in its entirety with prejudice.</w:t>
      </w:r>
    </w:p>
    <w:p w14:paraId="29A20277" w14:textId="4A8B8934" w:rsidR="006272FA" w:rsidRDefault="006272FA" w:rsidP="009A5EA9"/>
    <w:p w14:paraId="40D5A273" w14:textId="3191375E" w:rsidR="00E83C99" w:rsidRDefault="006272FA" w:rsidP="009A5EA9">
      <w:pPr>
        <w:rPr>
          <w:szCs w:val="24"/>
        </w:rPr>
      </w:pPr>
      <w:r>
        <w:tab/>
      </w:r>
      <w:r>
        <w:tab/>
        <w:t>By Notice dated</w:t>
      </w:r>
      <w:r w:rsidR="003E4E09">
        <w:t xml:space="preserve"> </w:t>
      </w:r>
      <w:r>
        <w:t xml:space="preserve">January 9, </w:t>
      </w:r>
      <w:r w:rsidR="003E4E09">
        <w:t>20</w:t>
      </w:r>
      <w:r>
        <w:t>20, the Parties were informed that this proceeding was assigned to me.</w:t>
      </w:r>
      <w:r w:rsidR="00E83C99" w:rsidRPr="00E83C99">
        <w:rPr>
          <w:szCs w:val="24"/>
        </w:rPr>
        <w:t xml:space="preserve"> </w:t>
      </w:r>
    </w:p>
    <w:p w14:paraId="6C01C0FF" w14:textId="77777777" w:rsidR="00E83C99" w:rsidRDefault="00E83C99" w:rsidP="009A5EA9">
      <w:pPr>
        <w:rPr>
          <w:szCs w:val="24"/>
        </w:rPr>
      </w:pPr>
    </w:p>
    <w:p w14:paraId="23F2D7DB" w14:textId="05D56BD8" w:rsidR="00191F36" w:rsidRDefault="00E83C99" w:rsidP="009A5EA9">
      <w:pPr>
        <w:rPr>
          <w:spacing w:val="-3"/>
          <w:szCs w:val="24"/>
        </w:rPr>
      </w:pPr>
      <w:r>
        <w:rPr>
          <w:szCs w:val="24"/>
        </w:rPr>
        <w:tab/>
      </w:r>
      <w:r>
        <w:rPr>
          <w:szCs w:val="24"/>
        </w:rPr>
        <w:tab/>
      </w:r>
      <w:r w:rsidR="00F117D3">
        <w:rPr>
          <w:szCs w:val="24"/>
        </w:rPr>
        <w:t xml:space="preserve">Complainant is currently self-represented.  </w:t>
      </w:r>
      <w:r w:rsidR="00F117D3">
        <w:t xml:space="preserve">A ruling on </w:t>
      </w:r>
      <w:r w:rsidR="00596A46">
        <w:t xml:space="preserve">West </w:t>
      </w:r>
      <w:r w:rsidR="003E4E09">
        <w:t>Penn</w:t>
      </w:r>
      <w:r w:rsidR="00F117D3">
        <w:t xml:space="preserve">’s </w:t>
      </w:r>
      <w:r w:rsidR="00731FD3">
        <w:t>P</w:t>
      </w:r>
      <w:r w:rsidR="00F117D3">
        <w:t xml:space="preserve">reliminary </w:t>
      </w:r>
      <w:r w:rsidR="00731FD3">
        <w:t>O</w:t>
      </w:r>
      <w:r w:rsidR="00F117D3">
        <w:t xml:space="preserve">bjections will be held in abeyance pending a hearing on the </w:t>
      </w:r>
      <w:r w:rsidR="00731FD3">
        <w:t>C</w:t>
      </w:r>
      <w:r w:rsidR="00F117D3">
        <w:t>omplaint.  In</w:t>
      </w:r>
      <w:r w:rsidR="00F117D3" w:rsidRPr="00982AC1">
        <w:t xml:space="preserve"> </w:t>
      </w:r>
      <w:r w:rsidR="00F117D3" w:rsidRPr="00982AC1">
        <w:rPr>
          <w:i/>
        </w:rPr>
        <w:t>Carlock v. The United Telephone Company of Pennsylvania</w:t>
      </w:r>
      <w:r w:rsidR="00F117D3" w:rsidRPr="00982AC1">
        <w:t>, Docket No. F</w:t>
      </w:r>
      <w:r w:rsidR="00F117D3" w:rsidRPr="00982AC1">
        <w:noBreakHyphen/>
        <w:t>00163617 (Order entered July</w:t>
      </w:r>
      <w:r w:rsidR="00731FD3">
        <w:t> </w:t>
      </w:r>
      <w:r w:rsidR="00F117D3" w:rsidRPr="00982AC1">
        <w:t>14, 1993), th</w:t>
      </w:r>
      <w:r w:rsidR="00F117D3">
        <w:t>e</w:t>
      </w:r>
      <w:r w:rsidR="00F117D3" w:rsidRPr="00982AC1">
        <w:t xml:space="preserve"> Commission held that, in the normal course, </w:t>
      </w:r>
      <w:r w:rsidR="00F117D3">
        <w:t xml:space="preserve">the Commission </w:t>
      </w:r>
      <w:r w:rsidR="00F117D3" w:rsidRPr="00982AC1">
        <w:t>would not dismiss a complaint</w:t>
      </w:r>
      <w:r w:rsidR="00F117D3">
        <w:t xml:space="preserve"> of a self-represented person</w:t>
      </w:r>
      <w:r w:rsidR="00F117D3" w:rsidRPr="00982AC1">
        <w:t xml:space="preserve"> without first providing a hearing during which </w:t>
      </w:r>
      <w:r w:rsidR="00F117D3" w:rsidRPr="00D50FE1">
        <w:t>self</w:t>
      </w:r>
      <w:r w:rsidR="006A570A">
        <w:noBreakHyphen/>
      </w:r>
      <w:r w:rsidR="00F117D3" w:rsidRPr="00D50FE1">
        <w:t>represented</w:t>
      </w:r>
      <w:r w:rsidR="00F117D3" w:rsidRPr="00982AC1">
        <w:t xml:space="preserve"> complainants could further explain their position and the factual basis for their complaint.  The concern was expressed that, in general, complainants may find it difficult to navigate through prehearing motions and should be given the</w:t>
      </w:r>
      <w:r w:rsidR="00596A46">
        <w:t xml:space="preserve"> </w:t>
      </w:r>
      <w:r w:rsidR="00EA75C3">
        <w:t>opportunity</w:t>
      </w:r>
      <w:r w:rsidR="00596A46">
        <w:t xml:space="preserve"> t</w:t>
      </w:r>
      <w:r w:rsidR="00F117D3" w:rsidRPr="00982AC1">
        <w:t>o describe their basic issue and supporting facts.</w:t>
      </w:r>
      <w:r w:rsidR="00F117D3">
        <w:rPr>
          <w:rStyle w:val="FootnoteReference"/>
        </w:rPr>
        <w:footnoteReference w:id="4"/>
      </w:r>
      <w:r w:rsidR="00F117D3" w:rsidRPr="00982AC1">
        <w:t xml:space="preserve">  </w:t>
      </w:r>
      <w:bookmarkStart w:id="1" w:name="_Hlk505846389"/>
      <w:bookmarkStart w:id="2" w:name="_Hlk505846268"/>
    </w:p>
    <w:p w14:paraId="05C1D072" w14:textId="77777777" w:rsidR="00606948" w:rsidRDefault="00606948" w:rsidP="009A5EA9">
      <w:pPr>
        <w:autoSpaceDE w:val="0"/>
        <w:autoSpaceDN w:val="0"/>
        <w:rPr>
          <w:rFonts w:eastAsia="Times New Roman"/>
          <w:szCs w:val="24"/>
        </w:rPr>
      </w:pPr>
    </w:p>
    <w:p w14:paraId="359EA1FB" w14:textId="6A1D6BEA" w:rsidR="00C006C8" w:rsidRPr="00C006C8" w:rsidRDefault="00C006C8" w:rsidP="009A5EA9">
      <w:pPr>
        <w:autoSpaceDE w:val="0"/>
        <w:autoSpaceDN w:val="0"/>
        <w:rPr>
          <w:rFonts w:eastAsia="Times New Roman"/>
          <w:szCs w:val="24"/>
        </w:rPr>
      </w:pPr>
      <w:r w:rsidRPr="00C006C8">
        <w:rPr>
          <w:rFonts w:eastAsia="Times New Roman"/>
          <w:szCs w:val="24"/>
        </w:rPr>
        <w:lastRenderedPageBreak/>
        <w:tab/>
      </w:r>
      <w:r w:rsidRPr="00C006C8">
        <w:rPr>
          <w:rFonts w:eastAsia="Times New Roman"/>
          <w:szCs w:val="24"/>
        </w:rPr>
        <w:tab/>
        <w:t>Complainant is</w:t>
      </w:r>
      <w:r w:rsidRPr="00C006C8">
        <w:rPr>
          <w:rFonts w:eastAsia="Times New Roman"/>
          <w:color w:val="FF0000"/>
          <w:szCs w:val="24"/>
        </w:rPr>
        <w:t xml:space="preserve"> </w:t>
      </w:r>
      <w:r w:rsidRPr="00C006C8">
        <w:rPr>
          <w:rFonts w:eastAsia="Times New Roman"/>
          <w:szCs w:val="24"/>
        </w:rPr>
        <w:t xml:space="preserve">cautioned that </w:t>
      </w:r>
      <w:r>
        <w:rPr>
          <w:rFonts w:eastAsia="Times New Roman"/>
          <w:szCs w:val="24"/>
        </w:rPr>
        <w:t>holding West Penn</w:t>
      </w:r>
      <w:r w:rsidRPr="00C006C8">
        <w:rPr>
          <w:rFonts w:eastAsia="Times New Roman"/>
          <w:szCs w:val="24"/>
        </w:rPr>
        <w:t xml:space="preserve">’s preliminary motion for dismissal of the Complaint in its entirety is </w:t>
      </w:r>
      <w:r>
        <w:rPr>
          <w:rFonts w:eastAsia="Times New Roman"/>
          <w:szCs w:val="24"/>
        </w:rPr>
        <w:t xml:space="preserve">held in abeyance to afford Complainant an opportunity to present his case. </w:t>
      </w:r>
      <w:r w:rsidR="00606948">
        <w:rPr>
          <w:rFonts w:eastAsia="Times New Roman"/>
          <w:szCs w:val="24"/>
        </w:rPr>
        <w:t xml:space="preserve"> </w:t>
      </w:r>
      <w:r>
        <w:rPr>
          <w:rFonts w:eastAsia="Times New Roman"/>
          <w:szCs w:val="24"/>
        </w:rPr>
        <w:t xml:space="preserve">Holding a ruling on West Penn’s preliminary motion in abeyance </w:t>
      </w:r>
      <w:r w:rsidRPr="00C006C8">
        <w:rPr>
          <w:rFonts w:eastAsia="Times New Roman"/>
          <w:szCs w:val="24"/>
        </w:rPr>
        <w:t xml:space="preserve">does not, in any way, give credence to either the substance of the Complaint or to the likelihood of Complainant’s success on the merits.  </w:t>
      </w:r>
    </w:p>
    <w:p w14:paraId="21B8E8DC" w14:textId="77777777" w:rsidR="00C006C8" w:rsidRPr="00C006C8" w:rsidRDefault="00C006C8" w:rsidP="009A5EA9">
      <w:pPr>
        <w:autoSpaceDE w:val="0"/>
        <w:autoSpaceDN w:val="0"/>
        <w:rPr>
          <w:rFonts w:eastAsia="Times New Roman"/>
          <w:szCs w:val="24"/>
        </w:rPr>
      </w:pPr>
    </w:p>
    <w:p w14:paraId="4DCA0F1F" w14:textId="77777777" w:rsidR="00C006C8" w:rsidRPr="00C006C8" w:rsidRDefault="00C006C8" w:rsidP="009A5EA9">
      <w:pPr>
        <w:autoSpaceDE w:val="0"/>
        <w:autoSpaceDN w:val="0"/>
        <w:rPr>
          <w:rFonts w:eastAsia="Times New Roman"/>
          <w:spacing w:val="-3"/>
          <w:szCs w:val="24"/>
        </w:rPr>
      </w:pPr>
      <w:r w:rsidRPr="00C006C8">
        <w:rPr>
          <w:rFonts w:eastAsia="Times New Roman"/>
          <w:szCs w:val="24"/>
        </w:rPr>
        <w:tab/>
      </w:r>
      <w:r w:rsidRPr="00C006C8">
        <w:rPr>
          <w:rFonts w:eastAsia="Times New Roman"/>
          <w:szCs w:val="24"/>
        </w:rPr>
        <w:tab/>
        <w:t>A c</w:t>
      </w:r>
      <w:r w:rsidRPr="00C006C8">
        <w:rPr>
          <w:rFonts w:eastAsia="Times New Roman"/>
          <w:spacing w:val="-3"/>
          <w:szCs w:val="24"/>
        </w:rPr>
        <w:t xml:space="preserve">omplainant has the burden of showing that the named utility is responsible or accountable for the problem described in the complaint in order to prevail.  </w:t>
      </w:r>
      <w:r w:rsidRPr="00C006C8">
        <w:rPr>
          <w:rFonts w:eastAsia="Times New Roman"/>
          <w:i/>
          <w:spacing w:val="-3"/>
          <w:szCs w:val="24"/>
        </w:rPr>
        <w:t>Patterson v. Bell Telephone Company of Pennsylvania</w:t>
      </w:r>
      <w:r w:rsidRPr="00C006C8">
        <w:rPr>
          <w:rFonts w:eastAsia="Times New Roman"/>
          <w:spacing w:val="-3"/>
          <w:szCs w:val="24"/>
        </w:rPr>
        <w:t xml:space="preserve">, 72 Pa. PUC 196 (1990); </w:t>
      </w:r>
      <w:r w:rsidRPr="00C006C8">
        <w:rPr>
          <w:rFonts w:eastAsia="Times New Roman"/>
          <w:i/>
          <w:spacing w:val="-3"/>
          <w:szCs w:val="24"/>
        </w:rPr>
        <w:t>Feinstein v. Philadelphia Suburban Water Company</w:t>
      </w:r>
      <w:r w:rsidRPr="00C006C8">
        <w:rPr>
          <w:rFonts w:eastAsia="Times New Roman"/>
          <w:spacing w:val="-3"/>
          <w:szCs w:val="24"/>
        </w:rPr>
        <w:t xml:space="preserve">, 50 Pa. PUC 300 (1976).  This must be shown by a preponderance of the evidence.  </w:t>
      </w:r>
      <w:r w:rsidRPr="00C006C8">
        <w:rPr>
          <w:rFonts w:eastAsia="Times New Roman"/>
          <w:i/>
          <w:spacing w:val="-3"/>
          <w:szCs w:val="24"/>
        </w:rPr>
        <w:t>Samuel J. Lansberry, Inc. v. Pa. Pub. Util. Comm’n</w:t>
      </w:r>
      <w:r w:rsidRPr="00C006C8">
        <w:rPr>
          <w:rFonts w:eastAsia="Times New Roman"/>
          <w:spacing w:val="-3"/>
          <w:szCs w:val="24"/>
        </w:rPr>
        <w:t xml:space="preserve">, 578 A.2d 600 (1990), </w:t>
      </w:r>
      <w:r w:rsidRPr="00C006C8">
        <w:rPr>
          <w:rFonts w:eastAsia="Times New Roman"/>
          <w:i/>
          <w:spacing w:val="-3"/>
          <w:szCs w:val="24"/>
        </w:rPr>
        <w:t>alloc. den.</w:t>
      </w:r>
      <w:r w:rsidRPr="00C006C8">
        <w:rPr>
          <w:rFonts w:eastAsia="Times New Roman"/>
          <w:spacing w:val="-3"/>
          <w:szCs w:val="24"/>
        </w:rPr>
        <w:t xml:space="preserve">, 602 A.2d 863 (1992).  That is, by presenting evidence more convincing, by even the smallest amount, than that presented by the other party.  </w:t>
      </w:r>
      <w:r w:rsidRPr="00C006C8">
        <w:rPr>
          <w:rFonts w:eastAsia="Times New Roman"/>
          <w:i/>
          <w:spacing w:val="-3"/>
          <w:szCs w:val="24"/>
        </w:rPr>
        <w:t>Se-Ling Hosiery v. Marqulies</w:t>
      </w:r>
      <w:r w:rsidRPr="00C006C8">
        <w:rPr>
          <w:rFonts w:eastAsia="Times New Roman"/>
          <w:spacing w:val="-3"/>
          <w:szCs w:val="24"/>
        </w:rPr>
        <w:t xml:space="preserve">, 70 A.2d 854 (1950).  </w:t>
      </w:r>
    </w:p>
    <w:p w14:paraId="5BB2F1E0" w14:textId="77777777" w:rsidR="00C006C8" w:rsidRPr="00C006C8" w:rsidRDefault="00C006C8" w:rsidP="009A5EA9">
      <w:pPr>
        <w:autoSpaceDE w:val="0"/>
        <w:autoSpaceDN w:val="0"/>
        <w:ind w:firstLine="1440"/>
        <w:rPr>
          <w:rFonts w:eastAsia="Times New Roman"/>
          <w:spacing w:val="-3"/>
          <w:szCs w:val="24"/>
        </w:rPr>
      </w:pPr>
    </w:p>
    <w:p w14:paraId="7AF60180" w14:textId="5ED77167" w:rsidR="00C006C8" w:rsidRPr="00C006C8" w:rsidRDefault="00C006C8" w:rsidP="009A5EA9">
      <w:pPr>
        <w:autoSpaceDE w:val="0"/>
        <w:autoSpaceDN w:val="0"/>
        <w:rPr>
          <w:rFonts w:eastAsia="Times New Roman"/>
          <w:szCs w:val="24"/>
        </w:rPr>
      </w:pPr>
      <w:r w:rsidRPr="00C006C8">
        <w:rPr>
          <w:rFonts w:eastAsia="Times New Roman"/>
          <w:szCs w:val="24"/>
        </w:rPr>
        <w:tab/>
      </w:r>
      <w:r w:rsidRPr="00C006C8">
        <w:rPr>
          <w:rFonts w:eastAsia="Times New Roman"/>
          <w:szCs w:val="24"/>
        </w:rPr>
        <w:tab/>
        <w:t>The utility company’s offense must be a violation of the Public Utility Code, the Commission’s regulations, or an outstanding order of the Commission.  66 Pa.C.S. § 701.  Complainant is responsible for proving that the utility has acted improperly, by providing testimony and documentary evidence, such as expert reports, photographs and any other relevant materials necessary to support that finding, and that the Commission has the jurisdiction to provide the remedy</w:t>
      </w:r>
      <w:r>
        <w:rPr>
          <w:rFonts w:eastAsia="Times New Roman"/>
          <w:szCs w:val="24"/>
        </w:rPr>
        <w:t xml:space="preserve"> request by Complainant</w:t>
      </w:r>
      <w:r w:rsidRPr="00C006C8">
        <w:rPr>
          <w:rFonts w:eastAsia="Times New Roman"/>
          <w:szCs w:val="24"/>
        </w:rPr>
        <w:t>.</w:t>
      </w:r>
    </w:p>
    <w:p w14:paraId="6AF4BEBE" w14:textId="77777777" w:rsidR="00606948" w:rsidRDefault="00606948" w:rsidP="009A5EA9"/>
    <w:p w14:paraId="1913D907" w14:textId="0C69C329" w:rsidR="00606948" w:rsidRPr="00606948" w:rsidRDefault="00606948" w:rsidP="009A5EA9">
      <w:pPr>
        <w:tabs>
          <w:tab w:val="left" w:pos="-720"/>
        </w:tabs>
        <w:suppressAutoHyphens/>
        <w:autoSpaceDE w:val="0"/>
        <w:autoSpaceDN w:val="0"/>
        <w:rPr>
          <w:rFonts w:eastAsia="Times New Roman"/>
          <w:spacing w:val="-3"/>
          <w:szCs w:val="24"/>
        </w:rPr>
      </w:pPr>
      <w:r w:rsidRPr="00606948">
        <w:rPr>
          <w:rFonts w:eastAsia="Times New Roman"/>
          <w:spacing w:val="-3"/>
          <w:szCs w:val="24"/>
        </w:rPr>
        <w:tab/>
      </w:r>
      <w:r w:rsidRPr="00606948">
        <w:rPr>
          <w:rFonts w:eastAsia="Times New Roman"/>
          <w:spacing w:val="-3"/>
          <w:szCs w:val="24"/>
        </w:rPr>
        <w:tab/>
        <w:t xml:space="preserve">The </w:t>
      </w:r>
      <w:r w:rsidR="00FC3529">
        <w:rPr>
          <w:rFonts w:eastAsia="Times New Roman"/>
          <w:spacing w:val="-3"/>
          <w:szCs w:val="24"/>
        </w:rPr>
        <w:t>P</w:t>
      </w:r>
      <w:r w:rsidRPr="00606948">
        <w:rPr>
          <w:rFonts w:eastAsia="Times New Roman"/>
          <w:spacing w:val="-3"/>
          <w:szCs w:val="24"/>
        </w:rPr>
        <w:t xml:space="preserve">arties are encouraged to talk with each other to resolve this matter or some portion thereof.  It is the Commission’s policy to encourage settlements.  52 Pa.Code § 5.231. </w:t>
      </w:r>
    </w:p>
    <w:p w14:paraId="37A698E1" w14:textId="10E344E2" w:rsidR="00606948" w:rsidRDefault="00606948" w:rsidP="009A5EA9">
      <w:pPr>
        <w:autoSpaceDE w:val="0"/>
        <w:autoSpaceDN w:val="0"/>
        <w:jc w:val="center"/>
        <w:rPr>
          <w:rFonts w:eastAsia="Times New Roman"/>
          <w:szCs w:val="24"/>
          <w:u w:val="single"/>
        </w:rPr>
      </w:pPr>
    </w:p>
    <w:p w14:paraId="79D65DDA" w14:textId="2FDB668A" w:rsidR="00F52C56" w:rsidRDefault="00F52C56" w:rsidP="009A5EA9">
      <w:pPr>
        <w:autoSpaceDE w:val="0"/>
        <w:autoSpaceDN w:val="0"/>
        <w:jc w:val="center"/>
        <w:rPr>
          <w:rFonts w:eastAsia="Times New Roman"/>
          <w:szCs w:val="24"/>
          <w:u w:val="single"/>
        </w:rPr>
      </w:pPr>
    </w:p>
    <w:p w14:paraId="0EF976CE" w14:textId="134F78EE" w:rsidR="00F52C56" w:rsidRDefault="00F52C56" w:rsidP="009A5EA9">
      <w:pPr>
        <w:autoSpaceDE w:val="0"/>
        <w:autoSpaceDN w:val="0"/>
        <w:jc w:val="center"/>
        <w:rPr>
          <w:rFonts w:eastAsia="Times New Roman"/>
          <w:szCs w:val="24"/>
          <w:u w:val="single"/>
        </w:rPr>
      </w:pPr>
    </w:p>
    <w:p w14:paraId="6ADF0FDC" w14:textId="0A705D1E" w:rsidR="00F52C56" w:rsidRDefault="00F52C56" w:rsidP="009A5EA9">
      <w:pPr>
        <w:autoSpaceDE w:val="0"/>
        <w:autoSpaceDN w:val="0"/>
        <w:jc w:val="center"/>
        <w:rPr>
          <w:rFonts w:eastAsia="Times New Roman"/>
          <w:szCs w:val="24"/>
          <w:u w:val="single"/>
        </w:rPr>
      </w:pPr>
    </w:p>
    <w:p w14:paraId="13B0F47C" w14:textId="069FEF73" w:rsidR="00F52C56" w:rsidRDefault="00F52C56" w:rsidP="009A5EA9">
      <w:pPr>
        <w:autoSpaceDE w:val="0"/>
        <w:autoSpaceDN w:val="0"/>
        <w:jc w:val="center"/>
        <w:rPr>
          <w:rFonts w:eastAsia="Times New Roman"/>
          <w:szCs w:val="24"/>
          <w:u w:val="single"/>
        </w:rPr>
      </w:pPr>
    </w:p>
    <w:p w14:paraId="40B1BD4F" w14:textId="7DB851D1" w:rsidR="00F52C56" w:rsidRDefault="00F52C56" w:rsidP="009A5EA9">
      <w:pPr>
        <w:autoSpaceDE w:val="0"/>
        <w:autoSpaceDN w:val="0"/>
        <w:jc w:val="center"/>
        <w:rPr>
          <w:rFonts w:eastAsia="Times New Roman"/>
          <w:szCs w:val="24"/>
          <w:u w:val="single"/>
        </w:rPr>
      </w:pPr>
    </w:p>
    <w:p w14:paraId="2327C221" w14:textId="474F2190" w:rsidR="00F52C56" w:rsidRDefault="00F52C56" w:rsidP="009A5EA9">
      <w:pPr>
        <w:autoSpaceDE w:val="0"/>
        <w:autoSpaceDN w:val="0"/>
        <w:jc w:val="center"/>
        <w:rPr>
          <w:rFonts w:eastAsia="Times New Roman"/>
          <w:szCs w:val="24"/>
          <w:u w:val="single"/>
        </w:rPr>
      </w:pPr>
    </w:p>
    <w:p w14:paraId="41C76648" w14:textId="77777777" w:rsidR="00F52C56" w:rsidRDefault="00F52C56" w:rsidP="009A5EA9">
      <w:pPr>
        <w:autoSpaceDE w:val="0"/>
        <w:autoSpaceDN w:val="0"/>
        <w:jc w:val="center"/>
        <w:rPr>
          <w:rFonts w:eastAsia="Times New Roman"/>
          <w:szCs w:val="24"/>
          <w:u w:val="single"/>
        </w:rPr>
      </w:pPr>
    </w:p>
    <w:p w14:paraId="446A1497" w14:textId="056C4352" w:rsidR="00606948" w:rsidRPr="00606948" w:rsidRDefault="00606948" w:rsidP="009A5EA9">
      <w:pPr>
        <w:autoSpaceDE w:val="0"/>
        <w:autoSpaceDN w:val="0"/>
        <w:jc w:val="center"/>
        <w:rPr>
          <w:rFonts w:eastAsia="Times New Roman"/>
          <w:szCs w:val="24"/>
          <w:u w:val="single"/>
        </w:rPr>
      </w:pPr>
      <w:r w:rsidRPr="00606948">
        <w:rPr>
          <w:rFonts w:eastAsia="Times New Roman"/>
          <w:szCs w:val="24"/>
          <w:u w:val="single"/>
        </w:rPr>
        <w:lastRenderedPageBreak/>
        <w:t>ORDER</w:t>
      </w:r>
    </w:p>
    <w:p w14:paraId="5D7D461D" w14:textId="39FB0BEA" w:rsidR="00606948" w:rsidRDefault="00606948" w:rsidP="009A5EA9"/>
    <w:p w14:paraId="6F04D191" w14:textId="77777777" w:rsidR="009A5EA9" w:rsidRDefault="009A5EA9" w:rsidP="009A5EA9"/>
    <w:p w14:paraId="143B8288" w14:textId="201EED2B" w:rsidR="00ED5A03" w:rsidRDefault="00C62655" w:rsidP="009A5EA9">
      <w:r>
        <w:tab/>
      </w:r>
      <w:r>
        <w:tab/>
      </w:r>
      <w:r w:rsidR="00ED5A03">
        <w:t>THEREFORE,</w:t>
      </w:r>
    </w:p>
    <w:p w14:paraId="4A0B5E2B" w14:textId="77777777" w:rsidR="00ED5A03" w:rsidRDefault="00ED5A03" w:rsidP="009A5EA9"/>
    <w:p w14:paraId="31286B64" w14:textId="19ABB140" w:rsidR="00ED5A03" w:rsidRDefault="00ED5A03" w:rsidP="009A5EA9">
      <w:r>
        <w:tab/>
      </w:r>
      <w:r w:rsidR="009F7F17">
        <w:tab/>
      </w:r>
      <w:r>
        <w:t>IT IS ORDERED:</w:t>
      </w:r>
    </w:p>
    <w:p w14:paraId="6ABB9699" w14:textId="77777777" w:rsidR="00F52C56" w:rsidRDefault="00F52C56" w:rsidP="009A5EA9">
      <w:bookmarkStart w:id="3" w:name="_GoBack"/>
      <w:bookmarkEnd w:id="3"/>
    </w:p>
    <w:p w14:paraId="65B8427B" w14:textId="3D112476" w:rsidR="00ED5A03" w:rsidRDefault="003809BB" w:rsidP="009A5EA9">
      <w:r>
        <w:tab/>
      </w:r>
      <w:r>
        <w:tab/>
        <w:t>1.</w:t>
      </w:r>
      <w:r>
        <w:tab/>
      </w:r>
      <w:r w:rsidR="00ED5A03">
        <w:t xml:space="preserve">That </w:t>
      </w:r>
      <w:r>
        <w:t xml:space="preserve">a ruling on </w:t>
      </w:r>
      <w:r w:rsidR="00ED5A03">
        <w:t xml:space="preserve">the </w:t>
      </w:r>
      <w:r w:rsidR="005D2522">
        <w:t>P</w:t>
      </w:r>
      <w:r w:rsidR="00ED5A03">
        <w:t xml:space="preserve">reliminary </w:t>
      </w:r>
      <w:r w:rsidR="005D2522">
        <w:t>O</w:t>
      </w:r>
      <w:r w:rsidR="00ED5A03">
        <w:t>bjection</w:t>
      </w:r>
      <w:r w:rsidR="00752324">
        <w:t>s</w:t>
      </w:r>
      <w:r w:rsidR="00ED5A03">
        <w:t xml:space="preserve"> of </w:t>
      </w:r>
      <w:r w:rsidR="00C006C8">
        <w:t xml:space="preserve">West Penn Power Company </w:t>
      </w:r>
      <w:r>
        <w:t xml:space="preserve">filed at </w:t>
      </w:r>
      <w:r w:rsidR="00C006C8">
        <w:t xml:space="preserve">Docket No. C-2019-3014261 </w:t>
      </w:r>
      <w:r>
        <w:t>requesting</w:t>
      </w:r>
      <w:r w:rsidR="00ED5A03">
        <w:t xml:space="preserve"> dismissal of </w:t>
      </w:r>
      <w:r>
        <w:t xml:space="preserve">the Formal Complaint of David Coyle </w:t>
      </w:r>
      <w:r w:rsidR="00333136">
        <w:t xml:space="preserve">will be held in abeyance </w:t>
      </w:r>
      <w:r>
        <w:t xml:space="preserve">pending an evidentiary hearing. </w:t>
      </w:r>
    </w:p>
    <w:p w14:paraId="32B8F684" w14:textId="77777777" w:rsidR="00606948" w:rsidRDefault="00606948" w:rsidP="009A5EA9">
      <w:pPr>
        <w:tabs>
          <w:tab w:val="left" w:pos="1440"/>
          <w:tab w:val="left" w:pos="2160"/>
          <w:tab w:val="left" w:pos="2880"/>
        </w:tabs>
        <w:rPr>
          <w:spacing w:val="-3"/>
          <w:szCs w:val="24"/>
        </w:rPr>
      </w:pPr>
    </w:p>
    <w:p w14:paraId="1B3AC2EF" w14:textId="100A75A1" w:rsidR="003809BB" w:rsidRPr="003809BB" w:rsidRDefault="003809BB" w:rsidP="009A5EA9">
      <w:pPr>
        <w:tabs>
          <w:tab w:val="left" w:pos="1440"/>
          <w:tab w:val="left" w:pos="2160"/>
          <w:tab w:val="left" w:pos="2880"/>
        </w:tabs>
        <w:rPr>
          <w:spacing w:val="-3"/>
          <w:szCs w:val="24"/>
        </w:rPr>
      </w:pPr>
      <w:r>
        <w:rPr>
          <w:spacing w:val="-3"/>
          <w:szCs w:val="24"/>
        </w:rPr>
        <w:tab/>
        <w:t>2.</w:t>
      </w:r>
      <w:r>
        <w:rPr>
          <w:spacing w:val="-3"/>
          <w:szCs w:val="24"/>
        </w:rPr>
        <w:tab/>
      </w:r>
      <w:r w:rsidRPr="003809BB">
        <w:rPr>
          <w:spacing w:val="-3"/>
          <w:szCs w:val="24"/>
        </w:rPr>
        <w:t xml:space="preserve">That this case shall be scheduled for </w:t>
      </w:r>
      <w:r>
        <w:rPr>
          <w:spacing w:val="-3"/>
          <w:szCs w:val="24"/>
        </w:rPr>
        <w:t xml:space="preserve">an evidentiary </w:t>
      </w:r>
      <w:r w:rsidRPr="003809BB">
        <w:rPr>
          <w:spacing w:val="-3"/>
          <w:szCs w:val="24"/>
        </w:rPr>
        <w:t xml:space="preserve">hearing by the Scheduling Staff of the Office of Administrative Law Judge for the next available hearing date before the undersigned </w:t>
      </w:r>
      <w:r w:rsidR="00FC3529">
        <w:rPr>
          <w:spacing w:val="-3"/>
          <w:szCs w:val="24"/>
        </w:rPr>
        <w:t>P</w:t>
      </w:r>
      <w:r w:rsidRPr="003809BB">
        <w:rPr>
          <w:spacing w:val="-3"/>
          <w:szCs w:val="24"/>
        </w:rPr>
        <w:t xml:space="preserve">residing </w:t>
      </w:r>
      <w:r w:rsidR="00FC3529">
        <w:rPr>
          <w:spacing w:val="-3"/>
          <w:szCs w:val="24"/>
        </w:rPr>
        <w:t>O</w:t>
      </w:r>
      <w:r w:rsidRPr="003809BB">
        <w:rPr>
          <w:spacing w:val="-3"/>
          <w:szCs w:val="24"/>
        </w:rPr>
        <w:t>fficer</w:t>
      </w:r>
      <w:r>
        <w:rPr>
          <w:spacing w:val="-3"/>
          <w:szCs w:val="24"/>
        </w:rPr>
        <w:t xml:space="preserve"> and the Parties so notified in writing</w:t>
      </w:r>
      <w:r w:rsidRPr="003809BB">
        <w:rPr>
          <w:spacing w:val="-3"/>
          <w:szCs w:val="24"/>
        </w:rPr>
        <w:t xml:space="preserve">. </w:t>
      </w:r>
    </w:p>
    <w:bookmarkEnd w:id="1"/>
    <w:bookmarkEnd w:id="2"/>
    <w:p w14:paraId="5E4E196E" w14:textId="77777777" w:rsidR="003809BB" w:rsidRPr="003809BB" w:rsidRDefault="003809BB" w:rsidP="009A5EA9">
      <w:pPr>
        <w:pStyle w:val="ListParagraph"/>
      </w:pPr>
    </w:p>
    <w:p w14:paraId="75326DB8" w14:textId="77777777" w:rsidR="003809BB" w:rsidRPr="003809BB" w:rsidRDefault="003809BB" w:rsidP="009A5EA9">
      <w:pPr>
        <w:tabs>
          <w:tab w:val="left" w:pos="-720"/>
        </w:tabs>
        <w:suppressAutoHyphens/>
        <w:autoSpaceDE w:val="0"/>
        <w:autoSpaceDN w:val="0"/>
        <w:rPr>
          <w:rFonts w:eastAsia="Times New Roman" w:cs="CG Times"/>
          <w:szCs w:val="24"/>
        </w:rPr>
      </w:pPr>
      <w:r w:rsidRPr="003809BB">
        <w:rPr>
          <w:rFonts w:ascii="CG Times" w:eastAsia="Times New Roman" w:hAnsi="CG Times" w:cs="CG Times"/>
          <w:noProof/>
          <w:szCs w:val="24"/>
        </w:rPr>
        <w:drawing>
          <wp:anchor distT="0" distB="0" distL="114300" distR="114300" simplePos="0" relativeHeight="251659264" behindDoc="1" locked="0" layoutInCell="1" allowOverlap="1" wp14:anchorId="27339162" wp14:editId="005D3459">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8271A" w14:textId="576295FC" w:rsidR="003809BB" w:rsidRPr="003809BB" w:rsidRDefault="003809BB" w:rsidP="003809BB">
      <w:pPr>
        <w:tabs>
          <w:tab w:val="left" w:pos="-720"/>
        </w:tabs>
        <w:suppressAutoHyphens/>
        <w:autoSpaceDE w:val="0"/>
        <w:autoSpaceDN w:val="0"/>
        <w:spacing w:line="480" w:lineRule="auto"/>
        <w:rPr>
          <w:rFonts w:eastAsia="Times New Roman" w:cs="CG Times"/>
          <w:szCs w:val="24"/>
        </w:rPr>
      </w:pPr>
      <w:r w:rsidRPr="003809BB">
        <w:rPr>
          <w:rFonts w:eastAsia="Times New Roman" w:cs="CG Times"/>
          <w:szCs w:val="24"/>
        </w:rPr>
        <w:t xml:space="preserve">Date:  </w:t>
      </w:r>
      <w:r w:rsidRPr="003809BB">
        <w:rPr>
          <w:rFonts w:eastAsia="Times New Roman" w:cs="CG Times"/>
          <w:szCs w:val="24"/>
          <w:u w:val="single"/>
        </w:rPr>
        <w:t xml:space="preserve">January </w:t>
      </w:r>
      <w:r w:rsidR="00FC3529">
        <w:rPr>
          <w:rFonts w:eastAsia="Times New Roman" w:cs="CG Times"/>
          <w:szCs w:val="24"/>
          <w:u w:val="single"/>
        </w:rPr>
        <w:t>30</w:t>
      </w:r>
      <w:r w:rsidRPr="003809BB">
        <w:rPr>
          <w:rFonts w:eastAsia="Times New Roman" w:cs="CG Times"/>
          <w:szCs w:val="24"/>
          <w:u w:val="single"/>
        </w:rPr>
        <w:t>, 20</w:t>
      </w:r>
      <w:r>
        <w:rPr>
          <w:rFonts w:eastAsia="Times New Roman" w:cs="CG Times"/>
          <w:szCs w:val="24"/>
          <w:u w:val="single"/>
        </w:rPr>
        <w:t>20</w:t>
      </w:r>
      <w:r w:rsidRPr="003809BB">
        <w:rPr>
          <w:rFonts w:eastAsia="Times New Roman" w:cs="CG Times"/>
          <w:szCs w:val="24"/>
        </w:rPr>
        <w:tab/>
      </w:r>
      <w:r w:rsidRPr="003809BB">
        <w:rPr>
          <w:rFonts w:eastAsia="Times New Roman" w:cs="CG Times"/>
          <w:szCs w:val="24"/>
        </w:rPr>
        <w:tab/>
      </w:r>
      <w:r w:rsidRPr="003809BB">
        <w:rPr>
          <w:rFonts w:eastAsia="Times New Roman" w:cs="CG Times"/>
          <w:szCs w:val="24"/>
        </w:rPr>
        <w:tab/>
      </w:r>
      <w:r w:rsidRPr="003809BB">
        <w:rPr>
          <w:rFonts w:eastAsia="Times New Roman" w:cs="CG Times"/>
          <w:szCs w:val="24"/>
        </w:rPr>
        <w:tab/>
      </w:r>
      <w:r w:rsidRPr="003809BB">
        <w:rPr>
          <w:rFonts w:eastAsia="Times New Roman" w:cs="CG Times"/>
          <w:szCs w:val="24"/>
        </w:rPr>
        <w:tab/>
        <w:t xml:space="preserve"> </w:t>
      </w:r>
    </w:p>
    <w:p w14:paraId="0FF0E2A5" w14:textId="77777777" w:rsidR="003809BB" w:rsidRPr="003809BB" w:rsidRDefault="003809BB" w:rsidP="003809BB">
      <w:pPr>
        <w:autoSpaceDE w:val="0"/>
        <w:autoSpaceDN w:val="0"/>
        <w:rPr>
          <w:rFonts w:eastAsia="Times New Roman"/>
          <w:szCs w:val="24"/>
        </w:rPr>
      </w:pPr>
    </w:p>
    <w:p w14:paraId="78BCA2A1" w14:textId="0F16E88F" w:rsidR="00EF0DAE" w:rsidRDefault="00EF0DAE" w:rsidP="00D22331">
      <w:pPr>
        <w:spacing w:line="240" w:lineRule="auto"/>
      </w:pPr>
    </w:p>
    <w:p w14:paraId="3643F787" w14:textId="77777777" w:rsidR="00EF0DAE" w:rsidRDefault="00EF0DAE" w:rsidP="00D22331">
      <w:pPr>
        <w:spacing w:line="240" w:lineRule="auto"/>
        <w:sectPr w:rsidR="00EF0DAE" w:rsidSect="00BE5A87">
          <w:footerReference w:type="default" r:id="rId9"/>
          <w:pgSz w:w="12240" w:h="15840"/>
          <w:pgMar w:top="1440" w:right="1440" w:bottom="1440" w:left="1440" w:header="720" w:footer="720" w:gutter="0"/>
          <w:cols w:space="720"/>
          <w:titlePg/>
          <w:docGrid w:linePitch="360"/>
        </w:sectPr>
      </w:pPr>
    </w:p>
    <w:p w14:paraId="7CE47BEE" w14:textId="0BD9117E" w:rsidR="00EF0DAE" w:rsidRDefault="00FC3529" w:rsidP="00FC3529">
      <w:pPr>
        <w:spacing w:line="240" w:lineRule="auto"/>
      </w:pPr>
      <w:r w:rsidRPr="00FC3529">
        <w:rPr>
          <w:rFonts w:ascii="Microsoft Sans Serif" w:eastAsia="Microsoft Sans Serif" w:hAnsi="Microsoft Sans Serif" w:cs="Microsoft Sans Serif"/>
          <w:b/>
          <w:szCs w:val="22"/>
          <w:u w:val="single"/>
        </w:rPr>
        <w:lastRenderedPageBreak/>
        <w:t>C-2019-3014261 - DAVID COYLE v. WEST PENN POWER CO.</w:t>
      </w:r>
      <w:r w:rsidRPr="00FC3529">
        <w:rPr>
          <w:rFonts w:ascii="Microsoft Sans Serif" w:eastAsia="Microsoft Sans Serif" w:hAnsi="Microsoft Sans Serif" w:cs="Microsoft Sans Serif"/>
          <w:b/>
          <w:szCs w:val="22"/>
          <w:u w:val="single"/>
        </w:rPr>
        <w:cr/>
      </w:r>
      <w:r w:rsidRPr="00FC3529">
        <w:rPr>
          <w:rFonts w:ascii="Microsoft Sans Serif" w:eastAsia="Microsoft Sans Serif" w:hAnsi="Microsoft Sans Serif" w:cs="Microsoft Sans Serif"/>
          <w:b/>
          <w:szCs w:val="22"/>
          <w:u w:val="single"/>
        </w:rPr>
        <w:cr/>
      </w:r>
      <w:r w:rsidRPr="00FC3529">
        <w:rPr>
          <w:rFonts w:ascii="Microsoft Sans Serif" w:eastAsia="Microsoft Sans Serif" w:hAnsi="Microsoft Sans Serif" w:cs="Microsoft Sans Serif"/>
          <w:szCs w:val="22"/>
        </w:rPr>
        <w:t>DAVID COYLE</w:t>
      </w:r>
      <w:r w:rsidRPr="00FC3529">
        <w:rPr>
          <w:rFonts w:ascii="Microsoft Sans Serif" w:eastAsia="Microsoft Sans Serif" w:hAnsi="Microsoft Sans Serif" w:cs="Microsoft Sans Serif"/>
          <w:szCs w:val="22"/>
        </w:rPr>
        <w:cr/>
        <w:t>184 OAK MANOR DR</w:t>
      </w:r>
      <w:r w:rsidRPr="00FC3529">
        <w:rPr>
          <w:rFonts w:ascii="Microsoft Sans Serif" w:eastAsia="Microsoft Sans Serif" w:hAnsi="Microsoft Sans Serif" w:cs="Microsoft Sans Serif"/>
          <w:szCs w:val="22"/>
        </w:rPr>
        <w:cr/>
        <w:t>NATRONA HEIGHTS PA  15065</w:t>
      </w:r>
      <w:r w:rsidRPr="00FC3529">
        <w:rPr>
          <w:rFonts w:ascii="Microsoft Sans Serif" w:eastAsia="Microsoft Sans Serif" w:hAnsi="Microsoft Sans Serif" w:cs="Microsoft Sans Serif"/>
          <w:szCs w:val="22"/>
        </w:rPr>
        <w:cr/>
      </w:r>
      <w:r w:rsidRPr="00FC3529">
        <w:rPr>
          <w:rFonts w:ascii="Microsoft Sans Serif" w:eastAsia="Microsoft Sans Serif" w:hAnsi="Microsoft Sans Serif" w:cs="Microsoft Sans Serif"/>
          <w:b/>
          <w:bCs/>
          <w:szCs w:val="22"/>
        </w:rPr>
        <w:t>724.681.3191</w:t>
      </w:r>
      <w:r w:rsidRPr="00FC3529">
        <w:rPr>
          <w:rFonts w:ascii="Microsoft Sans Serif" w:eastAsia="Microsoft Sans Serif" w:hAnsi="Microsoft Sans Serif" w:cs="Microsoft Sans Serif"/>
          <w:b/>
          <w:bCs/>
          <w:szCs w:val="22"/>
        </w:rPr>
        <w:br/>
      </w:r>
      <w:r w:rsidRPr="00FC3529">
        <w:rPr>
          <w:rFonts w:ascii="Microsoft Sans Serif" w:eastAsia="Microsoft Sans Serif" w:hAnsi="Microsoft Sans Serif" w:cs="Microsoft Sans Serif"/>
          <w:b/>
          <w:bCs/>
          <w:i/>
          <w:iCs/>
          <w:szCs w:val="22"/>
          <w:u w:val="single"/>
        </w:rPr>
        <w:t>ACCEPTS E-SERVICE</w:t>
      </w:r>
      <w:r w:rsidRPr="00FC3529">
        <w:rPr>
          <w:rFonts w:ascii="Microsoft Sans Serif" w:eastAsia="Microsoft Sans Serif" w:hAnsi="Microsoft Sans Serif" w:cs="Microsoft Sans Serif"/>
          <w:b/>
          <w:bCs/>
          <w:szCs w:val="22"/>
        </w:rPr>
        <w:cr/>
      </w:r>
      <w:r w:rsidRPr="00FC3529">
        <w:rPr>
          <w:rFonts w:ascii="Microsoft Sans Serif" w:eastAsia="Microsoft Sans Serif" w:hAnsi="Microsoft Sans Serif" w:cs="Microsoft Sans Serif"/>
          <w:szCs w:val="22"/>
        </w:rPr>
        <w:cr/>
        <w:t>LAUREN MARISSA LEPKOSKI ESQUIRE</w:t>
      </w:r>
      <w:r w:rsidRPr="00FC3529">
        <w:rPr>
          <w:rFonts w:ascii="Microsoft Sans Serif" w:eastAsia="Microsoft Sans Serif" w:hAnsi="Microsoft Sans Serif" w:cs="Microsoft Sans Serif"/>
          <w:szCs w:val="22"/>
        </w:rPr>
        <w:br/>
        <w:t xml:space="preserve">TORI L GIESLER ESQUIRE </w:t>
      </w:r>
      <w:r w:rsidRPr="00FC3529">
        <w:rPr>
          <w:rFonts w:ascii="Microsoft Sans Serif" w:eastAsia="Microsoft Sans Serif" w:hAnsi="Microsoft Sans Serif" w:cs="Microsoft Sans Serif"/>
          <w:szCs w:val="22"/>
        </w:rPr>
        <w:cr/>
        <w:t>FIRSTENERGY SERVICES CO</w:t>
      </w:r>
      <w:r w:rsidRPr="00FC3529">
        <w:rPr>
          <w:rFonts w:ascii="Microsoft Sans Serif" w:eastAsia="Microsoft Sans Serif" w:hAnsi="Microsoft Sans Serif" w:cs="Microsoft Sans Serif"/>
          <w:szCs w:val="22"/>
        </w:rPr>
        <w:cr/>
        <w:t xml:space="preserve">2800 POTTSVILLE PIKE </w:t>
      </w:r>
      <w:r w:rsidRPr="00FC3529">
        <w:rPr>
          <w:rFonts w:ascii="Microsoft Sans Serif" w:eastAsia="Microsoft Sans Serif" w:hAnsi="Microsoft Sans Serif" w:cs="Microsoft Sans Serif"/>
          <w:szCs w:val="22"/>
        </w:rPr>
        <w:cr/>
        <w:t>PO BOX 16001</w:t>
      </w:r>
      <w:r w:rsidRPr="00FC3529">
        <w:rPr>
          <w:rFonts w:ascii="Microsoft Sans Serif" w:eastAsia="Microsoft Sans Serif" w:hAnsi="Microsoft Sans Serif" w:cs="Microsoft Sans Serif"/>
          <w:szCs w:val="22"/>
        </w:rPr>
        <w:cr/>
        <w:t>READING PA  19612</w:t>
      </w:r>
      <w:r w:rsidRPr="00FC3529">
        <w:rPr>
          <w:rFonts w:ascii="Microsoft Sans Serif" w:eastAsia="Microsoft Sans Serif" w:hAnsi="Microsoft Sans Serif" w:cs="Microsoft Sans Serif"/>
          <w:szCs w:val="22"/>
        </w:rPr>
        <w:cr/>
      </w:r>
      <w:r w:rsidRPr="00FC3529">
        <w:rPr>
          <w:rFonts w:ascii="Microsoft Sans Serif" w:eastAsia="Microsoft Sans Serif" w:hAnsi="Microsoft Sans Serif" w:cs="Microsoft Sans Serif"/>
          <w:b/>
          <w:bCs/>
          <w:szCs w:val="22"/>
        </w:rPr>
        <w:t>610.921.6203</w:t>
      </w:r>
      <w:r w:rsidRPr="00FC3529">
        <w:rPr>
          <w:rFonts w:ascii="Microsoft Sans Serif" w:eastAsia="Microsoft Sans Serif" w:hAnsi="Microsoft Sans Serif" w:cs="Microsoft Sans Serif"/>
          <w:b/>
          <w:bCs/>
          <w:szCs w:val="22"/>
        </w:rPr>
        <w:br/>
        <w:t>610.921.6658</w:t>
      </w:r>
      <w:r w:rsidRPr="00FC3529">
        <w:rPr>
          <w:rFonts w:ascii="Microsoft Sans Serif" w:eastAsia="Microsoft Sans Serif" w:hAnsi="Microsoft Sans Serif" w:cs="Microsoft Sans Serif"/>
          <w:b/>
          <w:bCs/>
          <w:szCs w:val="22"/>
        </w:rPr>
        <w:br/>
      </w:r>
      <w:r w:rsidRPr="00FC3529">
        <w:rPr>
          <w:rFonts w:ascii="Microsoft Sans Serif" w:eastAsia="Microsoft Sans Serif" w:hAnsi="Microsoft Sans Serif" w:cs="Microsoft Sans Serif"/>
          <w:b/>
          <w:bCs/>
          <w:i/>
          <w:iCs/>
          <w:szCs w:val="22"/>
          <w:u w:val="single"/>
        </w:rPr>
        <w:t>ACCEPTS E-SERVICE</w:t>
      </w:r>
      <w:r w:rsidRPr="00FC3529">
        <w:rPr>
          <w:rFonts w:ascii="Microsoft Sans Serif" w:eastAsia="Microsoft Sans Serif" w:hAnsi="Microsoft Sans Serif" w:cs="Microsoft Sans Serif"/>
          <w:b/>
          <w:bCs/>
          <w:szCs w:val="22"/>
        </w:rPr>
        <w:cr/>
      </w:r>
    </w:p>
    <w:sectPr w:rsidR="00EF0DAE" w:rsidSect="00BE5A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044C8" w14:textId="77777777" w:rsidR="00E25C48" w:rsidRDefault="00E25C48" w:rsidP="002958EA">
      <w:pPr>
        <w:spacing w:line="240" w:lineRule="auto"/>
      </w:pPr>
      <w:r>
        <w:separator/>
      </w:r>
    </w:p>
  </w:endnote>
  <w:endnote w:type="continuationSeparator" w:id="0">
    <w:p w14:paraId="6F62426E" w14:textId="77777777" w:rsidR="00E25C48" w:rsidRDefault="00E25C48"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95435"/>
      <w:docPartObj>
        <w:docPartGallery w:val="Page Numbers (Bottom of Page)"/>
        <w:docPartUnique/>
      </w:docPartObj>
    </w:sdtPr>
    <w:sdtEndPr>
      <w:rPr>
        <w:noProof/>
        <w:sz w:val="20"/>
      </w:rPr>
    </w:sdtEndPr>
    <w:sdtContent>
      <w:p w14:paraId="56797DEA" w14:textId="77777777" w:rsidR="00BE5A87" w:rsidRPr="00BE5A87" w:rsidRDefault="00BE5A87">
        <w:pPr>
          <w:pStyle w:val="Footer"/>
          <w:jc w:val="center"/>
          <w:rPr>
            <w:sz w:val="20"/>
          </w:rPr>
        </w:pPr>
        <w:r w:rsidRPr="00BE5A87">
          <w:rPr>
            <w:sz w:val="20"/>
          </w:rPr>
          <w:fldChar w:fldCharType="begin"/>
        </w:r>
        <w:r w:rsidRPr="00BE5A87">
          <w:rPr>
            <w:sz w:val="20"/>
          </w:rPr>
          <w:instrText xml:space="preserve"> PAGE   \* MERGEFORMAT </w:instrText>
        </w:r>
        <w:r w:rsidRPr="00BE5A87">
          <w:rPr>
            <w:sz w:val="20"/>
          </w:rPr>
          <w:fldChar w:fldCharType="separate"/>
        </w:r>
        <w:r w:rsidR="007755D7">
          <w:rPr>
            <w:noProof/>
            <w:sz w:val="20"/>
          </w:rPr>
          <w:t>3</w:t>
        </w:r>
        <w:r w:rsidRPr="00BE5A8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E03F" w14:textId="77777777" w:rsidR="00E25C48" w:rsidRDefault="00E25C48" w:rsidP="002958EA">
      <w:pPr>
        <w:spacing w:line="240" w:lineRule="auto"/>
      </w:pPr>
      <w:r>
        <w:separator/>
      </w:r>
    </w:p>
  </w:footnote>
  <w:footnote w:type="continuationSeparator" w:id="0">
    <w:p w14:paraId="414D25B9" w14:textId="77777777" w:rsidR="00E25C48" w:rsidRDefault="00E25C48" w:rsidP="002958EA">
      <w:pPr>
        <w:spacing w:line="240" w:lineRule="auto"/>
      </w:pPr>
      <w:r>
        <w:continuationSeparator/>
      </w:r>
    </w:p>
  </w:footnote>
  <w:footnote w:id="1">
    <w:p w14:paraId="0571C505" w14:textId="7D19772A" w:rsidR="003542C3" w:rsidRDefault="003542C3" w:rsidP="00EA75C3">
      <w:pPr>
        <w:pStyle w:val="FootnoteText"/>
        <w:spacing w:after="0"/>
        <w:rPr>
          <w:i/>
          <w:iCs/>
        </w:rPr>
      </w:pPr>
      <w:r>
        <w:rPr>
          <w:rStyle w:val="FootnoteReference"/>
        </w:rPr>
        <w:footnoteRef/>
      </w:r>
      <w:r>
        <w:t xml:space="preserve"> </w:t>
      </w:r>
      <w:r w:rsidR="00635E80">
        <w:tab/>
      </w:r>
      <w:r>
        <w:t xml:space="preserve">66 Pa.C.S. § 2807 </w:t>
      </w:r>
      <w:r>
        <w:rPr>
          <w:i/>
          <w:iCs/>
        </w:rPr>
        <w:t>et</w:t>
      </w:r>
      <w:proofErr w:type="gramStart"/>
      <w:r>
        <w:rPr>
          <w:i/>
          <w:iCs/>
        </w:rPr>
        <w:t xml:space="preserve">. </w:t>
      </w:r>
      <w:proofErr w:type="gramEnd"/>
      <w:r>
        <w:rPr>
          <w:i/>
          <w:iCs/>
        </w:rPr>
        <w:t>seq.</w:t>
      </w:r>
    </w:p>
    <w:p w14:paraId="79B44B58" w14:textId="77777777" w:rsidR="007014B0" w:rsidRPr="003542C3" w:rsidRDefault="007014B0" w:rsidP="00EA75C3">
      <w:pPr>
        <w:pStyle w:val="FootnoteText"/>
        <w:spacing w:after="0"/>
      </w:pPr>
    </w:p>
  </w:footnote>
  <w:footnote w:id="2">
    <w:p w14:paraId="67BD64E2" w14:textId="2BB70616" w:rsidR="003542C3" w:rsidRPr="003542C3" w:rsidRDefault="003542C3" w:rsidP="00EA75C3">
      <w:pPr>
        <w:pStyle w:val="FootnoteText"/>
        <w:spacing w:after="0"/>
      </w:pPr>
      <w:r>
        <w:rPr>
          <w:rStyle w:val="FootnoteReference"/>
        </w:rPr>
        <w:footnoteRef/>
      </w:r>
      <w:r>
        <w:t xml:space="preserve"> </w:t>
      </w:r>
      <w:r w:rsidR="00635E80">
        <w:tab/>
      </w:r>
      <w:r>
        <w:rPr>
          <w:i/>
          <w:iCs/>
        </w:rPr>
        <w:t>See</w:t>
      </w:r>
      <w:r>
        <w:t xml:space="preserve"> 66 Pa.C.S. § 1406(a)(4); 52 </w:t>
      </w:r>
      <w:proofErr w:type="gramStart"/>
      <w:r>
        <w:t>Pa.Code</w:t>
      </w:r>
      <w:proofErr w:type="gramEnd"/>
      <w:r>
        <w:t xml:space="preserve"> § 56.81; </w:t>
      </w:r>
      <w:r>
        <w:rPr>
          <w:i/>
          <w:iCs/>
        </w:rPr>
        <w:t>West Penn Power Company Retail Electric Service Tariff,</w:t>
      </w:r>
      <w:r>
        <w:t xml:space="preserve"> Electric</w:t>
      </w:r>
      <w:r w:rsidR="00FC3529">
        <w:t xml:space="preserve">.  </w:t>
      </w:r>
      <w:r>
        <w:t>Pa. PUC NO. 40, pp. 46,61.</w:t>
      </w:r>
      <w:r w:rsidR="00635E80">
        <w:t xml:space="preserve"> </w:t>
      </w:r>
      <w:r>
        <w:t xml:space="preserve"> Issued May 1, 2014.</w:t>
      </w:r>
      <w:r w:rsidR="00635E80">
        <w:t xml:space="preserve"> </w:t>
      </w:r>
      <w:r>
        <w:t xml:space="preserve"> Effective May 3, 2015.</w:t>
      </w:r>
    </w:p>
  </w:footnote>
  <w:footnote w:id="3">
    <w:p w14:paraId="75194AA1" w14:textId="3FA0E129" w:rsidR="00892AE8" w:rsidRDefault="00892AE8" w:rsidP="00EA75C3">
      <w:pPr>
        <w:pStyle w:val="FootnoteText"/>
        <w:spacing w:after="0"/>
      </w:pPr>
      <w:r>
        <w:rPr>
          <w:rStyle w:val="FootnoteReference"/>
        </w:rPr>
        <w:footnoteRef/>
      </w:r>
      <w:r>
        <w:t xml:space="preserve"> </w:t>
      </w:r>
      <w:r>
        <w:tab/>
      </w:r>
      <w:r w:rsidR="006272FA">
        <w:t>52 Pa.Code § 5.101(a)(3).</w:t>
      </w:r>
    </w:p>
    <w:p w14:paraId="343AD808" w14:textId="77777777" w:rsidR="006272FA" w:rsidRDefault="006272FA" w:rsidP="00EA75C3">
      <w:pPr>
        <w:pStyle w:val="FootnoteText"/>
        <w:spacing w:after="0"/>
      </w:pPr>
    </w:p>
  </w:footnote>
  <w:footnote w:id="4">
    <w:p w14:paraId="48F2D697" w14:textId="77777777" w:rsidR="00F117D3" w:rsidRDefault="00F117D3" w:rsidP="00EA75C3">
      <w:pPr>
        <w:pStyle w:val="FootnoteText"/>
        <w:spacing w:after="0"/>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86B5C"/>
    <w:multiLevelType w:val="hybridMultilevel"/>
    <w:tmpl w:val="8BF4B0DA"/>
    <w:lvl w:ilvl="0" w:tplc="08A03C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6"/>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8"/>
  </w:num>
  <w:num w:numId="11">
    <w:abstractNumId w:val="22"/>
  </w:num>
  <w:num w:numId="12">
    <w:abstractNumId w:val="13"/>
  </w:num>
  <w:num w:numId="13">
    <w:abstractNumId w:val="19"/>
  </w:num>
  <w:num w:numId="14">
    <w:abstractNumId w:val="24"/>
  </w:num>
  <w:num w:numId="15">
    <w:abstractNumId w:val="0"/>
  </w:num>
  <w:num w:numId="16">
    <w:abstractNumId w:val="17"/>
  </w:num>
  <w:num w:numId="17">
    <w:abstractNumId w:val="17"/>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5"/>
  </w:num>
  <w:num w:numId="31">
    <w:abstractNumId w:val="29"/>
  </w:num>
  <w:num w:numId="32">
    <w:abstractNumId w:val="20"/>
  </w:num>
  <w:num w:numId="33">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4C37"/>
    <w:rsid w:val="000561BC"/>
    <w:rsid w:val="00066D87"/>
    <w:rsid w:val="000E1058"/>
    <w:rsid w:val="000E3EDE"/>
    <w:rsid w:val="00107E82"/>
    <w:rsid w:val="00127E0D"/>
    <w:rsid w:val="00141A8E"/>
    <w:rsid w:val="0014330D"/>
    <w:rsid w:val="00191F36"/>
    <w:rsid w:val="001A21B6"/>
    <w:rsid w:val="001B1CBA"/>
    <w:rsid w:val="001C751F"/>
    <w:rsid w:val="001D2AF7"/>
    <w:rsid w:val="001E08D8"/>
    <w:rsid w:val="001E30B0"/>
    <w:rsid w:val="00207743"/>
    <w:rsid w:val="00213167"/>
    <w:rsid w:val="002512F9"/>
    <w:rsid w:val="00292217"/>
    <w:rsid w:val="00292D3A"/>
    <w:rsid w:val="002958EA"/>
    <w:rsid w:val="003145FA"/>
    <w:rsid w:val="003303A0"/>
    <w:rsid w:val="00333136"/>
    <w:rsid w:val="003542C3"/>
    <w:rsid w:val="00367A41"/>
    <w:rsid w:val="003809BB"/>
    <w:rsid w:val="00393C92"/>
    <w:rsid w:val="003A3E09"/>
    <w:rsid w:val="003E4E09"/>
    <w:rsid w:val="004019C6"/>
    <w:rsid w:val="00407E1D"/>
    <w:rsid w:val="004138B2"/>
    <w:rsid w:val="00433857"/>
    <w:rsid w:val="0046348B"/>
    <w:rsid w:val="00481D91"/>
    <w:rsid w:val="004B0E40"/>
    <w:rsid w:val="004B526B"/>
    <w:rsid w:val="004C1ED8"/>
    <w:rsid w:val="004D523C"/>
    <w:rsid w:val="004D5A66"/>
    <w:rsid w:val="004E16C1"/>
    <w:rsid w:val="004F4927"/>
    <w:rsid w:val="00521C52"/>
    <w:rsid w:val="00574909"/>
    <w:rsid w:val="00596A46"/>
    <w:rsid w:val="005A1C17"/>
    <w:rsid w:val="005A2ABA"/>
    <w:rsid w:val="005A3103"/>
    <w:rsid w:val="005D180A"/>
    <w:rsid w:val="005D2522"/>
    <w:rsid w:val="005D2FFD"/>
    <w:rsid w:val="005E7B69"/>
    <w:rsid w:val="00606948"/>
    <w:rsid w:val="0061174F"/>
    <w:rsid w:val="0061775F"/>
    <w:rsid w:val="006272FA"/>
    <w:rsid w:val="00635E80"/>
    <w:rsid w:val="0064563E"/>
    <w:rsid w:val="0067224F"/>
    <w:rsid w:val="00680D82"/>
    <w:rsid w:val="00683EDA"/>
    <w:rsid w:val="00684BC0"/>
    <w:rsid w:val="00685A8F"/>
    <w:rsid w:val="00696C0D"/>
    <w:rsid w:val="006A570A"/>
    <w:rsid w:val="006B470D"/>
    <w:rsid w:val="006F0329"/>
    <w:rsid w:val="00700807"/>
    <w:rsid w:val="007014B0"/>
    <w:rsid w:val="00705EE2"/>
    <w:rsid w:val="007074A5"/>
    <w:rsid w:val="00712E58"/>
    <w:rsid w:val="00731FD3"/>
    <w:rsid w:val="00735722"/>
    <w:rsid w:val="007407AC"/>
    <w:rsid w:val="00752324"/>
    <w:rsid w:val="00755D72"/>
    <w:rsid w:val="00764084"/>
    <w:rsid w:val="007755D7"/>
    <w:rsid w:val="00792796"/>
    <w:rsid w:val="00796B64"/>
    <w:rsid w:val="007C1ACC"/>
    <w:rsid w:val="007D7776"/>
    <w:rsid w:val="007E6779"/>
    <w:rsid w:val="00820B4C"/>
    <w:rsid w:val="0083239D"/>
    <w:rsid w:val="0084383F"/>
    <w:rsid w:val="008479B8"/>
    <w:rsid w:val="008529D2"/>
    <w:rsid w:val="0088105E"/>
    <w:rsid w:val="00892AE8"/>
    <w:rsid w:val="008B1AFA"/>
    <w:rsid w:val="008C778F"/>
    <w:rsid w:val="008F34A1"/>
    <w:rsid w:val="00917DCA"/>
    <w:rsid w:val="0097287F"/>
    <w:rsid w:val="009914B8"/>
    <w:rsid w:val="00992B50"/>
    <w:rsid w:val="009A5EA9"/>
    <w:rsid w:val="009C350E"/>
    <w:rsid w:val="009E1699"/>
    <w:rsid w:val="009F2875"/>
    <w:rsid w:val="009F7F17"/>
    <w:rsid w:val="00A1207D"/>
    <w:rsid w:val="00A47096"/>
    <w:rsid w:val="00A536BA"/>
    <w:rsid w:val="00AA2EC5"/>
    <w:rsid w:val="00AB4C73"/>
    <w:rsid w:val="00AE4DE9"/>
    <w:rsid w:val="00AE6F47"/>
    <w:rsid w:val="00B21665"/>
    <w:rsid w:val="00B26A68"/>
    <w:rsid w:val="00B46FF4"/>
    <w:rsid w:val="00B91E47"/>
    <w:rsid w:val="00BA6C6C"/>
    <w:rsid w:val="00BC6B21"/>
    <w:rsid w:val="00BE5A87"/>
    <w:rsid w:val="00C006C8"/>
    <w:rsid w:val="00C62655"/>
    <w:rsid w:val="00C87E57"/>
    <w:rsid w:val="00CF6143"/>
    <w:rsid w:val="00D22331"/>
    <w:rsid w:val="00D42163"/>
    <w:rsid w:val="00D6017C"/>
    <w:rsid w:val="00D65467"/>
    <w:rsid w:val="00DA2DDA"/>
    <w:rsid w:val="00DD5C37"/>
    <w:rsid w:val="00DE56B0"/>
    <w:rsid w:val="00E05E76"/>
    <w:rsid w:val="00E25C48"/>
    <w:rsid w:val="00E32FF9"/>
    <w:rsid w:val="00E4239A"/>
    <w:rsid w:val="00E4428C"/>
    <w:rsid w:val="00E65E47"/>
    <w:rsid w:val="00E81ABD"/>
    <w:rsid w:val="00E83C99"/>
    <w:rsid w:val="00EA75C3"/>
    <w:rsid w:val="00EB027A"/>
    <w:rsid w:val="00EB148C"/>
    <w:rsid w:val="00EC1CBA"/>
    <w:rsid w:val="00ED5A03"/>
    <w:rsid w:val="00EE7801"/>
    <w:rsid w:val="00EF0DAE"/>
    <w:rsid w:val="00F117D3"/>
    <w:rsid w:val="00F11A19"/>
    <w:rsid w:val="00F16554"/>
    <w:rsid w:val="00F41871"/>
    <w:rsid w:val="00F52C56"/>
    <w:rsid w:val="00F544E1"/>
    <w:rsid w:val="00F93BB5"/>
    <w:rsid w:val="00FA0D72"/>
    <w:rsid w:val="00FA3333"/>
    <w:rsid w:val="00FC3529"/>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7C3531"/>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809BB"/>
    <w:pPr>
      <w:suppressAutoHyphens/>
      <w:autoSpaceDE w:val="0"/>
      <w:autoSpaceDN w:val="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BE5A87"/>
    <w:pPr>
      <w:tabs>
        <w:tab w:val="center" w:pos="4680"/>
        <w:tab w:val="right" w:pos="9360"/>
      </w:tabs>
      <w:spacing w:line="240" w:lineRule="auto"/>
    </w:pPr>
  </w:style>
  <w:style w:type="character" w:customStyle="1" w:styleId="HeaderChar">
    <w:name w:val="Header Char"/>
    <w:basedOn w:val="DefaultParagraphFont"/>
    <w:link w:val="Header"/>
    <w:uiPriority w:val="99"/>
    <w:rsid w:val="00BE5A87"/>
    <w:rPr>
      <w:rFonts w:eastAsia="SimSun"/>
    </w:rPr>
  </w:style>
  <w:style w:type="paragraph" w:styleId="Footer">
    <w:name w:val="footer"/>
    <w:basedOn w:val="Normal"/>
    <w:link w:val="FooterChar"/>
    <w:uiPriority w:val="99"/>
    <w:unhideWhenUsed/>
    <w:rsid w:val="00BE5A87"/>
    <w:pPr>
      <w:tabs>
        <w:tab w:val="center" w:pos="4680"/>
        <w:tab w:val="right" w:pos="9360"/>
      </w:tabs>
      <w:spacing w:line="240" w:lineRule="auto"/>
    </w:pPr>
  </w:style>
  <w:style w:type="character" w:customStyle="1" w:styleId="FooterChar">
    <w:name w:val="Footer Char"/>
    <w:basedOn w:val="DefaultParagraphFont"/>
    <w:link w:val="Footer"/>
    <w:uiPriority w:val="99"/>
    <w:rsid w:val="00BE5A8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062D-20B0-417D-85CB-6155947D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5</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cp:lastPrinted>2018-02-08T14:38:00Z</cp:lastPrinted>
  <dcterms:created xsi:type="dcterms:W3CDTF">2020-01-29T21:13:00Z</dcterms:created>
  <dcterms:modified xsi:type="dcterms:W3CDTF">2020-01-30T16:24:00Z</dcterms:modified>
</cp:coreProperties>
</file>