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0ED85" w14:textId="77777777" w:rsidR="004D6975" w:rsidRDefault="004D6975" w:rsidP="00CC4E79">
      <w:pPr>
        <w:pStyle w:val="Title"/>
        <w:tabs>
          <w:tab w:val="clear" w:pos="360"/>
          <w:tab w:val="left" w:pos="0"/>
        </w:tabs>
        <w:spacing w:line="240" w:lineRule="auto"/>
      </w:pPr>
      <w:r>
        <w:t>BEFORE THE</w:t>
      </w:r>
    </w:p>
    <w:p w14:paraId="22C50EDD" w14:textId="77777777" w:rsidR="004D6975" w:rsidRDefault="004D6975" w:rsidP="00CC4E79">
      <w:pPr>
        <w:spacing w:line="240"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14:paraId="7CD7FE63" w14:textId="77777777" w:rsidR="004D6975" w:rsidRDefault="004D6975" w:rsidP="00CC4E79">
      <w:pPr>
        <w:spacing w:line="240" w:lineRule="auto"/>
        <w:jc w:val="both"/>
        <w:rPr>
          <w:b/>
        </w:rPr>
      </w:pPr>
    </w:p>
    <w:p w14:paraId="05470E76" w14:textId="77777777" w:rsidR="004D6975" w:rsidRDefault="004D6975" w:rsidP="00CC4E79">
      <w:pPr>
        <w:spacing w:line="240" w:lineRule="auto"/>
        <w:jc w:val="both"/>
        <w:rPr>
          <w:b/>
        </w:rPr>
      </w:pPr>
    </w:p>
    <w:p w14:paraId="120266F6" w14:textId="77777777" w:rsidR="004D6975" w:rsidRDefault="004D6975" w:rsidP="00CC4E79">
      <w:pPr>
        <w:spacing w:line="240" w:lineRule="auto"/>
        <w:jc w:val="both"/>
        <w:rPr>
          <w:b/>
        </w:rPr>
      </w:pPr>
    </w:p>
    <w:p w14:paraId="0134B7A6" w14:textId="05570D52" w:rsidR="004D6975" w:rsidRDefault="004D6975" w:rsidP="00CC4E79">
      <w:pPr>
        <w:spacing w:line="240" w:lineRule="auto"/>
        <w:jc w:val="both"/>
        <w:rPr>
          <w:b/>
        </w:rPr>
      </w:pPr>
      <w:r>
        <w:t>Deborah A. Redman</w:t>
      </w:r>
      <w:r>
        <w:tab/>
      </w:r>
      <w:r>
        <w:tab/>
      </w:r>
      <w:r>
        <w:tab/>
      </w:r>
      <w:r>
        <w:tab/>
      </w:r>
      <w:r>
        <w:tab/>
      </w:r>
      <w:r w:rsidRPr="00560DC5">
        <w:t>:</w:t>
      </w:r>
    </w:p>
    <w:p w14:paraId="5E760B55" w14:textId="77777777" w:rsidR="004D6975" w:rsidRPr="00560DC5" w:rsidRDefault="004D6975" w:rsidP="00CC4E79">
      <w:pPr>
        <w:spacing w:line="240" w:lineRule="auto"/>
        <w:jc w:val="both"/>
      </w:pPr>
      <w:r>
        <w:rPr>
          <w:b/>
        </w:rPr>
        <w:tab/>
      </w:r>
      <w:r>
        <w:rPr>
          <w:b/>
        </w:rPr>
        <w:tab/>
      </w:r>
      <w:r>
        <w:rPr>
          <w:b/>
        </w:rPr>
        <w:tab/>
      </w:r>
      <w:r>
        <w:rPr>
          <w:b/>
        </w:rPr>
        <w:tab/>
      </w:r>
      <w:r>
        <w:rPr>
          <w:b/>
        </w:rPr>
        <w:tab/>
      </w:r>
      <w:r>
        <w:rPr>
          <w:b/>
        </w:rPr>
        <w:tab/>
      </w:r>
      <w:r>
        <w:rPr>
          <w:b/>
        </w:rPr>
        <w:tab/>
      </w:r>
      <w:r w:rsidRPr="00560DC5">
        <w:t>:</w:t>
      </w:r>
    </w:p>
    <w:p w14:paraId="719DA647" w14:textId="5FE954F2" w:rsidR="004D6975" w:rsidRDefault="004D6975" w:rsidP="00CC4E79">
      <w:pPr>
        <w:spacing w:line="240" w:lineRule="auto"/>
        <w:jc w:val="both"/>
      </w:pPr>
      <w:r>
        <w:tab/>
        <w:t>v.</w:t>
      </w:r>
      <w:r>
        <w:tab/>
      </w:r>
      <w:r>
        <w:tab/>
      </w:r>
      <w:r>
        <w:tab/>
      </w:r>
      <w:r>
        <w:tab/>
      </w:r>
      <w:r>
        <w:tab/>
      </w:r>
      <w:r>
        <w:tab/>
      </w:r>
      <w:r w:rsidRPr="00560DC5">
        <w:t>:</w:t>
      </w:r>
      <w:r>
        <w:rPr>
          <w:b/>
        </w:rPr>
        <w:tab/>
      </w:r>
      <w:r>
        <w:rPr>
          <w:b/>
        </w:rPr>
        <w:tab/>
      </w:r>
      <w:r>
        <w:t>C-2019-3013582</w:t>
      </w:r>
    </w:p>
    <w:p w14:paraId="4800D466" w14:textId="77777777" w:rsidR="004D6975" w:rsidRPr="00560DC5" w:rsidRDefault="004D6975" w:rsidP="00CC4E79">
      <w:pPr>
        <w:spacing w:line="240" w:lineRule="auto"/>
        <w:jc w:val="both"/>
      </w:pPr>
      <w:r>
        <w:tab/>
      </w:r>
      <w:r>
        <w:tab/>
      </w:r>
      <w:r>
        <w:tab/>
      </w:r>
      <w:r>
        <w:tab/>
      </w:r>
      <w:r>
        <w:tab/>
      </w:r>
      <w:r>
        <w:tab/>
      </w:r>
      <w:r>
        <w:tab/>
      </w:r>
      <w:r w:rsidRPr="00560DC5">
        <w:t>:</w:t>
      </w:r>
    </w:p>
    <w:p w14:paraId="62E12864" w14:textId="08533C30" w:rsidR="004D6975" w:rsidRDefault="004D6975" w:rsidP="00CC4E79">
      <w:pPr>
        <w:spacing w:line="240" w:lineRule="auto"/>
        <w:jc w:val="both"/>
      </w:pPr>
      <w:r>
        <w:t>Pennsylvania Electric Company</w:t>
      </w:r>
      <w:r>
        <w:tab/>
      </w:r>
      <w:r>
        <w:tab/>
      </w:r>
      <w:r>
        <w:tab/>
      </w:r>
      <w:r w:rsidRPr="00560DC5">
        <w:t>:</w:t>
      </w:r>
    </w:p>
    <w:p w14:paraId="72D76E46" w14:textId="77777777" w:rsidR="004D6975" w:rsidRDefault="004D6975" w:rsidP="00CC4E79">
      <w:pPr>
        <w:tabs>
          <w:tab w:val="left" w:pos="0"/>
        </w:tabs>
        <w:spacing w:line="240" w:lineRule="auto"/>
        <w:jc w:val="both"/>
        <w:rPr>
          <w:b/>
        </w:rPr>
      </w:pPr>
    </w:p>
    <w:p w14:paraId="0434A6F7" w14:textId="37208880" w:rsidR="00AB774D" w:rsidRDefault="00AB774D" w:rsidP="00CC4E79">
      <w:pPr>
        <w:spacing w:line="240" w:lineRule="auto"/>
      </w:pPr>
    </w:p>
    <w:p w14:paraId="762160C0" w14:textId="77777777" w:rsidR="00CC4E79" w:rsidRDefault="00CC4E79" w:rsidP="00CC4E79">
      <w:pPr>
        <w:spacing w:line="240" w:lineRule="auto"/>
      </w:pPr>
    </w:p>
    <w:p w14:paraId="72F5FBD6" w14:textId="02B3CAFC" w:rsidR="00AB774D" w:rsidRPr="004D6975" w:rsidRDefault="00AB774D" w:rsidP="00CC4E79">
      <w:pPr>
        <w:spacing w:line="240" w:lineRule="auto"/>
        <w:jc w:val="center"/>
        <w:rPr>
          <w:b/>
          <w:bCs/>
        </w:rPr>
      </w:pPr>
      <w:r w:rsidRPr="004D6975">
        <w:rPr>
          <w:b/>
          <w:bCs/>
        </w:rPr>
        <w:t>INTERIM ORDER</w:t>
      </w:r>
    </w:p>
    <w:p w14:paraId="467EE995" w14:textId="7E1D5A26" w:rsidR="00AB774D" w:rsidRPr="004D6975" w:rsidRDefault="00AB774D" w:rsidP="00CC4E79">
      <w:pPr>
        <w:spacing w:line="240" w:lineRule="auto"/>
        <w:jc w:val="center"/>
        <w:rPr>
          <w:b/>
          <w:bCs/>
          <w:u w:val="single"/>
        </w:rPr>
      </w:pPr>
      <w:r w:rsidRPr="004D6975">
        <w:rPr>
          <w:b/>
          <w:bCs/>
          <w:u w:val="single"/>
        </w:rPr>
        <w:t>DENYING MOTION FOR SUMMARY JUDGMENT</w:t>
      </w:r>
    </w:p>
    <w:p w14:paraId="0A08F541" w14:textId="14B5620F" w:rsidR="00AB774D" w:rsidRDefault="00AB774D" w:rsidP="00CC4E79"/>
    <w:p w14:paraId="0D7F89B5" w14:textId="0EFBF1FE" w:rsidR="00AB774D" w:rsidRDefault="00AB774D" w:rsidP="00CC4E79">
      <w:r>
        <w:tab/>
      </w:r>
      <w:r>
        <w:tab/>
        <w:t xml:space="preserve">On October 15, 2019, Deborah A. Redman (Complainant) filed a </w:t>
      </w:r>
      <w:r w:rsidR="00D673D7">
        <w:t>F</w:t>
      </w:r>
      <w:r>
        <w:t xml:space="preserve">ormal </w:t>
      </w:r>
      <w:r w:rsidR="00D673D7">
        <w:t>C</w:t>
      </w:r>
      <w:r>
        <w:t xml:space="preserve">omplaint against Pennsylvania Electric Company (Penelec) alleging a safety and reliability issue.  Specifically, the Complainant alleges that Penelec refuses to remove a Chinese wisteria which she claims, among other things, is life-threatening and a danger to the power lines. </w:t>
      </w:r>
      <w:r w:rsidR="00071475">
        <w:t xml:space="preserve"> According to the Complainant</w:t>
      </w:r>
      <w:r w:rsidR="00D673D7">
        <w:t>,</w:t>
      </w:r>
      <w:r w:rsidR="00071475">
        <w:t xml:space="preserve"> the wisteria vines and runner</w:t>
      </w:r>
      <w:r w:rsidR="004D6975">
        <w:t>s</w:t>
      </w:r>
      <w:r w:rsidR="00071475">
        <w:t xml:space="preserve"> on the power lines cause daily interruptions to her electricity service.</w:t>
      </w:r>
      <w:r>
        <w:t xml:space="preserve"> </w:t>
      </w:r>
      <w:r w:rsidR="00FF656F">
        <w:t xml:space="preserve"> </w:t>
      </w:r>
      <w:r>
        <w:t>She also complains that she has been improperly billed for interrupted service and that Penelec employees have mocked her</w:t>
      </w:r>
      <w:r w:rsidR="00071475">
        <w:t>.  As relief, she requests that the Commission direct Penelec to kill the wisteria; notify the Complainant every month regarding the status of the wisteria; and compensation in the amount of $600,000.</w:t>
      </w:r>
    </w:p>
    <w:p w14:paraId="57E6CD32" w14:textId="4C5AE7A2" w:rsidR="00071475" w:rsidRDefault="00071475" w:rsidP="00CC4E79"/>
    <w:p w14:paraId="5674FDFA" w14:textId="1D1D4C7E" w:rsidR="00071475" w:rsidRDefault="00071475" w:rsidP="00CC4E79">
      <w:r>
        <w:tab/>
      </w:r>
      <w:r>
        <w:tab/>
        <w:t xml:space="preserve">On November 6, 2019, Penelec filed an </w:t>
      </w:r>
      <w:r w:rsidR="00D673D7">
        <w:t>A</w:t>
      </w:r>
      <w:r>
        <w:t xml:space="preserve">nswer and </w:t>
      </w:r>
      <w:r w:rsidR="00D673D7">
        <w:t>N</w:t>
      </w:r>
      <w:r>
        <w:t xml:space="preserve">ew </w:t>
      </w:r>
      <w:r w:rsidR="00D673D7">
        <w:t>M</w:t>
      </w:r>
      <w:r>
        <w:t xml:space="preserve">atter.  Penelec’s </w:t>
      </w:r>
      <w:r w:rsidR="00792807">
        <w:t>A</w:t>
      </w:r>
      <w:r>
        <w:t xml:space="preserve">nswer denied the material allegations of the </w:t>
      </w:r>
      <w:r w:rsidR="00792807">
        <w:t>C</w:t>
      </w:r>
      <w:r>
        <w:t xml:space="preserve">omplaint.  In </w:t>
      </w:r>
      <w:r w:rsidR="00792807">
        <w:t>N</w:t>
      </w:r>
      <w:r>
        <w:t xml:space="preserve">ew </w:t>
      </w:r>
      <w:r w:rsidR="00792807">
        <w:t>M</w:t>
      </w:r>
      <w:r>
        <w:t xml:space="preserve">atter, Penelec requested that the </w:t>
      </w:r>
      <w:r w:rsidR="00792807">
        <w:t>C</w:t>
      </w:r>
      <w:r>
        <w:t>omplaint be referred to the Commission’s mediation unit.</w:t>
      </w:r>
    </w:p>
    <w:p w14:paraId="1E0B2C99" w14:textId="2DBAAE11" w:rsidR="00071475" w:rsidRDefault="00071475" w:rsidP="00CC4E79"/>
    <w:p w14:paraId="6DB49CC3" w14:textId="5A0FC048" w:rsidR="00071475" w:rsidRDefault="00071475" w:rsidP="00CC4E79">
      <w:r>
        <w:tab/>
      </w:r>
      <w:r>
        <w:tab/>
        <w:t>On December 16, 2019, the Complainant filed</w:t>
      </w:r>
      <w:r w:rsidR="00ED65CA">
        <w:t xml:space="preserve"> a Response to Respondent’s Answer and Opposition to Respondent’s Request for Mediation and Motion for Summary Judgment.  Penelec filed a response to the </w:t>
      </w:r>
      <w:r w:rsidR="00506BDE">
        <w:t>M</w:t>
      </w:r>
      <w:r w:rsidR="00ED65CA">
        <w:t xml:space="preserve">otion for </w:t>
      </w:r>
      <w:r w:rsidR="00506BDE">
        <w:t>S</w:t>
      </w:r>
      <w:r w:rsidR="00ED65CA">
        <w:t xml:space="preserve">ummary </w:t>
      </w:r>
      <w:r w:rsidR="00506BDE">
        <w:t>J</w:t>
      </w:r>
      <w:r w:rsidR="00ED65CA">
        <w:t xml:space="preserve">udgment on January 6, 2020. </w:t>
      </w:r>
      <w:r w:rsidR="00792807">
        <w:t xml:space="preserve"> </w:t>
      </w:r>
      <w:r w:rsidR="00ED65CA">
        <w:t>By notice dated January 16, 2020, the motion was assigned to me for disposition.</w:t>
      </w:r>
    </w:p>
    <w:p w14:paraId="41537FE9" w14:textId="2950724F" w:rsidR="00ED65CA" w:rsidRDefault="00ED65CA" w:rsidP="00CC4E79"/>
    <w:p w14:paraId="0E3E069C" w14:textId="7C905434" w:rsidR="00506BDE" w:rsidRDefault="00506BDE" w:rsidP="00CC4E79"/>
    <w:p w14:paraId="43F18590" w14:textId="0027AFF1" w:rsidR="00ED65CA" w:rsidRPr="00F56732" w:rsidRDefault="00ED65CA" w:rsidP="00CC4E79">
      <w:pPr>
        <w:rPr>
          <w:u w:val="single"/>
        </w:rPr>
      </w:pPr>
      <w:r w:rsidRPr="00F56732">
        <w:rPr>
          <w:u w:val="single"/>
        </w:rPr>
        <w:lastRenderedPageBreak/>
        <w:t>Legal Standard for Summary Judgment</w:t>
      </w:r>
    </w:p>
    <w:p w14:paraId="0D956454" w14:textId="3736B1B3" w:rsidR="00ED65CA" w:rsidRDefault="00ED65CA" w:rsidP="00CC4E79"/>
    <w:p w14:paraId="7DDAE5F8" w14:textId="0C923A70" w:rsidR="00ED65CA" w:rsidRDefault="00ED65CA" w:rsidP="00CC4E79">
      <w:r>
        <w:tab/>
      </w:r>
      <w:r w:rsidR="00F56732">
        <w:tab/>
      </w:r>
      <w:r>
        <w:t>The Commission’s regulation at 52 Pa.Code § 5.102(a), permits any party to move for judgment on the pleadings or summary judgment after the pleadings are closed, but within such time as not to delay a hearing.  In addition to the pleadings, a motion for summary judgment must be based on depositions, answers to interrogatories, admission and supporting affidavits.</w:t>
      </w:r>
      <w:r>
        <w:rPr>
          <w:rStyle w:val="FootnoteReference"/>
        </w:rPr>
        <w:footnoteReference w:id="1"/>
      </w:r>
      <w:r>
        <w:t xml:space="preserve">  The presiding officer will grant a </w:t>
      </w:r>
      <w:r w:rsidR="0050779E">
        <w:t>motion for summary judgment only</w:t>
      </w:r>
      <w:r>
        <w:t xml:space="preserve"> if the </w:t>
      </w:r>
      <w:r w:rsidR="0050779E">
        <w:t>depositions, answers to interrogatories, admissions and supporting affidavits</w:t>
      </w:r>
      <w:r>
        <w:t xml:space="preserve"> show that there is no genuine issue as to a material fact and that the moving party is entitled to judgment as a matter of law.</w:t>
      </w:r>
      <w:r>
        <w:rPr>
          <w:rStyle w:val="FootnoteReference"/>
        </w:rPr>
        <w:footnoteReference w:id="2"/>
      </w:r>
      <w:r>
        <w:t xml:space="preserve"> </w:t>
      </w:r>
    </w:p>
    <w:p w14:paraId="51B54C76" w14:textId="77777777" w:rsidR="00ED65CA" w:rsidRDefault="00ED65CA" w:rsidP="00CC4E79">
      <w:r>
        <w:t xml:space="preserve"> </w:t>
      </w:r>
    </w:p>
    <w:p w14:paraId="33431DF7" w14:textId="1C7636B4" w:rsidR="00ED65CA" w:rsidRDefault="00ED65CA" w:rsidP="00CC4E79">
      <w:r>
        <w:tab/>
      </w:r>
      <w:r w:rsidR="00F56732">
        <w:tab/>
      </w:r>
      <w:r w:rsidR="0050779E">
        <w:t>The Commission has interpreted Section 5.102(c) of its regulations in conformity with Rule 1035 (now Rule 1035.1) of the Pennsylvania Rules of Civil Procedure.</w:t>
      </w:r>
      <w:r w:rsidR="0050779E">
        <w:rPr>
          <w:rStyle w:val="FootnoteReference"/>
        </w:rPr>
        <w:footnoteReference w:id="3"/>
      </w:r>
      <w:r w:rsidR="0050779E">
        <w:t xml:space="preserve">  In order to prevail, t</w:t>
      </w:r>
      <w:r>
        <w:t>he moving party</w:t>
      </w:r>
      <w:r w:rsidR="0050779E">
        <w:t xml:space="preserve"> – here the Complainant -- </w:t>
      </w:r>
      <w:r>
        <w:t xml:space="preserve">bears the burden of showing that no genuine issue of material fact exists and that </w:t>
      </w:r>
      <w:r w:rsidR="0050779E">
        <w:t>she</w:t>
      </w:r>
      <w:r>
        <w:t xml:space="preserve"> is entitled to a judgment as a matter of law.  The Commission must view the record in the light most favorable to the non-moving party, giving that party the benefit of all reasonable inferences.</w:t>
      </w:r>
      <w:r>
        <w:rPr>
          <w:rStyle w:val="FootnoteReference"/>
        </w:rPr>
        <w:footnoteReference w:id="4"/>
      </w:r>
      <w:r>
        <w:t xml:space="preserve">  All doubts as to the existence of a genuine issue of material fact must be resolved against the moving party.</w:t>
      </w:r>
      <w:r>
        <w:rPr>
          <w:rStyle w:val="FootnoteReference"/>
        </w:rPr>
        <w:footnoteReference w:id="5"/>
      </w:r>
      <w:r>
        <w:t xml:space="preserve">  </w:t>
      </w:r>
      <w:r w:rsidR="0050779E">
        <w:t>If no factual issue pertinent to the resolution of a case exists, a hearing is unnecessary.</w:t>
      </w:r>
      <w:r w:rsidR="0050779E">
        <w:rPr>
          <w:rStyle w:val="FootnoteReference"/>
        </w:rPr>
        <w:footnoteReference w:id="6"/>
      </w:r>
      <w:r w:rsidR="0050779E">
        <w:t xml:space="preserve">  </w:t>
      </w:r>
      <w:r>
        <w:t>Judgment will be granted only where the right is clear and free from doubt.</w:t>
      </w:r>
    </w:p>
    <w:p w14:paraId="30E15111" w14:textId="77777777" w:rsidR="00ED65CA" w:rsidRDefault="00ED65CA" w:rsidP="00CC4E79"/>
    <w:p w14:paraId="4EEFC5D4" w14:textId="09028FA3" w:rsidR="00ED65CA" w:rsidRDefault="00ED65CA" w:rsidP="00CC4E79">
      <w:r>
        <w:lastRenderedPageBreak/>
        <w:tab/>
      </w:r>
      <w:r w:rsidR="00F56732">
        <w:tab/>
      </w:r>
      <w:r w:rsidR="0050779E">
        <w:t>The</w:t>
      </w:r>
      <w:r>
        <w:t xml:space="preserve"> non-moving party may not rest upon mere allegations or denials of the pleadings, but must submit some materials to establish that a genuine issue of material fact exists.</w:t>
      </w:r>
      <w:r>
        <w:rPr>
          <w:rStyle w:val="FootnoteReference"/>
        </w:rPr>
        <w:footnoteReference w:id="7"/>
      </w:r>
      <w:r>
        <w:t xml:space="preserve">  The provision at 52 Pa.Code § 5.102(c) serves judicial economy by avoiding a hearing where no factual dispute exists.  </w:t>
      </w:r>
    </w:p>
    <w:p w14:paraId="424D194F" w14:textId="77777777" w:rsidR="0050779E" w:rsidRDefault="0050779E" w:rsidP="00CC4E79"/>
    <w:p w14:paraId="441304AB" w14:textId="22D0D546" w:rsidR="00F56732" w:rsidRPr="002B53B3" w:rsidRDefault="00F56732" w:rsidP="00CC4E79">
      <w:pPr>
        <w:rPr>
          <w:u w:val="single"/>
        </w:rPr>
      </w:pPr>
      <w:r w:rsidRPr="002B53B3">
        <w:rPr>
          <w:u w:val="single"/>
        </w:rPr>
        <w:t>Complainant’s Motion</w:t>
      </w:r>
      <w:r w:rsidR="0050779E">
        <w:rPr>
          <w:u w:val="single"/>
        </w:rPr>
        <w:br/>
      </w:r>
    </w:p>
    <w:p w14:paraId="03911C9C" w14:textId="66B573B8" w:rsidR="00F56732" w:rsidRDefault="00F56732" w:rsidP="00CC4E79">
      <w:r>
        <w:tab/>
      </w:r>
      <w:r>
        <w:tab/>
        <w:t>The Complainant’s motion alleges the following facts:  Pennsylvania has designated wisteria as an invasive species that poses an ecological threat and therefore it must be destroyed; and the wisteria is on the power line.  Therefore, according to the Complainant, Penelec is obligated to remove the wisteria.</w:t>
      </w:r>
      <w:r w:rsidR="002B53B3">
        <w:t xml:space="preserve">  </w:t>
      </w:r>
    </w:p>
    <w:p w14:paraId="5A69450B" w14:textId="138AA4D8" w:rsidR="00F56732" w:rsidRDefault="00F56732" w:rsidP="00CC4E79"/>
    <w:p w14:paraId="48E2B0E2" w14:textId="164647B3" w:rsidR="00F56732" w:rsidRDefault="00F56732" w:rsidP="00CC4E79">
      <w:r>
        <w:tab/>
      </w:r>
      <w:r>
        <w:tab/>
        <w:t xml:space="preserve">The Complainant also request that her </w:t>
      </w:r>
      <w:r w:rsidR="00A10DB1">
        <w:t>C</w:t>
      </w:r>
      <w:r>
        <w:t>omplaint</w:t>
      </w:r>
      <w:r w:rsidR="002B53B3">
        <w:t xml:space="preserve"> be transferred to a “lay body of Meadville/Erie residents willing to hear it.”  In the Complainant’s view, this transfer is necessary because she has concerns regarding the impartiality of the Commission.</w:t>
      </w:r>
    </w:p>
    <w:p w14:paraId="29FCABAE" w14:textId="5D52EE01" w:rsidR="002B53B3" w:rsidRDefault="002B53B3" w:rsidP="00CC4E79"/>
    <w:p w14:paraId="51817441" w14:textId="15085E65" w:rsidR="002B53B3" w:rsidRPr="002B53B3" w:rsidRDefault="002B53B3" w:rsidP="00CC4E79">
      <w:pPr>
        <w:rPr>
          <w:u w:val="single"/>
        </w:rPr>
      </w:pPr>
      <w:r w:rsidRPr="002B53B3">
        <w:rPr>
          <w:u w:val="single"/>
        </w:rPr>
        <w:t>Penelec’s Response</w:t>
      </w:r>
    </w:p>
    <w:p w14:paraId="22A869D9" w14:textId="77777777" w:rsidR="002B53B3" w:rsidRDefault="002B53B3" w:rsidP="00CC4E79"/>
    <w:p w14:paraId="1B9EAC94" w14:textId="574F6543" w:rsidR="002B53B3" w:rsidRDefault="002B53B3" w:rsidP="00CC4E79">
      <w:r>
        <w:tab/>
      </w:r>
      <w:r>
        <w:tab/>
        <w:t>Penelec disputes that the wisteria is on the power line and denies that there is wisteria interfering with the facilities that serve the Complainant.  In support of these averments, Penelec provides the affidavit of James Stetler, a Penelec manager responsible for the vegetation management of the Complaint’s distribution line.</w:t>
      </w:r>
    </w:p>
    <w:p w14:paraId="18F3738E" w14:textId="4EA4DAA3" w:rsidR="002B53B3" w:rsidRDefault="002B53B3" w:rsidP="00CC4E79"/>
    <w:p w14:paraId="25648711" w14:textId="307F81F3" w:rsidR="002B53B3" w:rsidRDefault="002B53B3" w:rsidP="00CC4E79">
      <w:r>
        <w:tab/>
      </w:r>
      <w:r>
        <w:tab/>
        <w:t xml:space="preserve">Penelec also avers that the Commission does not have the authority to transfer the </w:t>
      </w:r>
      <w:r w:rsidR="00A10DB1">
        <w:t>C</w:t>
      </w:r>
      <w:r>
        <w:t>omplaint to a “lay body.”  Rather the Commission has the sole authority conferred by the Public Utility Code to resolve the dispute between the Complainant and Penelec.</w:t>
      </w:r>
    </w:p>
    <w:p w14:paraId="14BE4E53" w14:textId="63CF7CB3" w:rsidR="003B2A9D" w:rsidRDefault="003B2A9D" w:rsidP="00CC4E79"/>
    <w:p w14:paraId="29EFC1DC" w14:textId="75CBB8DE" w:rsidR="003B2A9D" w:rsidRDefault="003B2A9D" w:rsidP="00CC4E79">
      <w:pPr>
        <w:rPr>
          <w:u w:val="single"/>
        </w:rPr>
      </w:pPr>
      <w:r w:rsidRPr="008C042B">
        <w:rPr>
          <w:u w:val="single"/>
        </w:rPr>
        <w:lastRenderedPageBreak/>
        <w:t>Analysis</w:t>
      </w:r>
    </w:p>
    <w:p w14:paraId="238013F0" w14:textId="77777777" w:rsidR="00A10DB1" w:rsidRPr="008C042B" w:rsidRDefault="00A10DB1" w:rsidP="00CC4E79">
      <w:pPr>
        <w:rPr>
          <w:u w:val="single"/>
        </w:rPr>
      </w:pPr>
    </w:p>
    <w:p w14:paraId="7C8D113C" w14:textId="2DF66124" w:rsidR="003B2A9D" w:rsidRDefault="003B2A9D" w:rsidP="00CC4E79">
      <w:r>
        <w:tab/>
      </w:r>
      <w:r>
        <w:tab/>
      </w:r>
      <w:r w:rsidRPr="00035CC2">
        <w:t>Section 701 of the Public Utility Code (Code), provides that any person may complain, in writing, about any act or thing done or omitted to be done by a public utility in violation, or claimed violation, of any law which the Commission has the jurisdiction to</w:t>
      </w:r>
      <w:r>
        <w:t xml:space="preserve"> </w:t>
      </w:r>
      <w:r w:rsidRPr="00035CC2">
        <w:t>administer, or of any regulation or order of the Commission.</w:t>
      </w:r>
      <w:r w:rsidRPr="00035CC2">
        <w:rPr>
          <w:rStyle w:val="FootnoteReference"/>
        </w:rPr>
        <w:footnoteReference w:id="8"/>
      </w:r>
      <w:r w:rsidRPr="00035CC2">
        <w:t xml:space="preserve">  A person seeking affirmative relief from the Commission has the burden of proof.</w:t>
      </w:r>
      <w:r w:rsidRPr="00035CC2">
        <w:rPr>
          <w:rStyle w:val="FootnoteReference"/>
        </w:rPr>
        <w:footnoteReference w:id="9"/>
      </w:r>
      <w:r>
        <w:t xml:space="preserve">  </w:t>
      </w:r>
      <w:r w:rsidRPr="00BE0EE1">
        <w:t>Section 1501 of the Code,</w:t>
      </w:r>
      <w:r>
        <w:rPr>
          <w:rStyle w:val="FootnoteReference"/>
        </w:rPr>
        <w:footnoteReference w:id="10"/>
      </w:r>
      <w:r w:rsidRPr="00BE0EE1">
        <w:t xml:space="preserve">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utility must furnish or employ.</w:t>
      </w:r>
      <w:r>
        <w:rPr>
          <w:rStyle w:val="FootnoteReference"/>
        </w:rPr>
        <w:footnoteReference w:id="11"/>
      </w:r>
      <w:r w:rsidRPr="00BE0EE1">
        <w:t xml:space="preserve">  </w:t>
      </w:r>
    </w:p>
    <w:p w14:paraId="5FF973C0" w14:textId="7FDA6623" w:rsidR="003B2A9D" w:rsidRDefault="003B2A9D" w:rsidP="00CC4E79"/>
    <w:p w14:paraId="6270C5D9" w14:textId="1B0B4522" w:rsidR="0050779E" w:rsidRDefault="003B2A9D" w:rsidP="00CC4E79">
      <w:r>
        <w:tab/>
      </w:r>
      <w:r>
        <w:tab/>
        <w:t>In a motion for summary judgment, in order to establish facts which prove that Penelec has failed to adequately maintain its lines as required by Section 1501, the Complainant must support the factual averments in her motion with depositions, answers to interrogatories, admission and supporting affidavits.</w:t>
      </w:r>
      <w:r>
        <w:rPr>
          <w:rStyle w:val="FootnoteReference"/>
        </w:rPr>
        <w:footnoteReference w:id="12"/>
      </w:r>
      <w:r>
        <w:t xml:space="preserve">  </w:t>
      </w:r>
      <w:r w:rsidR="00D95537">
        <w:t>The Complainant did not attach authenticated materials that could support a conclusion that her stated facts are uncontroverted.</w:t>
      </w:r>
      <w:r>
        <w:t xml:space="preserve">  </w:t>
      </w:r>
    </w:p>
    <w:p w14:paraId="426E1329" w14:textId="77777777" w:rsidR="0050779E" w:rsidRDefault="0050779E" w:rsidP="00CC4E79"/>
    <w:p w14:paraId="78224BA2" w14:textId="3F106F71" w:rsidR="003B2A9D" w:rsidRDefault="0050779E" w:rsidP="00CC4E79">
      <w:r>
        <w:tab/>
      </w:r>
      <w:r>
        <w:tab/>
      </w:r>
      <w:r w:rsidR="003B2A9D">
        <w:t xml:space="preserve">Even if the Complainant had supported the facts in her motion, Penelec disputes those facts with the supporting affidavit of Mr. Stetler. </w:t>
      </w:r>
      <w:r w:rsidR="00D95537">
        <w:t xml:space="preserve"> The Complainant avers that the vines are on the power lines.  Penelec avers they are not.</w:t>
      </w:r>
      <w:r w:rsidR="003B2A9D">
        <w:t xml:space="preserve"> Therefore, there is a genuine issue of material </w:t>
      </w:r>
      <w:r w:rsidR="003B2A9D">
        <w:lastRenderedPageBreak/>
        <w:t xml:space="preserve">fact which must be resolved at a hearing.  It is not possible to grant the Complainant’s </w:t>
      </w:r>
      <w:r w:rsidR="00A10DB1">
        <w:t>M</w:t>
      </w:r>
      <w:r w:rsidR="003B2A9D">
        <w:t xml:space="preserve">otion for </w:t>
      </w:r>
      <w:r w:rsidR="00A10DB1">
        <w:t>S</w:t>
      </w:r>
      <w:r w:rsidR="003B2A9D">
        <w:t xml:space="preserve">ummary </w:t>
      </w:r>
      <w:r w:rsidR="00A10DB1">
        <w:t>J</w:t>
      </w:r>
      <w:r w:rsidR="003B2A9D">
        <w:t>udgment.</w:t>
      </w:r>
      <w:r w:rsidR="00D95537">
        <w:rPr>
          <w:rStyle w:val="FootnoteReference"/>
        </w:rPr>
        <w:footnoteReference w:id="13"/>
      </w:r>
    </w:p>
    <w:p w14:paraId="1C10F87E" w14:textId="5219AA40" w:rsidR="003B2A9D" w:rsidRDefault="003B2A9D" w:rsidP="00CC4E79"/>
    <w:p w14:paraId="3DA54718" w14:textId="0F5D2074" w:rsidR="003B2A9D" w:rsidRPr="00386EC6" w:rsidRDefault="003B2A9D" w:rsidP="00CC4E79">
      <w:pPr>
        <w:rPr>
          <w:u w:val="single"/>
        </w:rPr>
      </w:pPr>
      <w:r w:rsidRPr="00386EC6">
        <w:rPr>
          <w:u w:val="single"/>
        </w:rPr>
        <w:t>Complainant’s Other Requests for Relief</w:t>
      </w:r>
    </w:p>
    <w:p w14:paraId="02B2C62E" w14:textId="1F69837E" w:rsidR="003B2A9D" w:rsidRDefault="003B2A9D" w:rsidP="00CC4E79"/>
    <w:p w14:paraId="2DE635C5" w14:textId="6EE35E00" w:rsidR="003B2A9D" w:rsidRDefault="003B2A9D" w:rsidP="00CC4E79">
      <w:r>
        <w:tab/>
      </w:r>
      <w:r>
        <w:tab/>
        <w:t xml:space="preserve">The Complainants opposition to participating in mediation was reported to the Commission’s Mediation Unit and the </w:t>
      </w:r>
      <w:r w:rsidR="00CC4E79">
        <w:t>C</w:t>
      </w:r>
      <w:r>
        <w:t>omplaint has been referred for resolution by an administrative law judge.  Therefore, this relief has been granted to the Complainant.</w:t>
      </w:r>
    </w:p>
    <w:p w14:paraId="19CAC963" w14:textId="139C96D6" w:rsidR="003B2A9D" w:rsidRDefault="003B2A9D" w:rsidP="00CC4E79"/>
    <w:p w14:paraId="7953483C" w14:textId="4F8D2C3E" w:rsidR="003B2A9D" w:rsidRDefault="003B2A9D" w:rsidP="00CC4E79">
      <w:r>
        <w:tab/>
      </w:r>
      <w:r>
        <w:tab/>
        <w:t xml:space="preserve">As for the Complainant’s request that the Commission transfer her </w:t>
      </w:r>
      <w:r w:rsidR="00CC4E79">
        <w:t>C</w:t>
      </w:r>
      <w:r>
        <w:t>omplaint to a lay body, this request must be denied.  The Commission</w:t>
      </w:r>
      <w:r w:rsidR="00386EC6">
        <w:t xml:space="preserve"> does not have the authority to transfer a </w:t>
      </w:r>
      <w:r w:rsidR="00CC4E79">
        <w:t>C</w:t>
      </w:r>
      <w:r w:rsidR="00386EC6">
        <w:t>omplaint to another tribunal</w:t>
      </w:r>
      <w:r w:rsidR="00D95537">
        <w:t>.</w:t>
      </w:r>
      <w:r w:rsidR="00D95537">
        <w:rPr>
          <w:rStyle w:val="FootnoteReference"/>
        </w:rPr>
        <w:footnoteReference w:id="14"/>
      </w:r>
      <w:r w:rsidR="00386EC6">
        <w:t xml:space="preserve">  If the Complainant does not believe that the Commission can resolve her dispute, but would like to seek relief in another forum, she is free to withdraw her </w:t>
      </w:r>
      <w:r w:rsidR="00CC4E79">
        <w:t>C</w:t>
      </w:r>
      <w:r w:rsidR="00386EC6">
        <w:t>omplaint.</w:t>
      </w:r>
    </w:p>
    <w:p w14:paraId="3F82FA04" w14:textId="1EBE51E2" w:rsidR="00821752" w:rsidRDefault="00821752" w:rsidP="00CC4E79"/>
    <w:p w14:paraId="06580A32" w14:textId="75E7362A" w:rsidR="00821752" w:rsidRDefault="00821752" w:rsidP="00CC4E79">
      <w:pPr>
        <w:rPr>
          <w:u w:val="single"/>
        </w:rPr>
      </w:pPr>
      <w:r w:rsidRPr="00821752">
        <w:rPr>
          <w:u w:val="single"/>
        </w:rPr>
        <w:t>Conclusion</w:t>
      </w:r>
    </w:p>
    <w:p w14:paraId="4215DBD3" w14:textId="77777777" w:rsidR="00CC4E79" w:rsidRPr="00821752" w:rsidRDefault="00CC4E79" w:rsidP="00CC4E79">
      <w:pPr>
        <w:rPr>
          <w:u w:val="single"/>
        </w:rPr>
      </w:pPr>
    </w:p>
    <w:p w14:paraId="5BD3B87C" w14:textId="75E0C574" w:rsidR="00821752" w:rsidRDefault="00821752" w:rsidP="00CC4E79">
      <w:r>
        <w:tab/>
      </w:r>
      <w:r>
        <w:tab/>
        <w:t xml:space="preserve">The Complainant’s </w:t>
      </w:r>
      <w:r w:rsidR="00CC4E79">
        <w:t>M</w:t>
      </w:r>
      <w:r>
        <w:t xml:space="preserve">otion for </w:t>
      </w:r>
      <w:r w:rsidR="00CC4E79">
        <w:t>S</w:t>
      </w:r>
      <w:r>
        <w:t xml:space="preserve">ummary </w:t>
      </w:r>
      <w:r w:rsidR="00CC4E79">
        <w:t>J</w:t>
      </w:r>
      <w:r>
        <w:t>udgement is denied because she has failed to demonstrate that there are no material facts in dispute.  This matter will be scheduled for a hearing</w:t>
      </w:r>
      <w:r w:rsidR="00D95537">
        <w:t xml:space="preserve"> by telephone</w:t>
      </w:r>
      <w:r>
        <w:t xml:space="preserve"> on an available date as set forth in the ordering paragraphs below.</w:t>
      </w:r>
    </w:p>
    <w:p w14:paraId="70626634" w14:textId="09F7C3C8" w:rsidR="00AB00FA" w:rsidRDefault="00AB00FA" w:rsidP="00CC4E79"/>
    <w:p w14:paraId="011E744D" w14:textId="2AE1CDA5" w:rsidR="00AB00FA" w:rsidRDefault="00AB00FA" w:rsidP="00CC4E79">
      <w:pPr>
        <w:ind w:firstLine="1440"/>
      </w:pPr>
      <w:r>
        <w:t>THEREFORE,</w:t>
      </w:r>
    </w:p>
    <w:p w14:paraId="339AF82D" w14:textId="77777777" w:rsidR="00AB00FA" w:rsidRDefault="00AB00FA" w:rsidP="00CC4E79"/>
    <w:p w14:paraId="757D6680" w14:textId="3E4577E9" w:rsidR="00AB00FA" w:rsidRDefault="00AB00FA" w:rsidP="00CC4E79">
      <w:pPr>
        <w:ind w:firstLine="1440"/>
      </w:pPr>
      <w:r>
        <w:t>IT IS ORDERED:</w:t>
      </w:r>
    </w:p>
    <w:p w14:paraId="0A15F0BA" w14:textId="06C0C333" w:rsidR="00AB00FA" w:rsidRDefault="00AB00FA" w:rsidP="00CC4E79"/>
    <w:p w14:paraId="2C0D34C6" w14:textId="5E8CBE3A" w:rsidR="00AB00FA" w:rsidRDefault="00AB00FA" w:rsidP="00CC4E79">
      <w:r>
        <w:tab/>
      </w:r>
      <w:r>
        <w:tab/>
        <w:t>1.</w:t>
      </w:r>
      <w:r>
        <w:tab/>
        <w:t>That the Complainant’s Motion for Summary Judgment is denied.</w:t>
      </w:r>
    </w:p>
    <w:p w14:paraId="586A9926" w14:textId="0C823E18" w:rsidR="00AB00FA" w:rsidRDefault="00AB00FA" w:rsidP="00CC4E79"/>
    <w:p w14:paraId="484BF74D" w14:textId="13AC28B4" w:rsidR="00ED65CA" w:rsidRDefault="00AB00FA" w:rsidP="00CC4E79">
      <w:r>
        <w:lastRenderedPageBreak/>
        <w:tab/>
      </w:r>
      <w:r>
        <w:tab/>
        <w:t>2.</w:t>
      </w:r>
      <w:r>
        <w:tab/>
        <w:t xml:space="preserve">That the </w:t>
      </w:r>
      <w:r w:rsidR="00CC4E79">
        <w:t>F</w:t>
      </w:r>
      <w:r>
        <w:t xml:space="preserve">ormal </w:t>
      </w:r>
      <w:r w:rsidR="00CC4E79">
        <w:t>C</w:t>
      </w:r>
      <w:r>
        <w:t xml:space="preserve">omplaint of Deborah A. Redman shall be scheduled for a hearing by telephone on an available date.  </w:t>
      </w:r>
    </w:p>
    <w:p w14:paraId="4EA23DB5" w14:textId="41262B0F" w:rsidR="00CC4E79" w:rsidRDefault="00CC4E79" w:rsidP="00CC4E79"/>
    <w:p w14:paraId="704EC446" w14:textId="18CCABDE" w:rsidR="00CC4E79" w:rsidRDefault="00CC4E79" w:rsidP="00CC4E79"/>
    <w:p w14:paraId="39FB8AF1" w14:textId="1827C9F1" w:rsidR="00CC4E79" w:rsidRPr="00CC4E79" w:rsidRDefault="00CC4E79" w:rsidP="00CC4E79">
      <w:pPr>
        <w:spacing w:line="240" w:lineRule="auto"/>
        <w:rPr>
          <w:rFonts w:eastAsia="Times New Roman"/>
        </w:rPr>
      </w:pPr>
      <w:bookmarkStart w:id="0" w:name="_Hlk505862083"/>
      <w:r w:rsidRPr="00CC4E79">
        <w:rPr>
          <w:rFonts w:eastAsia="Times New Roman"/>
        </w:rPr>
        <w:t xml:space="preserve">Date:  </w:t>
      </w:r>
      <w:r>
        <w:rPr>
          <w:rFonts w:eastAsia="Times New Roman"/>
          <w:u w:val="single"/>
        </w:rPr>
        <w:t>January 30</w:t>
      </w:r>
      <w:r w:rsidRPr="00CC4E79">
        <w:rPr>
          <w:rFonts w:eastAsia="Times New Roman"/>
          <w:u w:val="single"/>
        </w:rPr>
        <w:t>, 20</w:t>
      </w:r>
      <w:r>
        <w:rPr>
          <w:rFonts w:eastAsia="Times New Roman"/>
          <w:u w:val="single"/>
        </w:rPr>
        <w:t>20</w:t>
      </w:r>
      <w:r w:rsidRPr="00CC4E79">
        <w:rPr>
          <w:rFonts w:eastAsia="Times New Roman"/>
        </w:rPr>
        <w:tab/>
      </w:r>
      <w:r w:rsidRPr="00CC4E79">
        <w:rPr>
          <w:rFonts w:eastAsia="Times New Roman"/>
        </w:rPr>
        <w:tab/>
      </w:r>
      <w:r w:rsidRPr="00CC4E79">
        <w:rPr>
          <w:rFonts w:eastAsia="Times New Roman"/>
        </w:rPr>
        <w:tab/>
      </w:r>
      <w:r w:rsidRPr="00CC4E79">
        <w:rPr>
          <w:rFonts w:eastAsia="Times New Roman"/>
        </w:rPr>
        <w:tab/>
      </w:r>
      <w:r w:rsidRPr="00CC4E79">
        <w:rPr>
          <w:rFonts w:eastAsia="Times New Roman"/>
          <w:u w:val="single"/>
        </w:rPr>
        <w:tab/>
      </w:r>
      <w:r w:rsidRPr="00CC4E79">
        <w:rPr>
          <w:rFonts w:eastAsia="Times New Roman"/>
          <w:u w:val="single"/>
        </w:rPr>
        <w:tab/>
        <w:t>/s/</w:t>
      </w:r>
      <w:r w:rsidRPr="00CC4E79">
        <w:rPr>
          <w:rFonts w:eastAsia="Times New Roman"/>
          <w:u w:val="single"/>
        </w:rPr>
        <w:tab/>
      </w:r>
      <w:r w:rsidRPr="00CC4E79">
        <w:rPr>
          <w:rFonts w:eastAsia="Times New Roman"/>
          <w:u w:val="single"/>
        </w:rPr>
        <w:tab/>
      </w:r>
      <w:r w:rsidRPr="00CC4E79">
        <w:rPr>
          <w:rFonts w:eastAsia="Times New Roman"/>
          <w:u w:val="single"/>
        </w:rPr>
        <w:tab/>
      </w:r>
      <w:r w:rsidRPr="00CC4E79">
        <w:rPr>
          <w:rFonts w:eastAsia="Times New Roman"/>
          <w:u w:val="single"/>
        </w:rPr>
        <w:tab/>
      </w:r>
    </w:p>
    <w:p w14:paraId="020E1CC4" w14:textId="77777777" w:rsidR="00CC4E79" w:rsidRPr="00CC4E79" w:rsidRDefault="00CC4E79" w:rsidP="00CC4E79">
      <w:pPr>
        <w:spacing w:line="240" w:lineRule="auto"/>
        <w:rPr>
          <w:rFonts w:eastAsia="Times New Roman"/>
        </w:rPr>
      </w:pPr>
      <w:r w:rsidRPr="00CC4E79">
        <w:rPr>
          <w:rFonts w:eastAsia="Times New Roman"/>
        </w:rPr>
        <w:tab/>
      </w:r>
      <w:r w:rsidRPr="00CC4E79">
        <w:rPr>
          <w:rFonts w:eastAsia="Times New Roman"/>
        </w:rPr>
        <w:tab/>
      </w:r>
      <w:r w:rsidRPr="00CC4E79">
        <w:rPr>
          <w:rFonts w:eastAsia="Times New Roman"/>
        </w:rPr>
        <w:tab/>
      </w:r>
      <w:r w:rsidRPr="00CC4E79">
        <w:rPr>
          <w:rFonts w:eastAsia="Times New Roman"/>
        </w:rPr>
        <w:tab/>
      </w:r>
      <w:r w:rsidRPr="00CC4E79">
        <w:rPr>
          <w:rFonts w:eastAsia="Times New Roman"/>
        </w:rPr>
        <w:tab/>
      </w:r>
      <w:r w:rsidRPr="00CC4E79">
        <w:rPr>
          <w:rFonts w:eastAsia="Times New Roman"/>
        </w:rPr>
        <w:tab/>
      </w:r>
      <w:r w:rsidRPr="00CC4E79">
        <w:rPr>
          <w:rFonts w:eastAsia="Times New Roman"/>
        </w:rPr>
        <w:tab/>
        <w:t>Mary D. Long</w:t>
      </w:r>
    </w:p>
    <w:p w14:paraId="72723D2D" w14:textId="77777777" w:rsidR="00CC4E79" w:rsidRPr="00CC4E79" w:rsidRDefault="00CC4E79" w:rsidP="00CC4E79">
      <w:pPr>
        <w:spacing w:line="240" w:lineRule="auto"/>
        <w:rPr>
          <w:rFonts w:eastAsia="Times New Roman"/>
        </w:rPr>
      </w:pPr>
      <w:r w:rsidRPr="00CC4E79">
        <w:rPr>
          <w:rFonts w:eastAsia="Times New Roman"/>
        </w:rPr>
        <w:tab/>
      </w:r>
      <w:r w:rsidRPr="00CC4E79">
        <w:rPr>
          <w:rFonts w:eastAsia="Times New Roman"/>
        </w:rPr>
        <w:tab/>
      </w:r>
      <w:r w:rsidRPr="00CC4E79">
        <w:rPr>
          <w:rFonts w:eastAsia="Times New Roman"/>
        </w:rPr>
        <w:tab/>
      </w:r>
      <w:r w:rsidRPr="00CC4E79">
        <w:rPr>
          <w:rFonts w:eastAsia="Times New Roman"/>
        </w:rPr>
        <w:tab/>
      </w:r>
      <w:r w:rsidRPr="00CC4E79">
        <w:rPr>
          <w:rFonts w:eastAsia="Times New Roman"/>
        </w:rPr>
        <w:tab/>
      </w:r>
      <w:r w:rsidRPr="00CC4E79">
        <w:rPr>
          <w:rFonts w:eastAsia="Times New Roman"/>
        </w:rPr>
        <w:tab/>
      </w:r>
      <w:r w:rsidRPr="00CC4E79">
        <w:rPr>
          <w:rFonts w:eastAsia="Times New Roman"/>
        </w:rPr>
        <w:tab/>
        <w:t>Administrative Law Judge</w:t>
      </w:r>
    </w:p>
    <w:bookmarkEnd w:id="0"/>
    <w:p w14:paraId="36707B79" w14:textId="77777777" w:rsidR="003A68FC" w:rsidRDefault="003A68FC">
      <w:pPr>
        <w:sectPr w:rsidR="003A68FC" w:rsidSect="00126F70">
          <w:footerReference w:type="default" r:id="rId7"/>
          <w:pgSz w:w="12240" w:h="15840"/>
          <w:pgMar w:top="1440" w:right="1440" w:bottom="1440" w:left="1440" w:header="720" w:footer="720" w:gutter="0"/>
          <w:cols w:space="720"/>
          <w:titlePg/>
          <w:docGrid w:linePitch="360"/>
        </w:sectPr>
      </w:pPr>
    </w:p>
    <w:p w14:paraId="143DB417" w14:textId="77777777" w:rsidR="003A68FC" w:rsidRPr="003A68FC" w:rsidRDefault="003A68FC" w:rsidP="003A68FC">
      <w:pPr>
        <w:spacing w:line="240" w:lineRule="auto"/>
        <w:rPr>
          <w:rFonts w:ascii="Calibri" w:eastAsia="Times New Roman" w:hAnsi="Calibri"/>
          <w:sz w:val="22"/>
          <w:szCs w:val="22"/>
        </w:rPr>
      </w:pPr>
      <w:r w:rsidRPr="003A68FC">
        <w:rPr>
          <w:rFonts w:ascii="Microsoft Sans Serif" w:eastAsia="Microsoft Sans Serif" w:hAnsi="Microsoft Sans Serif" w:cs="Microsoft Sans Serif"/>
          <w:b/>
          <w:szCs w:val="22"/>
          <w:u w:val="single"/>
        </w:rPr>
        <w:lastRenderedPageBreak/>
        <w:t>C-2019-3013582 – DEBORAH A. REDMAN v. PENNSYLVANIA ELECTRIC COMPANY</w:t>
      </w:r>
      <w:r w:rsidRPr="003A68FC">
        <w:rPr>
          <w:rFonts w:ascii="Microsoft Sans Serif" w:eastAsia="Microsoft Sans Serif" w:hAnsi="Microsoft Sans Serif" w:cs="Microsoft Sans Serif"/>
          <w:b/>
          <w:szCs w:val="22"/>
          <w:u w:val="single"/>
        </w:rPr>
        <w:cr/>
      </w:r>
      <w:r w:rsidRPr="003A68FC">
        <w:rPr>
          <w:rFonts w:ascii="Microsoft Sans Serif" w:eastAsia="Microsoft Sans Serif" w:hAnsi="Microsoft Sans Serif" w:cs="Microsoft Sans Serif"/>
          <w:b/>
          <w:szCs w:val="22"/>
          <w:u w:val="single"/>
        </w:rPr>
        <w:cr/>
      </w:r>
      <w:r w:rsidRPr="003A68FC">
        <w:rPr>
          <w:rFonts w:ascii="Microsoft Sans Serif" w:eastAsia="Microsoft Sans Serif" w:hAnsi="Microsoft Sans Serif" w:cs="Microsoft Sans Serif"/>
          <w:szCs w:val="22"/>
        </w:rPr>
        <w:t>DEBORAH A. REDMAN</w:t>
      </w:r>
      <w:r w:rsidRPr="003A68FC">
        <w:rPr>
          <w:rFonts w:ascii="Microsoft Sans Serif" w:eastAsia="Microsoft Sans Serif" w:hAnsi="Microsoft Sans Serif" w:cs="Microsoft Sans Serif"/>
          <w:szCs w:val="22"/>
        </w:rPr>
        <w:cr/>
        <w:t>414 PARK AVE</w:t>
      </w:r>
      <w:r w:rsidRPr="003A68FC">
        <w:rPr>
          <w:rFonts w:ascii="Microsoft Sans Serif" w:eastAsia="Microsoft Sans Serif" w:hAnsi="Microsoft Sans Serif" w:cs="Microsoft Sans Serif"/>
          <w:szCs w:val="22"/>
        </w:rPr>
        <w:cr/>
        <w:t>MEADVILLE PA  16335</w:t>
      </w:r>
      <w:r w:rsidRPr="003A68FC">
        <w:rPr>
          <w:rFonts w:ascii="Microsoft Sans Serif" w:eastAsia="Microsoft Sans Serif" w:hAnsi="Microsoft Sans Serif" w:cs="Microsoft Sans Serif"/>
          <w:szCs w:val="22"/>
        </w:rPr>
        <w:cr/>
      </w:r>
      <w:r w:rsidRPr="003A68FC">
        <w:rPr>
          <w:rFonts w:ascii="Microsoft Sans Serif" w:eastAsia="Microsoft Sans Serif" w:hAnsi="Microsoft Sans Serif" w:cs="Microsoft Sans Serif"/>
          <w:b/>
          <w:bCs/>
          <w:szCs w:val="22"/>
        </w:rPr>
        <w:t>814.853.3770</w:t>
      </w:r>
      <w:r w:rsidRPr="003A68FC">
        <w:rPr>
          <w:rFonts w:ascii="Microsoft Sans Serif" w:eastAsia="Microsoft Sans Serif" w:hAnsi="Microsoft Sans Serif" w:cs="Microsoft Sans Serif"/>
          <w:b/>
          <w:bCs/>
          <w:szCs w:val="22"/>
        </w:rPr>
        <w:cr/>
      </w:r>
      <w:r w:rsidRPr="003A68FC">
        <w:rPr>
          <w:rFonts w:ascii="Microsoft Sans Serif" w:eastAsia="Microsoft Sans Serif" w:hAnsi="Microsoft Sans Serif" w:cs="Microsoft Sans Serif"/>
          <w:b/>
          <w:bCs/>
          <w:szCs w:val="22"/>
        </w:rPr>
        <w:cr/>
      </w:r>
      <w:r w:rsidRPr="003A68FC">
        <w:rPr>
          <w:rFonts w:ascii="Microsoft Sans Serif" w:eastAsia="Microsoft Sans Serif" w:hAnsi="Microsoft Sans Serif" w:cs="Microsoft Sans Serif"/>
          <w:szCs w:val="22"/>
        </w:rPr>
        <w:t>MARGARET MORRIS ESQUIRE</w:t>
      </w:r>
      <w:r w:rsidRPr="003A68FC">
        <w:rPr>
          <w:rFonts w:ascii="Microsoft Sans Serif" w:eastAsia="Microsoft Sans Serif" w:hAnsi="Microsoft Sans Serif" w:cs="Microsoft Sans Serif"/>
          <w:szCs w:val="22"/>
        </w:rPr>
        <w:cr/>
        <w:t>REGER RIZZO &amp; DARNALL</w:t>
      </w:r>
      <w:bookmarkStart w:id="1" w:name="_GoBack"/>
      <w:bookmarkEnd w:id="1"/>
      <w:r w:rsidRPr="003A68FC">
        <w:rPr>
          <w:rFonts w:ascii="Microsoft Sans Serif" w:eastAsia="Microsoft Sans Serif" w:hAnsi="Microsoft Sans Serif" w:cs="Microsoft Sans Serif"/>
          <w:szCs w:val="22"/>
        </w:rPr>
        <w:cr/>
        <w:t>CIRA CENTRE 13th FL</w:t>
      </w:r>
      <w:r w:rsidRPr="003A68FC">
        <w:rPr>
          <w:rFonts w:ascii="Microsoft Sans Serif" w:eastAsia="Microsoft Sans Serif" w:hAnsi="Microsoft Sans Serif" w:cs="Microsoft Sans Serif"/>
          <w:szCs w:val="22"/>
        </w:rPr>
        <w:cr/>
        <w:t>2929 ARCH STREET</w:t>
      </w:r>
      <w:r w:rsidRPr="003A68FC">
        <w:rPr>
          <w:rFonts w:ascii="Microsoft Sans Serif" w:eastAsia="Microsoft Sans Serif" w:hAnsi="Microsoft Sans Serif" w:cs="Microsoft Sans Serif"/>
          <w:szCs w:val="22"/>
        </w:rPr>
        <w:cr/>
        <w:t>PHILADELPHIA PA  19104</w:t>
      </w:r>
      <w:r w:rsidRPr="003A68FC">
        <w:rPr>
          <w:rFonts w:ascii="Microsoft Sans Serif" w:eastAsia="Microsoft Sans Serif" w:hAnsi="Microsoft Sans Serif" w:cs="Microsoft Sans Serif"/>
          <w:szCs w:val="22"/>
        </w:rPr>
        <w:cr/>
      </w:r>
      <w:r w:rsidRPr="003A68FC">
        <w:rPr>
          <w:rFonts w:ascii="Microsoft Sans Serif" w:eastAsia="Microsoft Sans Serif" w:hAnsi="Microsoft Sans Serif" w:cs="Microsoft Sans Serif"/>
          <w:b/>
          <w:bCs/>
          <w:szCs w:val="22"/>
        </w:rPr>
        <w:t>215.495.6524</w:t>
      </w:r>
      <w:r w:rsidRPr="003A68FC">
        <w:rPr>
          <w:rFonts w:ascii="Microsoft Sans Serif" w:eastAsia="Microsoft Sans Serif" w:hAnsi="Microsoft Sans Serif" w:cs="Microsoft Sans Serif"/>
          <w:b/>
          <w:bCs/>
          <w:szCs w:val="22"/>
        </w:rPr>
        <w:br/>
      </w:r>
      <w:r w:rsidRPr="003A68FC">
        <w:rPr>
          <w:rFonts w:ascii="Microsoft Sans Serif" w:eastAsia="Microsoft Sans Serif" w:hAnsi="Microsoft Sans Serif" w:cs="Microsoft Sans Serif"/>
          <w:b/>
          <w:bCs/>
          <w:i/>
          <w:iCs/>
          <w:szCs w:val="22"/>
          <w:u w:val="single"/>
        </w:rPr>
        <w:t>ACCEPTS E-SERVICE</w:t>
      </w:r>
      <w:r w:rsidRPr="003A68FC">
        <w:rPr>
          <w:rFonts w:ascii="Microsoft Sans Serif" w:eastAsia="Microsoft Sans Serif" w:hAnsi="Microsoft Sans Serif" w:cs="Microsoft Sans Serif"/>
          <w:szCs w:val="22"/>
        </w:rPr>
        <w:cr/>
      </w:r>
    </w:p>
    <w:p w14:paraId="7EEA0FA1" w14:textId="4F70D38C" w:rsidR="00CC4E79" w:rsidRDefault="00CC4E79"/>
    <w:sectPr w:rsidR="00CC4E79" w:rsidSect="00126F7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05CF4" w14:textId="77777777" w:rsidR="009C577A" w:rsidRDefault="009C577A" w:rsidP="00ED65CA">
      <w:pPr>
        <w:spacing w:line="240" w:lineRule="auto"/>
      </w:pPr>
      <w:r>
        <w:separator/>
      </w:r>
    </w:p>
  </w:endnote>
  <w:endnote w:type="continuationSeparator" w:id="0">
    <w:p w14:paraId="01CE6909" w14:textId="77777777" w:rsidR="009C577A" w:rsidRDefault="009C577A" w:rsidP="00ED65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06808"/>
      <w:docPartObj>
        <w:docPartGallery w:val="Page Numbers (Bottom of Page)"/>
        <w:docPartUnique/>
      </w:docPartObj>
    </w:sdtPr>
    <w:sdtEndPr>
      <w:rPr>
        <w:noProof/>
      </w:rPr>
    </w:sdtEndPr>
    <w:sdtContent>
      <w:p w14:paraId="1918B090" w14:textId="4A643E99" w:rsidR="00126F70" w:rsidRDefault="00126F70">
        <w:pPr>
          <w:pStyle w:val="Footer"/>
          <w:jc w:val="center"/>
        </w:pPr>
        <w:r w:rsidRPr="00A10DB1">
          <w:rPr>
            <w:sz w:val="20"/>
            <w:szCs w:val="20"/>
          </w:rPr>
          <w:fldChar w:fldCharType="begin"/>
        </w:r>
        <w:r w:rsidRPr="00A10DB1">
          <w:rPr>
            <w:sz w:val="20"/>
            <w:szCs w:val="20"/>
          </w:rPr>
          <w:instrText xml:space="preserve"> PAGE   \* MERGEFORMAT </w:instrText>
        </w:r>
        <w:r w:rsidRPr="00A10DB1">
          <w:rPr>
            <w:sz w:val="20"/>
            <w:szCs w:val="20"/>
          </w:rPr>
          <w:fldChar w:fldCharType="separate"/>
        </w:r>
        <w:r w:rsidRPr="00A10DB1">
          <w:rPr>
            <w:noProof/>
            <w:sz w:val="20"/>
            <w:szCs w:val="20"/>
          </w:rPr>
          <w:t>2</w:t>
        </w:r>
        <w:r w:rsidRPr="00A10DB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74D7C" w14:textId="77777777" w:rsidR="009C577A" w:rsidRDefault="009C577A" w:rsidP="00ED65CA">
      <w:pPr>
        <w:spacing w:line="240" w:lineRule="auto"/>
      </w:pPr>
      <w:r>
        <w:separator/>
      </w:r>
    </w:p>
  </w:footnote>
  <w:footnote w:type="continuationSeparator" w:id="0">
    <w:p w14:paraId="480215A0" w14:textId="77777777" w:rsidR="009C577A" w:rsidRDefault="009C577A" w:rsidP="00ED65CA">
      <w:pPr>
        <w:spacing w:line="240" w:lineRule="auto"/>
      </w:pPr>
      <w:r>
        <w:continuationSeparator/>
      </w:r>
    </w:p>
  </w:footnote>
  <w:footnote w:id="1">
    <w:p w14:paraId="158C56FF" w14:textId="77777777" w:rsidR="00ED65CA" w:rsidRDefault="00ED65CA" w:rsidP="00ED65CA">
      <w:pPr>
        <w:pStyle w:val="FootnoteText"/>
      </w:pPr>
      <w:r>
        <w:rPr>
          <w:rStyle w:val="FootnoteReference"/>
        </w:rPr>
        <w:footnoteRef/>
      </w:r>
      <w:r>
        <w:t xml:space="preserve"> </w:t>
      </w:r>
      <w:r>
        <w:tab/>
        <w:t>52 Pa.Code § 5.102(c).</w:t>
      </w:r>
    </w:p>
    <w:p w14:paraId="43F22005" w14:textId="77777777" w:rsidR="00ED65CA" w:rsidRDefault="00ED65CA" w:rsidP="00ED65CA">
      <w:pPr>
        <w:pStyle w:val="FootnoteText"/>
      </w:pPr>
    </w:p>
  </w:footnote>
  <w:footnote w:id="2">
    <w:p w14:paraId="3AC3402D" w14:textId="77777777" w:rsidR="00ED65CA" w:rsidRDefault="00ED65CA" w:rsidP="00ED65CA">
      <w:pPr>
        <w:pStyle w:val="FootnoteText"/>
      </w:pPr>
      <w:r>
        <w:rPr>
          <w:rStyle w:val="FootnoteReference"/>
        </w:rPr>
        <w:footnoteRef/>
      </w:r>
      <w:r>
        <w:t xml:space="preserve"> </w:t>
      </w:r>
      <w:r>
        <w:tab/>
        <w:t xml:space="preserve">52 Pa.Code § 5.102(d)(1). </w:t>
      </w:r>
    </w:p>
    <w:p w14:paraId="6F81C873" w14:textId="77777777" w:rsidR="00ED65CA" w:rsidRDefault="00ED65CA" w:rsidP="00ED65CA">
      <w:pPr>
        <w:pStyle w:val="FootnoteText"/>
      </w:pPr>
      <w:r>
        <w:t xml:space="preserve"> </w:t>
      </w:r>
    </w:p>
  </w:footnote>
  <w:footnote w:id="3">
    <w:p w14:paraId="3ED783C1" w14:textId="60D89714" w:rsidR="0050779E" w:rsidRDefault="0050779E" w:rsidP="0050779E">
      <w:pPr>
        <w:pStyle w:val="FootnoteText"/>
      </w:pPr>
      <w:r>
        <w:rPr>
          <w:rStyle w:val="FootnoteReference"/>
        </w:rPr>
        <w:footnoteRef/>
      </w:r>
      <w:r>
        <w:t xml:space="preserve"> </w:t>
      </w:r>
      <w:r>
        <w:tab/>
      </w:r>
      <w:r w:rsidRPr="001F31F9">
        <w:rPr>
          <w:i/>
        </w:rPr>
        <w:t>South River Power Partners, L.P. v. West Penn Power Company</w:t>
      </w:r>
      <w:r>
        <w:t>, Docket No. C-00935287 (Order entered November 6, 1996).</w:t>
      </w:r>
    </w:p>
    <w:p w14:paraId="6CE657DB" w14:textId="77777777" w:rsidR="0050779E" w:rsidRDefault="0050779E" w:rsidP="0050779E">
      <w:pPr>
        <w:pStyle w:val="FootnoteText"/>
      </w:pPr>
    </w:p>
  </w:footnote>
  <w:footnote w:id="4">
    <w:p w14:paraId="60F3D644" w14:textId="66E266D6" w:rsidR="00ED65CA" w:rsidRDefault="00ED65CA" w:rsidP="00ED65CA">
      <w:pPr>
        <w:pStyle w:val="FootnoteText"/>
      </w:pPr>
      <w:r>
        <w:rPr>
          <w:rStyle w:val="FootnoteReference"/>
        </w:rPr>
        <w:footnoteRef/>
      </w:r>
      <w:r>
        <w:t xml:space="preserve"> </w:t>
      </w:r>
      <w:r>
        <w:tab/>
      </w:r>
      <w:r w:rsidRPr="001F31F9">
        <w:rPr>
          <w:i/>
        </w:rPr>
        <w:t>First Mortgage Co. of Pennsylvania v. McCall</w:t>
      </w:r>
      <w:r>
        <w:t xml:space="preserve">, 459 A.2d 406 (Pa. Super. 1983); </w:t>
      </w:r>
      <w:r w:rsidRPr="001F31F9">
        <w:rPr>
          <w:i/>
        </w:rPr>
        <w:t>Mertz v. Lakatos</w:t>
      </w:r>
      <w:r>
        <w:t xml:space="preserve">, 381 A.2d 497 (Pa. Cmwlth. 1976). </w:t>
      </w:r>
      <w:r>
        <w:br/>
        <w:t xml:space="preserve"> </w:t>
      </w:r>
    </w:p>
  </w:footnote>
  <w:footnote w:id="5">
    <w:p w14:paraId="056FDD87" w14:textId="77777777" w:rsidR="00ED65CA" w:rsidRDefault="00ED65CA" w:rsidP="00ED65CA">
      <w:pPr>
        <w:pStyle w:val="FootnoteText"/>
      </w:pPr>
      <w:r>
        <w:rPr>
          <w:rStyle w:val="FootnoteReference"/>
        </w:rPr>
        <w:footnoteRef/>
      </w:r>
      <w:r>
        <w:t xml:space="preserve"> </w:t>
      </w:r>
      <w:r>
        <w:tab/>
      </w:r>
      <w:r w:rsidRPr="00ED65CA">
        <w:rPr>
          <w:i/>
          <w:iCs/>
        </w:rPr>
        <w:t>Thomson Coal Company v. Pike Coal Company</w:t>
      </w:r>
      <w:r>
        <w:t>, 412 A.2d 466 (Pa. 1979).</w:t>
      </w:r>
    </w:p>
    <w:p w14:paraId="2F9229F5" w14:textId="77777777" w:rsidR="00ED65CA" w:rsidRDefault="00ED65CA" w:rsidP="00ED65CA">
      <w:pPr>
        <w:pStyle w:val="FootnoteText"/>
      </w:pPr>
    </w:p>
  </w:footnote>
  <w:footnote w:id="6">
    <w:p w14:paraId="0A624EF3" w14:textId="1A8E78D0" w:rsidR="0050779E" w:rsidRDefault="0050779E" w:rsidP="0050779E">
      <w:pPr>
        <w:pStyle w:val="FootnoteText"/>
      </w:pPr>
      <w:r>
        <w:rPr>
          <w:rStyle w:val="FootnoteReference"/>
        </w:rPr>
        <w:footnoteRef/>
      </w:r>
      <w:r>
        <w:tab/>
      </w:r>
      <w:r w:rsidRPr="00DF7434">
        <w:t>66 Pa.C.S. §</w:t>
      </w:r>
      <w:r>
        <w:t xml:space="preserve"> </w:t>
      </w:r>
      <w:r w:rsidRPr="00DF7434">
        <w:t xml:space="preserve">703(a); </w:t>
      </w:r>
      <w:r w:rsidRPr="00ED65CA">
        <w:rPr>
          <w:i/>
          <w:iCs/>
        </w:rPr>
        <w:t>Lehigh Valley Power Committee v. Pa. Pub. Util. Comm’n</w:t>
      </w:r>
      <w:r w:rsidRPr="00DF7434">
        <w:t xml:space="preserve">., 563 A.2d 557 (Pa. Cmwlth. 1989); </w:t>
      </w:r>
      <w:r w:rsidRPr="00ED65CA">
        <w:rPr>
          <w:i/>
          <w:iCs/>
        </w:rPr>
        <w:t>S.M.E. Bessemer Cement, Inc. v. Pa. Pub. Util. Comm’n</w:t>
      </w:r>
      <w:r w:rsidRPr="00DF7434">
        <w:t>., 540 A.2d 1006 (Pa. Cmwlth. 1988).</w:t>
      </w:r>
    </w:p>
    <w:p w14:paraId="787B6E0E" w14:textId="77777777" w:rsidR="0050779E" w:rsidRDefault="0050779E" w:rsidP="0050779E">
      <w:pPr>
        <w:pStyle w:val="FootnoteText"/>
      </w:pPr>
      <w:r w:rsidRPr="00DF7434">
        <w:t xml:space="preserve"> </w:t>
      </w:r>
    </w:p>
  </w:footnote>
  <w:footnote w:id="7">
    <w:p w14:paraId="29128480" w14:textId="5448B0B5" w:rsidR="00ED65CA" w:rsidRDefault="00ED65CA" w:rsidP="00ED65CA">
      <w:pPr>
        <w:pStyle w:val="FootnoteText"/>
      </w:pPr>
      <w:r>
        <w:rPr>
          <w:rStyle w:val="FootnoteReference"/>
        </w:rPr>
        <w:footnoteRef/>
      </w:r>
      <w:r>
        <w:tab/>
      </w:r>
      <w:r w:rsidRPr="00DF7434">
        <w:t xml:space="preserve">Pa.R.C.P. No. 1035.3; </w:t>
      </w:r>
      <w:r w:rsidRPr="00DF7434">
        <w:rPr>
          <w:i/>
        </w:rPr>
        <w:t>Stover v. The United Telephone Co. of Pennsylvania</w:t>
      </w:r>
      <w:r w:rsidRPr="00DF7434">
        <w:t>, Docket No.</w:t>
      </w:r>
      <w:r>
        <w:t xml:space="preserve"> </w:t>
      </w:r>
      <w:r w:rsidRPr="00DF7434">
        <w:t>C</w:t>
      </w:r>
      <w:r>
        <w:noBreakHyphen/>
      </w:r>
      <w:r w:rsidRPr="00DF7434">
        <w:t xml:space="preserve">00923833 (Order entered July 21, 1992); </w:t>
      </w:r>
      <w:r w:rsidRPr="00DF7434">
        <w:rPr>
          <w:i/>
        </w:rPr>
        <w:t>see also</w:t>
      </w:r>
      <w:r w:rsidRPr="00DF7434">
        <w:t xml:space="preserve"> </w:t>
      </w:r>
      <w:r w:rsidRPr="00DF7434">
        <w:rPr>
          <w:i/>
        </w:rPr>
        <w:t>Nicastro v. Cuyler</w:t>
      </w:r>
      <w:r w:rsidRPr="00DF7434">
        <w:t xml:space="preserve">, 467 A.2d 1218 (Pa. Cmwlth. 1983); </w:t>
      </w:r>
      <w:r w:rsidRPr="00DF7434">
        <w:rPr>
          <w:i/>
        </w:rPr>
        <w:t>Pennsylvania Gas &amp; Water Co. v. Nenna &amp; Frain, Inc</w:t>
      </w:r>
      <w:r w:rsidRPr="00DF7434">
        <w:t xml:space="preserve">., 467 A.2d 330 (Pa. Super. 1983); </w:t>
      </w:r>
      <w:r w:rsidRPr="00DF7434">
        <w:rPr>
          <w:i/>
        </w:rPr>
        <w:t>Geriot v. Council of Borough of Darby</w:t>
      </w:r>
      <w:r w:rsidRPr="00DF7434">
        <w:t>, 457 A.2d 202 (Pa. Cmwlth. 1983).</w:t>
      </w:r>
    </w:p>
    <w:p w14:paraId="4671DF7E" w14:textId="77777777" w:rsidR="00ED65CA" w:rsidRDefault="00ED65CA" w:rsidP="00ED65CA">
      <w:pPr>
        <w:pStyle w:val="FootnoteText"/>
      </w:pPr>
    </w:p>
  </w:footnote>
  <w:footnote w:id="8">
    <w:p w14:paraId="4854341E" w14:textId="6CE345B2" w:rsidR="003B2A9D" w:rsidRPr="00C81B96" w:rsidRDefault="003B2A9D" w:rsidP="003B2A9D">
      <w:pPr>
        <w:pStyle w:val="FootnoteText"/>
      </w:pPr>
      <w:r w:rsidRPr="00C81B96">
        <w:rPr>
          <w:rStyle w:val="FootnoteReference"/>
        </w:rPr>
        <w:footnoteRef/>
      </w:r>
      <w:r w:rsidRPr="00C81B96">
        <w:t xml:space="preserve"> </w:t>
      </w:r>
      <w:r>
        <w:tab/>
        <w:t>66 Pa.</w:t>
      </w:r>
      <w:r w:rsidRPr="00C81B96">
        <w:t>C.S. §701.</w:t>
      </w:r>
      <w:r w:rsidR="00675923">
        <w:br/>
      </w:r>
    </w:p>
  </w:footnote>
  <w:footnote w:id="9">
    <w:p w14:paraId="61602D73" w14:textId="1AB376C0" w:rsidR="003B2A9D" w:rsidRPr="00C81B96" w:rsidRDefault="003B2A9D" w:rsidP="003B2A9D">
      <w:pPr>
        <w:pStyle w:val="FootnoteText"/>
      </w:pPr>
      <w:r w:rsidRPr="00C81B96">
        <w:rPr>
          <w:rStyle w:val="FootnoteReference"/>
        </w:rPr>
        <w:footnoteRef/>
      </w:r>
      <w:r w:rsidRPr="00C81B96">
        <w:t xml:space="preserve"> </w:t>
      </w:r>
      <w:r>
        <w:tab/>
        <w:t>66 Pa.</w:t>
      </w:r>
      <w:r w:rsidRPr="00C81B96">
        <w:t>C.S. §332(a).</w:t>
      </w:r>
      <w:r w:rsidR="00675923">
        <w:br/>
      </w:r>
    </w:p>
  </w:footnote>
  <w:footnote w:id="10">
    <w:p w14:paraId="7441D75C" w14:textId="40FA7327" w:rsidR="003B2A9D" w:rsidRDefault="003B2A9D" w:rsidP="003B2A9D">
      <w:pPr>
        <w:pStyle w:val="FootnoteText"/>
      </w:pPr>
      <w:r>
        <w:rPr>
          <w:rStyle w:val="FootnoteReference"/>
        </w:rPr>
        <w:footnoteRef/>
      </w:r>
      <w:r>
        <w:t xml:space="preserve">  </w:t>
      </w:r>
      <w:r>
        <w:tab/>
      </w:r>
      <w:r w:rsidRPr="00BE0EE1">
        <w:t>66 Pa.C.S. §1501</w:t>
      </w:r>
      <w:r>
        <w:t>.</w:t>
      </w:r>
      <w:r w:rsidR="00675923">
        <w:br/>
      </w:r>
    </w:p>
  </w:footnote>
  <w:footnote w:id="11">
    <w:p w14:paraId="1CEFD0B2" w14:textId="6D953310" w:rsidR="003B2A9D" w:rsidRDefault="003B2A9D" w:rsidP="003B2A9D">
      <w:pPr>
        <w:pStyle w:val="FootnoteText"/>
      </w:pPr>
      <w:r>
        <w:rPr>
          <w:rStyle w:val="FootnoteReference"/>
        </w:rPr>
        <w:footnoteRef/>
      </w:r>
      <w:r>
        <w:t xml:space="preserve">  </w:t>
      </w:r>
      <w:r>
        <w:tab/>
      </w:r>
      <w:r w:rsidRPr="00BE0EE1">
        <w:t>66 Pa.C.S. §1505.</w:t>
      </w:r>
    </w:p>
    <w:p w14:paraId="37260246" w14:textId="77777777" w:rsidR="003B2A9D" w:rsidRDefault="003B2A9D" w:rsidP="003B2A9D">
      <w:pPr>
        <w:pStyle w:val="FootnoteText"/>
      </w:pPr>
    </w:p>
  </w:footnote>
  <w:footnote w:id="12">
    <w:p w14:paraId="259037E0" w14:textId="0FD4E9B9" w:rsidR="003B2A9D" w:rsidRDefault="003B2A9D" w:rsidP="003B2A9D">
      <w:pPr>
        <w:pStyle w:val="FootnoteText"/>
      </w:pPr>
      <w:r>
        <w:rPr>
          <w:rStyle w:val="FootnoteReference"/>
        </w:rPr>
        <w:footnoteRef/>
      </w:r>
      <w:r>
        <w:t xml:space="preserve"> </w:t>
      </w:r>
      <w:r>
        <w:tab/>
        <w:t>52 Pa.Code §5.102(c).</w:t>
      </w:r>
    </w:p>
    <w:p w14:paraId="28BC489E" w14:textId="77777777" w:rsidR="003B2A9D" w:rsidRDefault="003B2A9D" w:rsidP="003B2A9D">
      <w:pPr>
        <w:pStyle w:val="FootnoteText"/>
      </w:pPr>
    </w:p>
  </w:footnote>
  <w:footnote w:id="13">
    <w:p w14:paraId="5409F2B6" w14:textId="0C962A0E" w:rsidR="00D95537" w:rsidRDefault="00D95537">
      <w:pPr>
        <w:pStyle w:val="FootnoteText"/>
      </w:pPr>
      <w:r>
        <w:rPr>
          <w:rStyle w:val="FootnoteReference"/>
        </w:rPr>
        <w:footnoteRef/>
      </w:r>
      <w:r>
        <w:t xml:space="preserve">  </w:t>
      </w:r>
      <w:r>
        <w:tab/>
        <w:t>52 Pa.Code 5.102(d).</w:t>
      </w:r>
      <w:r>
        <w:br/>
      </w:r>
    </w:p>
  </w:footnote>
  <w:footnote w:id="14">
    <w:p w14:paraId="065FD284" w14:textId="4068B936" w:rsidR="00D95537" w:rsidRDefault="00D95537">
      <w:pPr>
        <w:pStyle w:val="FootnoteText"/>
      </w:pPr>
      <w:r>
        <w:rPr>
          <w:rStyle w:val="FootnoteReference"/>
        </w:rPr>
        <w:footnoteRef/>
      </w:r>
      <w:r>
        <w:t xml:space="preserve">  </w:t>
      </w:r>
      <w:r>
        <w:tab/>
        <w:t>The Complainant did not identify a lay body to which she wants her dispute transferred.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9827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3F25A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7A4F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8C01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98B6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6EA9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4690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BC2E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F2AA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444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0DA65A62"/>
    <w:multiLevelType w:val="hybridMultilevel"/>
    <w:tmpl w:val="81D67880"/>
    <w:lvl w:ilvl="0" w:tplc="6318F3C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8"/>
  </w:num>
  <w:num w:numId="2">
    <w:abstractNumId w:val="29"/>
  </w:num>
  <w:num w:numId="3">
    <w:abstractNumId w:val="36"/>
  </w:num>
  <w:num w:numId="4">
    <w:abstractNumId w:val="40"/>
  </w:num>
  <w:num w:numId="5">
    <w:abstractNumId w:val="21"/>
  </w:num>
  <w:num w:numId="6">
    <w:abstractNumId w:val="18"/>
  </w:num>
  <w:num w:numId="7">
    <w:abstractNumId w:val="16"/>
  </w:num>
  <w:num w:numId="8">
    <w:abstractNumId w:val="39"/>
  </w:num>
  <w:num w:numId="9">
    <w:abstractNumId w:val="13"/>
  </w:num>
  <w:num w:numId="10">
    <w:abstractNumId w:val="31"/>
  </w:num>
  <w:num w:numId="11">
    <w:abstractNumId w:val="35"/>
  </w:num>
  <w:num w:numId="12">
    <w:abstractNumId w:val="25"/>
  </w:num>
  <w:num w:numId="13">
    <w:abstractNumId w:val="32"/>
  </w:num>
  <w:num w:numId="14">
    <w:abstractNumId w:val="37"/>
  </w:num>
  <w:num w:numId="15">
    <w:abstractNumId w:val="10"/>
  </w:num>
  <w:num w:numId="16">
    <w:abstractNumId w:val="30"/>
  </w:num>
  <w:num w:numId="17">
    <w:abstractNumId w:val="30"/>
  </w:num>
  <w:num w:numId="18">
    <w:abstractNumId w:val="20"/>
  </w:num>
  <w:num w:numId="19">
    <w:abstractNumId w:val="26"/>
  </w:num>
  <w:num w:numId="20">
    <w:abstractNumId w:val="41"/>
  </w:num>
  <w:num w:numId="21">
    <w:abstractNumId w:val="23"/>
  </w:num>
  <w:num w:numId="22">
    <w:abstractNumId w:val="15"/>
  </w:num>
  <w:num w:numId="23">
    <w:abstractNumId w:val="24"/>
  </w:num>
  <w:num w:numId="24">
    <w:abstractNumId w:val="44"/>
  </w:num>
  <w:num w:numId="25">
    <w:abstractNumId w:val="11"/>
  </w:num>
  <w:num w:numId="26">
    <w:abstractNumId w:val="17"/>
  </w:num>
  <w:num w:numId="27">
    <w:abstractNumId w:val="34"/>
  </w:num>
  <w:num w:numId="28">
    <w:abstractNumId w:val="22"/>
  </w:num>
  <w:num w:numId="29">
    <w:abstractNumId w:val="19"/>
  </w:num>
  <w:num w:numId="30">
    <w:abstractNumId w:val="28"/>
  </w:num>
  <w:num w:numId="31">
    <w:abstractNumId w:val="42"/>
  </w:num>
  <w:num w:numId="32">
    <w:abstractNumId w:val="43"/>
  </w:num>
  <w:num w:numId="33">
    <w:abstractNumId w:val="33"/>
  </w:num>
  <w:num w:numId="34">
    <w:abstractNumId w:val="14"/>
  </w:num>
  <w:num w:numId="35">
    <w:abstractNumId w:val="27"/>
  </w:num>
  <w:num w:numId="36">
    <w:abstractNumId w:val="12"/>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4D"/>
    <w:rsid w:val="00004C37"/>
    <w:rsid w:val="000066B3"/>
    <w:rsid w:val="00066D87"/>
    <w:rsid w:val="000701B2"/>
    <w:rsid w:val="00071475"/>
    <w:rsid w:val="00083973"/>
    <w:rsid w:val="000E3EDE"/>
    <w:rsid w:val="00107E82"/>
    <w:rsid w:val="00126F70"/>
    <w:rsid w:val="001A21B6"/>
    <w:rsid w:val="001B1CBA"/>
    <w:rsid w:val="001D2AF7"/>
    <w:rsid w:val="00207743"/>
    <w:rsid w:val="00213167"/>
    <w:rsid w:val="002512F9"/>
    <w:rsid w:val="00267405"/>
    <w:rsid w:val="002B53B3"/>
    <w:rsid w:val="003145FA"/>
    <w:rsid w:val="00367A41"/>
    <w:rsid w:val="00386EC6"/>
    <w:rsid w:val="00393C92"/>
    <w:rsid w:val="003A1A41"/>
    <w:rsid w:val="003A3E09"/>
    <w:rsid w:val="003A68FC"/>
    <w:rsid w:val="003B2A9D"/>
    <w:rsid w:val="00417566"/>
    <w:rsid w:val="004D523C"/>
    <w:rsid w:val="004D6975"/>
    <w:rsid w:val="00506BDE"/>
    <w:rsid w:val="0050779E"/>
    <w:rsid w:val="005A1C17"/>
    <w:rsid w:val="005A2ABA"/>
    <w:rsid w:val="005D180A"/>
    <w:rsid w:val="005E7B69"/>
    <w:rsid w:val="005F7CF6"/>
    <w:rsid w:val="0061775F"/>
    <w:rsid w:val="00675923"/>
    <w:rsid w:val="00696C0D"/>
    <w:rsid w:val="006C6A0D"/>
    <w:rsid w:val="006F0329"/>
    <w:rsid w:val="00700807"/>
    <w:rsid w:val="00712E58"/>
    <w:rsid w:val="007407AC"/>
    <w:rsid w:val="00755D72"/>
    <w:rsid w:val="00792796"/>
    <w:rsid w:val="00792807"/>
    <w:rsid w:val="00796B64"/>
    <w:rsid w:val="007E6779"/>
    <w:rsid w:val="0081192D"/>
    <w:rsid w:val="00820B4C"/>
    <w:rsid w:val="00821752"/>
    <w:rsid w:val="0083239D"/>
    <w:rsid w:val="008529D2"/>
    <w:rsid w:val="0088105E"/>
    <w:rsid w:val="008C042B"/>
    <w:rsid w:val="00917DCA"/>
    <w:rsid w:val="00926DE3"/>
    <w:rsid w:val="009C577A"/>
    <w:rsid w:val="009F6946"/>
    <w:rsid w:val="00A10DB1"/>
    <w:rsid w:val="00A47096"/>
    <w:rsid w:val="00AA2EC5"/>
    <w:rsid w:val="00AB00FA"/>
    <w:rsid w:val="00AB4C73"/>
    <w:rsid w:val="00AB774D"/>
    <w:rsid w:val="00AD27C0"/>
    <w:rsid w:val="00AE6F47"/>
    <w:rsid w:val="00B91E47"/>
    <w:rsid w:val="00BC6B21"/>
    <w:rsid w:val="00C369CF"/>
    <w:rsid w:val="00C87E57"/>
    <w:rsid w:val="00CC4E79"/>
    <w:rsid w:val="00CF6143"/>
    <w:rsid w:val="00D033C2"/>
    <w:rsid w:val="00D14843"/>
    <w:rsid w:val="00D673D7"/>
    <w:rsid w:val="00D95537"/>
    <w:rsid w:val="00DD5C37"/>
    <w:rsid w:val="00DF35D9"/>
    <w:rsid w:val="00E4239A"/>
    <w:rsid w:val="00EB027A"/>
    <w:rsid w:val="00EC1CBA"/>
    <w:rsid w:val="00ED65CA"/>
    <w:rsid w:val="00EE7801"/>
    <w:rsid w:val="00F11A19"/>
    <w:rsid w:val="00F16554"/>
    <w:rsid w:val="00F544E1"/>
    <w:rsid w:val="00F56732"/>
    <w:rsid w:val="00FD5C10"/>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22422BB"/>
  <w15:chartTrackingRefBased/>
  <w15:docId w15:val="{812084FF-C27C-4946-98EE-F033B64A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5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926DE3"/>
    <w:pPr>
      <w:numPr>
        <w:numId w:val="36"/>
      </w:numPr>
    </w:pPr>
  </w:style>
  <w:style w:type="paragraph" w:styleId="FootnoteText">
    <w:name w:val="footnote text"/>
    <w:aliases w:val="Car"/>
    <w:basedOn w:val="Normal"/>
    <w:link w:val="FootnoteTextChar"/>
    <w:autoRedefine/>
    <w:uiPriority w:val="99"/>
    <w:qFormat/>
    <w:rsid w:val="00ED65CA"/>
    <w:pPr>
      <w:spacing w:line="240" w:lineRule="auto"/>
    </w:pPr>
    <w:rPr>
      <w:rFonts w:eastAsia="Times New Roman"/>
      <w:sz w:val="20"/>
    </w:rPr>
  </w:style>
  <w:style w:type="character" w:customStyle="1" w:styleId="FootnoteTextChar">
    <w:name w:val="Footnote Text Char"/>
    <w:aliases w:val="Car Char"/>
    <w:basedOn w:val="DefaultParagraphFont"/>
    <w:link w:val="FootnoteText"/>
    <w:uiPriority w:val="99"/>
    <w:rsid w:val="00ED65CA"/>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ED65CA"/>
    <w:rPr>
      <w:vertAlign w:val="superscript"/>
    </w:rPr>
  </w:style>
  <w:style w:type="paragraph" w:styleId="Header">
    <w:name w:val="header"/>
    <w:basedOn w:val="Normal"/>
    <w:link w:val="HeaderChar"/>
    <w:uiPriority w:val="99"/>
    <w:unhideWhenUsed/>
    <w:rsid w:val="00126F70"/>
    <w:pPr>
      <w:tabs>
        <w:tab w:val="center" w:pos="4680"/>
        <w:tab w:val="right" w:pos="9360"/>
      </w:tabs>
      <w:spacing w:line="240" w:lineRule="auto"/>
    </w:pPr>
  </w:style>
  <w:style w:type="character" w:customStyle="1" w:styleId="HeaderChar">
    <w:name w:val="Header Char"/>
    <w:basedOn w:val="DefaultParagraphFont"/>
    <w:link w:val="Header"/>
    <w:uiPriority w:val="99"/>
    <w:rsid w:val="00126F70"/>
  </w:style>
  <w:style w:type="paragraph" w:styleId="Footer">
    <w:name w:val="footer"/>
    <w:basedOn w:val="Normal"/>
    <w:link w:val="FooterChar"/>
    <w:uiPriority w:val="99"/>
    <w:unhideWhenUsed/>
    <w:rsid w:val="00126F70"/>
    <w:pPr>
      <w:tabs>
        <w:tab w:val="center" w:pos="4680"/>
        <w:tab w:val="right" w:pos="9360"/>
      </w:tabs>
      <w:spacing w:line="240" w:lineRule="auto"/>
    </w:pPr>
  </w:style>
  <w:style w:type="character" w:customStyle="1" w:styleId="FooterChar">
    <w:name w:val="Footer Char"/>
    <w:basedOn w:val="DefaultParagraphFont"/>
    <w:link w:val="Footer"/>
    <w:uiPriority w:val="99"/>
    <w:rsid w:val="00126F70"/>
  </w:style>
  <w:style w:type="paragraph" w:styleId="Title">
    <w:name w:val="Title"/>
    <w:basedOn w:val="Normal"/>
    <w:link w:val="TitleChar"/>
    <w:qFormat/>
    <w:rsid w:val="004D6975"/>
    <w:pPr>
      <w:tabs>
        <w:tab w:val="left" w:pos="360"/>
      </w:tabs>
      <w:spacing w:line="233" w:lineRule="auto"/>
      <w:jc w:val="center"/>
    </w:pPr>
    <w:rPr>
      <w:rFonts w:eastAsia="Times New Roman"/>
      <w:b/>
      <w:szCs w:val="20"/>
    </w:rPr>
  </w:style>
  <w:style w:type="character" w:customStyle="1" w:styleId="TitleChar">
    <w:name w:val="Title Char"/>
    <w:basedOn w:val="DefaultParagraphFont"/>
    <w:link w:val="Title"/>
    <w:rsid w:val="004D6975"/>
    <w:rPr>
      <w:rFonts w:eastAsia="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7</cp:revision>
  <dcterms:created xsi:type="dcterms:W3CDTF">2020-01-30T20:19:00Z</dcterms:created>
  <dcterms:modified xsi:type="dcterms:W3CDTF">2020-01-30T20:28:00Z</dcterms:modified>
</cp:coreProperties>
</file>