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ACD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378A990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5B1C955A"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729A7D4D"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2BC5EA7C" w14:textId="77777777" w:rsidR="007A72A0" w:rsidRPr="00192830" w:rsidRDefault="007A72A0" w:rsidP="007C0AD2">
      <w:pPr>
        <w:tabs>
          <w:tab w:val="center" w:pos="4680"/>
        </w:tabs>
        <w:suppressAutoHyphens/>
        <w:jc w:val="center"/>
        <w:rPr>
          <w:rFonts w:ascii="Times New Roman" w:hAnsi="Times New Roman" w:cs="Times New Roman"/>
          <w:b/>
          <w:bCs/>
          <w:spacing w:val="-3"/>
        </w:rPr>
      </w:pPr>
    </w:p>
    <w:p w14:paraId="12583A28" w14:textId="549ED9E8" w:rsidR="00A52DAF" w:rsidRPr="00A52DAF" w:rsidRDefault="00A52DAF" w:rsidP="00A52DAF">
      <w:pPr>
        <w:tabs>
          <w:tab w:val="left" w:pos="-720"/>
        </w:tabs>
        <w:suppressAutoHyphens/>
        <w:rPr>
          <w:rFonts w:ascii="Times New Roman" w:hAnsi="Times New Roman"/>
          <w:spacing w:val="-3"/>
        </w:rPr>
      </w:pPr>
      <w:r w:rsidRPr="00A52DAF">
        <w:rPr>
          <w:rFonts w:ascii="Times New Roman" w:hAnsi="Times New Roman"/>
          <w:spacing w:val="-3"/>
        </w:rPr>
        <w:t xml:space="preserve">Interstate Gas Supply, Inc., </w:t>
      </w:r>
      <w:r w:rsidRPr="00A52DAF">
        <w:rPr>
          <w:rFonts w:ascii="Times New Roman" w:hAnsi="Times New Roman"/>
          <w:i/>
          <w:iCs/>
          <w:spacing w:val="-3"/>
        </w:rPr>
        <w:t>et al</w:t>
      </w:r>
      <w:r w:rsidRPr="00A52DAF">
        <w:rPr>
          <w:rFonts w:ascii="Times New Roman" w:hAnsi="Times New Roman"/>
          <w:spacing w:val="-3"/>
        </w:rPr>
        <w:t>.</w:t>
      </w:r>
      <w:r w:rsidRPr="00A52DAF">
        <w:rPr>
          <w:rFonts w:ascii="Times New Roman" w:hAnsi="Times New Roman"/>
          <w:spacing w:val="-3"/>
        </w:rPr>
        <w:tab/>
      </w:r>
      <w:r w:rsidRPr="00A52DAF">
        <w:rPr>
          <w:rFonts w:ascii="Times New Roman" w:hAnsi="Times New Roman"/>
          <w:spacing w:val="-3"/>
        </w:rPr>
        <w:tab/>
      </w:r>
      <w:r w:rsidR="00406C09">
        <w:rPr>
          <w:rFonts w:ascii="Times New Roman" w:hAnsi="Times New Roman"/>
          <w:spacing w:val="-3"/>
        </w:rPr>
        <w:tab/>
      </w:r>
      <w:r w:rsidRPr="00A52DAF">
        <w:rPr>
          <w:rFonts w:ascii="Times New Roman" w:hAnsi="Times New Roman"/>
          <w:spacing w:val="-3"/>
        </w:rPr>
        <w:t>:</w:t>
      </w:r>
      <w:r w:rsidRPr="00A52DAF">
        <w:rPr>
          <w:rFonts w:ascii="Times New Roman" w:hAnsi="Times New Roman"/>
          <w:spacing w:val="-3"/>
        </w:rPr>
        <w:tab/>
      </w:r>
      <w:r w:rsidRPr="00A52DAF">
        <w:rPr>
          <w:rFonts w:ascii="Times New Roman" w:hAnsi="Times New Roman"/>
          <w:spacing w:val="-3"/>
        </w:rPr>
        <w:tab/>
      </w:r>
      <w:r w:rsidR="00406C09" w:rsidRPr="00A52DAF">
        <w:rPr>
          <w:rFonts w:ascii="Times New Roman" w:hAnsi="Times New Roman"/>
          <w:spacing w:val="-3"/>
        </w:rPr>
        <w:t>C-2019-3013805</w:t>
      </w:r>
    </w:p>
    <w:p w14:paraId="5DBBD517" w14:textId="6D1A8BEB" w:rsidR="00A52DAF" w:rsidRPr="00A52DAF" w:rsidRDefault="00A52DAF" w:rsidP="00A52DAF">
      <w:pPr>
        <w:tabs>
          <w:tab w:val="left" w:pos="-720"/>
        </w:tabs>
        <w:suppressAutoHyphens/>
        <w:rPr>
          <w:rFonts w:ascii="Times New Roman" w:hAnsi="Times New Roman"/>
          <w:spacing w:val="-3"/>
        </w:rPr>
      </w:pP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00406C09">
        <w:rPr>
          <w:rFonts w:ascii="Times New Roman" w:hAnsi="Times New Roman"/>
          <w:spacing w:val="-3"/>
        </w:rPr>
        <w:tab/>
      </w:r>
      <w:r w:rsidRPr="00A52DAF">
        <w:rPr>
          <w:rFonts w:ascii="Times New Roman" w:hAnsi="Times New Roman"/>
          <w:spacing w:val="-3"/>
        </w:rPr>
        <w:t>:</w:t>
      </w:r>
      <w:r w:rsidR="00406C09">
        <w:rPr>
          <w:rFonts w:ascii="Times New Roman" w:hAnsi="Times New Roman"/>
          <w:spacing w:val="-3"/>
        </w:rPr>
        <w:tab/>
      </w:r>
      <w:r w:rsidR="00406C09">
        <w:rPr>
          <w:rFonts w:ascii="Times New Roman" w:hAnsi="Times New Roman"/>
          <w:spacing w:val="-3"/>
        </w:rPr>
        <w:tab/>
      </w:r>
      <w:r w:rsidR="00406C09" w:rsidRPr="00A52DAF">
        <w:rPr>
          <w:rFonts w:ascii="Times New Roman" w:hAnsi="Times New Roman"/>
          <w:spacing w:val="-3"/>
        </w:rPr>
        <w:t>C-2019-3013806</w:t>
      </w:r>
    </w:p>
    <w:p w14:paraId="09EAB4EA" w14:textId="2E76B321" w:rsidR="00A52DAF" w:rsidRPr="00A52DAF" w:rsidRDefault="00A52DAF" w:rsidP="00A52DAF">
      <w:pPr>
        <w:tabs>
          <w:tab w:val="left" w:pos="-720"/>
        </w:tabs>
        <w:suppressAutoHyphens/>
        <w:rPr>
          <w:rFonts w:ascii="Times New Roman" w:hAnsi="Times New Roman"/>
          <w:spacing w:val="-3"/>
        </w:rPr>
      </w:pPr>
      <w:r w:rsidRPr="00A52DAF">
        <w:rPr>
          <w:rFonts w:ascii="Times New Roman" w:hAnsi="Times New Roman"/>
          <w:spacing w:val="-3"/>
        </w:rPr>
        <w:tab/>
        <w:t>v.</w:t>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00406C09">
        <w:rPr>
          <w:rFonts w:ascii="Times New Roman" w:hAnsi="Times New Roman"/>
          <w:spacing w:val="-3"/>
        </w:rPr>
        <w:tab/>
      </w:r>
      <w:r w:rsidRPr="00A52DAF">
        <w:rPr>
          <w:rFonts w:ascii="Times New Roman" w:hAnsi="Times New Roman"/>
          <w:spacing w:val="-3"/>
        </w:rPr>
        <w:t>:</w:t>
      </w:r>
      <w:r w:rsidRPr="00A52DAF">
        <w:rPr>
          <w:rFonts w:ascii="Times New Roman" w:hAnsi="Times New Roman"/>
          <w:spacing w:val="-3"/>
        </w:rPr>
        <w:tab/>
      </w:r>
      <w:r w:rsidRPr="00A52DAF">
        <w:rPr>
          <w:rFonts w:ascii="Times New Roman" w:hAnsi="Times New Roman"/>
          <w:spacing w:val="-3"/>
        </w:rPr>
        <w:tab/>
      </w:r>
      <w:r w:rsidR="00406C09" w:rsidRPr="00A52DAF">
        <w:rPr>
          <w:rFonts w:ascii="Times New Roman" w:hAnsi="Times New Roman"/>
          <w:spacing w:val="-3"/>
        </w:rPr>
        <w:t>C-2019-3013807</w:t>
      </w:r>
    </w:p>
    <w:p w14:paraId="0C2B3B85" w14:textId="1AC2BD1A" w:rsidR="00A52DAF" w:rsidRPr="00A52DAF" w:rsidRDefault="00A52DAF" w:rsidP="00A52DAF">
      <w:pPr>
        <w:tabs>
          <w:tab w:val="left" w:pos="-720"/>
        </w:tabs>
        <w:suppressAutoHyphens/>
        <w:rPr>
          <w:rFonts w:ascii="Times New Roman" w:hAnsi="Times New Roman"/>
          <w:spacing w:val="-3"/>
        </w:rPr>
      </w:pP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00406C09">
        <w:rPr>
          <w:rFonts w:ascii="Times New Roman" w:hAnsi="Times New Roman"/>
          <w:spacing w:val="-3"/>
        </w:rPr>
        <w:tab/>
      </w:r>
      <w:r w:rsidRPr="00A52DAF">
        <w:rPr>
          <w:rFonts w:ascii="Times New Roman" w:hAnsi="Times New Roman"/>
          <w:spacing w:val="-3"/>
        </w:rPr>
        <w:t>:</w:t>
      </w:r>
      <w:r w:rsidRPr="00A52DAF">
        <w:rPr>
          <w:rFonts w:ascii="Times New Roman" w:hAnsi="Times New Roman"/>
          <w:spacing w:val="-3"/>
        </w:rPr>
        <w:tab/>
      </w:r>
      <w:r w:rsidRPr="00A52DAF">
        <w:rPr>
          <w:rFonts w:ascii="Times New Roman" w:hAnsi="Times New Roman"/>
          <w:spacing w:val="-3"/>
        </w:rPr>
        <w:tab/>
      </w:r>
      <w:r w:rsidR="00406C09" w:rsidRPr="00A52DAF">
        <w:rPr>
          <w:rFonts w:ascii="Times New Roman" w:hAnsi="Times New Roman"/>
          <w:spacing w:val="-3"/>
        </w:rPr>
        <w:t>C-2019-3013808</w:t>
      </w:r>
    </w:p>
    <w:p w14:paraId="71970DDE" w14:textId="3BDD4631" w:rsidR="00A52DAF" w:rsidRPr="00A52DAF" w:rsidRDefault="00A52DAF" w:rsidP="00A52DAF">
      <w:pPr>
        <w:tabs>
          <w:tab w:val="left" w:pos="-720"/>
        </w:tabs>
        <w:suppressAutoHyphens/>
        <w:rPr>
          <w:rFonts w:ascii="Times New Roman" w:hAnsi="Times New Roman"/>
          <w:spacing w:val="-3"/>
        </w:rPr>
      </w:pPr>
      <w:r w:rsidRPr="00A52DAF">
        <w:rPr>
          <w:rFonts w:ascii="Times New Roman" w:hAnsi="Times New Roman"/>
          <w:spacing w:val="-3"/>
        </w:rPr>
        <w:t>Metropolitan Edison Company,</w:t>
      </w:r>
      <w:r w:rsidRPr="00A52DAF">
        <w:rPr>
          <w:rFonts w:ascii="Times New Roman" w:hAnsi="Times New Roman"/>
          <w:spacing w:val="-3"/>
        </w:rPr>
        <w:tab/>
      </w:r>
      <w:r w:rsidRPr="00A52DAF">
        <w:rPr>
          <w:rFonts w:ascii="Times New Roman" w:hAnsi="Times New Roman"/>
          <w:spacing w:val="-3"/>
        </w:rPr>
        <w:tab/>
      </w:r>
      <w:r w:rsidR="00406C09">
        <w:rPr>
          <w:rFonts w:ascii="Times New Roman" w:hAnsi="Times New Roman"/>
          <w:spacing w:val="-3"/>
        </w:rPr>
        <w:tab/>
      </w:r>
      <w:r w:rsidRPr="00A52DAF">
        <w:rPr>
          <w:rFonts w:ascii="Times New Roman" w:hAnsi="Times New Roman"/>
          <w:spacing w:val="-3"/>
        </w:rPr>
        <w:t>:</w:t>
      </w:r>
      <w:r w:rsidRPr="00A52DAF">
        <w:rPr>
          <w:rFonts w:ascii="Times New Roman" w:hAnsi="Times New Roman"/>
          <w:spacing w:val="-3"/>
        </w:rPr>
        <w:tab/>
      </w:r>
      <w:r w:rsidRPr="00A52DAF">
        <w:rPr>
          <w:rFonts w:ascii="Times New Roman" w:hAnsi="Times New Roman"/>
          <w:spacing w:val="-3"/>
        </w:rPr>
        <w:tab/>
      </w:r>
    </w:p>
    <w:p w14:paraId="4AFBF276" w14:textId="32DAA509" w:rsidR="00A52DAF" w:rsidRPr="00A52DAF" w:rsidRDefault="00A52DAF" w:rsidP="00A52DAF">
      <w:pPr>
        <w:tabs>
          <w:tab w:val="left" w:pos="-720"/>
        </w:tabs>
        <w:suppressAutoHyphens/>
        <w:rPr>
          <w:rFonts w:ascii="Times New Roman" w:hAnsi="Times New Roman"/>
          <w:spacing w:val="-3"/>
        </w:rPr>
      </w:pPr>
      <w:r w:rsidRPr="00A52DAF">
        <w:rPr>
          <w:rFonts w:ascii="Times New Roman" w:hAnsi="Times New Roman"/>
          <w:spacing w:val="-3"/>
        </w:rPr>
        <w:t>Pennsylvania Electric Company,</w:t>
      </w:r>
      <w:r w:rsidRPr="00A52DAF">
        <w:rPr>
          <w:rFonts w:ascii="Times New Roman" w:hAnsi="Times New Roman"/>
          <w:spacing w:val="-3"/>
        </w:rPr>
        <w:tab/>
      </w:r>
      <w:r w:rsidRPr="00A52DAF">
        <w:rPr>
          <w:rFonts w:ascii="Times New Roman" w:hAnsi="Times New Roman"/>
          <w:spacing w:val="-3"/>
        </w:rPr>
        <w:tab/>
      </w:r>
      <w:r w:rsidR="00406C09">
        <w:rPr>
          <w:rFonts w:ascii="Times New Roman" w:hAnsi="Times New Roman"/>
          <w:spacing w:val="-3"/>
        </w:rPr>
        <w:tab/>
      </w:r>
      <w:r w:rsidRPr="00A52DAF">
        <w:rPr>
          <w:rFonts w:ascii="Times New Roman" w:hAnsi="Times New Roman"/>
          <w:spacing w:val="-3"/>
        </w:rPr>
        <w:t>:</w:t>
      </w:r>
      <w:r w:rsidRPr="00A52DAF">
        <w:rPr>
          <w:rFonts w:ascii="Times New Roman" w:hAnsi="Times New Roman"/>
          <w:spacing w:val="-3"/>
        </w:rPr>
        <w:tab/>
      </w:r>
      <w:r w:rsidRPr="00A52DAF">
        <w:rPr>
          <w:rFonts w:ascii="Times New Roman" w:hAnsi="Times New Roman"/>
          <w:spacing w:val="-3"/>
        </w:rPr>
        <w:tab/>
      </w:r>
    </w:p>
    <w:p w14:paraId="3E91799A" w14:textId="08FA1EF1" w:rsidR="00A52DAF" w:rsidRPr="00A52DAF" w:rsidRDefault="00A52DAF" w:rsidP="00A52DAF">
      <w:pPr>
        <w:tabs>
          <w:tab w:val="left" w:pos="-720"/>
        </w:tabs>
        <w:suppressAutoHyphens/>
        <w:rPr>
          <w:rFonts w:ascii="Times New Roman" w:hAnsi="Times New Roman"/>
          <w:spacing w:val="-3"/>
        </w:rPr>
      </w:pPr>
      <w:r w:rsidRPr="00A52DAF">
        <w:rPr>
          <w:rFonts w:ascii="Times New Roman" w:hAnsi="Times New Roman"/>
          <w:spacing w:val="-3"/>
        </w:rPr>
        <w:t xml:space="preserve">Pennsylvania Power Company and </w:t>
      </w:r>
      <w:r w:rsidRPr="00A52DAF">
        <w:rPr>
          <w:rFonts w:ascii="Times New Roman" w:hAnsi="Times New Roman"/>
          <w:spacing w:val="-3"/>
        </w:rPr>
        <w:tab/>
      </w:r>
      <w:r w:rsidRPr="00A52DAF">
        <w:rPr>
          <w:rFonts w:ascii="Times New Roman" w:hAnsi="Times New Roman"/>
          <w:spacing w:val="-3"/>
        </w:rPr>
        <w:tab/>
      </w:r>
      <w:r w:rsidR="00406C09">
        <w:rPr>
          <w:rFonts w:ascii="Times New Roman" w:hAnsi="Times New Roman"/>
          <w:spacing w:val="-3"/>
        </w:rPr>
        <w:tab/>
      </w:r>
      <w:r w:rsidRPr="00A52DAF">
        <w:rPr>
          <w:rFonts w:ascii="Times New Roman" w:hAnsi="Times New Roman"/>
          <w:spacing w:val="-3"/>
        </w:rPr>
        <w:t>:</w:t>
      </w:r>
    </w:p>
    <w:p w14:paraId="6DF2CF86" w14:textId="7E81C0C4" w:rsidR="00A52DAF" w:rsidRPr="00A52DAF" w:rsidRDefault="00A52DAF" w:rsidP="00A52DAF">
      <w:pPr>
        <w:tabs>
          <w:tab w:val="left" w:pos="-720"/>
        </w:tabs>
        <w:suppressAutoHyphens/>
        <w:rPr>
          <w:rFonts w:ascii="Times New Roman" w:hAnsi="Times New Roman"/>
          <w:spacing w:val="-3"/>
        </w:rPr>
      </w:pPr>
      <w:r w:rsidRPr="00A52DAF">
        <w:rPr>
          <w:rFonts w:ascii="Times New Roman" w:hAnsi="Times New Roman"/>
          <w:spacing w:val="-3"/>
        </w:rPr>
        <w:t>West Penn Power Company</w:t>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00406C09">
        <w:rPr>
          <w:rFonts w:ascii="Times New Roman" w:hAnsi="Times New Roman"/>
          <w:spacing w:val="-3"/>
        </w:rPr>
        <w:tab/>
      </w:r>
      <w:r w:rsidRPr="00A52DAF">
        <w:rPr>
          <w:rFonts w:ascii="Times New Roman" w:hAnsi="Times New Roman"/>
          <w:spacing w:val="-3"/>
        </w:rPr>
        <w:t>:</w:t>
      </w:r>
      <w:r w:rsidRPr="00A52DAF">
        <w:rPr>
          <w:rFonts w:ascii="Times New Roman" w:eastAsiaTheme="minorHAnsi" w:hAnsi="Times New Roman" w:cs="Times New Roman"/>
          <w:spacing w:val="-3"/>
        </w:rPr>
        <w:tab/>
      </w:r>
    </w:p>
    <w:p w14:paraId="3013A7E3" w14:textId="77777777" w:rsidR="00DB327B" w:rsidRPr="00192830" w:rsidRDefault="00DB327B" w:rsidP="007C0AD2">
      <w:pPr>
        <w:tabs>
          <w:tab w:val="left" w:pos="-720"/>
        </w:tabs>
        <w:suppressAutoHyphens/>
        <w:rPr>
          <w:rFonts w:ascii="Times New Roman" w:hAnsi="Times New Roman" w:cs="Times New Roman"/>
          <w:spacing w:val="-3"/>
        </w:rPr>
      </w:pPr>
    </w:p>
    <w:p w14:paraId="7D1C88A0" w14:textId="69798B5D" w:rsidR="007C0AD2" w:rsidRDefault="007C0AD2" w:rsidP="007C0AD2">
      <w:pPr>
        <w:tabs>
          <w:tab w:val="left" w:pos="-720"/>
        </w:tabs>
        <w:suppressAutoHyphens/>
        <w:rPr>
          <w:rFonts w:ascii="Times New Roman" w:hAnsi="Times New Roman" w:cs="Times New Roman"/>
          <w:spacing w:val="-3"/>
        </w:rPr>
      </w:pPr>
    </w:p>
    <w:p w14:paraId="76E451C3" w14:textId="77777777" w:rsidR="00406C09" w:rsidRPr="00192830" w:rsidRDefault="00406C09" w:rsidP="007C0AD2">
      <w:pPr>
        <w:tabs>
          <w:tab w:val="left" w:pos="-720"/>
        </w:tabs>
        <w:suppressAutoHyphens/>
        <w:rPr>
          <w:rFonts w:ascii="Times New Roman" w:hAnsi="Times New Roman" w:cs="Times New Roman"/>
          <w:spacing w:val="-3"/>
        </w:rPr>
      </w:pPr>
    </w:p>
    <w:p w14:paraId="4AB2682C" w14:textId="4B96B7B6" w:rsidR="007C0AD2" w:rsidRPr="00192830" w:rsidRDefault="00490DB6"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SCHEDULING</w:t>
      </w:r>
      <w:r w:rsidR="007C0AD2" w:rsidRPr="00192830">
        <w:rPr>
          <w:rFonts w:ascii="Times New Roman" w:hAnsi="Times New Roman" w:cs="Times New Roman"/>
          <w:b/>
          <w:bCs/>
          <w:spacing w:val="-3"/>
          <w:u w:val="single"/>
        </w:rPr>
        <w:t xml:space="preserve"> ORDER</w:t>
      </w:r>
    </w:p>
    <w:p w14:paraId="3953382D"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p>
    <w:p w14:paraId="489EE82B"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646A377A" w14:textId="77777777" w:rsidR="00A52DAF" w:rsidRPr="00A52DAF" w:rsidRDefault="00A52DAF" w:rsidP="00A52DAF">
      <w:pPr>
        <w:widowControl w:val="0"/>
        <w:adjustRightInd w:val="0"/>
        <w:spacing w:line="360" w:lineRule="auto"/>
        <w:ind w:firstLine="1440"/>
        <w:rPr>
          <w:rFonts w:ascii="Times New Roman" w:hAnsi="Times New Roman" w:cs="Times New Roman"/>
          <w:bCs/>
          <w:color w:val="000000"/>
        </w:rPr>
      </w:pPr>
      <w:r w:rsidRPr="00A52DAF">
        <w:rPr>
          <w:rFonts w:ascii="Times New Roman" w:hAnsi="Times New Roman" w:cs="Times New Roman"/>
          <w:bCs/>
          <w:color w:val="000000"/>
        </w:rPr>
        <w:t xml:space="preserve">On October 25, 2019, </w:t>
      </w:r>
      <w:bookmarkStart w:id="0" w:name="_Hlk29821079"/>
      <w:r w:rsidRPr="00A52DAF">
        <w:rPr>
          <w:rFonts w:ascii="Times New Roman" w:hAnsi="Times New Roman" w:cs="Times New Roman"/>
          <w:bCs/>
          <w:color w:val="000000"/>
        </w:rPr>
        <w:t xml:space="preserve">Interstate Gas Supply, Inc. d/b/a IGS Energy, Direct Energy Services LLC and Shipley Choice, LLC d/b/a Shipley Energy </w:t>
      </w:r>
      <w:bookmarkEnd w:id="0"/>
      <w:r w:rsidRPr="00A52DAF">
        <w:rPr>
          <w:rFonts w:ascii="Times New Roman" w:hAnsi="Times New Roman" w:cs="Times New Roman"/>
          <w:bCs/>
          <w:color w:val="000000"/>
        </w:rPr>
        <w:t xml:space="preserve">(collectively referred to as “the EGSs”) filed a formal complaint with the Pennsylvania Public Utility Commission (Commission) against Metropolitan Edison Company, Pennsylvania Electric Company, Pennsylvania Power Company and West Penn Power Company (collectively “the EDCs”).  The Commission assigned the following four docket numbers, one for each respondent, to the complaint:  C-2019-3013805, C-2019-3013806, C-2019-3013807 and C-2019-3013808.  </w:t>
      </w:r>
    </w:p>
    <w:p w14:paraId="59DF36C9" w14:textId="77777777" w:rsidR="00A52DAF" w:rsidRPr="00A52DAF" w:rsidRDefault="00A52DAF" w:rsidP="00A52DAF">
      <w:pPr>
        <w:widowControl w:val="0"/>
        <w:adjustRightInd w:val="0"/>
        <w:spacing w:line="360" w:lineRule="auto"/>
        <w:ind w:firstLine="1440"/>
        <w:rPr>
          <w:rFonts w:ascii="Times New Roman" w:hAnsi="Times New Roman" w:cs="Times New Roman"/>
          <w:bCs/>
          <w:color w:val="000000"/>
        </w:rPr>
      </w:pPr>
    </w:p>
    <w:p w14:paraId="63459356" w14:textId="77777777" w:rsidR="00A52DAF" w:rsidRPr="00A52DAF" w:rsidRDefault="00A52DAF" w:rsidP="00A52DAF">
      <w:pPr>
        <w:widowControl w:val="0"/>
        <w:adjustRightInd w:val="0"/>
        <w:spacing w:line="360" w:lineRule="auto"/>
        <w:ind w:firstLine="1440"/>
        <w:rPr>
          <w:rFonts w:ascii="Times New Roman" w:hAnsi="Times New Roman" w:cs="Times New Roman"/>
          <w:bCs/>
          <w:color w:val="000000"/>
        </w:rPr>
      </w:pPr>
      <w:r w:rsidRPr="00A52DAF">
        <w:rPr>
          <w:rFonts w:ascii="Times New Roman" w:hAnsi="Times New Roman" w:cs="Times New Roman"/>
          <w:bCs/>
          <w:color w:val="000000"/>
        </w:rPr>
        <w:t>In their complaint, the EGSs averred that the EDCs conduct of providing a billing service, known in the industry as “on-bill” billing, for non-commodity products and services that it provides for the benefit of its electric distribution customers, while refusing to provide on-bill billing for EGSs serving customers on its systems, violates Sections 1502 and 2804(6) of the Public Utility Code, as well as a Commission Opinion and Order in a recent similar case in the natural gas industry.  The EGSs provided substantial argument and attachments to their complaint in support of their position and requested that the Commission find that the EDCs’ refusal to provide on-bill billing for EGSs operating in their system violates the Public Utility Code and, as a remedy, require the EDCs to provide a similar service to the EGSs operating on their systems.</w:t>
      </w:r>
    </w:p>
    <w:p w14:paraId="7F322DAB" w14:textId="77777777" w:rsidR="00A52DAF" w:rsidRPr="00A52DAF" w:rsidRDefault="00A52DAF" w:rsidP="00A52DAF">
      <w:pPr>
        <w:widowControl w:val="0"/>
        <w:adjustRightInd w:val="0"/>
        <w:spacing w:line="360" w:lineRule="auto"/>
        <w:ind w:firstLine="1440"/>
        <w:rPr>
          <w:rFonts w:ascii="Times New Roman" w:hAnsi="Times New Roman" w:cs="Times New Roman"/>
          <w:bCs/>
          <w:color w:val="000000"/>
        </w:rPr>
      </w:pPr>
    </w:p>
    <w:p w14:paraId="430EFABF" w14:textId="2758E65B" w:rsidR="00A52DAF" w:rsidRPr="00A52DAF" w:rsidRDefault="00A52DAF" w:rsidP="00A52DAF">
      <w:pPr>
        <w:widowControl w:val="0"/>
        <w:adjustRightInd w:val="0"/>
        <w:spacing w:line="360" w:lineRule="auto"/>
        <w:ind w:firstLine="1440"/>
        <w:rPr>
          <w:rFonts w:ascii="Times New Roman" w:hAnsi="Times New Roman" w:cs="Times New Roman"/>
          <w:bCs/>
          <w:color w:val="000000"/>
        </w:rPr>
      </w:pPr>
      <w:r w:rsidRPr="00A52DAF">
        <w:rPr>
          <w:rFonts w:ascii="Times New Roman" w:hAnsi="Times New Roman" w:cs="Times New Roman"/>
          <w:bCs/>
          <w:color w:val="000000"/>
        </w:rPr>
        <w:t xml:space="preserve">On November 14, 2019, the EDCs filed an answer and new matter in response to the EGSs’ complaint.  In their answer, the EDCs admitted or denied the various averments made by the EGSs in their complaint.  In particular, the EDCs admitted that they offer non-commodity products and services to their customers but have not authorized the EGSs to bill for non-commodity products and services on the EDCs monthly electric service bills.  In </w:t>
      </w:r>
      <w:r w:rsidR="00CB2819">
        <w:rPr>
          <w:rFonts w:ascii="Times New Roman" w:hAnsi="Times New Roman" w:cs="Times New Roman"/>
          <w:bCs/>
          <w:color w:val="000000"/>
        </w:rPr>
        <w:t>their</w:t>
      </w:r>
      <w:r w:rsidRPr="00A52DAF">
        <w:rPr>
          <w:rFonts w:ascii="Times New Roman" w:hAnsi="Times New Roman" w:cs="Times New Roman"/>
          <w:bCs/>
          <w:color w:val="000000"/>
        </w:rPr>
        <w:t xml:space="preserve"> new matter, which was accompanied by a notice to plead, the EDCs argued that the EGSs’ tariffs prohibit the relief requested in the formal complaint.  The EDCs further argued that these tariffs were recently approved as part of their default service plan in 2018 which the EGSs’ were served a copy of.  The EDCs also addressed other issues raised by the EGSs in their complaint and requested that the complaint be dismissed with prejudice.</w:t>
      </w:r>
    </w:p>
    <w:p w14:paraId="30B65485" w14:textId="77777777" w:rsidR="00A52DAF" w:rsidRPr="00A52DAF" w:rsidRDefault="00A52DAF" w:rsidP="00A52DAF">
      <w:pPr>
        <w:widowControl w:val="0"/>
        <w:adjustRightInd w:val="0"/>
        <w:spacing w:line="360" w:lineRule="auto"/>
        <w:ind w:firstLine="1440"/>
        <w:rPr>
          <w:rFonts w:ascii="Times New Roman" w:hAnsi="Times New Roman" w:cs="Times New Roman"/>
          <w:bCs/>
          <w:color w:val="000000"/>
        </w:rPr>
      </w:pPr>
    </w:p>
    <w:p w14:paraId="5DD531B4" w14:textId="08F09244" w:rsidR="00A52DAF" w:rsidRPr="00A52DAF" w:rsidRDefault="00A52DAF" w:rsidP="00A52DAF">
      <w:pPr>
        <w:widowControl w:val="0"/>
        <w:adjustRightInd w:val="0"/>
        <w:spacing w:line="360" w:lineRule="auto"/>
        <w:ind w:firstLine="1440"/>
        <w:rPr>
          <w:rFonts w:ascii="Times New Roman" w:hAnsi="Times New Roman" w:cs="Times New Roman"/>
          <w:bCs/>
          <w:color w:val="000000"/>
        </w:rPr>
      </w:pPr>
      <w:r w:rsidRPr="00A52DAF">
        <w:rPr>
          <w:rFonts w:ascii="Times New Roman" w:hAnsi="Times New Roman" w:cs="Times New Roman"/>
          <w:bCs/>
          <w:color w:val="000000"/>
        </w:rPr>
        <w:t xml:space="preserve">On December 4, 2019, the EGSs filed an answer to the EDCs’ new matter.  In </w:t>
      </w:r>
      <w:r w:rsidR="00CB2819">
        <w:rPr>
          <w:rFonts w:ascii="Times New Roman" w:hAnsi="Times New Roman" w:cs="Times New Roman"/>
          <w:bCs/>
          <w:color w:val="000000"/>
        </w:rPr>
        <w:t>their</w:t>
      </w:r>
      <w:r w:rsidRPr="00A52DAF">
        <w:rPr>
          <w:rFonts w:ascii="Times New Roman" w:hAnsi="Times New Roman" w:cs="Times New Roman"/>
          <w:bCs/>
          <w:color w:val="000000"/>
        </w:rPr>
        <w:t xml:space="preserve"> answer, the EGSs denied the EDCs’ claim to the extent they contend it is not appropriate or otherwise permissible to file a complaint regarding the legality of a service or tariff of a public utility.  The EGSs also denied, among other things, the EDCs’ averment regarding their participation in the EDCs’ default service plans in 2018 and its impact on the complaint.  The EGSs requested that their complaint be </w:t>
      </w:r>
      <w:proofErr w:type="gramStart"/>
      <w:r w:rsidRPr="00A52DAF">
        <w:rPr>
          <w:rFonts w:ascii="Times New Roman" w:hAnsi="Times New Roman" w:cs="Times New Roman"/>
          <w:bCs/>
          <w:color w:val="000000"/>
        </w:rPr>
        <w:t>sustained</w:t>
      </w:r>
      <w:proofErr w:type="gramEnd"/>
      <w:r w:rsidRPr="00A52DAF">
        <w:rPr>
          <w:rFonts w:ascii="Times New Roman" w:hAnsi="Times New Roman" w:cs="Times New Roman"/>
          <w:bCs/>
          <w:color w:val="000000"/>
        </w:rPr>
        <w:t xml:space="preserve"> and their relief requested granted.</w:t>
      </w:r>
    </w:p>
    <w:p w14:paraId="56E0B9DB" w14:textId="77777777" w:rsidR="00A52DAF" w:rsidRPr="00A52DAF" w:rsidRDefault="00A52DAF" w:rsidP="00A52DAF">
      <w:pPr>
        <w:widowControl w:val="0"/>
        <w:adjustRightInd w:val="0"/>
        <w:spacing w:line="360" w:lineRule="auto"/>
        <w:ind w:firstLine="1440"/>
        <w:rPr>
          <w:rFonts w:ascii="Times New Roman" w:hAnsi="Times New Roman" w:cs="Times New Roman"/>
          <w:bCs/>
          <w:color w:val="000000"/>
        </w:rPr>
      </w:pPr>
    </w:p>
    <w:p w14:paraId="0646DCE1" w14:textId="60215283" w:rsidR="00A52DAF" w:rsidRPr="00A52DAF" w:rsidRDefault="00A52DAF" w:rsidP="00A52DAF">
      <w:pPr>
        <w:widowControl w:val="0"/>
        <w:adjustRightInd w:val="0"/>
        <w:spacing w:line="360" w:lineRule="auto"/>
        <w:ind w:firstLine="1440"/>
        <w:rPr>
          <w:rFonts w:ascii="Times New Roman" w:hAnsi="Times New Roman" w:cs="Times New Roman"/>
          <w:bCs/>
          <w:color w:val="000000"/>
        </w:rPr>
      </w:pPr>
      <w:r w:rsidRPr="00A52DAF">
        <w:rPr>
          <w:rFonts w:ascii="Times New Roman" w:hAnsi="Times New Roman" w:cs="Times New Roman"/>
          <w:bCs/>
          <w:color w:val="000000"/>
        </w:rPr>
        <w:t>On December 23, 2019, a prehearing conference notice was issued establishing a prehearing conference for this matter for Monday, February 3, 2020 at 10:00 a.m. in hearing room 5 of the Commonwealth Keystone Building in Harrisburg</w:t>
      </w:r>
      <w:r w:rsidR="00CB2819">
        <w:rPr>
          <w:rFonts w:ascii="Times New Roman" w:hAnsi="Times New Roman" w:cs="Times New Roman"/>
          <w:bCs/>
          <w:color w:val="000000"/>
        </w:rPr>
        <w:t xml:space="preserve"> and assigning me as the presiding officer</w:t>
      </w:r>
      <w:r w:rsidRPr="00A52DAF">
        <w:rPr>
          <w:rFonts w:ascii="Times New Roman" w:hAnsi="Times New Roman" w:cs="Times New Roman"/>
          <w:bCs/>
          <w:color w:val="000000"/>
        </w:rPr>
        <w:t xml:space="preserve">.  On December 26, 2019, a prehearing order was issued that set forth various rules that will govern the hearing.  </w:t>
      </w:r>
    </w:p>
    <w:p w14:paraId="679460CE" w14:textId="77777777" w:rsidR="00A52DAF" w:rsidRPr="00A52DAF" w:rsidRDefault="00A52DAF" w:rsidP="00A52DAF">
      <w:pPr>
        <w:widowControl w:val="0"/>
        <w:adjustRightInd w:val="0"/>
        <w:spacing w:line="360" w:lineRule="auto"/>
        <w:ind w:firstLine="1440"/>
        <w:rPr>
          <w:rFonts w:ascii="Times New Roman" w:hAnsi="Times New Roman" w:cs="Times New Roman"/>
          <w:bCs/>
          <w:color w:val="000000"/>
        </w:rPr>
      </w:pPr>
    </w:p>
    <w:p w14:paraId="23408AF3" w14:textId="742821B9" w:rsidR="00A52DAF" w:rsidRDefault="00A52DAF" w:rsidP="00A52DAF">
      <w:pPr>
        <w:pStyle w:val="BodyTextIndent"/>
        <w:widowControl/>
        <w:rPr>
          <w:rFonts w:ascii="Times New Roman" w:eastAsiaTheme="minorHAnsi" w:hAnsi="Times New Roman" w:cs="Times New Roman"/>
          <w:bCs/>
          <w:color w:val="000000"/>
          <w:sz w:val="24"/>
          <w:szCs w:val="24"/>
        </w:rPr>
      </w:pPr>
      <w:r w:rsidRPr="00796D29">
        <w:rPr>
          <w:rFonts w:ascii="Times New Roman" w:eastAsiaTheme="minorHAnsi" w:hAnsi="Times New Roman" w:cs="Times New Roman"/>
          <w:bCs/>
          <w:color w:val="000000"/>
          <w:sz w:val="24"/>
          <w:szCs w:val="24"/>
        </w:rPr>
        <w:t xml:space="preserve">On December 30, 2019, the EGSs filed a motion to dismiss objections and compel responses to interrogatories and request for production of documents, set I numbers 1, 2, 5 and 6.  </w:t>
      </w:r>
      <w:r w:rsidR="00796D29">
        <w:rPr>
          <w:rFonts w:ascii="Times New Roman" w:eastAsiaTheme="minorHAnsi" w:hAnsi="Times New Roman" w:cs="Times New Roman"/>
          <w:bCs/>
          <w:color w:val="000000"/>
          <w:sz w:val="24"/>
          <w:szCs w:val="24"/>
        </w:rPr>
        <w:t>On January 6, 2020, the EDCs filed an answer to the EGSs’ motion.  The EGSs’ motion was granted via order dated January 15, 2020.</w:t>
      </w:r>
    </w:p>
    <w:p w14:paraId="42A29D15" w14:textId="7371179A" w:rsidR="00B307B4" w:rsidRDefault="00B307B4" w:rsidP="00A52DAF">
      <w:pPr>
        <w:pStyle w:val="BodyTextIndent"/>
        <w:widowControl/>
        <w:rPr>
          <w:rFonts w:ascii="Times New Roman" w:eastAsiaTheme="minorHAnsi" w:hAnsi="Times New Roman" w:cs="Times New Roman"/>
          <w:bCs/>
          <w:color w:val="000000"/>
          <w:sz w:val="24"/>
          <w:szCs w:val="24"/>
        </w:rPr>
      </w:pPr>
    </w:p>
    <w:p w14:paraId="54A35B24" w14:textId="0B9D90DB" w:rsidR="00B307B4" w:rsidRPr="00796D29" w:rsidRDefault="00B307B4" w:rsidP="00A52DAF">
      <w:pPr>
        <w:pStyle w:val="BodyTextIndent"/>
        <w:widowControl/>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On January 24, 2020, the Retail Energy Supply Association (RESA) filed a petition to intervene into the proceeding.</w:t>
      </w:r>
    </w:p>
    <w:p w14:paraId="125BC414" w14:textId="77777777" w:rsidR="00A52DAF" w:rsidRPr="00796D29" w:rsidRDefault="00A52DAF" w:rsidP="00A52DAF">
      <w:pPr>
        <w:pStyle w:val="BodyTextIndent"/>
        <w:widowControl/>
        <w:rPr>
          <w:rFonts w:ascii="Times New Roman" w:eastAsiaTheme="minorHAnsi" w:hAnsi="Times New Roman" w:cs="Times New Roman"/>
          <w:bCs/>
          <w:color w:val="000000"/>
          <w:sz w:val="24"/>
          <w:szCs w:val="24"/>
        </w:rPr>
      </w:pPr>
    </w:p>
    <w:p w14:paraId="529D6D1C" w14:textId="424A7160" w:rsidR="0091375E" w:rsidRDefault="00796D29" w:rsidP="00F141EF">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The prehearing conference convened on February 3, 2020 as scheduled.  </w:t>
      </w:r>
      <w:r w:rsidR="00F141EF">
        <w:rPr>
          <w:rFonts w:ascii="Times New Roman" w:hAnsi="Times New Roman" w:cs="Times New Roman"/>
          <w:sz w:val="24"/>
          <w:szCs w:val="24"/>
        </w:rPr>
        <w:t xml:space="preserve">Todd Stewart, Esquire, appeared on behalf of the EGSs; Teresa Harrold, Esquire, appeared on behalf of the EDCs; and Deanne O’Dell, Esquire, appeared on behalf of RESA.  </w:t>
      </w:r>
      <w:r w:rsidR="008D3A91">
        <w:rPr>
          <w:rFonts w:ascii="Times New Roman" w:hAnsi="Times New Roman" w:cs="Times New Roman"/>
          <w:sz w:val="24"/>
          <w:szCs w:val="24"/>
        </w:rPr>
        <w:t xml:space="preserve">Each of these parties had previously filed a prehearing memorandum in response to the prehearing conference order.  </w:t>
      </w:r>
      <w:r w:rsidR="0091375E">
        <w:rPr>
          <w:rFonts w:ascii="Times New Roman" w:hAnsi="Times New Roman" w:cs="Times New Roman"/>
          <w:sz w:val="24"/>
          <w:szCs w:val="24"/>
        </w:rPr>
        <w:t>The purpose of this scheduling order is to memorialize the matters agreed upon at the prehearing conference.</w:t>
      </w:r>
    </w:p>
    <w:p w14:paraId="0AF19B2A" w14:textId="71DA4DE1" w:rsidR="0091375E" w:rsidRDefault="0091375E" w:rsidP="00C64D61">
      <w:pPr>
        <w:pStyle w:val="BodyTextIndent"/>
        <w:widowControl/>
        <w:rPr>
          <w:rFonts w:ascii="Times New Roman" w:hAnsi="Times New Roman" w:cs="Times New Roman"/>
          <w:sz w:val="24"/>
          <w:szCs w:val="24"/>
        </w:rPr>
      </w:pPr>
    </w:p>
    <w:p w14:paraId="27FEE0D2" w14:textId="0C2D7E3A" w:rsidR="0091375E" w:rsidRDefault="0091375E" w:rsidP="00C64D61">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As an initial matter, the </w:t>
      </w:r>
      <w:r w:rsidR="00B307B4">
        <w:rPr>
          <w:rFonts w:ascii="Times New Roman" w:hAnsi="Times New Roman" w:cs="Times New Roman"/>
          <w:sz w:val="24"/>
          <w:szCs w:val="24"/>
        </w:rPr>
        <w:t xml:space="preserve">petition to intervene </w:t>
      </w:r>
      <w:r w:rsidR="008D3A91">
        <w:rPr>
          <w:rFonts w:ascii="Times New Roman" w:hAnsi="Times New Roman" w:cs="Times New Roman"/>
          <w:sz w:val="24"/>
          <w:szCs w:val="24"/>
        </w:rPr>
        <w:t>filed by RESA</w:t>
      </w:r>
      <w:r w:rsidR="00E57873">
        <w:rPr>
          <w:rFonts w:ascii="Times New Roman" w:hAnsi="Times New Roman" w:cs="Times New Roman"/>
          <w:sz w:val="24"/>
          <w:szCs w:val="24"/>
        </w:rPr>
        <w:t xml:space="preserve"> was granted</w:t>
      </w:r>
      <w:r w:rsidR="008D3A91">
        <w:rPr>
          <w:rFonts w:ascii="Times New Roman" w:hAnsi="Times New Roman" w:cs="Times New Roman"/>
          <w:sz w:val="24"/>
          <w:szCs w:val="24"/>
        </w:rPr>
        <w:t xml:space="preserve"> and the individual complaints filed by the EGSs were consolidated.  T</w:t>
      </w:r>
      <w:r>
        <w:rPr>
          <w:rFonts w:ascii="Times New Roman" w:hAnsi="Times New Roman" w:cs="Times New Roman"/>
          <w:sz w:val="24"/>
          <w:szCs w:val="24"/>
        </w:rPr>
        <w:t xml:space="preserve">he parties </w:t>
      </w:r>
      <w:r w:rsidR="008D3A91">
        <w:rPr>
          <w:rFonts w:ascii="Times New Roman" w:hAnsi="Times New Roman" w:cs="Times New Roman"/>
          <w:sz w:val="24"/>
          <w:szCs w:val="24"/>
        </w:rPr>
        <w:t xml:space="preserve">also </w:t>
      </w:r>
      <w:r>
        <w:rPr>
          <w:rFonts w:ascii="Times New Roman" w:hAnsi="Times New Roman" w:cs="Times New Roman"/>
          <w:sz w:val="24"/>
          <w:szCs w:val="24"/>
        </w:rPr>
        <w:t>agreed to the following litigation schedule:</w:t>
      </w:r>
    </w:p>
    <w:p w14:paraId="5021E89E" w14:textId="06E206F0" w:rsidR="0091375E" w:rsidRDefault="0091375E" w:rsidP="0091375E">
      <w:pPr>
        <w:pStyle w:val="BodyTextIndent"/>
        <w:widowControl/>
        <w:ind w:firstLine="0"/>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4320"/>
        <w:gridCol w:w="2790"/>
      </w:tblGrid>
      <w:tr w:rsidR="00E9061E" w14:paraId="04CE5213" w14:textId="77777777" w:rsidTr="00835203">
        <w:tc>
          <w:tcPr>
            <w:tcW w:w="4320" w:type="dxa"/>
          </w:tcPr>
          <w:p w14:paraId="19F9BC07" w14:textId="56D60097" w:rsidR="00E9061E" w:rsidRDefault="008D3A91" w:rsidP="00A422E4">
            <w:pPr>
              <w:pStyle w:val="BodyTextIndent"/>
              <w:widowControl/>
              <w:ind w:firstLine="0"/>
              <w:rPr>
                <w:rFonts w:ascii="Times New Roman" w:hAnsi="Times New Roman" w:cs="Times New Roman"/>
                <w:sz w:val="24"/>
                <w:szCs w:val="24"/>
              </w:rPr>
            </w:pPr>
            <w:bookmarkStart w:id="1" w:name="_Hlk3534191"/>
            <w:r>
              <w:rPr>
                <w:rFonts w:ascii="Times New Roman" w:hAnsi="Times New Roman" w:cs="Times New Roman"/>
                <w:sz w:val="24"/>
                <w:szCs w:val="24"/>
              </w:rPr>
              <w:t>Joint Complainant</w:t>
            </w:r>
            <w:r w:rsidR="00E9061E">
              <w:rPr>
                <w:rFonts w:ascii="Times New Roman" w:hAnsi="Times New Roman" w:cs="Times New Roman"/>
                <w:sz w:val="24"/>
                <w:szCs w:val="24"/>
              </w:rPr>
              <w:t xml:space="preserve"> Direct Testimony</w:t>
            </w:r>
          </w:p>
        </w:tc>
        <w:tc>
          <w:tcPr>
            <w:tcW w:w="2790" w:type="dxa"/>
          </w:tcPr>
          <w:p w14:paraId="1CAF1BE8" w14:textId="52F7B943" w:rsidR="00E9061E" w:rsidRDefault="008D3A91"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March 24, 2020</w:t>
            </w:r>
          </w:p>
        </w:tc>
      </w:tr>
      <w:tr w:rsidR="00E9061E" w14:paraId="71657C01" w14:textId="77777777" w:rsidTr="00835203">
        <w:tc>
          <w:tcPr>
            <w:tcW w:w="4320" w:type="dxa"/>
          </w:tcPr>
          <w:p w14:paraId="7A2F5E9E" w14:textId="354F8D24" w:rsidR="00E9061E" w:rsidRDefault="008D3A91"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Respondent Rebuttal Testimony</w:t>
            </w:r>
          </w:p>
        </w:tc>
        <w:tc>
          <w:tcPr>
            <w:tcW w:w="2790" w:type="dxa"/>
          </w:tcPr>
          <w:p w14:paraId="064DCAB0" w14:textId="69171E39" w:rsidR="00E9061E" w:rsidRDefault="008D3A91"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May 13, 2020</w:t>
            </w:r>
          </w:p>
        </w:tc>
      </w:tr>
      <w:tr w:rsidR="00E9061E" w14:paraId="3182A842" w14:textId="77777777" w:rsidTr="00835203">
        <w:tc>
          <w:tcPr>
            <w:tcW w:w="4320" w:type="dxa"/>
          </w:tcPr>
          <w:p w14:paraId="5D5329CC" w14:textId="7AA78F5D" w:rsidR="00E9061E" w:rsidRDefault="008D3A91"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 xml:space="preserve">Joint Complainant </w:t>
            </w:r>
            <w:proofErr w:type="spellStart"/>
            <w:r>
              <w:rPr>
                <w:rFonts w:ascii="Times New Roman" w:hAnsi="Times New Roman" w:cs="Times New Roman"/>
                <w:sz w:val="24"/>
                <w:szCs w:val="24"/>
              </w:rPr>
              <w:t>Surrebuttal</w:t>
            </w:r>
            <w:proofErr w:type="spellEnd"/>
            <w:r>
              <w:rPr>
                <w:rFonts w:ascii="Times New Roman" w:hAnsi="Times New Roman" w:cs="Times New Roman"/>
                <w:sz w:val="24"/>
                <w:szCs w:val="24"/>
              </w:rPr>
              <w:t xml:space="preserve"> Testimony</w:t>
            </w:r>
          </w:p>
        </w:tc>
        <w:tc>
          <w:tcPr>
            <w:tcW w:w="2790" w:type="dxa"/>
          </w:tcPr>
          <w:p w14:paraId="5A7765A1" w14:textId="09051788" w:rsidR="00E9061E" w:rsidRDefault="008D3A91"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May 27, 2020</w:t>
            </w:r>
          </w:p>
        </w:tc>
      </w:tr>
      <w:tr w:rsidR="00E9061E" w14:paraId="02975BEE" w14:textId="77777777" w:rsidTr="00835203">
        <w:tc>
          <w:tcPr>
            <w:tcW w:w="4320" w:type="dxa"/>
          </w:tcPr>
          <w:p w14:paraId="7C7DAC7D" w14:textId="0E08AF93" w:rsidR="00E9061E" w:rsidRDefault="008D3A91"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Proposed Witness Order</w:t>
            </w:r>
          </w:p>
        </w:tc>
        <w:tc>
          <w:tcPr>
            <w:tcW w:w="2790" w:type="dxa"/>
          </w:tcPr>
          <w:p w14:paraId="7C4F204E" w14:textId="5502AC69" w:rsidR="00E9061E" w:rsidRDefault="008D3A91"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June 8, 2020</w:t>
            </w:r>
          </w:p>
        </w:tc>
      </w:tr>
      <w:tr w:rsidR="00E9061E" w14:paraId="5761BE00" w14:textId="77777777" w:rsidTr="00835203">
        <w:tc>
          <w:tcPr>
            <w:tcW w:w="4320" w:type="dxa"/>
          </w:tcPr>
          <w:p w14:paraId="03AE7C3A" w14:textId="460453F6" w:rsidR="00E9061E" w:rsidRDefault="0003327C"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Hearing</w:t>
            </w:r>
          </w:p>
        </w:tc>
        <w:tc>
          <w:tcPr>
            <w:tcW w:w="2790" w:type="dxa"/>
          </w:tcPr>
          <w:p w14:paraId="57E06A7A" w14:textId="25EC1DDE" w:rsidR="00E9061E" w:rsidRDefault="008D3A91" w:rsidP="00A422E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June 30, 2020</w:t>
            </w:r>
          </w:p>
        </w:tc>
      </w:tr>
      <w:tr w:rsidR="0003327C" w14:paraId="4C45EFF6" w14:textId="77777777" w:rsidTr="00835203">
        <w:tc>
          <w:tcPr>
            <w:tcW w:w="4320" w:type="dxa"/>
          </w:tcPr>
          <w:p w14:paraId="305598AE" w14:textId="13FF6917" w:rsidR="0003327C" w:rsidRDefault="0003327C"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Main Briefs</w:t>
            </w:r>
          </w:p>
        </w:tc>
        <w:tc>
          <w:tcPr>
            <w:tcW w:w="2790" w:type="dxa"/>
          </w:tcPr>
          <w:p w14:paraId="5ECF2832" w14:textId="3014D06B" w:rsidR="0003327C" w:rsidRDefault="008D3A91"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August 18, 2020</w:t>
            </w:r>
          </w:p>
        </w:tc>
      </w:tr>
      <w:tr w:rsidR="0003327C" w14:paraId="05349CA0" w14:textId="77777777" w:rsidTr="00835203">
        <w:tc>
          <w:tcPr>
            <w:tcW w:w="4320" w:type="dxa"/>
          </w:tcPr>
          <w:p w14:paraId="5BC2E1F0" w14:textId="77777777" w:rsidR="0003327C" w:rsidRDefault="0003327C"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Reply Briefs</w:t>
            </w:r>
          </w:p>
        </w:tc>
        <w:tc>
          <w:tcPr>
            <w:tcW w:w="2790" w:type="dxa"/>
          </w:tcPr>
          <w:p w14:paraId="5E628928" w14:textId="61886DBB" w:rsidR="0003327C" w:rsidRDefault="008D3A91" w:rsidP="0003327C">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11, 2020</w:t>
            </w:r>
          </w:p>
        </w:tc>
      </w:tr>
      <w:bookmarkEnd w:id="1"/>
    </w:tbl>
    <w:p w14:paraId="4E69587A" w14:textId="77777777" w:rsidR="00E9061E" w:rsidRDefault="00E9061E" w:rsidP="00E9061E">
      <w:pPr>
        <w:pStyle w:val="BodyTextIndent"/>
        <w:widowControl/>
        <w:ind w:firstLine="0"/>
        <w:rPr>
          <w:rFonts w:ascii="Times New Roman" w:hAnsi="Times New Roman" w:cs="Times New Roman"/>
          <w:sz w:val="24"/>
          <w:szCs w:val="24"/>
        </w:rPr>
      </w:pPr>
    </w:p>
    <w:p w14:paraId="2830CDBA" w14:textId="48502766" w:rsidR="00E9061E" w:rsidRDefault="00E9061E" w:rsidP="00E9061E">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The evidentiary hearing will be held in Harrisburg and begin at 10:00 a.m.</w:t>
      </w:r>
    </w:p>
    <w:p w14:paraId="6DBC6F4C" w14:textId="77777777" w:rsidR="0091375E" w:rsidRPr="00B472B0" w:rsidRDefault="0091375E" w:rsidP="0091375E">
      <w:pPr>
        <w:pStyle w:val="BodyTextIndent"/>
        <w:widowControl/>
        <w:ind w:firstLine="0"/>
        <w:rPr>
          <w:rFonts w:ascii="Times New Roman" w:hAnsi="Times New Roman" w:cs="Times New Roman"/>
          <w:sz w:val="24"/>
          <w:szCs w:val="24"/>
        </w:rPr>
      </w:pPr>
    </w:p>
    <w:p w14:paraId="4D8E41FA" w14:textId="224F09F0" w:rsidR="00DB3F9D" w:rsidRDefault="00DB3F9D" w:rsidP="00DB3F9D">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A discussion was also held regarding </w:t>
      </w:r>
      <w:r w:rsidR="00E9061E">
        <w:rPr>
          <w:rFonts w:ascii="Times New Roman" w:hAnsi="Times New Roman" w:cs="Times New Roman"/>
          <w:sz w:val="24"/>
          <w:szCs w:val="24"/>
        </w:rPr>
        <w:t>the need to modify the Commission’s regulations regarding discovery</w:t>
      </w:r>
      <w:r>
        <w:rPr>
          <w:rFonts w:ascii="Times New Roman" w:hAnsi="Times New Roman" w:cs="Times New Roman"/>
          <w:sz w:val="24"/>
          <w:szCs w:val="24"/>
        </w:rPr>
        <w:t xml:space="preserve"> and it was determined that no modifications </w:t>
      </w:r>
      <w:r w:rsidR="00E57873">
        <w:rPr>
          <w:rFonts w:ascii="Times New Roman" w:hAnsi="Times New Roman" w:cs="Times New Roman"/>
          <w:sz w:val="24"/>
          <w:szCs w:val="24"/>
        </w:rPr>
        <w:t xml:space="preserve">to the Commissions discovery regulations </w:t>
      </w:r>
      <w:r>
        <w:rPr>
          <w:rFonts w:ascii="Times New Roman" w:hAnsi="Times New Roman" w:cs="Times New Roman"/>
          <w:sz w:val="24"/>
          <w:szCs w:val="24"/>
        </w:rPr>
        <w:t xml:space="preserve">would be made at this time.  </w:t>
      </w:r>
    </w:p>
    <w:p w14:paraId="5E209C62" w14:textId="77777777" w:rsidR="00DB3F9D" w:rsidRDefault="00DB3F9D" w:rsidP="00DB3F9D">
      <w:pPr>
        <w:pStyle w:val="BodyTextIndent"/>
        <w:widowControl/>
        <w:rPr>
          <w:rFonts w:ascii="Times New Roman" w:hAnsi="Times New Roman" w:cs="Times New Roman"/>
          <w:sz w:val="24"/>
          <w:szCs w:val="24"/>
        </w:rPr>
      </w:pPr>
    </w:p>
    <w:p w14:paraId="2D2A864C" w14:textId="6585EEA2" w:rsidR="00251199" w:rsidRPr="00740B2A" w:rsidRDefault="00DB3F9D" w:rsidP="00DB3F9D">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Similarly, a discussion was held regarding the need for a protective order to govern the treatment of information alleged to be proprietary and it was determined that no protective order was needed at this time.  </w:t>
      </w:r>
      <w:r w:rsidR="00865443">
        <w:rPr>
          <w:rFonts w:ascii="Times New Roman" w:hAnsi="Times New Roman" w:cs="Times New Roman"/>
          <w:sz w:val="24"/>
          <w:szCs w:val="24"/>
        </w:rPr>
        <w:t>To the extent that a need arises, the parties should attempt to submit a joint proposal for a protective order.  In addition, t</w:t>
      </w:r>
      <w:r w:rsidR="00251199" w:rsidRPr="00740B2A">
        <w:rPr>
          <w:rFonts w:ascii="Times New Roman" w:hAnsi="Times New Roman" w:cs="Times New Roman"/>
          <w:sz w:val="24"/>
          <w:szCs w:val="24"/>
        </w:rPr>
        <w:t>he parties are reminded that the treatment of information alleged to be proprietary must be balanced against Commission regulations that also provide that the Commission’s records, including the record of this proceeding, may be accessed by the public.  As a result, while the parties can exchange whatever information they allege to be proprietary amongst themselves, they are encouraged to minimize or eliminate submitting for admission into the record material that is marked as proprietary to ensure greatest public access to the record of this proceeding.</w:t>
      </w:r>
    </w:p>
    <w:p w14:paraId="536ED891" w14:textId="77777777" w:rsidR="00251199" w:rsidRPr="00740B2A" w:rsidRDefault="00251199" w:rsidP="00251199">
      <w:pPr>
        <w:pStyle w:val="BodyTextIndent"/>
        <w:widowControl/>
        <w:ind w:firstLine="0"/>
        <w:rPr>
          <w:rFonts w:ascii="Times New Roman" w:hAnsi="Times New Roman" w:cs="Times New Roman"/>
          <w:sz w:val="24"/>
          <w:szCs w:val="24"/>
        </w:rPr>
      </w:pPr>
    </w:p>
    <w:p w14:paraId="5E770D0A" w14:textId="0A584649" w:rsidR="00251199" w:rsidRDefault="00865443" w:rsidP="00251199">
      <w:pPr>
        <w:spacing w:line="360" w:lineRule="auto"/>
        <w:ind w:firstLine="1440"/>
        <w:rPr>
          <w:rFonts w:ascii="Times New Roman" w:hAnsi="Times New Roman" w:cs="Times New Roman"/>
        </w:rPr>
      </w:pPr>
      <w:r>
        <w:rPr>
          <w:rFonts w:ascii="Times New Roman" w:hAnsi="Times New Roman" w:cs="Times New Roman"/>
        </w:rPr>
        <w:t>Finally, t</w:t>
      </w:r>
      <w:r w:rsidR="001F79C5">
        <w:rPr>
          <w:rFonts w:ascii="Times New Roman" w:hAnsi="Times New Roman" w:cs="Times New Roman"/>
        </w:rPr>
        <w:t xml:space="preserve">he </w:t>
      </w:r>
      <w:r w:rsidR="00251199" w:rsidRPr="00740B2A">
        <w:rPr>
          <w:rFonts w:ascii="Times New Roman" w:hAnsi="Times New Roman" w:cs="Times New Roman"/>
        </w:rPr>
        <w:t xml:space="preserve">parties </w:t>
      </w:r>
      <w:r w:rsidR="001F79C5">
        <w:rPr>
          <w:rFonts w:ascii="Times New Roman" w:hAnsi="Times New Roman" w:cs="Times New Roman"/>
        </w:rPr>
        <w:t>we</w:t>
      </w:r>
      <w:r w:rsidR="00251199" w:rsidRPr="00740B2A">
        <w:rPr>
          <w:rFonts w:ascii="Times New Roman" w:hAnsi="Times New Roman" w:cs="Times New Roman"/>
        </w:rPr>
        <w:t xml:space="preserve">re reminded that Commission policy promotes settlements.  52 Pa. Code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w:t>
      </w:r>
      <w:proofErr w:type="gramStart"/>
      <w:r w:rsidR="00251199" w:rsidRPr="00740B2A">
        <w:rPr>
          <w:rFonts w:ascii="Times New Roman" w:hAnsi="Times New Roman" w:cs="Times New Roman"/>
        </w:rPr>
        <w:t>necessary</w:t>
      </w:r>
      <w:proofErr w:type="gramEnd"/>
      <w:r w:rsidR="00251199" w:rsidRPr="00740B2A">
        <w:rPr>
          <w:rFonts w:ascii="Times New Roman" w:hAnsi="Times New Roman" w:cs="Times New Roman"/>
        </w:rPr>
        <w:t xml:space="preserve"> and the scheduled hearing will be cancelled.  The parties are reminded, however, that decisions of the Commission must be supported by substantial evidence.  2 Pa. C.S. § 704.  "Substantial evidence" is such relevant evidence that a reasonable mind might accept as adequate to support a conclusion.  More is required than a mere trace of evidence or a suspicion of the existence of a fact sought to be established.  Any settlement submitted for approval must be supported by substantial evidence.</w:t>
      </w:r>
    </w:p>
    <w:p w14:paraId="2F6CB382" w14:textId="782F5937" w:rsidR="00FE3056" w:rsidRDefault="00FE3056" w:rsidP="00251199">
      <w:pPr>
        <w:spacing w:line="360" w:lineRule="auto"/>
        <w:ind w:firstLine="1440"/>
        <w:rPr>
          <w:rFonts w:ascii="Times New Roman" w:hAnsi="Times New Roman" w:cs="Times New Roman"/>
        </w:rPr>
      </w:pPr>
    </w:p>
    <w:p w14:paraId="53F3B9C0" w14:textId="77777777" w:rsidR="00251199" w:rsidRPr="00F33A85" w:rsidRDefault="00251199" w:rsidP="00251199">
      <w:pPr>
        <w:pStyle w:val="BodyTextIndent"/>
        <w:ind w:firstLine="0"/>
        <w:jc w:val="center"/>
        <w:rPr>
          <w:rFonts w:ascii="Times New Roman" w:hAnsi="Times New Roman" w:cs="Times New Roman"/>
          <w:sz w:val="24"/>
          <w:szCs w:val="24"/>
          <w:u w:val="single"/>
        </w:rPr>
      </w:pPr>
      <w:r w:rsidRPr="00F33A85">
        <w:rPr>
          <w:rFonts w:ascii="Times New Roman" w:hAnsi="Times New Roman" w:cs="Times New Roman"/>
          <w:sz w:val="24"/>
          <w:szCs w:val="24"/>
          <w:u w:val="single"/>
        </w:rPr>
        <w:t>ORDER</w:t>
      </w:r>
    </w:p>
    <w:p w14:paraId="4829CB99" w14:textId="77777777" w:rsidR="00251199" w:rsidRPr="00F33A85" w:rsidRDefault="00251199" w:rsidP="00251199">
      <w:pPr>
        <w:pStyle w:val="BodyTextIndent"/>
        <w:rPr>
          <w:rFonts w:ascii="Times New Roman" w:hAnsi="Times New Roman" w:cs="Times New Roman"/>
          <w:sz w:val="24"/>
          <w:szCs w:val="24"/>
        </w:rPr>
      </w:pPr>
    </w:p>
    <w:p w14:paraId="0674860D" w14:textId="77777777" w:rsidR="00251199" w:rsidRPr="00F33A85" w:rsidRDefault="00251199" w:rsidP="00251199">
      <w:pPr>
        <w:pStyle w:val="BodyTextIndent"/>
        <w:rPr>
          <w:rFonts w:ascii="Times New Roman" w:hAnsi="Times New Roman" w:cs="Times New Roman"/>
          <w:sz w:val="24"/>
          <w:szCs w:val="24"/>
        </w:rPr>
      </w:pPr>
      <w:r w:rsidRPr="00F33A85">
        <w:rPr>
          <w:rFonts w:ascii="Times New Roman" w:hAnsi="Times New Roman" w:cs="Times New Roman"/>
          <w:sz w:val="24"/>
          <w:szCs w:val="24"/>
        </w:rPr>
        <w:t>THEREFORE,</w:t>
      </w:r>
    </w:p>
    <w:p w14:paraId="3F474F8E" w14:textId="77777777" w:rsidR="00251199" w:rsidRPr="00F33A85" w:rsidRDefault="00251199" w:rsidP="00251199">
      <w:pPr>
        <w:widowControl w:val="0"/>
        <w:spacing w:line="360" w:lineRule="auto"/>
        <w:ind w:firstLine="1440"/>
        <w:rPr>
          <w:rFonts w:ascii="Times New Roman" w:hAnsi="Times New Roman" w:cs="Times New Roman"/>
        </w:rPr>
      </w:pPr>
    </w:p>
    <w:p w14:paraId="2DC3C238" w14:textId="77777777" w:rsidR="00251199" w:rsidRPr="00F33A85" w:rsidRDefault="00251199" w:rsidP="00251199">
      <w:pPr>
        <w:widowControl w:val="0"/>
        <w:spacing w:line="360" w:lineRule="auto"/>
        <w:ind w:firstLine="1440"/>
        <w:rPr>
          <w:rFonts w:ascii="Times New Roman" w:hAnsi="Times New Roman" w:cs="Times New Roman"/>
        </w:rPr>
      </w:pPr>
      <w:r w:rsidRPr="00F33A85">
        <w:rPr>
          <w:rFonts w:ascii="Times New Roman" w:hAnsi="Times New Roman" w:cs="Times New Roman"/>
        </w:rPr>
        <w:t>IT IS ORDERED:</w:t>
      </w:r>
    </w:p>
    <w:p w14:paraId="49FEAAB2" w14:textId="77777777" w:rsidR="00251199" w:rsidRPr="00FE7EC6" w:rsidRDefault="00251199" w:rsidP="00251199">
      <w:pPr>
        <w:widowControl w:val="0"/>
        <w:spacing w:line="360" w:lineRule="auto"/>
        <w:ind w:firstLine="1440"/>
        <w:rPr>
          <w:rFonts w:ascii="Times New Roman" w:hAnsi="Times New Roman" w:cs="Times New Roman"/>
        </w:rPr>
      </w:pPr>
    </w:p>
    <w:p w14:paraId="171E98F8" w14:textId="77777777" w:rsidR="005A63B4" w:rsidRPr="00FE7EC6" w:rsidRDefault="00251199" w:rsidP="00251199">
      <w:pPr>
        <w:pStyle w:val="BodyTextIndent"/>
        <w:widowControl/>
        <w:numPr>
          <w:ilvl w:val="0"/>
          <w:numId w:val="1"/>
        </w:numPr>
        <w:adjustRightInd w:val="0"/>
        <w:ind w:left="0" w:firstLine="1440"/>
        <w:rPr>
          <w:rFonts w:ascii="Times New Roman" w:hAnsi="Times New Roman" w:cs="Times New Roman"/>
          <w:sz w:val="24"/>
          <w:szCs w:val="24"/>
        </w:rPr>
      </w:pPr>
      <w:r w:rsidRPr="00FE7EC6">
        <w:rPr>
          <w:rFonts w:ascii="Times New Roman" w:hAnsi="Times New Roman" w:cs="Times New Roman"/>
          <w:sz w:val="24"/>
          <w:szCs w:val="24"/>
        </w:rPr>
        <w:t xml:space="preserve">That the </w:t>
      </w:r>
      <w:r w:rsidR="005A63B4" w:rsidRPr="00FE7EC6">
        <w:rPr>
          <w:rFonts w:ascii="Times New Roman" w:hAnsi="Times New Roman" w:cs="Times New Roman"/>
          <w:sz w:val="24"/>
          <w:szCs w:val="24"/>
        </w:rPr>
        <w:t>petition to intervene filed by the Retail Energy Supply Association on January 24, 2020 is hereby granted.</w:t>
      </w:r>
    </w:p>
    <w:p w14:paraId="072EC085" w14:textId="77777777" w:rsidR="005A63B4" w:rsidRPr="00FE7EC6" w:rsidRDefault="005A63B4" w:rsidP="005A63B4">
      <w:pPr>
        <w:pStyle w:val="BodyTextIndent"/>
        <w:widowControl/>
        <w:adjustRightInd w:val="0"/>
        <w:ind w:left="1440" w:firstLine="0"/>
        <w:rPr>
          <w:rFonts w:ascii="Times New Roman" w:hAnsi="Times New Roman" w:cs="Times New Roman"/>
          <w:sz w:val="24"/>
          <w:szCs w:val="24"/>
        </w:rPr>
      </w:pPr>
    </w:p>
    <w:p w14:paraId="382D7D63" w14:textId="77777777" w:rsidR="00FE7EC6" w:rsidRPr="00FE7EC6" w:rsidRDefault="005A63B4" w:rsidP="00251199">
      <w:pPr>
        <w:pStyle w:val="BodyTextIndent"/>
        <w:widowControl/>
        <w:numPr>
          <w:ilvl w:val="0"/>
          <w:numId w:val="1"/>
        </w:numPr>
        <w:adjustRightInd w:val="0"/>
        <w:ind w:left="0" w:firstLine="1440"/>
        <w:rPr>
          <w:rFonts w:ascii="Times New Roman" w:hAnsi="Times New Roman" w:cs="Times New Roman"/>
          <w:sz w:val="24"/>
          <w:szCs w:val="24"/>
        </w:rPr>
      </w:pPr>
      <w:r w:rsidRPr="00FE7EC6">
        <w:rPr>
          <w:rFonts w:ascii="Times New Roman" w:hAnsi="Times New Roman" w:cs="Times New Roman"/>
          <w:sz w:val="24"/>
          <w:szCs w:val="24"/>
        </w:rPr>
        <w:t>That the formal complaints filed by</w:t>
      </w:r>
      <w:r w:rsidR="005A5256" w:rsidRPr="00FE7EC6">
        <w:rPr>
          <w:rFonts w:ascii="Times New Roman" w:hAnsi="Times New Roman" w:cs="Times New Roman"/>
          <w:bCs/>
          <w:color w:val="000000"/>
          <w:sz w:val="24"/>
          <w:szCs w:val="24"/>
        </w:rPr>
        <w:t xml:space="preserve"> </w:t>
      </w:r>
      <w:r w:rsidR="005A5256" w:rsidRPr="00A52DAF">
        <w:rPr>
          <w:rFonts w:ascii="Times New Roman" w:hAnsi="Times New Roman" w:cs="Times New Roman"/>
          <w:bCs/>
          <w:color w:val="000000"/>
          <w:sz w:val="24"/>
          <w:szCs w:val="24"/>
        </w:rPr>
        <w:t>Interstate Gas Supply, Inc. d/b/a IGS Energy, Direct Energy Services LLC and Shipley Choice, LLC d/b/a Shipley Energy</w:t>
      </w:r>
      <w:r w:rsidRPr="00FE7EC6">
        <w:rPr>
          <w:rFonts w:ascii="Times New Roman" w:hAnsi="Times New Roman" w:cs="Times New Roman"/>
          <w:sz w:val="24"/>
          <w:szCs w:val="24"/>
        </w:rPr>
        <w:t xml:space="preserve"> </w:t>
      </w:r>
      <w:r w:rsidR="005A5256" w:rsidRPr="00FE7EC6">
        <w:rPr>
          <w:rFonts w:ascii="Times New Roman" w:hAnsi="Times New Roman" w:cs="Times New Roman"/>
          <w:sz w:val="24"/>
          <w:szCs w:val="24"/>
        </w:rPr>
        <w:t xml:space="preserve">filed against </w:t>
      </w:r>
      <w:r w:rsidR="005A5256" w:rsidRPr="00A52DAF">
        <w:rPr>
          <w:rFonts w:ascii="Times New Roman" w:hAnsi="Times New Roman" w:cs="Times New Roman"/>
          <w:bCs/>
          <w:color w:val="000000"/>
          <w:sz w:val="24"/>
          <w:szCs w:val="24"/>
        </w:rPr>
        <w:t xml:space="preserve">Metropolitan Edison Company, Pennsylvania Electric Company, Pennsylvania Power Company and West Penn Power Company </w:t>
      </w:r>
      <w:r w:rsidR="00FE7EC6" w:rsidRPr="00FE7EC6">
        <w:rPr>
          <w:rFonts w:ascii="Times New Roman" w:hAnsi="Times New Roman" w:cs="Times New Roman"/>
          <w:bCs/>
          <w:color w:val="000000"/>
          <w:sz w:val="24"/>
          <w:szCs w:val="24"/>
        </w:rPr>
        <w:t xml:space="preserve">at docket numbers </w:t>
      </w:r>
      <w:r w:rsidR="005A5256" w:rsidRPr="00A52DAF">
        <w:rPr>
          <w:rFonts w:ascii="Times New Roman" w:hAnsi="Times New Roman" w:cs="Times New Roman"/>
          <w:bCs/>
          <w:color w:val="000000"/>
          <w:sz w:val="24"/>
          <w:szCs w:val="24"/>
        </w:rPr>
        <w:t>C-2019-3013805, C-2019-3013806, C-2019-3013807 and C-2019-3013808</w:t>
      </w:r>
      <w:r w:rsidR="00FE7EC6" w:rsidRPr="00FE7EC6">
        <w:rPr>
          <w:rFonts w:ascii="Times New Roman" w:hAnsi="Times New Roman" w:cs="Times New Roman"/>
          <w:bCs/>
          <w:color w:val="000000"/>
          <w:sz w:val="24"/>
          <w:szCs w:val="24"/>
        </w:rPr>
        <w:t xml:space="preserve"> are hereby consolidated.  </w:t>
      </w:r>
    </w:p>
    <w:p w14:paraId="5AF3F438" w14:textId="1F109370" w:rsidR="00A87E35" w:rsidRPr="00FE7EC6" w:rsidRDefault="00A87E35" w:rsidP="00FE7EC6">
      <w:pPr>
        <w:pStyle w:val="BodyTextIndent"/>
        <w:widowControl/>
        <w:adjustRightInd w:val="0"/>
        <w:ind w:firstLine="0"/>
        <w:rPr>
          <w:rFonts w:ascii="Times New Roman" w:hAnsi="Times New Roman" w:cs="Times New Roman"/>
          <w:sz w:val="24"/>
          <w:szCs w:val="24"/>
        </w:rPr>
      </w:pPr>
    </w:p>
    <w:p w14:paraId="2575693C" w14:textId="1C5462AA" w:rsidR="00B204CB" w:rsidRDefault="00B204CB" w:rsidP="00251199">
      <w:pPr>
        <w:pStyle w:val="BodyTextIndent"/>
        <w:widowControl/>
        <w:numPr>
          <w:ilvl w:val="0"/>
          <w:numId w:val="1"/>
        </w:numPr>
        <w:adjustRightInd w:val="0"/>
        <w:ind w:left="0" w:firstLine="1440"/>
        <w:rPr>
          <w:rFonts w:ascii="Times New Roman" w:hAnsi="Times New Roman" w:cs="Times New Roman"/>
          <w:sz w:val="24"/>
          <w:szCs w:val="24"/>
        </w:rPr>
      </w:pPr>
      <w:r>
        <w:rPr>
          <w:rFonts w:ascii="Times New Roman" w:hAnsi="Times New Roman" w:cs="Times New Roman"/>
          <w:sz w:val="24"/>
          <w:szCs w:val="24"/>
        </w:rPr>
        <w:t>That the following schedule is adopted for this proceeding:</w:t>
      </w:r>
    </w:p>
    <w:p w14:paraId="6C59D3AB" w14:textId="77777777" w:rsidR="00FE7EC6" w:rsidRDefault="00FE7EC6" w:rsidP="00FE7EC6">
      <w:pPr>
        <w:pStyle w:val="BodyTextIndent"/>
        <w:widowControl/>
        <w:adjustRightInd w:val="0"/>
        <w:ind w:firstLine="0"/>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4320"/>
        <w:gridCol w:w="2790"/>
      </w:tblGrid>
      <w:tr w:rsidR="00FE7EC6" w14:paraId="6D7C9685" w14:textId="77777777" w:rsidTr="00AC1F14">
        <w:tc>
          <w:tcPr>
            <w:tcW w:w="4320" w:type="dxa"/>
          </w:tcPr>
          <w:p w14:paraId="5FF46DF3"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Joint Complainant Direct Testimony</w:t>
            </w:r>
          </w:p>
        </w:tc>
        <w:tc>
          <w:tcPr>
            <w:tcW w:w="2790" w:type="dxa"/>
          </w:tcPr>
          <w:p w14:paraId="3F2AF16C"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March 24, 2020</w:t>
            </w:r>
          </w:p>
        </w:tc>
      </w:tr>
      <w:tr w:rsidR="00FE7EC6" w14:paraId="784DE32F" w14:textId="77777777" w:rsidTr="00AC1F14">
        <w:tc>
          <w:tcPr>
            <w:tcW w:w="4320" w:type="dxa"/>
          </w:tcPr>
          <w:p w14:paraId="5FA767CC"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Respondent Rebuttal Testimony</w:t>
            </w:r>
          </w:p>
        </w:tc>
        <w:tc>
          <w:tcPr>
            <w:tcW w:w="2790" w:type="dxa"/>
          </w:tcPr>
          <w:p w14:paraId="3445E423"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May 13, 2020</w:t>
            </w:r>
          </w:p>
        </w:tc>
      </w:tr>
      <w:tr w:rsidR="00FE7EC6" w14:paraId="154B80E7" w14:textId="77777777" w:rsidTr="00AC1F14">
        <w:tc>
          <w:tcPr>
            <w:tcW w:w="4320" w:type="dxa"/>
          </w:tcPr>
          <w:p w14:paraId="5F11856C"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 xml:space="preserve">Joint Complainant </w:t>
            </w:r>
            <w:proofErr w:type="spellStart"/>
            <w:r>
              <w:rPr>
                <w:rFonts w:ascii="Times New Roman" w:hAnsi="Times New Roman" w:cs="Times New Roman"/>
                <w:sz w:val="24"/>
                <w:szCs w:val="24"/>
              </w:rPr>
              <w:t>Surrebuttal</w:t>
            </w:r>
            <w:proofErr w:type="spellEnd"/>
            <w:r>
              <w:rPr>
                <w:rFonts w:ascii="Times New Roman" w:hAnsi="Times New Roman" w:cs="Times New Roman"/>
                <w:sz w:val="24"/>
                <w:szCs w:val="24"/>
              </w:rPr>
              <w:t xml:space="preserve"> Testimony</w:t>
            </w:r>
          </w:p>
        </w:tc>
        <w:tc>
          <w:tcPr>
            <w:tcW w:w="2790" w:type="dxa"/>
          </w:tcPr>
          <w:p w14:paraId="3E386A1C"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May 27, 2020</w:t>
            </w:r>
          </w:p>
        </w:tc>
      </w:tr>
      <w:tr w:rsidR="00FE7EC6" w14:paraId="36E7862D" w14:textId="77777777" w:rsidTr="00AC1F14">
        <w:tc>
          <w:tcPr>
            <w:tcW w:w="4320" w:type="dxa"/>
          </w:tcPr>
          <w:p w14:paraId="0C9CD166"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Proposed Witness Order</w:t>
            </w:r>
          </w:p>
        </w:tc>
        <w:tc>
          <w:tcPr>
            <w:tcW w:w="2790" w:type="dxa"/>
          </w:tcPr>
          <w:p w14:paraId="7719E15C"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June 8, 2020</w:t>
            </w:r>
          </w:p>
        </w:tc>
      </w:tr>
      <w:tr w:rsidR="00FE7EC6" w14:paraId="1A3C6567" w14:textId="77777777" w:rsidTr="00AC1F14">
        <w:tc>
          <w:tcPr>
            <w:tcW w:w="4320" w:type="dxa"/>
          </w:tcPr>
          <w:p w14:paraId="6B133AA5"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Hearings</w:t>
            </w:r>
          </w:p>
        </w:tc>
        <w:tc>
          <w:tcPr>
            <w:tcW w:w="2790" w:type="dxa"/>
          </w:tcPr>
          <w:p w14:paraId="5BBDC506"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June 30, 2020</w:t>
            </w:r>
          </w:p>
        </w:tc>
      </w:tr>
      <w:tr w:rsidR="00FE7EC6" w14:paraId="7CDAEFD9" w14:textId="77777777" w:rsidTr="00AC1F14">
        <w:tc>
          <w:tcPr>
            <w:tcW w:w="4320" w:type="dxa"/>
          </w:tcPr>
          <w:p w14:paraId="1A0ADB50"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Main Briefs</w:t>
            </w:r>
          </w:p>
        </w:tc>
        <w:tc>
          <w:tcPr>
            <w:tcW w:w="2790" w:type="dxa"/>
          </w:tcPr>
          <w:p w14:paraId="2D8C5D10"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August 18, 2020</w:t>
            </w:r>
          </w:p>
        </w:tc>
      </w:tr>
      <w:tr w:rsidR="00FE7EC6" w14:paraId="17330BB2" w14:textId="77777777" w:rsidTr="00AC1F14">
        <w:tc>
          <w:tcPr>
            <w:tcW w:w="4320" w:type="dxa"/>
          </w:tcPr>
          <w:p w14:paraId="76304B25"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Reply Briefs</w:t>
            </w:r>
          </w:p>
        </w:tc>
        <w:tc>
          <w:tcPr>
            <w:tcW w:w="2790" w:type="dxa"/>
          </w:tcPr>
          <w:p w14:paraId="35BFB943" w14:textId="77777777" w:rsidR="00FE7EC6" w:rsidRDefault="00FE7EC6" w:rsidP="00AC1F14">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September 11, 2020</w:t>
            </w:r>
          </w:p>
        </w:tc>
      </w:tr>
    </w:tbl>
    <w:p w14:paraId="2991E3CB" w14:textId="77777777" w:rsidR="00B204CB" w:rsidRDefault="00B204CB" w:rsidP="00B204CB">
      <w:pPr>
        <w:pStyle w:val="BodyTextIndent"/>
        <w:widowControl/>
        <w:ind w:firstLine="0"/>
        <w:rPr>
          <w:rFonts w:ascii="Times New Roman" w:hAnsi="Times New Roman" w:cs="Times New Roman"/>
          <w:sz w:val="24"/>
          <w:szCs w:val="24"/>
        </w:rPr>
      </w:pPr>
    </w:p>
    <w:p w14:paraId="79202804" w14:textId="77777777" w:rsidR="00251199" w:rsidRPr="00D3422D" w:rsidRDefault="00251199" w:rsidP="00251199">
      <w:pPr>
        <w:pStyle w:val="BodyTextIndent"/>
        <w:widowControl/>
        <w:numPr>
          <w:ilvl w:val="0"/>
          <w:numId w:val="1"/>
        </w:numPr>
        <w:ind w:left="0" w:firstLine="1440"/>
        <w:rPr>
          <w:rFonts w:ascii="Times New Roman" w:hAnsi="Times New Roman" w:cs="Times New Roman"/>
        </w:rPr>
      </w:pPr>
      <w:r w:rsidRPr="00D3422D">
        <w:rPr>
          <w:rFonts w:ascii="Times New Roman" w:hAnsi="Times New Roman" w:cs="Times New Roman"/>
          <w:sz w:val="24"/>
          <w:szCs w:val="24"/>
        </w:rPr>
        <w:t>That the parties shall receive all documents and shall copy all other parties on documents they file with the Commission or serve on the presiding officer.  The parties are expected to conduct discovery, attend hearings, or present or cross-examine witnesses, as appropriate.  T</w:t>
      </w:r>
      <w:r w:rsidRPr="00D3422D">
        <w:rPr>
          <w:rFonts w:ascii="Times New Roman" w:hAnsi="Times New Roman" w:cs="Times New Roman"/>
          <w:spacing w:val="-3"/>
          <w:sz w:val="24"/>
          <w:szCs w:val="24"/>
        </w:rPr>
        <w:t xml:space="preserve">he parties shall serve the documents listed above so that the documents are received in-hand by the parties and presiding officers no later than 4:30 p.m. on the dates listed.  Parties may serve the documents listed above via e-mail to meet this requirement, with hard copy to follow by regular </w:t>
      </w:r>
      <w:proofErr w:type="gramStart"/>
      <w:r w:rsidRPr="00D3422D">
        <w:rPr>
          <w:rFonts w:ascii="Times New Roman" w:hAnsi="Times New Roman" w:cs="Times New Roman"/>
          <w:spacing w:val="-3"/>
          <w:sz w:val="24"/>
          <w:szCs w:val="24"/>
        </w:rPr>
        <w:t>first class</w:t>
      </w:r>
      <w:proofErr w:type="gramEnd"/>
      <w:r w:rsidRPr="00D3422D">
        <w:rPr>
          <w:rFonts w:ascii="Times New Roman" w:hAnsi="Times New Roman" w:cs="Times New Roman"/>
          <w:spacing w:val="-3"/>
          <w:sz w:val="24"/>
          <w:szCs w:val="24"/>
        </w:rPr>
        <w:t xml:space="preserve"> mail, so long as the electronic version is Microsoft Word compatible and no larger than 5 MB per email.  Parties shall not file testimony with the </w:t>
      </w:r>
      <w:proofErr w:type="gramStart"/>
      <w:r w:rsidRPr="00D3422D">
        <w:rPr>
          <w:rFonts w:ascii="Times New Roman" w:hAnsi="Times New Roman" w:cs="Times New Roman"/>
          <w:spacing w:val="-3"/>
          <w:sz w:val="24"/>
          <w:szCs w:val="24"/>
        </w:rPr>
        <w:t>Commission, but</w:t>
      </w:r>
      <w:proofErr w:type="gramEnd"/>
      <w:r w:rsidRPr="00D3422D">
        <w:rPr>
          <w:rFonts w:ascii="Times New Roman" w:hAnsi="Times New Roman" w:cs="Times New Roman"/>
          <w:spacing w:val="-3"/>
          <w:sz w:val="24"/>
          <w:szCs w:val="24"/>
        </w:rPr>
        <w:t xml:space="preserve"> shall file a certificate of service.  </w:t>
      </w:r>
    </w:p>
    <w:p w14:paraId="61AC27A6" w14:textId="77777777" w:rsidR="00251199" w:rsidRPr="00D3422D" w:rsidRDefault="00251199" w:rsidP="00251199">
      <w:pPr>
        <w:pStyle w:val="BodyTextIndent"/>
        <w:widowControl/>
        <w:ind w:firstLine="0"/>
        <w:rPr>
          <w:rFonts w:ascii="Times New Roman" w:hAnsi="Times New Roman" w:cs="Times New Roman"/>
        </w:rPr>
      </w:pPr>
    </w:p>
    <w:p w14:paraId="2479F16F"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written testimony shall comply with the requirements of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§5.412 and shall be marked with numerical, sequential statement numbers.  Parties serving pre-served testimony pursuant to 52 </w:t>
      </w:r>
      <w:proofErr w:type="spellStart"/>
      <w:r w:rsidRPr="00D3422D">
        <w:rPr>
          <w:rFonts w:ascii="Times New Roman" w:hAnsi="Times New Roman" w:cs="Times New Roman"/>
        </w:rPr>
        <w:t>Pa.Code</w:t>
      </w:r>
      <w:proofErr w:type="spellEnd"/>
      <w:r w:rsidRPr="00D3422D">
        <w:rPr>
          <w:rFonts w:ascii="Times New Roman" w:hAnsi="Times New Roman" w:cs="Times New Roman"/>
        </w:rPr>
        <w:t xml:space="preserve"> § 5.412(f) are required, within thirty (30) days after the final hearing, to either </w:t>
      </w:r>
      <w:proofErr w:type="spellStart"/>
      <w:r w:rsidRPr="00D3422D">
        <w:rPr>
          <w:rFonts w:ascii="Times New Roman" w:hAnsi="Times New Roman" w:cs="Times New Roman"/>
        </w:rPr>
        <w:t>eFile</w:t>
      </w:r>
      <w:proofErr w:type="spellEnd"/>
      <w:r w:rsidRPr="00D3422D">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752FF8E7" w14:textId="77777777" w:rsidR="00251199" w:rsidRPr="00D3422D" w:rsidRDefault="00251199" w:rsidP="00251199">
      <w:pPr>
        <w:spacing w:line="360" w:lineRule="auto"/>
        <w:ind w:left="1440"/>
        <w:rPr>
          <w:rFonts w:ascii="Times New Roman" w:hAnsi="Times New Roman" w:cs="Times New Roman"/>
        </w:rPr>
      </w:pPr>
    </w:p>
    <w:p w14:paraId="4C6C9DFE"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all parties shall comply with the provisions of 52 </w:t>
      </w:r>
      <w:proofErr w:type="spellStart"/>
      <w:r w:rsidRPr="00D3422D">
        <w:rPr>
          <w:rFonts w:ascii="Times New Roman" w:hAnsi="Times New Roman" w:cs="Times New Roman"/>
        </w:rPr>
        <w:t>Pa.Code</w:t>
      </w:r>
      <w:proofErr w:type="spellEnd"/>
      <w:r w:rsidRPr="00D3422D">
        <w:rPr>
          <w:rFonts w:ascii="Times New Roman" w:hAnsi="Times New Roman" w:cs="Times New Roman"/>
        </w:rPr>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7DF5FEA6" w14:textId="77777777" w:rsidR="00251199" w:rsidRPr="00D3422D" w:rsidRDefault="00251199" w:rsidP="00251199">
      <w:pPr>
        <w:pStyle w:val="ListParagraph"/>
        <w:spacing w:line="360" w:lineRule="auto"/>
        <w:rPr>
          <w:rFonts w:ascii="Times New Roman" w:hAnsi="Times New Roman" w:cs="Times New Roman"/>
        </w:rPr>
      </w:pPr>
    </w:p>
    <w:p w14:paraId="61371D4A"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the parties shall conduct discovery pursuant to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§§5.321-5.373, as modified above.  The parties are encouraged to cooperate and exchange information on an informal basis.  The parties shall cooperate rather than engage in numerous or protracted discovery disagreements that require formal resolution.  All motions to compel shall contain a certification by counsel setting forth the informal discovery undertaken and their efforts to resolve their discovery disputes informally.  If a motion to compel does not contain this certification, the parties will be directed to pursue informal discovery.  There are limitations on discovery and sanctions for abuse of the discovery process.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§§5.361, 5.371-5.372.</w:t>
      </w:r>
    </w:p>
    <w:p w14:paraId="1A6B8ACF" w14:textId="77777777" w:rsidR="00251199" w:rsidRPr="00D3422D" w:rsidRDefault="00251199" w:rsidP="00251199">
      <w:pPr>
        <w:pStyle w:val="ListParagraph"/>
        <w:spacing w:line="360" w:lineRule="auto"/>
        <w:rPr>
          <w:rFonts w:ascii="Times New Roman" w:hAnsi="Times New Roman" w:cs="Times New Roman"/>
        </w:rPr>
      </w:pPr>
    </w:p>
    <w:p w14:paraId="2AB8E265"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w:t>
      </w:r>
      <w:r>
        <w:rPr>
          <w:rFonts w:ascii="Times New Roman" w:hAnsi="Times New Roman" w:cs="Times New Roman"/>
        </w:rPr>
        <w:t>any</w:t>
      </w:r>
      <w:r w:rsidRPr="00D3422D">
        <w:rPr>
          <w:rFonts w:ascii="Times New Roman" w:hAnsi="Times New Roman" w:cs="Times New Roman"/>
        </w:rPr>
        <w:t xml:space="preserve"> </w:t>
      </w:r>
      <w:r w:rsidRPr="00D3422D">
        <w:rPr>
          <w:rFonts w:ascii="Times New Roman" w:hAnsi="Times New Roman" w:cs="Times New Roman"/>
          <w:spacing w:val="-3"/>
        </w:rPr>
        <w:t>evidentiary hearing will be held in Harrisburg and will commence at 10:00 a.m. unless changed by the presiding officer.</w:t>
      </w:r>
    </w:p>
    <w:p w14:paraId="11D20334" w14:textId="77777777" w:rsidR="00251199" w:rsidRPr="00D3422D" w:rsidRDefault="00251199" w:rsidP="00251199">
      <w:pPr>
        <w:pStyle w:val="ListParagraph"/>
        <w:spacing w:line="360" w:lineRule="auto"/>
        <w:rPr>
          <w:rFonts w:ascii="Times New Roman" w:hAnsi="Times New Roman" w:cs="Times New Roman"/>
        </w:rPr>
      </w:pPr>
    </w:p>
    <w:p w14:paraId="40D19272"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the parties shall stipulate to any matters they reasonably can to expedite this proceeding, lessen the burden of time and expenses in litigation on all parties and conserve administrative hearing resources.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§§5.232 and 5.234.</w:t>
      </w:r>
    </w:p>
    <w:p w14:paraId="42EBEDDD" w14:textId="77777777" w:rsidR="00251199" w:rsidRPr="00D3422D" w:rsidRDefault="00251199" w:rsidP="00251199">
      <w:pPr>
        <w:pStyle w:val="ListParagraph"/>
        <w:spacing w:line="360" w:lineRule="auto"/>
        <w:rPr>
          <w:rFonts w:ascii="Times New Roman" w:hAnsi="Times New Roman" w:cs="Times New Roman"/>
        </w:rPr>
      </w:pPr>
    </w:p>
    <w:p w14:paraId="701117F1"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w:t>
      </w:r>
      <w:r>
        <w:rPr>
          <w:rFonts w:ascii="Times New Roman" w:hAnsi="Times New Roman" w:cs="Times New Roman"/>
        </w:rPr>
        <w:t>any</w:t>
      </w:r>
      <w:r w:rsidRPr="00D3422D">
        <w:rPr>
          <w:rFonts w:ascii="Times New Roman" w:hAnsi="Times New Roman" w:cs="Times New Roman"/>
        </w:rPr>
        <w:t xml:space="preserve"> evidentiary hearing in this matter constitutes a formal legal proceeding and will be conducted in accordance with the Commission’s Rules of Administrative Practice and Procedure, as well as the rules of evidence as applied to administrative hearings.</w:t>
      </w:r>
    </w:p>
    <w:p w14:paraId="5AD05E87" w14:textId="77777777" w:rsidR="00251199" w:rsidRPr="00D3422D" w:rsidRDefault="00251199" w:rsidP="00251199">
      <w:pPr>
        <w:pStyle w:val="ListParagraph"/>
        <w:spacing w:line="360" w:lineRule="auto"/>
        <w:rPr>
          <w:rFonts w:ascii="Times New Roman" w:hAnsi="Times New Roman" w:cs="Times New Roman"/>
        </w:rPr>
      </w:pPr>
    </w:p>
    <w:p w14:paraId="06C74321" w14:textId="77777777" w:rsidR="00251199" w:rsidRPr="00D3422D" w:rsidRDefault="00251199" w:rsidP="00251199">
      <w:pPr>
        <w:numPr>
          <w:ilvl w:val="0"/>
          <w:numId w:val="1"/>
        </w:numPr>
        <w:spacing w:line="360" w:lineRule="auto"/>
        <w:ind w:left="0" w:firstLine="1440"/>
        <w:rPr>
          <w:rFonts w:ascii="Times New Roman" w:hAnsi="Times New Roman" w:cs="Times New Roman"/>
        </w:rPr>
      </w:pPr>
      <w:r w:rsidRPr="00D3422D">
        <w:rPr>
          <w:rFonts w:ascii="Times New Roman" w:hAnsi="Times New Roman" w:cs="Times New Roman"/>
        </w:rPr>
        <w:t xml:space="preserve">That any provision of this order may be modified upon motion and good cause shown by any party in interest in accordance with 52 </w:t>
      </w:r>
      <w:proofErr w:type="spellStart"/>
      <w:proofErr w:type="gramStart"/>
      <w:r w:rsidRPr="00D3422D">
        <w:rPr>
          <w:rFonts w:ascii="Times New Roman" w:hAnsi="Times New Roman" w:cs="Times New Roman"/>
        </w:rPr>
        <w:t>Pa.Code</w:t>
      </w:r>
      <w:proofErr w:type="spellEnd"/>
      <w:proofErr w:type="gramEnd"/>
      <w:r w:rsidRPr="00D3422D">
        <w:rPr>
          <w:rFonts w:ascii="Times New Roman" w:hAnsi="Times New Roman" w:cs="Times New Roman"/>
        </w:rPr>
        <w:t xml:space="preserve"> §5.223(a).</w:t>
      </w:r>
    </w:p>
    <w:p w14:paraId="31BBEB12" w14:textId="24A4A0F4" w:rsidR="00BD774B" w:rsidRDefault="00BD774B" w:rsidP="007A72A0">
      <w:pPr>
        <w:tabs>
          <w:tab w:val="left" w:pos="1440"/>
        </w:tabs>
        <w:spacing w:line="360" w:lineRule="auto"/>
        <w:ind w:firstLine="1440"/>
        <w:rPr>
          <w:rFonts w:ascii="Times New Roman" w:hAnsi="Times New Roman" w:cs="Times New Roman"/>
        </w:rPr>
      </w:pPr>
    </w:p>
    <w:p w14:paraId="5ABF76D9" w14:textId="77777777" w:rsidR="00E37566" w:rsidRPr="00192830" w:rsidRDefault="00E37566" w:rsidP="007A72A0">
      <w:pPr>
        <w:tabs>
          <w:tab w:val="left" w:pos="1440"/>
        </w:tabs>
        <w:spacing w:line="360" w:lineRule="auto"/>
        <w:ind w:firstLine="1440"/>
        <w:rPr>
          <w:rFonts w:ascii="Times New Roman" w:hAnsi="Times New Roman" w:cs="Times New Roman"/>
        </w:rPr>
      </w:pPr>
    </w:p>
    <w:p w14:paraId="21F9EF22" w14:textId="12FF3B28" w:rsidR="007C0AD2" w:rsidRPr="00192830" w:rsidRDefault="007C0AD2" w:rsidP="007C0AD2">
      <w:pPr>
        <w:tabs>
          <w:tab w:val="left" w:pos="1440"/>
        </w:tabs>
        <w:rPr>
          <w:rFonts w:ascii="Times New Roman" w:hAnsi="Times New Roman" w:cs="Times New Roman"/>
          <w:u w:val="single"/>
        </w:rPr>
      </w:pPr>
      <w:r w:rsidRPr="00192830">
        <w:rPr>
          <w:rFonts w:ascii="Times New Roman" w:hAnsi="Times New Roman" w:cs="Times New Roman"/>
        </w:rPr>
        <w:t xml:space="preserve">Date: </w:t>
      </w:r>
      <w:r w:rsidR="00FE7EC6">
        <w:rPr>
          <w:rFonts w:ascii="Times New Roman" w:hAnsi="Times New Roman" w:cs="Times New Roman"/>
          <w:u w:val="single"/>
        </w:rPr>
        <w:t>February 5, 2020</w:t>
      </w:r>
      <w:r w:rsidRPr="00192830">
        <w:rPr>
          <w:rFonts w:ascii="Times New Roman" w:hAnsi="Times New Roman" w:cs="Times New Roman"/>
        </w:rPr>
        <w:tab/>
      </w:r>
      <w:r w:rsidR="002A65D6"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u w:val="single"/>
        </w:rPr>
        <w:tab/>
      </w:r>
      <w:r w:rsidR="008A11D3" w:rsidRPr="00192830">
        <w:rPr>
          <w:rFonts w:ascii="Times New Roman" w:hAnsi="Times New Roman" w:cs="Times New Roman"/>
          <w:u w:val="single"/>
        </w:rPr>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C57B562" w14:textId="77777777" w:rsidR="007C0AD2" w:rsidRPr="00192830" w:rsidRDefault="007C0AD2" w:rsidP="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526826F5" w14:textId="77777777" w:rsidR="00406C09" w:rsidRDefault="007C0AD2">
      <w:pPr>
        <w:rPr>
          <w:rFonts w:ascii="Times New Roman" w:hAnsi="Times New Roman" w:cs="Times New Roman"/>
        </w:rPr>
        <w:sectPr w:rsidR="00406C09" w:rsidSect="00232D60">
          <w:footerReference w:type="default" r:id="rId8"/>
          <w:pgSz w:w="12240" w:h="15840"/>
          <w:pgMar w:top="1440" w:right="1440" w:bottom="1440" w:left="1440" w:header="720" w:footer="720" w:gutter="0"/>
          <w:cols w:space="720"/>
          <w:titlePg/>
          <w:docGrid w:linePitch="360"/>
        </w:sect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8A11D3" w:rsidRPr="00192830">
        <w:rPr>
          <w:rFonts w:ascii="Times New Roman" w:hAnsi="Times New Roman" w:cs="Times New Roman"/>
        </w:rPr>
        <w:t xml:space="preserve">Deputy Chief </w:t>
      </w:r>
      <w:r w:rsidRPr="00192830">
        <w:rPr>
          <w:rFonts w:ascii="Times New Roman" w:hAnsi="Times New Roman" w:cs="Times New Roman"/>
        </w:rPr>
        <w:t>Administrative Law Judg</w:t>
      </w:r>
      <w:r w:rsidR="008A11D3" w:rsidRPr="00192830">
        <w:rPr>
          <w:rFonts w:ascii="Times New Roman" w:hAnsi="Times New Roman" w:cs="Times New Roman"/>
        </w:rPr>
        <w:t>e</w:t>
      </w:r>
    </w:p>
    <w:p w14:paraId="288E3CA9" w14:textId="77777777" w:rsidR="00406C09" w:rsidRPr="00984001" w:rsidRDefault="00406C09" w:rsidP="00406C09">
      <w:pPr>
        <w:rPr>
          <w:rFonts w:ascii="Microsoft Sans Serif" w:eastAsia="Microsoft Sans Serif" w:hAnsi="Microsoft Sans Serif" w:cs="Microsoft Sans Serif"/>
          <w:b/>
          <w:u w:val="single"/>
        </w:rPr>
      </w:pPr>
      <w:r w:rsidRPr="00984001">
        <w:rPr>
          <w:rFonts w:ascii="Microsoft Sans Serif" w:eastAsia="Microsoft Sans Serif" w:hAnsi="Microsoft Sans Serif" w:cs="Microsoft Sans Serif"/>
          <w:b/>
          <w:u w:val="single"/>
        </w:rPr>
        <w:t>C-2019-3013805, C-2019-3013806, C-2019-3013807 AND C-2019-3013808 - INTERSTATE GAS SUPPLY INC., ET AL v. METROPOLITAN EDISON COMPANY, PENNSYLVANIA ELECTRIC COMPANY, PENNSYLVANIA POWER COMPANY AND WEST PENN POWER COMPANY</w:t>
      </w:r>
    </w:p>
    <w:p w14:paraId="73B9D4D1" w14:textId="77777777" w:rsidR="00406C09" w:rsidRDefault="00406C09" w:rsidP="00406C09">
      <w:r>
        <w:rPr>
          <w:rFonts w:ascii="Microsoft Sans Serif" w:eastAsia="Microsoft Sans Serif" w:hAnsi="Microsoft Sans Serif" w:cs="Microsoft Sans Serif"/>
          <w:b/>
          <w:u w:val="single"/>
        </w:rPr>
        <w:br/>
      </w:r>
      <w:r w:rsidRPr="00984001">
        <w:rPr>
          <w:rFonts w:ascii="Microsoft Sans Serif" w:eastAsia="Microsoft Sans Serif" w:hAnsi="Microsoft Sans Serif" w:cs="Microsoft Sans Serif"/>
          <w:bCs/>
          <w:i/>
          <w:iCs/>
        </w:rPr>
        <w:t>Revised 02/03/20</w:t>
      </w:r>
      <w:r w:rsidRPr="00984001">
        <w:rPr>
          <w:rFonts w:ascii="Microsoft Sans Serif" w:eastAsia="Microsoft Sans Serif" w:hAnsi="Microsoft Sans Serif" w:cs="Microsoft Sans Serif"/>
          <w:bCs/>
          <w:i/>
          <w:iCs/>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TODD S STEWART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100 NORTH TENTH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84001">
        <w:rPr>
          <w:rFonts w:ascii="Microsoft Sans Serif" w:eastAsia="Microsoft Sans Serif" w:hAnsi="Microsoft Sans Serif" w:cs="Microsoft Sans Serif"/>
          <w:b/>
          <w:bCs/>
        </w:rPr>
        <w:t>717.236.1300</w:t>
      </w:r>
      <w:r>
        <w:rPr>
          <w:rFonts w:ascii="Microsoft Sans Serif" w:eastAsia="Microsoft Sans Serif" w:hAnsi="Microsoft Sans Serif" w:cs="Microsoft Sans Serif"/>
          <w:b/>
          <w:bCs/>
        </w:rPr>
        <w:br/>
      </w:r>
      <w:r w:rsidRPr="00984001">
        <w:rPr>
          <w:rFonts w:ascii="Microsoft Sans Serif" w:eastAsia="Microsoft Sans Serif" w:hAnsi="Microsoft Sans Serif" w:cs="Microsoft Sans Serif"/>
          <w:b/>
          <w:bCs/>
          <w:i/>
          <w:iCs/>
          <w:u w:val="single"/>
        </w:rPr>
        <w:t>ACCEPTS E-SERVICE</w:t>
      </w:r>
      <w:r w:rsidRPr="00984001">
        <w:rPr>
          <w:rFonts w:ascii="Microsoft Sans Serif" w:eastAsia="Microsoft Sans Serif" w:hAnsi="Microsoft Sans Serif" w:cs="Microsoft Sans Serif"/>
          <w:b/>
          <w:bCs/>
        </w:rPr>
        <w:cr/>
      </w:r>
      <w:r w:rsidRPr="00984001">
        <w:rPr>
          <w:rFonts w:ascii="Microsoft Sans Serif" w:eastAsia="Microsoft Sans Serif" w:hAnsi="Microsoft Sans Serif" w:cs="Microsoft Sans Serif"/>
          <w:b/>
          <w:bCs/>
        </w:rPr>
        <w:cr/>
      </w:r>
      <w:r>
        <w:rPr>
          <w:rFonts w:ascii="Microsoft Sans Serif" w:eastAsia="Microsoft Sans Serif" w:hAnsi="Microsoft Sans Serif" w:cs="Microsoft Sans Serif"/>
        </w:rPr>
        <w:t>TERESA HARROLD ESQUIRE</w:t>
      </w:r>
      <w:r>
        <w:rPr>
          <w:rFonts w:ascii="Microsoft Sans Serif" w:eastAsia="Microsoft Sans Serif" w:hAnsi="Microsoft Sans Serif" w:cs="Microsoft Sans Serif"/>
        </w:rPr>
        <w:cr/>
        <w:t>FIRSTENERGY</w:t>
      </w:r>
      <w:r>
        <w:rPr>
          <w:rFonts w:ascii="Microsoft Sans Serif" w:eastAsia="Microsoft Sans Serif" w:hAnsi="Microsoft Sans Serif" w:cs="Microsoft Sans Serif"/>
        </w:rPr>
        <w:cr/>
        <w:t>2800 POTTSVILLE PIKE</w:t>
      </w:r>
      <w:r>
        <w:rPr>
          <w:rFonts w:ascii="Microsoft Sans Serif" w:eastAsia="Microsoft Sans Serif" w:hAnsi="Microsoft Sans Serif" w:cs="Microsoft Sans Serif"/>
        </w:rPr>
        <w:cr/>
        <w:t>PO BOX 16001</w:t>
      </w:r>
      <w:r>
        <w:rPr>
          <w:rFonts w:ascii="Microsoft Sans Serif" w:eastAsia="Microsoft Sans Serif" w:hAnsi="Microsoft Sans Serif" w:cs="Microsoft Sans Serif"/>
        </w:rPr>
        <w:cr/>
        <w:t>READING PA  19612-6001</w:t>
      </w:r>
      <w:r>
        <w:rPr>
          <w:rFonts w:ascii="Microsoft Sans Serif" w:eastAsia="Microsoft Sans Serif" w:hAnsi="Microsoft Sans Serif" w:cs="Microsoft Sans Serif"/>
        </w:rPr>
        <w:cr/>
      </w:r>
      <w:r w:rsidRPr="00984001">
        <w:rPr>
          <w:rFonts w:ascii="Microsoft Sans Serif" w:eastAsia="Microsoft Sans Serif" w:hAnsi="Microsoft Sans Serif" w:cs="Microsoft Sans Serif"/>
          <w:b/>
          <w:bCs/>
        </w:rPr>
        <w:t>610.921.6783</w:t>
      </w:r>
      <w:r>
        <w:rPr>
          <w:rFonts w:ascii="Microsoft Sans Serif" w:eastAsia="Microsoft Sans Serif" w:hAnsi="Microsoft Sans Serif" w:cs="Microsoft Sans Serif"/>
          <w:b/>
          <w:bCs/>
        </w:rPr>
        <w:br/>
      </w:r>
      <w:r w:rsidRPr="0098400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DEANNE M O'DELL ESQUIRE</w:t>
      </w:r>
      <w:r>
        <w:rPr>
          <w:rFonts w:ascii="Microsoft Sans Serif" w:eastAsia="Microsoft Sans Serif" w:hAnsi="Microsoft Sans Serif" w:cs="Microsoft Sans Serif"/>
        </w:rPr>
        <w:cr/>
        <w:t>ECKERT SEAMANS CHERIN &amp; MELLOTT LLC</w:t>
      </w:r>
      <w:r>
        <w:rPr>
          <w:rFonts w:ascii="Microsoft Sans Serif" w:eastAsia="Microsoft Sans Serif" w:hAnsi="Microsoft Sans Serif" w:cs="Microsoft Sans Serif"/>
        </w:rPr>
        <w:cr/>
        <w:t>213 MARKET STREET  8TH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84001">
        <w:rPr>
          <w:rFonts w:ascii="Microsoft Sans Serif" w:eastAsia="Microsoft Sans Serif" w:hAnsi="Microsoft Sans Serif" w:cs="Microsoft Sans Serif"/>
          <w:b/>
          <w:bCs/>
        </w:rPr>
        <w:t>717.255.3744</w:t>
      </w:r>
      <w:r>
        <w:rPr>
          <w:rFonts w:ascii="Microsoft Sans Serif" w:eastAsia="Microsoft Sans Serif" w:hAnsi="Microsoft Sans Serif" w:cs="Microsoft Sans Serif"/>
          <w:b/>
          <w:bCs/>
        </w:rPr>
        <w:br/>
      </w:r>
      <w:r w:rsidRPr="0098400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p>
    <w:p w14:paraId="3B264352" w14:textId="77777777" w:rsidR="00406C09" w:rsidRDefault="00406C09" w:rsidP="00406C09"/>
    <w:p w14:paraId="1BD635C3" w14:textId="3DADDF9C" w:rsidR="00EA6874" w:rsidRPr="00192830" w:rsidRDefault="00EA6874">
      <w:pPr>
        <w:rPr>
          <w:rFonts w:ascii="Times New Roman" w:hAnsi="Times New Roman" w:cs="Times New Roman"/>
        </w:rPr>
      </w:pPr>
      <w:bookmarkStart w:id="2" w:name="_GoBack"/>
      <w:bookmarkEnd w:id="2"/>
    </w:p>
    <w:sectPr w:rsidR="00EA6874" w:rsidRPr="001928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FE444" w14:textId="77777777" w:rsidR="004259C6" w:rsidRDefault="004259C6">
      <w:r>
        <w:separator/>
      </w:r>
    </w:p>
  </w:endnote>
  <w:endnote w:type="continuationSeparator" w:id="0">
    <w:p w14:paraId="3B047179" w14:textId="77777777" w:rsidR="004259C6" w:rsidRDefault="0042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950074"/>
      <w:docPartObj>
        <w:docPartGallery w:val="Page Numbers (Bottom of Page)"/>
        <w:docPartUnique/>
      </w:docPartObj>
    </w:sdtPr>
    <w:sdtEndPr>
      <w:rPr>
        <w:rFonts w:ascii="Times New Roman" w:hAnsi="Times New Roman" w:cs="Times New Roman"/>
        <w:noProof/>
        <w:sz w:val="20"/>
        <w:szCs w:val="20"/>
      </w:rPr>
    </w:sdtEndPr>
    <w:sdtContent>
      <w:p w14:paraId="214B3981" w14:textId="6B4821D1" w:rsidR="00232D60" w:rsidRPr="00406C09" w:rsidRDefault="00232D60">
        <w:pPr>
          <w:pStyle w:val="Footer"/>
          <w:jc w:val="center"/>
          <w:rPr>
            <w:rFonts w:ascii="Times New Roman" w:hAnsi="Times New Roman" w:cs="Times New Roman"/>
            <w:sz w:val="20"/>
            <w:szCs w:val="20"/>
          </w:rPr>
        </w:pPr>
        <w:r w:rsidRPr="00406C09">
          <w:rPr>
            <w:rFonts w:ascii="Times New Roman" w:hAnsi="Times New Roman" w:cs="Times New Roman"/>
            <w:sz w:val="20"/>
            <w:szCs w:val="20"/>
          </w:rPr>
          <w:fldChar w:fldCharType="begin"/>
        </w:r>
        <w:r w:rsidRPr="00406C09">
          <w:rPr>
            <w:rFonts w:ascii="Times New Roman" w:hAnsi="Times New Roman" w:cs="Times New Roman"/>
            <w:sz w:val="20"/>
            <w:szCs w:val="20"/>
          </w:rPr>
          <w:instrText xml:space="preserve"> PAGE   \* MERGEFORMAT </w:instrText>
        </w:r>
        <w:r w:rsidRPr="00406C09">
          <w:rPr>
            <w:rFonts w:ascii="Times New Roman" w:hAnsi="Times New Roman" w:cs="Times New Roman"/>
            <w:sz w:val="20"/>
            <w:szCs w:val="20"/>
          </w:rPr>
          <w:fldChar w:fldCharType="separate"/>
        </w:r>
        <w:r w:rsidRPr="00406C09">
          <w:rPr>
            <w:rFonts w:ascii="Times New Roman" w:hAnsi="Times New Roman" w:cs="Times New Roman"/>
            <w:noProof/>
            <w:sz w:val="20"/>
            <w:szCs w:val="20"/>
          </w:rPr>
          <w:t>2</w:t>
        </w:r>
        <w:r w:rsidRPr="00406C0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40DB" w14:textId="31AA47EE" w:rsidR="00406C09" w:rsidRPr="00406C09" w:rsidRDefault="00406C09">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4FB4" w14:textId="77777777" w:rsidR="004259C6" w:rsidRDefault="004259C6">
      <w:r>
        <w:separator/>
      </w:r>
    </w:p>
  </w:footnote>
  <w:footnote w:type="continuationSeparator" w:id="0">
    <w:p w14:paraId="7A9F8BFB" w14:textId="77777777" w:rsidR="004259C6" w:rsidRDefault="00425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733EB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11E52"/>
    <w:rsid w:val="0002557C"/>
    <w:rsid w:val="00027489"/>
    <w:rsid w:val="0003327C"/>
    <w:rsid w:val="000A7E76"/>
    <w:rsid w:val="000B055C"/>
    <w:rsid w:val="000B6B88"/>
    <w:rsid w:val="000C3C29"/>
    <w:rsid w:val="000D6D2D"/>
    <w:rsid w:val="00110EC5"/>
    <w:rsid w:val="001161C5"/>
    <w:rsid w:val="00130237"/>
    <w:rsid w:val="00166FC4"/>
    <w:rsid w:val="001742D0"/>
    <w:rsid w:val="00192830"/>
    <w:rsid w:val="001A0C34"/>
    <w:rsid w:val="001A7BA3"/>
    <w:rsid w:val="001D5CA2"/>
    <w:rsid w:val="001D6050"/>
    <w:rsid w:val="001E3616"/>
    <w:rsid w:val="001F16C4"/>
    <w:rsid w:val="001F46EA"/>
    <w:rsid w:val="001F79C5"/>
    <w:rsid w:val="00203F79"/>
    <w:rsid w:val="00232D60"/>
    <w:rsid w:val="00251199"/>
    <w:rsid w:val="00272CB6"/>
    <w:rsid w:val="002959A1"/>
    <w:rsid w:val="002A65D6"/>
    <w:rsid w:val="002D32F0"/>
    <w:rsid w:val="002F7BF4"/>
    <w:rsid w:val="003110A2"/>
    <w:rsid w:val="003323A7"/>
    <w:rsid w:val="00333459"/>
    <w:rsid w:val="0033691D"/>
    <w:rsid w:val="00343236"/>
    <w:rsid w:val="003437B2"/>
    <w:rsid w:val="00344755"/>
    <w:rsid w:val="003527CC"/>
    <w:rsid w:val="00394FDF"/>
    <w:rsid w:val="003D0E0C"/>
    <w:rsid w:val="003E301A"/>
    <w:rsid w:val="003F318A"/>
    <w:rsid w:val="003F63BD"/>
    <w:rsid w:val="00402E8E"/>
    <w:rsid w:val="00406C09"/>
    <w:rsid w:val="00417B55"/>
    <w:rsid w:val="00424AD6"/>
    <w:rsid w:val="004259C6"/>
    <w:rsid w:val="00456504"/>
    <w:rsid w:val="00460639"/>
    <w:rsid w:val="00460A38"/>
    <w:rsid w:val="00477A57"/>
    <w:rsid w:val="00490DB6"/>
    <w:rsid w:val="004B1E3E"/>
    <w:rsid w:val="004C136A"/>
    <w:rsid w:val="004D42E5"/>
    <w:rsid w:val="004E4498"/>
    <w:rsid w:val="00540816"/>
    <w:rsid w:val="00552BC2"/>
    <w:rsid w:val="00561675"/>
    <w:rsid w:val="005620DC"/>
    <w:rsid w:val="00565497"/>
    <w:rsid w:val="00577B71"/>
    <w:rsid w:val="005A2250"/>
    <w:rsid w:val="005A4A29"/>
    <w:rsid w:val="005A5256"/>
    <w:rsid w:val="005A63B4"/>
    <w:rsid w:val="00611540"/>
    <w:rsid w:val="00615CA1"/>
    <w:rsid w:val="00621A9D"/>
    <w:rsid w:val="00634E3C"/>
    <w:rsid w:val="0066424E"/>
    <w:rsid w:val="006673C6"/>
    <w:rsid w:val="006A11F7"/>
    <w:rsid w:val="006A165E"/>
    <w:rsid w:val="006C4CEF"/>
    <w:rsid w:val="006D448A"/>
    <w:rsid w:val="006F15CA"/>
    <w:rsid w:val="00704367"/>
    <w:rsid w:val="007513D8"/>
    <w:rsid w:val="00755FF9"/>
    <w:rsid w:val="007727BE"/>
    <w:rsid w:val="00796D29"/>
    <w:rsid w:val="007A0164"/>
    <w:rsid w:val="007A0D03"/>
    <w:rsid w:val="007A72A0"/>
    <w:rsid w:val="007B0134"/>
    <w:rsid w:val="007B5DE3"/>
    <w:rsid w:val="007C0AD2"/>
    <w:rsid w:val="007E5CDF"/>
    <w:rsid w:val="007F25D3"/>
    <w:rsid w:val="00813B64"/>
    <w:rsid w:val="00822EDD"/>
    <w:rsid w:val="0082381B"/>
    <w:rsid w:val="00835203"/>
    <w:rsid w:val="008406E5"/>
    <w:rsid w:val="008430C4"/>
    <w:rsid w:val="00861538"/>
    <w:rsid w:val="00865443"/>
    <w:rsid w:val="0087729D"/>
    <w:rsid w:val="00881E89"/>
    <w:rsid w:val="008A11D3"/>
    <w:rsid w:val="008A4BF2"/>
    <w:rsid w:val="008C31EA"/>
    <w:rsid w:val="008D1BEF"/>
    <w:rsid w:val="008D3A91"/>
    <w:rsid w:val="008E5778"/>
    <w:rsid w:val="00912AEA"/>
    <w:rsid w:val="0091375E"/>
    <w:rsid w:val="009270A0"/>
    <w:rsid w:val="00944627"/>
    <w:rsid w:val="0099119F"/>
    <w:rsid w:val="00997313"/>
    <w:rsid w:val="009A6884"/>
    <w:rsid w:val="009B22E8"/>
    <w:rsid w:val="009B7CA1"/>
    <w:rsid w:val="009C6580"/>
    <w:rsid w:val="00A009D2"/>
    <w:rsid w:val="00A17308"/>
    <w:rsid w:val="00A52DAF"/>
    <w:rsid w:val="00A73184"/>
    <w:rsid w:val="00A87E35"/>
    <w:rsid w:val="00A91070"/>
    <w:rsid w:val="00AE01E9"/>
    <w:rsid w:val="00AF110D"/>
    <w:rsid w:val="00AF24D5"/>
    <w:rsid w:val="00AF2858"/>
    <w:rsid w:val="00AF5A22"/>
    <w:rsid w:val="00B204CB"/>
    <w:rsid w:val="00B307B4"/>
    <w:rsid w:val="00B33C54"/>
    <w:rsid w:val="00B34F7D"/>
    <w:rsid w:val="00B472B0"/>
    <w:rsid w:val="00B62DE4"/>
    <w:rsid w:val="00B75072"/>
    <w:rsid w:val="00B762CA"/>
    <w:rsid w:val="00B916BE"/>
    <w:rsid w:val="00BA3491"/>
    <w:rsid w:val="00BA6DDE"/>
    <w:rsid w:val="00BD49A0"/>
    <w:rsid w:val="00BD774B"/>
    <w:rsid w:val="00BF5186"/>
    <w:rsid w:val="00C00340"/>
    <w:rsid w:val="00C0478F"/>
    <w:rsid w:val="00C22D2E"/>
    <w:rsid w:val="00C22DEE"/>
    <w:rsid w:val="00C4229D"/>
    <w:rsid w:val="00C56DAE"/>
    <w:rsid w:val="00C64D61"/>
    <w:rsid w:val="00C7540D"/>
    <w:rsid w:val="00C8099D"/>
    <w:rsid w:val="00CB2819"/>
    <w:rsid w:val="00CD5808"/>
    <w:rsid w:val="00CE2745"/>
    <w:rsid w:val="00CF7F8C"/>
    <w:rsid w:val="00D23372"/>
    <w:rsid w:val="00D24ABC"/>
    <w:rsid w:val="00D522D2"/>
    <w:rsid w:val="00D542BA"/>
    <w:rsid w:val="00D86DAB"/>
    <w:rsid w:val="00D903F5"/>
    <w:rsid w:val="00D93E06"/>
    <w:rsid w:val="00D944EF"/>
    <w:rsid w:val="00DA2017"/>
    <w:rsid w:val="00DB0759"/>
    <w:rsid w:val="00DB1985"/>
    <w:rsid w:val="00DB327B"/>
    <w:rsid w:val="00DB3F9D"/>
    <w:rsid w:val="00DF1A7E"/>
    <w:rsid w:val="00E00772"/>
    <w:rsid w:val="00E16B09"/>
    <w:rsid w:val="00E37566"/>
    <w:rsid w:val="00E45EB2"/>
    <w:rsid w:val="00E57873"/>
    <w:rsid w:val="00E60028"/>
    <w:rsid w:val="00E9061E"/>
    <w:rsid w:val="00E92A9D"/>
    <w:rsid w:val="00EA6874"/>
    <w:rsid w:val="00EC6F4F"/>
    <w:rsid w:val="00EE6124"/>
    <w:rsid w:val="00EE6205"/>
    <w:rsid w:val="00F141EF"/>
    <w:rsid w:val="00F24135"/>
    <w:rsid w:val="00F4412C"/>
    <w:rsid w:val="00F4476F"/>
    <w:rsid w:val="00F47CEB"/>
    <w:rsid w:val="00F55E49"/>
    <w:rsid w:val="00F71872"/>
    <w:rsid w:val="00F754D7"/>
    <w:rsid w:val="00F93600"/>
    <w:rsid w:val="00FA054E"/>
    <w:rsid w:val="00FB269B"/>
    <w:rsid w:val="00FB763D"/>
    <w:rsid w:val="00FE3056"/>
    <w:rsid w:val="00FE7EC6"/>
    <w:rsid w:val="00FF2768"/>
    <w:rsid w:val="00FF40BE"/>
    <w:rsid w:val="00FF768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AA4"/>
  <w15:docId w15:val="{62F3BEDF-7204-401C-B51B-62B13BD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7A72A0"/>
    <w:pPr>
      <w:tabs>
        <w:tab w:val="center" w:pos="4680"/>
        <w:tab w:val="right" w:pos="9360"/>
      </w:tabs>
    </w:pPr>
  </w:style>
  <w:style w:type="character" w:customStyle="1" w:styleId="HeaderChar">
    <w:name w:val="Header Char"/>
    <w:basedOn w:val="DefaultParagraphFont"/>
    <w:link w:val="Header"/>
    <w:uiPriority w:val="99"/>
    <w:rsid w:val="007A72A0"/>
    <w:rPr>
      <w:rFonts w:ascii="CG Times" w:eastAsia="Times New Roman" w:hAnsi="CG Times" w:cs="CG Times"/>
      <w:sz w:val="24"/>
      <w:szCs w:val="24"/>
    </w:rPr>
  </w:style>
  <w:style w:type="table" w:styleId="TableGrid">
    <w:name w:val="Table Grid"/>
    <w:basedOn w:val="TableNormal"/>
    <w:uiPriority w:val="59"/>
    <w:rsid w:val="00E90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93CF-D8B2-4552-9064-7A597E01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2019-09-11T14:32:00Z</cp:lastPrinted>
  <dcterms:created xsi:type="dcterms:W3CDTF">2020-02-05T21:17:00Z</dcterms:created>
  <dcterms:modified xsi:type="dcterms:W3CDTF">2020-02-05T21:17:00Z</dcterms:modified>
</cp:coreProperties>
</file>