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3243" w14:textId="77777777" w:rsidR="00011700" w:rsidRPr="00117CC1" w:rsidRDefault="002E493D" w:rsidP="00CC0155">
      <w:pPr>
        <w:pStyle w:val="NoSpacing"/>
        <w:jc w:val="center"/>
        <w:rPr>
          <w:b/>
          <w:sz w:val="26"/>
          <w:szCs w:val="26"/>
        </w:rPr>
      </w:pPr>
      <w:bookmarkStart w:id="0" w:name="_Hlk29969754"/>
      <w:bookmarkStart w:id="1" w:name="_Hlk24533142"/>
      <w:r w:rsidRPr="00117CC1">
        <w:rPr>
          <w:b/>
          <w:sz w:val="26"/>
          <w:szCs w:val="26"/>
        </w:rPr>
        <w:t>P</w:t>
      </w:r>
      <w:r w:rsidR="005C7F9B" w:rsidRPr="00117CC1">
        <w:rPr>
          <w:b/>
          <w:sz w:val="26"/>
          <w:szCs w:val="26"/>
        </w:rPr>
        <w:t>ENNSYLVANIA</w:t>
      </w:r>
    </w:p>
    <w:p w14:paraId="2089E5F2" w14:textId="77777777" w:rsidR="00DA4630" w:rsidRPr="00117CC1" w:rsidRDefault="00DA4630" w:rsidP="00CC0155">
      <w:pPr>
        <w:pStyle w:val="NoSpacing"/>
        <w:jc w:val="center"/>
        <w:rPr>
          <w:b/>
          <w:sz w:val="26"/>
          <w:szCs w:val="26"/>
        </w:rPr>
      </w:pPr>
      <w:r w:rsidRPr="00117CC1">
        <w:rPr>
          <w:b/>
          <w:sz w:val="26"/>
          <w:szCs w:val="26"/>
        </w:rPr>
        <w:t>PUBLIC UT</w:t>
      </w:r>
      <w:r w:rsidR="009F17B1">
        <w:rPr>
          <w:b/>
          <w:sz w:val="26"/>
          <w:szCs w:val="26"/>
        </w:rPr>
        <w:t>I</w:t>
      </w:r>
      <w:r w:rsidRPr="00117CC1">
        <w:rPr>
          <w:b/>
          <w:sz w:val="26"/>
          <w:szCs w:val="26"/>
        </w:rPr>
        <w:t>LITY COMMISSION</w:t>
      </w:r>
    </w:p>
    <w:p w14:paraId="654731D4" w14:textId="63E12DC7" w:rsidR="00011700" w:rsidRPr="00117CC1" w:rsidRDefault="00011700" w:rsidP="00CC0155">
      <w:pPr>
        <w:pStyle w:val="NoSpacing"/>
        <w:jc w:val="center"/>
        <w:rPr>
          <w:b/>
          <w:sz w:val="26"/>
          <w:szCs w:val="26"/>
        </w:rPr>
      </w:pPr>
      <w:r w:rsidRPr="00117CC1">
        <w:rPr>
          <w:b/>
          <w:sz w:val="26"/>
          <w:szCs w:val="26"/>
        </w:rPr>
        <w:t>Harrisburg, PA 171</w:t>
      </w:r>
      <w:r w:rsidR="00485574">
        <w:rPr>
          <w:b/>
          <w:sz w:val="26"/>
          <w:szCs w:val="26"/>
        </w:rPr>
        <w:t>20</w:t>
      </w:r>
    </w:p>
    <w:p w14:paraId="774F85B4" w14:textId="77777777" w:rsidR="00770703" w:rsidRPr="00117CC1" w:rsidRDefault="00770703" w:rsidP="00CC0155">
      <w:pPr>
        <w:pStyle w:val="NoSpacing"/>
        <w:jc w:val="center"/>
        <w:rPr>
          <w:sz w:val="26"/>
          <w:szCs w:val="26"/>
        </w:rPr>
      </w:pPr>
    </w:p>
    <w:p w14:paraId="40C9359D" w14:textId="77777777" w:rsidR="00D945A0" w:rsidRPr="00117CC1" w:rsidRDefault="00D945A0" w:rsidP="00CC0155">
      <w:pPr>
        <w:pStyle w:val="NoSpacing"/>
        <w:ind w:left="4320" w:firstLine="720"/>
        <w:jc w:val="right"/>
        <w:rPr>
          <w:sz w:val="26"/>
          <w:szCs w:val="26"/>
        </w:rPr>
      </w:pPr>
      <w:r w:rsidRPr="00117CC1">
        <w:rPr>
          <w:sz w:val="26"/>
          <w:szCs w:val="26"/>
        </w:rPr>
        <w:t xml:space="preserve">Public </w:t>
      </w:r>
      <w:r w:rsidR="00AC66F0" w:rsidRPr="00117CC1">
        <w:rPr>
          <w:sz w:val="26"/>
          <w:szCs w:val="26"/>
        </w:rPr>
        <w:t>M</w:t>
      </w:r>
      <w:r w:rsidR="006A4296" w:rsidRPr="00117CC1">
        <w:rPr>
          <w:sz w:val="26"/>
          <w:szCs w:val="26"/>
        </w:rPr>
        <w:t>eeting held</w:t>
      </w:r>
      <w:r w:rsidR="0031748B">
        <w:rPr>
          <w:sz w:val="26"/>
          <w:szCs w:val="26"/>
        </w:rPr>
        <w:t xml:space="preserve"> </w:t>
      </w:r>
      <w:r w:rsidR="0017638F">
        <w:rPr>
          <w:sz w:val="26"/>
          <w:szCs w:val="26"/>
        </w:rPr>
        <w:t>February 6</w:t>
      </w:r>
      <w:r w:rsidR="00577496">
        <w:rPr>
          <w:sz w:val="26"/>
          <w:szCs w:val="26"/>
        </w:rPr>
        <w:t>, 2020</w:t>
      </w:r>
    </w:p>
    <w:p w14:paraId="021A9F2E" w14:textId="77777777" w:rsidR="00D945A0" w:rsidRPr="00117CC1" w:rsidRDefault="00D945A0" w:rsidP="00CC0155">
      <w:pPr>
        <w:pStyle w:val="NoSpacing"/>
        <w:rPr>
          <w:sz w:val="26"/>
          <w:szCs w:val="26"/>
        </w:rPr>
      </w:pPr>
    </w:p>
    <w:p w14:paraId="525964B4" w14:textId="77777777" w:rsidR="00D945A0" w:rsidRDefault="00D945A0" w:rsidP="00CC0155">
      <w:pPr>
        <w:tabs>
          <w:tab w:val="left" w:pos="-720"/>
        </w:tabs>
        <w:suppressAutoHyphens/>
        <w:spacing w:line="240" w:lineRule="auto"/>
        <w:ind w:firstLine="0"/>
      </w:pPr>
      <w:r w:rsidRPr="00117CC1">
        <w:t>Commissioners Present:</w:t>
      </w:r>
    </w:p>
    <w:p w14:paraId="4A7921B0" w14:textId="77777777" w:rsidR="00770703" w:rsidRDefault="00770703" w:rsidP="00CC0155">
      <w:pPr>
        <w:tabs>
          <w:tab w:val="left" w:pos="-720"/>
        </w:tabs>
        <w:suppressAutoHyphens/>
        <w:spacing w:line="240" w:lineRule="auto"/>
        <w:ind w:firstLine="0"/>
      </w:pPr>
    </w:p>
    <w:p w14:paraId="240E34AE" w14:textId="77777777" w:rsidR="00DF5FFA" w:rsidRPr="00472F90" w:rsidRDefault="00DF5FFA" w:rsidP="00DF5FFA">
      <w:pPr>
        <w:spacing w:line="240" w:lineRule="auto"/>
        <w:ind w:firstLine="720"/>
        <w:contextualSpacing/>
        <w:rPr>
          <w:szCs w:val="26"/>
        </w:rPr>
      </w:pPr>
      <w:r>
        <w:rPr>
          <w:szCs w:val="26"/>
        </w:rPr>
        <w:t>Gladys Brown Dutrieuille</w:t>
      </w:r>
      <w:r w:rsidRPr="00472F90">
        <w:rPr>
          <w:szCs w:val="26"/>
        </w:rPr>
        <w:t>, Chairman</w:t>
      </w:r>
    </w:p>
    <w:p w14:paraId="5007C596" w14:textId="77777777" w:rsidR="00DF5FFA" w:rsidRDefault="00DF5FFA" w:rsidP="00DF5FFA">
      <w:pPr>
        <w:tabs>
          <w:tab w:val="left" w:pos="705"/>
        </w:tabs>
        <w:spacing w:line="240" w:lineRule="auto"/>
        <w:ind w:firstLine="0"/>
        <w:contextualSpacing/>
        <w:rPr>
          <w:szCs w:val="26"/>
        </w:rPr>
      </w:pPr>
      <w:r>
        <w:rPr>
          <w:szCs w:val="26"/>
        </w:rPr>
        <w:tab/>
        <w:t>David W. Sweet, Vice Chairman</w:t>
      </w:r>
    </w:p>
    <w:p w14:paraId="5533E52E" w14:textId="77777777" w:rsidR="00DF5FFA" w:rsidRDefault="00DF5FFA" w:rsidP="00DF5FFA">
      <w:pPr>
        <w:spacing w:line="240" w:lineRule="auto"/>
        <w:ind w:firstLine="720"/>
        <w:contextualSpacing/>
        <w:rPr>
          <w:szCs w:val="26"/>
        </w:rPr>
      </w:pPr>
      <w:r>
        <w:rPr>
          <w:szCs w:val="26"/>
        </w:rPr>
        <w:t>Andrew G. Place</w:t>
      </w:r>
    </w:p>
    <w:p w14:paraId="42EBFFCF" w14:textId="77777777" w:rsidR="00DF5FFA" w:rsidRDefault="00DF5FFA" w:rsidP="00DF5FFA">
      <w:pPr>
        <w:spacing w:line="240" w:lineRule="auto"/>
        <w:ind w:firstLine="720"/>
        <w:contextualSpacing/>
        <w:rPr>
          <w:szCs w:val="26"/>
        </w:rPr>
      </w:pPr>
      <w:r>
        <w:rPr>
          <w:szCs w:val="26"/>
        </w:rPr>
        <w:t xml:space="preserve">John F. Coleman, Jr. </w:t>
      </w:r>
    </w:p>
    <w:p w14:paraId="72C189D4" w14:textId="77777777" w:rsidR="00DF5FFA" w:rsidRPr="00472F90" w:rsidRDefault="00DF5FFA" w:rsidP="00DF5FFA">
      <w:pPr>
        <w:tabs>
          <w:tab w:val="left" w:pos="705"/>
        </w:tabs>
        <w:spacing w:line="240" w:lineRule="auto"/>
        <w:ind w:firstLine="0"/>
        <w:contextualSpacing/>
        <w:rPr>
          <w:szCs w:val="26"/>
        </w:rPr>
      </w:pPr>
      <w:r>
        <w:rPr>
          <w:szCs w:val="26"/>
        </w:rPr>
        <w:tab/>
        <w:t xml:space="preserve">Ralph V. </w:t>
      </w:r>
      <w:proofErr w:type="spellStart"/>
      <w:r>
        <w:rPr>
          <w:szCs w:val="26"/>
        </w:rPr>
        <w:t>Yanora</w:t>
      </w:r>
      <w:proofErr w:type="spellEnd"/>
    </w:p>
    <w:p w14:paraId="05D17DDC" w14:textId="77777777" w:rsidR="002226FB" w:rsidRDefault="002226FB" w:rsidP="00CC0155">
      <w:pPr>
        <w:tabs>
          <w:tab w:val="left" w:pos="-720"/>
        </w:tabs>
        <w:suppressAutoHyphens/>
        <w:spacing w:line="240" w:lineRule="auto"/>
        <w:ind w:firstLine="0"/>
        <w:rPr>
          <w:szCs w:val="26"/>
        </w:rPr>
      </w:pPr>
    </w:p>
    <w:bookmarkEnd w:id="0"/>
    <w:p w14:paraId="50D60D81" w14:textId="77777777" w:rsidR="00DF5FFA" w:rsidRDefault="00DF5FFA" w:rsidP="00CC0155">
      <w:pPr>
        <w:tabs>
          <w:tab w:val="left" w:pos="-720"/>
        </w:tabs>
        <w:suppressAutoHyphens/>
        <w:spacing w:line="240" w:lineRule="auto"/>
        <w:ind w:firstLine="0"/>
        <w:rPr>
          <w:szCs w:val="26"/>
        </w:rPr>
      </w:pPr>
    </w:p>
    <w:p w14:paraId="3ED0EAA0"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C-2016-2576287</w:t>
      </w:r>
    </w:p>
    <w:p w14:paraId="6FC5D104" w14:textId="77777777" w:rsidR="0031748B" w:rsidRDefault="0031748B" w:rsidP="00CC0155">
      <w:pPr>
        <w:spacing w:line="240" w:lineRule="auto"/>
        <w:rPr>
          <w:szCs w:val="26"/>
        </w:rPr>
      </w:pPr>
      <w:r>
        <w:rPr>
          <w:szCs w:val="26"/>
        </w:rPr>
        <w:t>v.</w:t>
      </w:r>
    </w:p>
    <w:p w14:paraId="12F07EF1" w14:textId="77777777" w:rsidR="0031748B" w:rsidRDefault="0031748B" w:rsidP="00CC0155">
      <w:pPr>
        <w:spacing w:line="240" w:lineRule="auto"/>
        <w:ind w:firstLine="0"/>
        <w:rPr>
          <w:szCs w:val="26"/>
        </w:rPr>
      </w:pPr>
      <w:r>
        <w:rPr>
          <w:szCs w:val="26"/>
        </w:rPr>
        <w:t>Pennsylvania Electric Company</w:t>
      </w:r>
    </w:p>
    <w:p w14:paraId="2F429A06" w14:textId="77777777" w:rsidR="00606FEA" w:rsidRDefault="00606FEA" w:rsidP="00CC0155">
      <w:pPr>
        <w:spacing w:line="240" w:lineRule="auto"/>
        <w:rPr>
          <w:szCs w:val="26"/>
        </w:rPr>
      </w:pPr>
    </w:p>
    <w:p w14:paraId="291BB40B" w14:textId="77777777" w:rsidR="006B4653" w:rsidRDefault="006B4653" w:rsidP="00CC0155">
      <w:pPr>
        <w:pStyle w:val="ListParagraph"/>
        <w:ind w:left="0"/>
        <w:jc w:val="center"/>
        <w:rPr>
          <w:b/>
          <w:sz w:val="26"/>
          <w:szCs w:val="26"/>
        </w:rPr>
      </w:pPr>
    </w:p>
    <w:p w14:paraId="26D6D800"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C-2016-2576292</w:t>
      </w:r>
    </w:p>
    <w:p w14:paraId="1B292EDA" w14:textId="77777777" w:rsidR="0031748B" w:rsidRDefault="0031748B" w:rsidP="00CC0155">
      <w:pPr>
        <w:spacing w:line="240" w:lineRule="auto"/>
        <w:rPr>
          <w:szCs w:val="26"/>
        </w:rPr>
      </w:pPr>
      <w:r>
        <w:rPr>
          <w:szCs w:val="26"/>
        </w:rPr>
        <w:t>v.</w:t>
      </w:r>
    </w:p>
    <w:p w14:paraId="15F7132D" w14:textId="77777777" w:rsidR="0031748B" w:rsidRDefault="0031748B" w:rsidP="00CC0155">
      <w:pPr>
        <w:spacing w:line="240" w:lineRule="auto"/>
        <w:ind w:firstLine="0"/>
        <w:rPr>
          <w:szCs w:val="26"/>
        </w:rPr>
      </w:pPr>
      <w:r>
        <w:rPr>
          <w:szCs w:val="26"/>
        </w:rPr>
        <w:t>West Penn Power Company</w:t>
      </w:r>
    </w:p>
    <w:p w14:paraId="42A75EBE" w14:textId="77777777" w:rsidR="002322E4" w:rsidRDefault="002322E4" w:rsidP="00CC0155">
      <w:pPr>
        <w:spacing w:line="240" w:lineRule="auto"/>
        <w:rPr>
          <w:szCs w:val="26"/>
        </w:rPr>
      </w:pPr>
    </w:p>
    <w:p w14:paraId="29EA7E1C" w14:textId="77777777" w:rsidR="0031748B" w:rsidRDefault="0031748B" w:rsidP="00CC0155">
      <w:pPr>
        <w:pStyle w:val="ListParagraph"/>
        <w:ind w:left="0"/>
        <w:jc w:val="center"/>
        <w:rPr>
          <w:b/>
          <w:sz w:val="26"/>
          <w:szCs w:val="26"/>
        </w:rPr>
      </w:pPr>
    </w:p>
    <w:p w14:paraId="23F4BEE8"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C-2017-2631326</w:t>
      </w:r>
    </w:p>
    <w:p w14:paraId="7F4C8FBC" w14:textId="77777777" w:rsidR="0031748B" w:rsidRDefault="0031748B" w:rsidP="00CC0155">
      <w:pPr>
        <w:spacing w:line="240" w:lineRule="auto"/>
        <w:rPr>
          <w:szCs w:val="26"/>
        </w:rPr>
      </w:pPr>
      <w:r>
        <w:rPr>
          <w:szCs w:val="26"/>
        </w:rPr>
        <w:t>v.</w:t>
      </w:r>
    </w:p>
    <w:p w14:paraId="37332E1C" w14:textId="77777777" w:rsidR="0031748B" w:rsidRDefault="0031748B" w:rsidP="00CC0155">
      <w:pPr>
        <w:spacing w:line="240" w:lineRule="auto"/>
        <w:ind w:firstLine="0"/>
        <w:rPr>
          <w:szCs w:val="26"/>
        </w:rPr>
      </w:pPr>
      <w:r>
        <w:rPr>
          <w:szCs w:val="26"/>
        </w:rPr>
        <w:t>West Penn Power Company</w:t>
      </w:r>
    </w:p>
    <w:p w14:paraId="417CCA1A" w14:textId="77777777" w:rsidR="0031748B" w:rsidRDefault="0031748B" w:rsidP="00CC0155">
      <w:pPr>
        <w:spacing w:line="240" w:lineRule="auto"/>
        <w:ind w:firstLine="0"/>
        <w:rPr>
          <w:szCs w:val="26"/>
        </w:rPr>
      </w:pPr>
    </w:p>
    <w:p w14:paraId="6B6230CB" w14:textId="77777777" w:rsidR="0031748B" w:rsidRDefault="0031748B" w:rsidP="00CC0155">
      <w:pPr>
        <w:pStyle w:val="ListParagraph"/>
        <w:ind w:left="0"/>
        <w:jc w:val="center"/>
        <w:rPr>
          <w:b/>
          <w:sz w:val="26"/>
          <w:szCs w:val="26"/>
        </w:rPr>
      </w:pPr>
    </w:p>
    <w:p w14:paraId="30F6C46C"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C-2017-2631331</w:t>
      </w:r>
    </w:p>
    <w:p w14:paraId="05DA33A3" w14:textId="77777777" w:rsidR="0031748B" w:rsidRDefault="0031748B" w:rsidP="00CC0155">
      <w:pPr>
        <w:spacing w:line="240" w:lineRule="auto"/>
        <w:rPr>
          <w:szCs w:val="26"/>
        </w:rPr>
      </w:pPr>
      <w:r>
        <w:rPr>
          <w:szCs w:val="26"/>
        </w:rPr>
        <w:t>v.</w:t>
      </w:r>
    </w:p>
    <w:p w14:paraId="1EFBA3DF" w14:textId="77777777" w:rsidR="0031748B" w:rsidRDefault="0031748B" w:rsidP="00CC0155">
      <w:pPr>
        <w:spacing w:line="240" w:lineRule="auto"/>
        <w:ind w:firstLine="0"/>
        <w:rPr>
          <w:szCs w:val="26"/>
        </w:rPr>
      </w:pPr>
      <w:r>
        <w:rPr>
          <w:szCs w:val="26"/>
        </w:rPr>
        <w:t>Pennsylvania Electric Company</w:t>
      </w:r>
    </w:p>
    <w:p w14:paraId="36CA6992" w14:textId="77777777" w:rsidR="00E852B9" w:rsidRDefault="00E852B9" w:rsidP="00CC0155">
      <w:pPr>
        <w:ind w:firstLine="0"/>
        <w:rPr>
          <w:szCs w:val="26"/>
        </w:rPr>
      </w:pPr>
    </w:p>
    <w:p w14:paraId="0E40CB6D" w14:textId="77777777" w:rsidR="00BC7AAB" w:rsidRDefault="00BC7AAB" w:rsidP="00CC0155">
      <w:pPr>
        <w:ind w:firstLine="0"/>
        <w:rPr>
          <w:szCs w:val="26"/>
        </w:rPr>
      </w:pPr>
    </w:p>
    <w:p w14:paraId="66C8CFB7" w14:textId="77777777" w:rsidR="00DF5FFA" w:rsidRDefault="00DF5FFA" w:rsidP="00CC0155">
      <w:pPr>
        <w:ind w:firstLine="0"/>
        <w:rPr>
          <w:szCs w:val="26"/>
        </w:rPr>
      </w:pPr>
    </w:p>
    <w:p w14:paraId="40D58562" w14:textId="77777777" w:rsidR="00DF5FFA" w:rsidRDefault="00DF5FFA" w:rsidP="00CC0155">
      <w:pPr>
        <w:ind w:firstLine="0"/>
        <w:rPr>
          <w:szCs w:val="26"/>
        </w:rPr>
      </w:pPr>
    </w:p>
    <w:p w14:paraId="5A6ADBA3" w14:textId="77777777" w:rsidR="00DF5FFA" w:rsidRDefault="00DF5FFA" w:rsidP="00CC0155">
      <w:pPr>
        <w:ind w:firstLine="0"/>
        <w:rPr>
          <w:szCs w:val="26"/>
        </w:rPr>
      </w:pPr>
    </w:p>
    <w:p w14:paraId="5078F0A7" w14:textId="77777777" w:rsidR="00DF5FFA" w:rsidRDefault="00DF5FFA" w:rsidP="00CC0155">
      <w:pPr>
        <w:ind w:firstLine="0"/>
        <w:rPr>
          <w:szCs w:val="26"/>
        </w:rPr>
      </w:pPr>
    </w:p>
    <w:p w14:paraId="4AB51AD9" w14:textId="77777777" w:rsidR="00DF5FFA" w:rsidRDefault="00DF5FFA" w:rsidP="00CC0155">
      <w:pPr>
        <w:ind w:firstLine="0"/>
        <w:rPr>
          <w:szCs w:val="26"/>
        </w:rPr>
      </w:pPr>
    </w:p>
    <w:p w14:paraId="20D3CB0E" w14:textId="77777777" w:rsidR="000675EE" w:rsidRPr="00117CC1" w:rsidRDefault="00BC7AAB" w:rsidP="00CC0155">
      <w:pPr>
        <w:pStyle w:val="ListParagraph"/>
        <w:ind w:left="0" w:firstLine="0"/>
        <w:jc w:val="center"/>
        <w:rPr>
          <w:b/>
          <w:sz w:val="26"/>
          <w:szCs w:val="26"/>
        </w:rPr>
      </w:pPr>
      <w:r>
        <w:rPr>
          <w:b/>
          <w:sz w:val="26"/>
          <w:szCs w:val="26"/>
        </w:rPr>
        <w:lastRenderedPageBreak/>
        <w:t>O</w:t>
      </w:r>
      <w:r w:rsidR="000675EE" w:rsidRPr="00117CC1">
        <w:rPr>
          <w:b/>
          <w:sz w:val="26"/>
          <w:szCs w:val="26"/>
        </w:rPr>
        <w:t>PINION AND ORDER</w:t>
      </w:r>
    </w:p>
    <w:p w14:paraId="782191DA" w14:textId="77777777" w:rsidR="00DF5FFA" w:rsidRDefault="00DF5FFA" w:rsidP="00CC0155">
      <w:pPr>
        <w:pStyle w:val="ListParagraph"/>
        <w:ind w:left="0" w:firstLine="0"/>
        <w:rPr>
          <w:b/>
          <w:sz w:val="26"/>
          <w:szCs w:val="26"/>
        </w:rPr>
      </w:pPr>
    </w:p>
    <w:p w14:paraId="3AE55A1F" w14:textId="77777777" w:rsidR="00976791" w:rsidRDefault="000F06E6" w:rsidP="00CC0155">
      <w:pPr>
        <w:pStyle w:val="ListParagraph"/>
        <w:ind w:left="0" w:firstLine="0"/>
        <w:rPr>
          <w:b/>
          <w:sz w:val="26"/>
          <w:szCs w:val="26"/>
        </w:rPr>
      </w:pPr>
      <w:r w:rsidRPr="00117CC1">
        <w:rPr>
          <w:b/>
          <w:sz w:val="26"/>
          <w:szCs w:val="26"/>
        </w:rPr>
        <w:t>BY THE COMMISSION:</w:t>
      </w:r>
    </w:p>
    <w:p w14:paraId="0BBF2FE8" w14:textId="77777777" w:rsidR="00976791" w:rsidRPr="00117CC1" w:rsidRDefault="00976791" w:rsidP="00CC0155">
      <w:pPr>
        <w:pStyle w:val="ListParagraph"/>
        <w:spacing w:line="360" w:lineRule="auto"/>
        <w:ind w:left="0"/>
        <w:rPr>
          <w:sz w:val="26"/>
          <w:szCs w:val="26"/>
        </w:rPr>
      </w:pPr>
    </w:p>
    <w:p w14:paraId="409D8630" w14:textId="3EF94BC9" w:rsidR="00F67EB8" w:rsidRDefault="00FC138F" w:rsidP="00F67EB8">
      <w:pPr>
        <w:pStyle w:val="ListParagraph"/>
        <w:spacing w:line="360" w:lineRule="auto"/>
        <w:ind w:left="0"/>
        <w:rPr>
          <w:sz w:val="26"/>
          <w:szCs w:val="26"/>
        </w:rPr>
      </w:pPr>
      <w:r w:rsidRPr="00117CC1">
        <w:rPr>
          <w:sz w:val="26"/>
          <w:szCs w:val="26"/>
        </w:rPr>
        <w:t xml:space="preserve">Before the Pennsylvania Public Utility Commission (Commission) for consideration and disposition </w:t>
      </w:r>
      <w:r w:rsidR="00DF5FFA">
        <w:rPr>
          <w:sz w:val="26"/>
          <w:szCs w:val="26"/>
        </w:rPr>
        <w:t>is</w:t>
      </w:r>
      <w:r w:rsidRPr="00117CC1">
        <w:rPr>
          <w:sz w:val="26"/>
          <w:szCs w:val="26"/>
        </w:rPr>
        <w:t xml:space="preserve"> </w:t>
      </w:r>
      <w:r w:rsidR="005E7FC4">
        <w:rPr>
          <w:sz w:val="26"/>
          <w:szCs w:val="26"/>
        </w:rPr>
        <w:t>Respond Power, LLC’s</w:t>
      </w:r>
      <w:r w:rsidR="005E7FC4" w:rsidRPr="00117CC1">
        <w:rPr>
          <w:sz w:val="26"/>
          <w:szCs w:val="26"/>
        </w:rPr>
        <w:t xml:space="preserve"> (</w:t>
      </w:r>
      <w:r w:rsidR="005E7FC4">
        <w:rPr>
          <w:sz w:val="26"/>
          <w:szCs w:val="26"/>
        </w:rPr>
        <w:t>Respond</w:t>
      </w:r>
      <w:r w:rsidR="005E7FC4" w:rsidRPr="00117CC1">
        <w:rPr>
          <w:sz w:val="26"/>
          <w:szCs w:val="26"/>
        </w:rPr>
        <w:t>)</w:t>
      </w:r>
      <w:r w:rsidR="00DF7EA2">
        <w:rPr>
          <w:sz w:val="26"/>
          <w:szCs w:val="26"/>
        </w:rPr>
        <w:t xml:space="preserve"> </w:t>
      </w:r>
      <w:r w:rsidR="00DF5FFA">
        <w:rPr>
          <w:sz w:val="26"/>
          <w:szCs w:val="26"/>
        </w:rPr>
        <w:t>Petition for Reconsideration (Petition)</w:t>
      </w:r>
      <w:r w:rsidRPr="00117CC1">
        <w:rPr>
          <w:sz w:val="26"/>
          <w:szCs w:val="26"/>
        </w:rPr>
        <w:t xml:space="preserve"> filed </w:t>
      </w:r>
      <w:r w:rsidR="005E7FC4">
        <w:rPr>
          <w:sz w:val="26"/>
          <w:szCs w:val="26"/>
        </w:rPr>
        <w:t xml:space="preserve">on </w:t>
      </w:r>
      <w:r w:rsidR="00DF5FFA">
        <w:rPr>
          <w:sz w:val="26"/>
          <w:szCs w:val="26"/>
        </w:rPr>
        <w:t>June 28, 2019</w:t>
      </w:r>
      <w:r w:rsidRPr="00117CC1">
        <w:rPr>
          <w:sz w:val="26"/>
          <w:szCs w:val="26"/>
        </w:rPr>
        <w:t xml:space="preserve"> </w:t>
      </w:r>
      <w:r w:rsidR="005E7FC4">
        <w:rPr>
          <w:sz w:val="26"/>
          <w:szCs w:val="26"/>
        </w:rPr>
        <w:t xml:space="preserve">and </w:t>
      </w:r>
      <w:r w:rsidR="00DF5FFA">
        <w:rPr>
          <w:sz w:val="26"/>
          <w:szCs w:val="26"/>
        </w:rPr>
        <w:t>referenced t</w:t>
      </w:r>
      <w:r w:rsidRPr="00117CC1">
        <w:rPr>
          <w:sz w:val="26"/>
          <w:szCs w:val="26"/>
        </w:rPr>
        <w:t>o the</w:t>
      </w:r>
      <w:r w:rsidR="009C7188">
        <w:rPr>
          <w:sz w:val="26"/>
          <w:szCs w:val="26"/>
        </w:rPr>
        <w:t xml:space="preserve"> </w:t>
      </w:r>
      <w:r w:rsidR="00DF5FFA">
        <w:rPr>
          <w:sz w:val="26"/>
          <w:szCs w:val="26"/>
        </w:rPr>
        <w:t xml:space="preserve">Commission’s final </w:t>
      </w:r>
      <w:r w:rsidR="00F67EB8">
        <w:rPr>
          <w:sz w:val="26"/>
          <w:szCs w:val="26"/>
        </w:rPr>
        <w:t xml:space="preserve">Opinion and </w:t>
      </w:r>
      <w:r w:rsidR="00DF5FFA">
        <w:rPr>
          <w:sz w:val="26"/>
          <w:szCs w:val="26"/>
        </w:rPr>
        <w:t xml:space="preserve">Order entered June 13, 2019 </w:t>
      </w:r>
      <w:r w:rsidR="0003422F">
        <w:rPr>
          <w:sz w:val="26"/>
          <w:szCs w:val="26"/>
        </w:rPr>
        <w:t>(</w:t>
      </w:r>
      <w:r w:rsidR="0003422F">
        <w:rPr>
          <w:i/>
          <w:iCs/>
          <w:sz w:val="26"/>
          <w:szCs w:val="26"/>
        </w:rPr>
        <w:t>June 2019 Order</w:t>
      </w:r>
      <w:r w:rsidR="0003422F">
        <w:rPr>
          <w:sz w:val="26"/>
          <w:szCs w:val="26"/>
        </w:rPr>
        <w:t xml:space="preserve">) </w:t>
      </w:r>
      <w:r w:rsidR="00DF5FFA">
        <w:rPr>
          <w:sz w:val="26"/>
          <w:szCs w:val="26"/>
        </w:rPr>
        <w:t xml:space="preserve">in </w:t>
      </w:r>
      <w:r w:rsidRPr="00117CC1">
        <w:rPr>
          <w:sz w:val="26"/>
          <w:szCs w:val="26"/>
        </w:rPr>
        <w:t>the above-captioned proceeding.</w:t>
      </w:r>
      <w:r w:rsidR="003F6BDB" w:rsidRPr="00117CC1">
        <w:rPr>
          <w:sz w:val="26"/>
          <w:szCs w:val="26"/>
        </w:rPr>
        <w:t xml:space="preserve">  </w:t>
      </w:r>
      <w:r w:rsidR="00BB0C29" w:rsidRPr="00117CC1">
        <w:rPr>
          <w:sz w:val="26"/>
          <w:szCs w:val="26"/>
        </w:rPr>
        <w:t>On</w:t>
      </w:r>
      <w:r w:rsidR="00EA31B3" w:rsidRPr="00117CC1">
        <w:rPr>
          <w:sz w:val="26"/>
          <w:szCs w:val="26"/>
        </w:rPr>
        <w:t xml:space="preserve"> </w:t>
      </w:r>
      <w:r w:rsidR="00DF5FFA">
        <w:rPr>
          <w:sz w:val="26"/>
          <w:szCs w:val="26"/>
        </w:rPr>
        <w:t xml:space="preserve">July 8, 2019, </w:t>
      </w:r>
      <w:r w:rsidR="005E7FC4">
        <w:rPr>
          <w:sz w:val="26"/>
          <w:szCs w:val="26"/>
        </w:rPr>
        <w:t>Pennsylvania Electric Company (</w:t>
      </w:r>
      <w:proofErr w:type="spellStart"/>
      <w:r w:rsidR="005E7FC4">
        <w:rPr>
          <w:sz w:val="26"/>
          <w:szCs w:val="26"/>
        </w:rPr>
        <w:t>Penelec</w:t>
      </w:r>
      <w:proofErr w:type="spellEnd"/>
      <w:r w:rsidR="005E7FC4">
        <w:rPr>
          <w:sz w:val="26"/>
          <w:szCs w:val="26"/>
        </w:rPr>
        <w:t xml:space="preserve">) and West Penn Power Company (West Penn) </w:t>
      </w:r>
      <w:r w:rsidR="005E7FC4" w:rsidRPr="00117CC1">
        <w:rPr>
          <w:sz w:val="26"/>
          <w:szCs w:val="26"/>
        </w:rPr>
        <w:t>(</w:t>
      </w:r>
      <w:proofErr w:type="spellStart"/>
      <w:r w:rsidR="005E7FC4" w:rsidRPr="00117CC1">
        <w:rPr>
          <w:sz w:val="26"/>
          <w:szCs w:val="26"/>
        </w:rPr>
        <w:t>P</w:t>
      </w:r>
      <w:r w:rsidR="005E7FC4">
        <w:rPr>
          <w:sz w:val="26"/>
          <w:szCs w:val="26"/>
        </w:rPr>
        <w:t>enelec</w:t>
      </w:r>
      <w:proofErr w:type="spellEnd"/>
      <w:r w:rsidR="005E7FC4">
        <w:rPr>
          <w:sz w:val="26"/>
          <w:szCs w:val="26"/>
        </w:rPr>
        <w:t>/West Penn or Companies</w:t>
      </w:r>
      <w:r w:rsidR="005E7FC4" w:rsidRPr="00117CC1">
        <w:rPr>
          <w:sz w:val="26"/>
          <w:szCs w:val="26"/>
        </w:rPr>
        <w:t>)</w:t>
      </w:r>
      <w:r w:rsidR="00DF7EA2">
        <w:rPr>
          <w:sz w:val="26"/>
          <w:szCs w:val="26"/>
        </w:rPr>
        <w:t xml:space="preserve"> </w:t>
      </w:r>
      <w:r w:rsidR="005E7FC4">
        <w:rPr>
          <w:sz w:val="26"/>
          <w:szCs w:val="26"/>
        </w:rPr>
        <w:t xml:space="preserve">filed </w:t>
      </w:r>
      <w:r w:rsidR="00DF5FFA">
        <w:rPr>
          <w:sz w:val="26"/>
          <w:szCs w:val="26"/>
        </w:rPr>
        <w:t>an Answer in Opposition to the Petition (Answer)</w:t>
      </w:r>
      <w:r w:rsidR="005E7FC4">
        <w:rPr>
          <w:sz w:val="26"/>
          <w:szCs w:val="26"/>
        </w:rPr>
        <w:t>.</w:t>
      </w:r>
      <w:r w:rsidR="00F67EB8">
        <w:rPr>
          <w:sz w:val="26"/>
          <w:szCs w:val="26"/>
        </w:rPr>
        <w:t xml:space="preserve">  By Order entered July 11, 2019, we granted reconsideration pending review of and consideration on</w:t>
      </w:r>
      <w:r w:rsidR="00577496">
        <w:rPr>
          <w:sz w:val="26"/>
          <w:szCs w:val="26"/>
        </w:rPr>
        <w:t xml:space="preserve"> </w:t>
      </w:r>
      <w:r w:rsidR="00F67EB8">
        <w:rPr>
          <w:sz w:val="26"/>
          <w:szCs w:val="26"/>
        </w:rPr>
        <w:t>the merits of the Petition within the meaning of Pa. R.A.P. 1701.</w:t>
      </w:r>
      <w:r w:rsidRPr="00117CC1">
        <w:rPr>
          <w:sz w:val="26"/>
          <w:szCs w:val="26"/>
        </w:rPr>
        <w:t xml:space="preserve">  </w:t>
      </w:r>
      <w:r w:rsidR="00D40EAC">
        <w:rPr>
          <w:sz w:val="26"/>
          <w:szCs w:val="26"/>
        </w:rPr>
        <w:t>On consideration, w</w:t>
      </w:r>
      <w:r w:rsidR="001125EC" w:rsidRPr="00117CC1">
        <w:rPr>
          <w:sz w:val="26"/>
          <w:szCs w:val="26"/>
        </w:rPr>
        <w:t>e shall</w:t>
      </w:r>
      <w:r w:rsidR="007B2E56" w:rsidRPr="00117CC1">
        <w:rPr>
          <w:sz w:val="26"/>
          <w:szCs w:val="26"/>
        </w:rPr>
        <w:t xml:space="preserve"> </w:t>
      </w:r>
      <w:r w:rsidR="001125EC" w:rsidRPr="00117CC1">
        <w:rPr>
          <w:sz w:val="26"/>
          <w:szCs w:val="26"/>
        </w:rPr>
        <w:t>deny</w:t>
      </w:r>
      <w:r w:rsidR="007C6D77">
        <w:rPr>
          <w:sz w:val="26"/>
          <w:szCs w:val="26"/>
        </w:rPr>
        <w:t xml:space="preserve"> Respond</w:t>
      </w:r>
      <w:r w:rsidR="00E00225">
        <w:rPr>
          <w:sz w:val="26"/>
          <w:szCs w:val="26"/>
        </w:rPr>
        <w:t>’</w:t>
      </w:r>
      <w:r w:rsidRPr="00117CC1">
        <w:rPr>
          <w:sz w:val="26"/>
          <w:szCs w:val="26"/>
        </w:rPr>
        <w:t xml:space="preserve">s </w:t>
      </w:r>
      <w:r w:rsidR="00DF5FFA">
        <w:rPr>
          <w:sz w:val="26"/>
          <w:szCs w:val="26"/>
        </w:rPr>
        <w:t>Petition</w:t>
      </w:r>
      <w:r w:rsidR="00966C3D">
        <w:rPr>
          <w:sz w:val="26"/>
          <w:szCs w:val="26"/>
        </w:rPr>
        <w:t xml:space="preserve"> </w:t>
      </w:r>
      <w:r w:rsidR="007B2E56" w:rsidRPr="00117CC1">
        <w:rPr>
          <w:sz w:val="26"/>
          <w:szCs w:val="26"/>
        </w:rPr>
        <w:t xml:space="preserve">consistent with </w:t>
      </w:r>
      <w:r w:rsidR="003F468D">
        <w:rPr>
          <w:sz w:val="26"/>
          <w:szCs w:val="26"/>
        </w:rPr>
        <w:t xml:space="preserve">the discussion in </w:t>
      </w:r>
      <w:r w:rsidR="007B2E56" w:rsidRPr="00117CC1">
        <w:rPr>
          <w:sz w:val="26"/>
          <w:szCs w:val="26"/>
        </w:rPr>
        <w:t>this Opi</w:t>
      </w:r>
      <w:bookmarkStart w:id="2" w:name="_Toc415316181"/>
      <w:r w:rsidR="00577496">
        <w:rPr>
          <w:sz w:val="26"/>
          <w:szCs w:val="26"/>
        </w:rPr>
        <w:t>nion and Order</w:t>
      </w:r>
      <w:r w:rsidR="00D40EAC">
        <w:rPr>
          <w:sz w:val="26"/>
          <w:szCs w:val="26"/>
        </w:rPr>
        <w:t>.  We</w:t>
      </w:r>
      <w:r w:rsidR="00577496">
        <w:rPr>
          <w:sz w:val="26"/>
          <w:szCs w:val="26"/>
        </w:rPr>
        <w:t xml:space="preserve"> find that the Petition does not meet the standards </w:t>
      </w:r>
      <w:r w:rsidR="00185671">
        <w:rPr>
          <w:sz w:val="26"/>
          <w:szCs w:val="26"/>
        </w:rPr>
        <w:t xml:space="preserve">for reconsideration </w:t>
      </w:r>
      <w:r w:rsidR="00551C0E">
        <w:rPr>
          <w:sz w:val="26"/>
          <w:szCs w:val="26"/>
        </w:rPr>
        <w:t xml:space="preserve">established </w:t>
      </w:r>
      <w:r w:rsidR="00185671">
        <w:rPr>
          <w:sz w:val="26"/>
          <w:szCs w:val="26"/>
        </w:rPr>
        <w:t xml:space="preserve">in </w:t>
      </w:r>
      <w:proofErr w:type="spellStart"/>
      <w:r w:rsidR="00185671">
        <w:rPr>
          <w:i/>
          <w:iCs/>
          <w:sz w:val="26"/>
          <w:szCs w:val="26"/>
        </w:rPr>
        <w:t>Duick</w:t>
      </w:r>
      <w:proofErr w:type="spellEnd"/>
      <w:r w:rsidR="00185671">
        <w:rPr>
          <w:i/>
          <w:iCs/>
          <w:sz w:val="26"/>
          <w:szCs w:val="26"/>
        </w:rPr>
        <w:t xml:space="preserve"> v.</w:t>
      </w:r>
      <w:r w:rsidR="00554E0B">
        <w:rPr>
          <w:i/>
          <w:iCs/>
          <w:sz w:val="26"/>
          <w:szCs w:val="26"/>
        </w:rPr>
        <w:t xml:space="preserve"> Pa. Gas and Water Co.</w:t>
      </w:r>
      <w:r w:rsidR="00554E0B">
        <w:rPr>
          <w:sz w:val="26"/>
          <w:szCs w:val="26"/>
        </w:rPr>
        <w:t>, 56 Pa. P.U.C. 553 (1985) (</w:t>
      </w:r>
      <w:proofErr w:type="spellStart"/>
      <w:r w:rsidR="00554E0B">
        <w:rPr>
          <w:i/>
          <w:iCs/>
          <w:sz w:val="26"/>
          <w:szCs w:val="26"/>
        </w:rPr>
        <w:t>Duick</w:t>
      </w:r>
      <w:proofErr w:type="spellEnd"/>
      <w:r w:rsidR="00554E0B">
        <w:rPr>
          <w:sz w:val="26"/>
          <w:szCs w:val="26"/>
        </w:rPr>
        <w:t>)</w:t>
      </w:r>
      <w:r w:rsidR="00185671">
        <w:rPr>
          <w:sz w:val="26"/>
          <w:szCs w:val="26"/>
        </w:rPr>
        <w:t>.</w:t>
      </w:r>
      <w:r w:rsidR="00577496">
        <w:rPr>
          <w:sz w:val="26"/>
          <w:szCs w:val="26"/>
        </w:rPr>
        <w:t xml:space="preserve">  </w:t>
      </w:r>
    </w:p>
    <w:p w14:paraId="524B039A" w14:textId="77777777" w:rsidR="008F0C04" w:rsidRDefault="008F0C04" w:rsidP="00F67EB8">
      <w:pPr>
        <w:pStyle w:val="ListParagraph"/>
        <w:spacing w:line="360" w:lineRule="auto"/>
        <w:ind w:left="0"/>
        <w:rPr>
          <w:rStyle w:val="Heading1Char"/>
          <w:b w:val="0"/>
        </w:rPr>
      </w:pPr>
    </w:p>
    <w:p w14:paraId="22D6022A" w14:textId="77777777" w:rsidR="00F2217F" w:rsidRDefault="00976791" w:rsidP="00F71658">
      <w:pPr>
        <w:pStyle w:val="Heading1"/>
        <w:keepLines/>
      </w:pPr>
      <w:r w:rsidRPr="00117CC1">
        <w:rPr>
          <w:rStyle w:val="Heading1Char"/>
          <w:b/>
        </w:rPr>
        <w:t>History of the Proceeding</w:t>
      </w:r>
      <w:bookmarkEnd w:id="2"/>
    </w:p>
    <w:p w14:paraId="071DC939" w14:textId="77777777" w:rsidR="00F2217F" w:rsidRDefault="00F2217F" w:rsidP="00F71658">
      <w:pPr>
        <w:keepNext/>
        <w:keepLines/>
        <w:rPr>
          <w:szCs w:val="26"/>
        </w:rPr>
      </w:pPr>
    </w:p>
    <w:p w14:paraId="1CBD3985" w14:textId="7BD0A0C1" w:rsidR="00781D8F" w:rsidRDefault="00781D8F" w:rsidP="00781D8F">
      <w:pPr>
        <w:rPr>
          <w:szCs w:val="26"/>
        </w:rPr>
      </w:pPr>
      <w:r>
        <w:rPr>
          <w:szCs w:val="26"/>
        </w:rPr>
        <w:t xml:space="preserve">The formal Complaint proceedings in this matter involve Respond’s objections and challenges to the modification of the Companies’ Purchase of Receivables (POR) program, </w:t>
      </w:r>
      <w:r>
        <w:rPr>
          <w:i/>
          <w:iCs/>
          <w:szCs w:val="26"/>
        </w:rPr>
        <w:t>infra</w:t>
      </w:r>
      <w:r>
        <w:rPr>
          <w:szCs w:val="26"/>
        </w:rPr>
        <w:t xml:space="preserve">. </w:t>
      </w:r>
      <w:r w:rsidR="00E62B63">
        <w:rPr>
          <w:szCs w:val="26"/>
        </w:rPr>
        <w:t xml:space="preserve"> </w:t>
      </w:r>
      <w:r w:rsidR="00E62B63" w:rsidRPr="00551C0E">
        <w:rPr>
          <w:szCs w:val="26"/>
        </w:rPr>
        <w:t xml:space="preserve">As explained in the </w:t>
      </w:r>
      <w:r w:rsidR="00E62B63" w:rsidRPr="00551C0E">
        <w:rPr>
          <w:i/>
          <w:iCs/>
          <w:szCs w:val="26"/>
        </w:rPr>
        <w:t>June 2019 Order</w:t>
      </w:r>
      <w:r w:rsidR="00E62B63" w:rsidRPr="00551C0E">
        <w:rPr>
          <w:szCs w:val="26"/>
        </w:rPr>
        <w:t xml:space="preserve">, </w:t>
      </w:r>
      <w:r w:rsidR="00E62B63">
        <w:rPr>
          <w:szCs w:val="26"/>
        </w:rPr>
        <w:t xml:space="preserve">the proceedings involve consolidated formal complaints against 2016 </w:t>
      </w:r>
      <w:proofErr w:type="spellStart"/>
      <w:r w:rsidR="00E62B63">
        <w:rPr>
          <w:szCs w:val="26"/>
        </w:rPr>
        <w:t>clawback</w:t>
      </w:r>
      <w:proofErr w:type="spellEnd"/>
      <w:r w:rsidR="00E62B63">
        <w:rPr>
          <w:szCs w:val="26"/>
        </w:rPr>
        <w:t xml:space="preserve"> charges and 2017 </w:t>
      </w:r>
      <w:proofErr w:type="spellStart"/>
      <w:r w:rsidR="00E62B63">
        <w:rPr>
          <w:szCs w:val="26"/>
        </w:rPr>
        <w:t>clawback</w:t>
      </w:r>
      <w:proofErr w:type="spellEnd"/>
      <w:r w:rsidR="00E62B63">
        <w:rPr>
          <w:szCs w:val="26"/>
        </w:rPr>
        <w:t xml:space="preserve"> charges </w:t>
      </w:r>
      <w:r w:rsidR="008831B3">
        <w:rPr>
          <w:szCs w:val="26"/>
        </w:rPr>
        <w:t>assessed against</w:t>
      </w:r>
      <w:r w:rsidR="00E62B63">
        <w:rPr>
          <w:szCs w:val="26"/>
        </w:rPr>
        <w:t xml:space="preserve"> Respond by the Companies.  </w:t>
      </w:r>
      <w:r w:rsidR="00E62B63" w:rsidRPr="00551C0E">
        <w:rPr>
          <w:i/>
          <w:iCs/>
          <w:szCs w:val="26"/>
        </w:rPr>
        <w:t>June 2019 Order</w:t>
      </w:r>
      <w:r w:rsidR="00E62B63">
        <w:rPr>
          <w:i/>
          <w:iCs/>
          <w:szCs w:val="26"/>
        </w:rPr>
        <w:t xml:space="preserve"> </w:t>
      </w:r>
      <w:r w:rsidR="00E62B63">
        <w:rPr>
          <w:szCs w:val="26"/>
        </w:rPr>
        <w:t>at 8.</w:t>
      </w:r>
    </w:p>
    <w:p w14:paraId="2254646E" w14:textId="77777777" w:rsidR="00781D8F" w:rsidRDefault="00781D8F" w:rsidP="000310DD">
      <w:pPr>
        <w:rPr>
          <w:szCs w:val="26"/>
        </w:rPr>
      </w:pPr>
    </w:p>
    <w:p w14:paraId="1A9DA3E2" w14:textId="77777777" w:rsidR="00213FA0" w:rsidRDefault="00C301C6" w:rsidP="00213FA0">
      <w:pPr>
        <w:rPr>
          <w:szCs w:val="26"/>
        </w:rPr>
      </w:pPr>
      <w:r w:rsidRPr="00C301C6">
        <w:rPr>
          <w:szCs w:val="26"/>
        </w:rPr>
        <w:t>On November 1</w:t>
      </w:r>
      <w:r w:rsidR="003962F3">
        <w:rPr>
          <w:szCs w:val="26"/>
        </w:rPr>
        <w:t>7</w:t>
      </w:r>
      <w:r w:rsidRPr="00C301C6">
        <w:rPr>
          <w:szCs w:val="26"/>
        </w:rPr>
        <w:t xml:space="preserve">, 2016, Respond filed </w:t>
      </w:r>
      <w:r w:rsidR="001D7EE6">
        <w:rPr>
          <w:szCs w:val="26"/>
        </w:rPr>
        <w:t>f</w:t>
      </w:r>
      <w:r w:rsidRPr="00C301C6">
        <w:rPr>
          <w:szCs w:val="26"/>
        </w:rPr>
        <w:t xml:space="preserve">ormal Complaints with the Commission against </w:t>
      </w:r>
      <w:proofErr w:type="spellStart"/>
      <w:r w:rsidRPr="00C301C6">
        <w:rPr>
          <w:szCs w:val="26"/>
        </w:rPr>
        <w:t>Penelec</w:t>
      </w:r>
      <w:proofErr w:type="spellEnd"/>
      <w:r w:rsidRPr="00C301C6">
        <w:rPr>
          <w:szCs w:val="26"/>
        </w:rPr>
        <w:t xml:space="preserve"> and West Penn</w:t>
      </w:r>
      <w:r w:rsidR="00542732">
        <w:rPr>
          <w:szCs w:val="26"/>
        </w:rPr>
        <w:t xml:space="preserve"> at Docket Nos.</w:t>
      </w:r>
      <w:r w:rsidRPr="00C301C6">
        <w:rPr>
          <w:szCs w:val="26"/>
        </w:rPr>
        <w:t xml:space="preserve"> C</w:t>
      </w:r>
      <w:r w:rsidR="007F5443">
        <w:rPr>
          <w:szCs w:val="26"/>
        </w:rPr>
        <w:noBreakHyphen/>
      </w:r>
      <w:r w:rsidRPr="00C301C6">
        <w:rPr>
          <w:szCs w:val="26"/>
        </w:rPr>
        <w:t xml:space="preserve">2016-2576287 and </w:t>
      </w:r>
      <w:r w:rsidRPr="00C301C6">
        <w:rPr>
          <w:szCs w:val="26"/>
        </w:rPr>
        <w:lastRenderedPageBreak/>
        <w:t>C</w:t>
      </w:r>
      <w:r w:rsidR="007F5443">
        <w:rPr>
          <w:szCs w:val="26"/>
        </w:rPr>
        <w:noBreakHyphen/>
      </w:r>
      <w:r w:rsidRPr="00C301C6">
        <w:rPr>
          <w:szCs w:val="26"/>
        </w:rPr>
        <w:t>2016-2576292, respectively</w:t>
      </w:r>
      <w:r w:rsidR="007F5443">
        <w:rPr>
          <w:szCs w:val="26"/>
        </w:rPr>
        <w:t xml:space="preserve"> </w:t>
      </w:r>
      <w:r w:rsidR="007F5443" w:rsidRPr="00C301C6">
        <w:rPr>
          <w:szCs w:val="26"/>
        </w:rPr>
        <w:t>(</w:t>
      </w:r>
      <w:r w:rsidR="007F5443">
        <w:rPr>
          <w:szCs w:val="26"/>
        </w:rPr>
        <w:t xml:space="preserve">2016 </w:t>
      </w:r>
      <w:r w:rsidR="007F5443" w:rsidRPr="00C301C6">
        <w:rPr>
          <w:szCs w:val="26"/>
        </w:rPr>
        <w:t>Complaints</w:t>
      </w:r>
      <w:r w:rsidR="007F5443">
        <w:rPr>
          <w:szCs w:val="26"/>
        </w:rPr>
        <w:t>)</w:t>
      </w:r>
      <w:r w:rsidRPr="00C301C6">
        <w:rPr>
          <w:szCs w:val="26"/>
        </w:rPr>
        <w:t>.</w:t>
      </w:r>
      <w:r w:rsidR="00AD153D">
        <w:rPr>
          <w:rStyle w:val="FootnoteReference"/>
        </w:rPr>
        <w:footnoteReference w:id="2"/>
      </w:r>
      <w:r w:rsidRPr="00C301C6">
        <w:rPr>
          <w:szCs w:val="26"/>
        </w:rPr>
        <w:t xml:space="preserve">  </w:t>
      </w:r>
      <w:r w:rsidR="00583F3B">
        <w:rPr>
          <w:szCs w:val="26"/>
        </w:rPr>
        <w:t>In the</w:t>
      </w:r>
      <w:r w:rsidR="00884DD1">
        <w:rPr>
          <w:szCs w:val="26"/>
        </w:rPr>
        <w:t xml:space="preserve"> </w:t>
      </w:r>
      <w:r w:rsidR="003962F3">
        <w:rPr>
          <w:szCs w:val="26"/>
        </w:rPr>
        <w:t xml:space="preserve">2016 </w:t>
      </w:r>
      <w:r w:rsidR="001D63CB" w:rsidRPr="00C301C6">
        <w:rPr>
          <w:szCs w:val="26"/>
        </w:rPr>
        <w:t>Complaints</w:t>
      </w:r>
      <w:r w:rsidR="00884DD1">
        <w:rPr>
          <w:szCs w:val="26"/>
        </w:rPr>
        <w:t xml:space="preserve">, </w:t>
      </w:r>
      <w:r w:rsidR="00C5644C">
        <w:rPr>
          <w:szCs w:val="26"/>
        </w:rPr>
        <w:t xml:space="preserve">Respond </w:t>
      </w:r>
      <w:r w:rsidR="00C5644C" w:rsidRPr="00C5644C">
        <w:rPr>
          <w:szCs w:val="26"/>
        </w:rPr>
        <w:t>allege</w:t>
      </w:r>
      <w:r w:rsidR="00C5644C">
        <w:rPr>
          <w:szCs w:val="26"/>
        </w:rPr>
        <w:t>d</w:t>
      </w:r>
      <w:r w:rsidR="00C5644C" w:rsidRPr="00C5644C">
        <w:rPr>
          <w:szCs w:val="26"/>
        </w:rPr>
        <w:t xml:space="preserve"> that </w:t>
      </w:r>
      <w:proofErr w:type="spellStart"/>
      <w:r w:rsidR="00C5644C" w:rsidRPr="00C5644C">
        <w:rPr>
          <w:szCs w:val="26"/>
        </w:rPr>
        <w:t>Penelec</w:t>
      </w:r>
      <w:proofErr w:type="spellEnd"/>
      <w:r w:rsidR="00C5644C" w:rsidRPr="00C5644C">
        <w:rPr>
          <w:szCs w:val="26"/>
        </w:rPr>
        <w:t xml:space="preserve"> and West Penn </w:t>
      </w:r>
      <w:r w:rsidR="00D65114">
        <w:rPr>
          <w:szCs w:val="26"/>
        </w:rPr>
        <w:t>we</w:t>
      </w:r>
      <w:r w:rsidR="00C5644C" w:rsidRPr="00C5644C">
        <w:rPr>
          <w:szCs w:val="26"/>
        </w:rPr>
        <w:t xml:space="preserve">re threatening to withhold </w:t>
      </w:r>
      <w:r w:rsidR="009577AF">
        <w:rPr>
          <w:szCs w:val="26"/>
        </w:rPr>
        <w:t xml:space="preserve">from Respond </w:t>
      </w:r>
      <w:bookmarkStart w:id="3" w:name="_Hlk24533184"/>
      <w:bookmarkEnd w:id="1"/>
      <w:r w:rsidR="00F67EB8" w:rsidRPr="00C5644C">
        <w:rPr>
          <w:szCs w:val="26"/>
        </w:rPr>
        <w:t>POR payments totaling $4</w:t>
      </w:r>
      <w:r w:rsidR="009637A1">
        <w:rPr>
          <w:szCs w:val="26"/>
        </w:rPr>
        <w:t>8</w:t>
      </w:r>
      <w:r w:rsidR="00F67EB8" w:rsidRPr="00C5644C">
        <w:rPr>
          <w:szCs w:val="26"/>
        </w:rPr>
        <w:t xml:space="preserve">4,797.69 (2016 </w:t>
      </w:r>
      <w:proofErr w:type="spellStart"/>
      <w:r w:rsidR="00F67EB8" w:rsidRPr="00C5644C">
        <w:rPr>
          <w:szCs w:val="26"/>
        </w:rPr>
        <w:t>clawback</w:t>
      </w:r>
      <w:proofErr w:type="spellEnd"/>
      <w:r w:rsidR="00F67EB8" w:rsidRPr="00C5644C">
        <w:rPr>
          <w:szCs w:val="26"/>
        </w:rPr>
        <w:t xml:space="preserve"> charges).</w:t>
      </w:r>
      <w:r w:rsidR="00F67EB8">
        <w:rPr>
          <w:rStyle w:val="FootnoteReference"/>
          <w:szCs w:val="26"/>
        </w:rPr>
        <w:footnoteReference w:id="3"/>
      </w:r>
      <w:r w:rsidR="00F67EB8">
        <w:rPr>
          <w:szCs w:val="26"/>
        </w:rPr>
        <w:t xml:space="preserve">  </w:t>
      </w:r>
    </w:p>
    <w:p w14:paraId="2CA4D95D" w14:textId="77777777" w:rsidR="00213FA0" w:rsidRDefault="00213FA0" w:rsidP="00213FA0">
      <w:pPr>
        <w:rPr>
          <w:szCs w:val="26"/>
        </w:rPr>
      </w:pPr>
    </w:p>
    <w:p w14:paraId="6631F391" w14:textId="107F8C50" w:rsidR="00DF7EA2" w:rsidRDefault="0003422F" w:rsidP="00DF7EA2">
      <w:pPr>
        <w:rPr>
          <w:szCs w:val="26"/>
        </w:rPr>
      </w:pPr>
      <w:r>
        <w:rPr>
          <w:szCs w:val="26"/>
        </w:rPr>
        <w:t>POR</w:t>
      </w:r>
      <w:r w:rsidRPr="002D0D1B">
        <w:rPr>
          <w:szCs w:val="26"/>
        </w:rPr>
        <w:t xml:space="preserve"> programs set</w:t>
      </w:r>
      <w:r>
        <w:rPr>
          <w:szCs w:val="26"/>
        </w:rPr>
        <w:t xml:space="preserve"> </w:t>
      </w:r>
      <w:r w:rsidRPr="002D0D1B">
        <w:rPr>
          <w:szCs w:val="26"/>
        </w:rPr>
        <w:t xml:space="preserve">forth the parameters under which </w:t>
      </w:r>
      <w:r>
        <w:rPr>
          <w:szCs w:val="26"/>
        </w:rPr>
        <w:t>an</w:t>
      </w:r>
      <w:r w:rsidRPr="002D0D1B">
        <w:rPr>
          <w:szCs w:val="26"/>
        </w:rPr>
        <w:t xml:space="preserve"> E</w:t>
      </w:r>
      <w:r>
        <w:rPr>
          <w:szCs w:val="26"/>
        </w:rPr>
        <w:t xml:space="preserve">lectric </w:t>
      </w:r>
      <w:r w:rsidRPr="002D0D1B">
        <w:rPr>
          <w:szCs w:val="26"/>
        </w:rPr>
        <w:t>D</w:t>
      </w:r>
      <w:r>
        <w:rPr>
          <w:szCs w:val="26"/>
        </w:rPr>
        <w:t xml:space="preserve">istribution </w:t>
      </w:r>
      <w:r w:rsidRPr="002D0D1B">
        <w:rPr>
          <w:szCs w:val="26"/>
        </w:rPr>
        <w:t>C</w:t>
      </w:r>
      <w:r>
        <w:rPr>
          <w:szCs w:val="26"/>
        </w:rPr>
        <w:t>ompany (EDC)</w:t>
      </w:r>
      <w:r w:rsidRPr="002D0D1B">
        <w:rPr>
          <w:szCs w:val="26"/>
        </w:rPr>
        <w:t xml:space="preserve"> bills and collects the charges (receivables) due to a participating E</w:t>
      </w:r>
      <w:r>
        <w:rPr>
          <w:szCs w:val="26"/>
        </w:rPr>
        <w:t xml:space="preserve">lectric </w:t>
      </w:r>
      <w:r w:rsidRPr="002D0D1B">
        <w:rPr>
          <w:szCs w:val="26"/>
        </w:rPr>
        <w:t>G</w:t>
      </w:r>
      <w:r>
        <w:rPr>
          <w:szCs w:val="26"/>
        </w:rPr>
        <w:t xml:space="preserve">eneration </w:t>
      </w:r>
      <w:r w:rsidRPr="002D0D1B">
        <w:rPr>
          <w:szCs w:val="26"/>
        </w:rPr>
        <w:t>S</w:t>
      </w:r>
      <w:r>
        <w:rPr>
          <w:szCs w:val="26"/>
        </w:rPr>
        <w:t>upplier (EGS) company.</w:t>
      </w:r>
      <w:r w:rsidR="002B68D3">
        <w:rPr>
          <w:rStyle w:val="FootnoteReference"/>
          <w:szCs w:val="26"/>
        </w:rPr>
        <w:footnoteReference w:id="4"/>
      </w:r>
      <w:r>
        <w:rPr>
          <w:szCs w:val="26"/>
        </w:rPr>
        <w:t xml:space="preserve">  </w:t>
      </w:r>
      <w:r w:rsidR="00EE527B">
        <w:rPr>
          <w:szCs w:val="26"/>
        </w:rPr>
        <w:t>Usually,</w:t>
      </w:r>
      <w:r w:rsidR="00833DEA">
        <w:rPr>
          <w:szCs w:val="26"/>
        </w:rPr>
        <w:t xml:space="preserve"> t</w:t>
      </w:r>
      <w:r>
        <w:rPr>
          <w:szCs w:val="26"/>
        </w:rPr>
        <w:t>he</w:t>
      </w:r>
      <w:r w:rsidRPr="002D0D1B">
        <w:rPr>
          <w:szCs w:val="26"/>
        </w:rPr>
        <w:t xml:space="preserve"> end-user customer has</w:t>
      </w:r>
      <w:r>
        <w:rPr>
          <w:szCs w:val="26"/>
        </w:rPr>
        <w:t xml:space="preserve"> </w:t>
      </w:r>
      <w:r w:rsidRPr="002D0D1B">
        <w:rPr>
          <w:szCs w:val="26"/>
        </w:rPr>
        <w:t xml:space="preserve">opted to receive a single consolidated bill from the EDC for both </w:t>
      </w:r>
      <w:r w:rsidR="00EE527B">
        <w:rPr>
          <w:szCs w:val="26"/>
        </w:rPr>
        <w:t>electric</w:t>
      </w:r>
      <w:r w:rsidRPr="002D0D1B">
        <w:rPr>
          <w:szCs w:val="26"/>
        </w:rPr>
        <w:t xml:space="preserve"> </w:t>
      </w:r>
      <w:r w:rsidR="00EE527B">
        <w:rPr>
          <w:szCs w:val="26"/>
        </w:rPr>
        <w:t xml:space="preserve">distribution </w:t>
      </w:r>
      <w:r w:rsidRPr="002D0D1B">
        <w:rPr>
          <w:szCs w:val="26"/>
        </w:rPr>
        <w:t xml:space="preserve">and </w:t>
      </w:r>
      <w:r>
        <w:rPr>
          <w:szCs w:val="26"/>
        </w:rPr>
        <w:t xml:space="preserve">generation </w:t>
      </w:r>
      <w:r w:rsidRPr="002D0D1B">
        <w:rPr>
          <w:szCs w:val="26"/>
        </w:rPr>
        <w:t>service</w:t>
      </w:r>
      <w:r w:rsidR="00833DEA">
        <w:rPr>
          <w:szCs w:val="26"/>
        </w:rPr>
        <w:t xml:space="preserve"> in the typical instance involving a POR</w:t>
      </w:r>
      <w:r w:rsidRPr="002D0D1B">
        <w:rPr>
          <w:szCs w:val="26"/>
        </w:rPr>
        <w:t xml:space="preserve">.  </w:t>
      </w:r>
      <w:r>
        <w:rPr>
          <w:i/>
          <w:szCs w:val="26"/>
        </w:rPr>
        <w:t xml:space="preserve">See </w:t>
      </w:r>
      <w:r>
        <w:rPr>
          <w:i/>
          <w:iCs/>
          <w:szCs w:val="26"/>
        </w:rPr>
        <w:t>June 2019 Order</w:t>
      </w:r>
      <w:r>
        <w:rPr>
          <w:szCs w:val="26"/>
        </w:rPr>
        <w:t xml:space="preserve">, n. 1, citing </w:t>
      </w:r>
      <w:r w:rsidRPr="002D0D1B">
        <w:rPr>
          <w:szCs w:val="26"/>
        </w:rPr>
        <w:t>Resp</w:t>
      </w:r>
      <w:r w:rsidR="00DF7EA2">
        <w:rPr>
          <w:szCs w:val="26"/>
        </w:rPr>
        <w:t>o</w:t>
      </w:r>
      <w:r w:rsidRPr="002D0D1B">
        <w:rPr>
          <w:szCs w:val="26"/>
        </w:rPr>
        <w:t>nd St. 1 at 3.</w:t>
      </w:r>
      <w:r w:rsidR="00BD138F">
        <w:rPr>
          <w:rStyle w:val="FootnoteReference"/>
          <w:szCs w:val="26"/>
        </w:rPr>
        <w:footnoteReference w:id="5"/>
      </w:r>
      <w:r>
        <w:rPr>
          <w:szCs w:val="26"/>
        </w:rPr>
        <w:t xml:space="preserve"> </w:t>
      </w:r>
    </w:p>
    <w:p w14:paraId="06E4BEFC" w14:textId="77777777" w:rsidR="00DF7EA2" w:rsidRDefault="00DF7EA2" w:rsidP="00DF7EA2">
      <w:pPr>
        <w:rPr>
          <w:szCs w:val="26"/>
        </w:rPr>
      </w:pPr>
    </w:p>
    <w:p w14:paraId="16DAF3EA" w14:textId="49F4A6DD" w:rsidR="0003422F" w:rsidRPr="005C4E0A" w:rsidRDefault="0003422F" w:rsidP="00DF7EA2">
      <w:pPr>
        <w:rPr>
          <w:szCs w:val="26"/>
        </w:rPr>
      </w:pPr>
      <w:r>
        <w:rPr>
          <w:szCs w:val="26"/>
        </w:rPr>
        <w:t xml:space="preserve">The Companies’ POR programs involved in this dispute originally entailed issuing one consolidated bill </w:t>
      </w:r>
      <w:r w:rsidR="002B4A6D">
        <w:rPr>
          <w:szCs w:val="26"/>
        </w:rPr>
        <w:t xml:space="preserve">by the EDC for </w:t>
      </w:r>
      <w:r>
        <w:rPr>
          <w:szCs w:val="26"/>
        </w:rPr>
        <w:t>electric distribution and electric generation</w:t>
      </w:r>
      <w:r w:rsidR="002D28DA">
        <w:rPr>
          <w:szCs w:val="26"/>
        </w:rPr>
        <w:t xml:space="preserve"> service and</w:t>
      </w:r>
      <w:r>
        <w:rPr>
          <w:szCs w:val="26"/>
        </w:rPr>
        <w:t>, thereafter, purchasing accounts receivable</w:t>
      </w:r>
      <w:r w:rsidR="00F92C17">
        <w:rPr>
          <w:szCs w:val="26"/>
        </w:rPr>
        <w:t>s</w:t>
      </w:r>
      <w:r>
        <w:rPr>
          <w:szCs w:val="26"/>
        </w:rPr>
        <w:t xml:space="preserve"> </w:t>
      </w:r>
      <w:r w:rsidR="00D854BE">
        <w:rPr>
          <w:szCs w:val="26"/>
        </w:rPr>
        <w:t xml:space="preserve">on behalf of </w:t>
      </w:r>
      <w:r>
        <w:rPr>
          <w:szCs w:val="26"/>
        </w:rPr>
        <w:t>participating EGSs at a “zero-discount rate.”  Under this arrangement, the Companies would pay</w:t>
      </w:r>
      <w:r w:rsidR="00781D8F">
        <w:rPr>
          <w:szCs w:val="26"/>
        </w:rPr>
        <w:t xml:space="preserve"> the EGS</w:t>
      </w:r>
      <w:r>
        <w:rPr>
          <w:szCs w:val="26"/>
        </w:rPr>
        <w:t xml:space="preserve"> the face value of the accounts receivable </w:t>
      </w:r>
      <w:r w:rsidR="00450126">
        <w:rPr>
          <w:szCs w:val="26"/>
        </w:rPr>
        <w:t>without recourse to the EGS</w:t>
      </w:r>
      <w:r w:rsidR="0022735D">
        <w:rPr>
          <w:szCs w:val="26"/>
        </w:rPr>
        <w:t xml:space="preserve"> </w:t>
      </w:r>
      <w:r>
        <w:rPr>
          <w:szCs w:val="26"/>
        </w:rPr>
        <w:t xml:space="preserve">regardless of what the Companies were actually able to collect from </w:t>
      </w:r>
      <w:r w:rsidR="00781D8F">
        <w:rPr>
          <w:szCs w:val="26"/>
        </w:rPr>
        <w:t xml:space="preserve">the end-user </w:t>
      </w:r>
      <w:r>
        <w:rPr>
          <w:szCs w:val="26"/>
        </w:rPr>
        <w:t xml:space="preserve">customer.  </w:t>
      </w:r>
      <w:r w:rsidR="003A2D58">
        <w:rPr>
          <w:i/>
          <w:iCs/>
          <w:szCs w:val="26"/>
        </w:rPr>
        <w:t>June 2019 Order</w:t>
      </w:r>
      <w:r w:rsidR="00A818F1">
        <w:rPr>
          <w:i/>
          <w:iCs/>
          <w:szCs w:val="26"/>
        </w:rPr>
        <w:t xml:space="preserve"> </w:t>
      </w:r>
      <w:r w:rsidR="00A818F1">
        <w:rPr>
          <w:szCs w:val="26"/>
        </w:rPr>
        <w:lastRenderedPageBreak/>
        <w:t>at</w:t>
      </w:r>
      <w:r w:rsidR="00015308">
        <w:rPr>
          <w:szCs w:val="26"/>
        </w:rPr>
        <w:t> </w:t>
      </w:r>
      <w:r w:rsidR="00A818F1">
        <w:rPr>
          <w:szCs w:val="26"/>
        </w:rPr>
        <w:t>11-12</w:t>
      </w:r>
      <w:r>
        <w:rPr>
          <w:szCs w:val="26"/>
        </w:rPr>
        <w:t>, citing</w:t>
      </w:r>
      <w:r>
        <w:rPr>
          <w:i/>
          <w:iCs/>
          <w:szCs w:val="26"/>
        </w:rPr>
        <w:t xml:space="preserve"> </w:t>
      </w:r>
      <w:r>
        <w:rPr>
          <w:szCs w:val="26"/>
        </w:rPr>
        <w:t xml:space="preserve">Companies St. </w:t>
      </w:r>
      <w:r w:rsidR="008679FC">
        <w:rPr>
          <w:szCs w:val="26"/>
        </w:rPr>
        <w:t xml:space="preserve">No. </w:t>
      </w:r>
      <w:r>
        <w:rPr>
          <w:szCs w:val="26"/>
        </w:rPr>
        <w:t>1 at 19.</w:t>
      </w:r>
      <w:r w:rsidR="00701053">
        <w:rPr>
          <w:szCs w:val="26"/>
        </w:rPr>
        <w:t xml:space="preserve">  Thus, under the “no-recourse” “zero-discount” structure, the EDC fully assumed the risk of collection on</w:t>
      </w:r>
      <w:r w:rsidR="00187808">
        <w:rPr>
          <w:szCs w:val="26"/>
        </w:rPr>
        <w:t xml:space="preserve"> the EGS’ write-off of </w:t>
      </w:r>
      <w:r w:rsidR="00701053">
        <w:rPr>
          <w:szCs w:val="26"/>
        </w:rPr>
        <w:t>customer accounts</w:t>
      </w:r>
      <w:r w:rsidR="00187808">
        <w:rPr>
          <w:szCs w:val="26"/>
        </w:rPr>
        <w:t>.</w:t>
      </w:r>
      <w:r w:rsidR="00701053">
        <w:rPr>
          <w:szCs w:val="26"/>
        </w:rPr>
        <w:t xml:space="preserve">  </w:t>
      </w:r>
      <w:r w:rsidR="00701053">
        <w:rPr>
          <w:i/>
          <w:iCs/>
          <w:szCs w:val="26"/>
        </w:rPr>
        <w:t>Id</w:t>
      </w:r>
      <w:r w:rsidR="00701053">
        <w:rPr>
          <w:szCs w:val="26"/>
        </w:rPr>
        <w:t>. at 11.</w:t>
      </w:r>
      <w:r w:rsidR="00F7645F" w:rsidRPr="00F7645F">
        <w:rPr>
          <w:rStyle w:val="FootnoteReference"/>
          <w:szCs w:val="26"/>
        </w:rPr>
        <w:t xml:space="preserve"> </w:t>
      </w:r>
      <w:r w:rsidR="00F7645F" w:rsidRPr="00C34725">
        <w:rPr>
          <w:rStyle w:val="FootnoteReference"/>
          <w:szCs w:val="26"/>
        </w:rPr>
        <w:footnoteReference w:id="6"/>
      </w:r>
      <w:r w:rsidR="00450126" w:rsidRPr="00C34725">
        <w:rPr>
          <w:szCs w:val="26"/>
        </w:rPr>
        <w:t xml:space="preserve"> </w:t>
      </w:r>
      <w:r w:rsidR="00450126">
        <w:rPr>
          <w:szCs w:val="26"/>
        </w:rPr>
        <w:t xml:space="preserve"> </w:t>
      </w:r>
      <w:r w:rsidR="00187808" w:rsidRPr="00C34725">
        <w:rPr>
          <w:szCs w:val="26"/>
        </w:rPr>
        <w:t>In</w:t>
      </w:r>
      <w:r w:rsidR="00187808">
        <w:rPr>
          <w:szCs w:val="26"/>
        </w:rPr>
        <w:t xml:space="preserve"> turn, the</w:t>
      </w:r>
      <w:r w:rsidR="005C4E0A" w:rsidRPr="005C4E0A">
        <w:rPr>
          <w:szCs w:val="26"/>
        </w:rPr>
        <w:t xml:space="preserve"> </w:t>
      </w:r>
      <w:r w:rsidR="005C4E0A">
        <w:rPr>
          <w:szCs w:val="26"/>
        </w:rPr>
        <w:t>C</w:t>
      </w:r>
      <w:r w:rsidR="005C4E0A" w:rsidRPr="005C4E0A">
        <w:rPr>
          <w:szCs w:val="26"/>
        </w:rPr>
        <w:t>ompan</w:t>
      </w:r>
      <w:r w:rsidR="005C4E0A">
        <w:rPr>
          <w:szCs w:val="26"/>
        </w:rPr>
        <w:t>ies</w:t>
      </w:r>
      <w:r w:rsidR="005C4E0A" w:rsidRPr="005C4E0A">
        <w:rPr>
          <w:szCs w:val="26"/>
        </w:rPr>
        <w:t xml:space="preserve"> recover uncollectible accounts expenses associated with </w:t>
      </w:r>
      <w:r w:rsidR="005C4E0A">
        <w:rPr>
          <w:szCs w:val="26"/>
        </w:rPr>
        <w:t>POR</w:t>
      </w:r>
      <w:r w:rsidR="005C4E0A" w:rsidRPr="005C4E0A">
        <w:rPr>
          <w:szCs w:val="26"/>
        </w:rPr>
        <w:t xml:space="preserve"> through </w:t>
      </w:r>
      <w:r w:rsidR="005C4E0A">
        <w:rPr>
          <w:szCs w:val="26"/>
        </w:rPr>
        <w:t>a</w:t>
      </w:r>
      <w:r w:rsidR="005C4E0A" w:rsidRPr="005C4E0A">
        <w:rPr>
          <w:szCs w:val="26"/>
        </w:rPr>
        <w:t xml:space="preserve"> Default Service Support Rider (DSS Rider)</w:t>
      </w:r>
      <w:r w:rsidR="005C4E0A">
        <w:rPr>
          <w:szCs w:val="26"/>
        </w:rPr>
        <w:t>, which is non</w:t>
      </w:r>
      <w:r w:rsidR="00252BEC">
        <w:rPr>
          <w:szCs w:val="26"/>
        </w:rPr>
        <w:t>-</w:t>
      </w:r>
      <w:proofErr w:type="spellStart"/>
      <w:r w:rsidR="005C4E0A">
        <w:rPr>
          <w:szCs w:val="26"/>
        </w:rPr>
        <w:t>bypass</w:t>
      </w:r>
      <w:r w:rsidR="00252BEC">
        <w:rPr>
          <w:szCs w:val="26"/>
        </w:rPr>
        <w:t>a</w:t>
      </w:r>
      <w:r w:rsidR="005C4E0A">
        <w:rPr>
          <w:szCs w:val="26"/>
        </w:rPr>
        <w:t>ble</w:t>
      </w:r>
      <w:proofErr w:type="spellEnd"/>
      <w:r w:rsidR="005C4E0A">
        <w:rPr>
          <w:szCs w:val="26"/>
        </w:rPr>
        <w:t xml:space="preserve">, </w:t>
      </w:r>
      <w:r w:rsidR="005C4E0A" w:rsidRPr="005C4E0A">
        <w:rPr>
          <w:szCs w:val="26"/>
        </w:rPr>
        <w:t xml:space="preserve">up to the </w:t>
      </w:r>
      <w:r w:rsidR="005C4E0A">
        <w:rPr>
          <w:szCs w:val="26"/>
        </w:rPr>
        <w:t xml:space="preserve">Companies’ respective </w:t>
      </w:r>
      <w:r w:rsidR="005C4E0A" w:rsidRPr="005C4E0A">
        <w:rPr>
          <w:szCs w:val="26"/>
        </w:rPr>
        <w:t>allowance for uncollectible expense approved in the</w:t>
      </w:r>
      <w:r w:rsidR="005C4E0A">
        <w:rPr>
          <w:szCs w:val="26"/>
        </w:rPr>
        <w:t>ir</w:t>
      </w:r>
      <w:r w:rsidR="005C4E0A" w:rsidRPr="005C4E0A">
        <w:rPr>
          <w:szCs w:val="26"/>
        </w:rPr>
        <w:t xml:space="preserve"> base rate cases.</w:t>
      </w:r>
      <w:r w:rsidR="005C4E0A">
        <w:rPr>
          <w:szCs w:val="26"/>
        </w:rPr>
        <w:t xml:space="preserve">  </w:t>
      </w:r>
      <w:r w:rsidR="005C4E0A">
        <w:rPr>
          <w:i/>
          <w:iCs/>
          <w:szCs w:val="26"/>
        </w:rPr>
        <w:t>See</w:t>
      </w:r>
      <w:r w:rsidR="005C4E0A">
        <w:rPr>
          <w:szCs w:val="26"/>
        </w:rPr>
        <w:t xml:space="preserve"> Companies </w:t>
      </w:r>
      <w:r w:rsidR="005C4E0A" w:rsidRPr="005C4E0A">
        <w:rPr>
          <w:szCs w:val="26"/>
        </w:rPr>
        <w:t>St. No. 1, pp. 9-10</w:t>
      </w:r>
      <w:r w:rsidR="0056087E">
        <w:rPr>
          <w:szCs w:val="26"/>
        </w:rPr>
        <w:t xml:space="preserve">; </w:t>
      </w:r>
      <w:r w:rsidR="0056087E">
        <w:rPr>
          <w:i/>
          <w:iCs/>
          <w:szCs w:val="26"/>
        </w:rPr>
        <w:t xml:space="preserve">also </w:t>
      </w:r>
      <w:r w:rsidR="0056087E">
        <w:rPr>
          <w:szCs w:val="26"/>
        </w:rPr>
        <w:t>Respond Petition at ⁋ 9</w:t>
      </w:r>
      <w:r w:rsidR="005C4E0A" w:rsidRPr="005C4E0A">
        <w:rPr>
          <w:szCs w:val="26"/>
        </w:rPr>
        <w:t>.</w:t>
      </w:r>
    </w:p>
    <w:p w14:paraId="68CC0E2E" w14:textId="77777777" w:rsidR="00DB054B" w:rsidRPr="00A818F1" w:rsidRDefault="00DB054B" w:rsidP="00B26B36">
      <w:pPr>
        <w:pStyle w:val="FootnoteText"/>
        <w:keepNext/>
        <w:keepLines/>
        <w:spacing w:line="360" w:lineRule="auto"/>
        <w:ind w:firstLine="0"/>
        <w:rPr>
          <w:sz w:val="26"/>
          <w:szCs w:val="26"/>
        </w:rPr>
      </w:pPr>
    </w:p>
    <w:p w14:paraId="7748E10F" w14:textId="2D2216FC" w:rsidR="007D3372" w:rsidRPr="00FF6D25" w:rsidRDefault="0003422F" w:rsidP="007D3372">
      <w:pPr>
        <w:rPr>
          <w:i/>
          <w:iCs/>
          <w:szCs w:val="26"/>
        </w:rPr>
      </w:pPr>
      <w:r w:rsidRPr="00A818F1">
        <w:rPr>
          <w:szCs w:val="26"/>
        </w:rPr>
        <w:t xml:space="preserve">By way of background, </w:t>
      </w:r>
      <w:r w:rsidR="002B4A6D" w:rsidRPr="00A818F1">
        <w:rPr>
          <w:szCs w:val="26"/>
        </w:rPr>
        <w:t xml:space="preserve">and </w:t>
      </w:r>
      <w:r w:rsidR="000F3346" w:rsidRPr="00A818F1">
        <w:rPr>
          <w:szCs w:val="26"/>
        </w:rPr>
        <w:t>a</w:t>
      </w:r>
      <w:r w:rsidR="000332B4" w:rsidRPr="00A818F1">
        <w:rPr>
          <w:szCs w:val="26"/>
        </w:rPr>
        <w:t xml:space="preserve">s outlined in the Commission’s </w:t>
      </w:r>
      <w:r w:rsidR="000332B4" w:rsidRPr="00A818F1">
        <w:rPr>
          <w:i/>
          <w:iCs/>
          <w:szCs w:val="26"/>
        </w:rPr>
        <w:t xml:space="preserve">Interlocutory </w:t>
      </w:r>
      <w:r w:rsidR="000332B4" w:rsidRPr="00F60A2A">
        <w:rPr>
          <w:i/>
          <w:iCs/>
          <w:szCs w:val="26"/>
        </w:rPr>
        <w:t>Appeal Order</w:t>
      </w:r>
      <w:r w:rsidR="000332B4">
        <w:rPr>
          <w:szCs w:val="26"/>
        </w:rPr>
        <w:t xml:space="preserve"> </w:t>
      </w:r>
      <w:r w:rsidR="00252BEC">
        <w:rPr>
          <w:szCs w:val="26"/>
        </w:rPr>
        <w:t xml:space="preserve">referencing the Initial Decision in this matter, </w:t>
      </w:r>
      <w:r w:rsidR="000332B4" w:rsidRPr="009D21F6">
        <w:rPr>
          <w:szCs w:val="26"/>
        </w:rPr>
        <w:t>the Electricity Generation Customer Choice and Competition Act (Act)</w:t>
      </w:r>
      <w:r w:rsidR="00833DEA">
        <w:rPr>
          <w:szCs w:val="26"/>
        </w:rPr>
        <w:t>,</w:t>
      </w:r>
      <w:r w:rsidR="000332B4">
        <w:rPr>
          <w:rStyle w:val="FootnoteReference"/>
        </w:rPr>
        <w:footnoteReference w:id="7"/>
      </w:r>
      <w:r w:rsidR="000332B4" w:rsidRPr="009D21F6">
        <w:rPr>
          <w:szCs w:val="26"/>
        </w:rPr>
        <w:t xml:space="preserve"> </w:t>
      </w:r>
      <w:r w:rsidR="000332B4">
        <w:rPr>
          <w:i/>
          <w:szCs w:val="26"/>
        </w:rPr>
        <w:t>inter alia</w:t>
      </w:r>
      <w:r w:rsidR="000332B4">
        <w:rPr>
          <w:szCs w:val="26"/>
        </w:rPr>
        <w:t>, provided for a transition from previously regulated bundled electric distribution and electric generation utility service into a competitive market for the purchase of generation.  Under the prior regulat</w:t>
      </w:r>
      <w:r w:rsidR="00D40EAC">
        <w:rPr>
          <w:szCs w:val="26"/>
        </w:rPr>
        <w:t>ory</w:t>
      </w:r>
      <w:r w:rsidR="000332B4">
        <w:rPr>
          <w:szCs w:val="26"/>
        </w:rPr>
        <w:t xml:space="preserve"> system, electric utility service was </w:t>
      </w:r>
      <w:r w:rsidR="00E62B63">
        <w:rPr>
          <w:szCs w:val="26"/>
        </w:rPr>
        <w:t>customarily</w:t>
      </w:r>
      <w:r w:rsidR="003649D9">
        <w:rPr>
          <w:szCs w:val="26"/>
        </w:rPr>
        <w:t xml:space="preserve"> </w:t>
      </w:r>
      <w:r w:rsidR="000332B4">
        <w:rPr>
          <w:szCs w:val="26"/>
        </w:rPr>
        <w:t>provided by one Commission jurisdictional regulated entity</w:t>
      </w:r>
      <w:r w:rsidR="00DF7EA2">
        <w:rPr>
          <w:szCs w:val="26"/>
        </w:rPr>
        <w:t xml:space="preserve"> </w:t>
      </w:r>
      <w:r w:rsidR="00833DEA">
        <w:rPr>
          <w:szCs w:val="26"/>
        </w:rPr>
        <w:t>-</w:t>
      </w:r>
      <w:r w:rsidR="000332B4">
        <w:rPr>
          <w:szCs w:val="26"/>
        </w:rPr>
        <w:t xml:space="preserve"> the electric distribution company</w:t>
      </w:r>
      <w:r w:rsidR="00833DEA">
        <w:rPr>
          <w:szCs w:val="26"/>
        </w:rPr>
        <w:t>,</w:t>
      </w:r>
      <w:r w:rsidR="000F3346">
        <w:rPr>
          <w:szCs w:val="26"/>
        </w:rPr>
        <w:t xml:space="preserve"> </w:t>
      </w:r>
      <w:r w:rsidR="000F3346">
        <w:rPr>
          <w:i/>
          <w:iCs/>
          <w:szCs w:val="26"/>
        </w:rPr>
        <w:t>i.e.</w:t>
      </w:r>
      <w:r w:rsidR="000332B4">
        <w:rPr>
          <w:szCs w:val="26"/>
        </w:rPr>
        <w:t xml:space="preserve"> </w:t>
      </w:r>
      <w:r w:rsidR="00833DEA">
        <w:rPr>
          <w:szCs w:val="26"/>
        </w:rPr>
        <w:t xml:space="preserve">the </w:t>
      </w:r>
      <w:r w:rsidR="000332B4">
        <w:rPr>
          <w:szCs w:val="26"/>
        </w:rPr>
        <w:t xml:space="preserve">EDC.  The EDC held a certificate of public convenience </w:t>
      </w:r>
      <w:r w:rsidR="000F3346">
        <w:rPr>
          <w:szCs w:val="26"/>
        </w:rPr>
        <w:t xml:space="preserve">conferred upon it by the Commission </w:t>
      </w:r>
      <w:r w:rsidR="000332B4">
        <w:rPr>
          <w:szCs w:val="26"/>
        </w:rPr>
        <w:t>granting it a virtual monopoly to provide bundled service within defined service territories.</w:t>
      </w:r>
      <w:r w:rsidR="007D3372">
        <w:rPr>
          <w:szCs w:val="26"/>
        </w:rPr>
        <w:t xml:space="preserve">  </w:t>
      </w:r>
      <w:r w:rsidR="007D3372" w:rsidRPr="00FF6D25">
        <w:rPr>
          <w:i/>
          <w:iCs/>
          <w:szCs w:val="26"/>
        </w:rPr>
        <w:t>See</w:t>
      </w:r>
      <w:r w:rsidR="007D3372" w:rsidRPr="00FF6D25">
        <w:rPr>
          <w:szCs w:val="26"/>
        </w:rPr>
        <w:t xml:space="preserve"> </w:t>
      </w:r>
      <w:r w:rsidR="007D3372" w:rsidRPr="00FF6D25">
        <w:rPr>
          <w:i/>
          <w:iCs/>
          <w:szCs w:val="26"/>
        </w:rPr>
        <w:t>e.g. Re Lukens Steel Company</w:t>
      </w:r>
      <w:r w:rsidR="007D3372" w:rsidRPr="00FF6D25">
        <w:rPr>
          <w:szCs w:val="26"/>
        </w:rPr>
        <w:t>,</w:t>
      </w:r>
      <w:r w:rsidR="007D3372" w:rsidRPr="00FF6D25">
        <w:rPr>
          <w:i/>
          <w:iCs/>
          <w:szCs w:val="26"/>
        </w:rPr>
        <w:t xml:space="preserve"> Intervenors, et al.</w:t>
      </w:r>
      <w:r w:rsidR="007D3372" w:rsidRPr="00FF6D25">
        <w:rPr>
          <w:szCs w:val="26"/>
        </w:rPr>
        <w:t xml:space="preserve">, </w:t>
      </w:r>
      <w:r w:rsidR="00734171">
        <w:rPr>
          <w:szCs w:val="26"/>
        </w:rPr>
        <w:t>58 Pa. P.U.C. 256 (1984); 57 PUR 4</w:t>
      </w:r>
      <w:r w:rsidR="00734171" w:rsidRPr="00734171">
        <w:rPr>
          <w:szCs w:val="26"/>
          <w:vertAlign w:val="superscript"/>
        </w:rPr>
        <w:t>th</w:t>
      </w:r>
      <w:r w:rsidR="00734171">
        <w:rPr>
          <w:szCs w:val="26"/>
        </w:rPr>
        <w:t xml:space="preserve"> 524 (1984),</w:t>
      </w:r>
      <w:r w:rsidR="007D3372" w:rsidRPr="00FF6D25">
        <w:rPr>
          <w:szCs w:val="26"/>
        </w:rPr>
        <w:t xml:space="preserve"> </w:t>
      </w:r>
      <w:r w:rsidR="007D3372" w:rsidRPr="00FF6D25">
        <w:rPr>
          <w:i/>
          <w:iCs/>
          <w:szCs w:val="26"/>
        </w:rPr>
        <w:t>affirmed</w:t>
      </w:r>
      <w:r w:rsidR="007D3372" w:rsidRPr="00015308">
        <w:rPr>
          <w:szCs w:val="26"/>
        </w:rPr>
        <w:t>,</w:t>
      </w:r>
      <w:r w:rsidR="007D3372" w:rsidRPr="00FF6D25">
        <w:rPr>
          <w:i/>
          <w:iCs/>
          <w:szCs w:val="26"/>
        </w:rPr>
        <w:t xml:space="preserve"> Lukens Steel Company v. Pa. PUC</w:t>
      </w:r>
      <w:r w:rsidR="007D3372" w:rsidRPr="00FF6D25">
        <w:rPr>
          <w:szCs w:val="26"/>
        </w:rPr>
        <w:t xml:space="preserve">, 499 A.2d 1134 (Pa. </w:t>
      </w:r>
      <w:proofErr w:type="spellStart"/>
      <w:r w:rsidR="007D3372" w:rsidRPr="00FF6D25">
        <w:rPr>
          <w:szCs w:val="26"/>
        </w:rPr>
        <w:t>Cmwlth</w:t>
      </w:r>
      <w:proofErr w:type="spellEnd"/>
      <w:r w:rsidR="007D3372" w:rsidRPr="00FF6D25">
        <w:rPr>
          <w:szCs w:val="26"/>
        </w:rPr>
        <w:t xml:space="preserve">. 1985); </w:t>
      </w:r>
      <w:r w:rsidR="00015308" w:rsidRPr="00FF6D25">
        <w:rPr>
          <w:i/>
          <w:iCs/>
          <w:szCs w:val="26"/>
        </w:rPr>
        <w:t>also,</w:t>
      </w:r>
      <w:r w:rsidR="007D3372" w:rsidRPr="00FF6D25">
        <w:rPr>
          <w:i/>
          <w:iCs/>
          <w:szCs w:val="26"/>
        </w:rPr>
        <w:t xml:space="preserve"> Duquesne Light Co. v. Township of Findlay</w:t>
      </w:r>
      <w:r w:rsidR="007D3372" w:rsidRPr="00FF6D25">
        <w:rPr>
          <w:szCs w:val="26"/>
        </w:rPr>
        <w:t xml:space="preserve">, 715 A.2d 540 (Pa. </w:t>
      </w:r>
      <w:proofErr w:type="spellStart"/>
      <w:r w:rsidR="007D3372" w:rsidRPr="00FF6D25">
        <w:rPr>
          <w:szCs w:val="26"/>
        </w:rPr>
        <w:t>Cmwlth</w:t>
      </w:r>
      <w:proofErr w:type="spellEnd"/>
      <w:r w:rsidR="007D3372" w:rsidRPr="00FF6D25">
        <w:rPr>
          <w:szCs w:val="26"/>
        </w:rPr>
        <w:t xml:space="preserve">. </w:t>
      </w:r>
      <w:r w:rsidR="00015308">
        <w:rPr>
          <w:szCs w:val="26"/>
        </w:rPr>
        <w:t>1</w:t>
      </w:r>
      <w:r w:rsidR="007D3372" w:rsidRPr="00FF6D25">
        <w:rPr>
          <w:szCs w:val="26"/>
        </w:rPr>
        <w:t>998).</w:t>
      </w:r>
      <w:r w:rsidR="007D3372" w:rsidRPr="00FF6D25">
        <w:rPr>
          <w:i/>
          <w:iCs/>
          <w:szCs w:val="26"/>
        </w:rPr>
        <w:t xml:space="preserve"> </w:t>
      </w:r>
    </w:p>
    <w:p w14:paraId="41EF014C" w14:textId="77777777" w:rsidR="000332B4" w:rsidRDefault="000332B4" w:rsidP="007D3372">
      <w:pPr>
        <w:ind w:firstLine="0"/>
        <w:rPr>
          <w:szCs w:val="26"/>
        </w:rPr>
      </w:pPr>
    </w:p>
    <w:p w14:paraId="09119C66" w14:textId="75C926EA" w:rsidR="000332B4" w:rsidRDefault="000332B4" w:rsidP="000332B4">
      <w:pPr>
        <w:rPr>
          <w:szCs w:val="26"/>
        </w:rPr>
      </w:pPr>
      <w:r>
        <w:rPr>
          <w:szCs w:val="26"/>
        </w:rPr>
        <w:t>Pursuant to the Act, t</w:t>
      </w:r>
      <w:r w:rsidRPr="009D21F6">
        <w:rPr>
          <w:szCs w:val="26"/>
        </w:rPr>
        <w:t>he generation of electricity is no</w:t>
      </w:r>
      <w:r>
        <w:rPr>
          <w:szCs w:val="26"/>
        </w:rPr>
        <w:t xml:space="preserve"> longer</w:t>
      </w:r>
      <w:r w:rsidRPr="009D21F6">
        <w:rPr>
          <w:szCs w:val="26"/>
        </w:rPr>
        <w:t xml:space="preserve"> regulated as a public utility function</w:t>
      </w:r>
      <w:r>
        <w:rPr>
          <w:szCs w:val="26"/>
        </w:rPr>
        <w:t xml:space="preserve"> or service</w:t>
      </w:r>
      <w:r w:rsidRPr="009D21F6">
        <w:rPr>
          <w:szCs w:val="26"/>
        </w:rPr>
        <w:t>.</w:t>
      </w:r>
      <w:r>
        <w:rPr>
          <w:szCs w:val="26"/>
        </w:rPr>
        <w:t xml:space="preserve">  </w:t>
      </w:r>
      <w:r>
        <w:rPr>
          <w:i/>
          <w:szCs w:val="26"/>
        </w:rPr>
        <w:t xml:space="preserve">See </w:t>
      </w:r>
      <w:r w:rsidRPr="009D21F6">
        <w:rPr>
          <w:szCs w:val="26"/>
        </w:rPr>
        <w:t>66 Pa.</w:t>
      </w:r>
      <w:r w:rsidR="00015308">
        <w:rPr>
          <w:szCs w:val="26"/>
        </w:rPr>
        <w:t xml:space="preserve"> </w:t>
      </w:r>
      <w:r w:rsidRPr="009D21F6">
        <w:rPr>
          <w:szCs w:val="26"/>
        </w:rPr>
        <w:t>C.S. §</w:t>
      </w:r>
      <w:r>
        <w:rPr>
          <w:szCs w:val="26"/>
        </w:rPr>
        <w:t> </w:t>
      </w:r>
      <w:r w:rsidRPr="009D21F6">
        <w:rPr>
          <w:szCs w:val="26"/>
        </w:rPr>
        <w:t>2802(1</w:t>
      </w:r>
      <w:r>
        <w:rPr>
          <w:szCs w:val="26"/>
        </w:rPr>
        <w:t>4</w:t>
      </w:r>
      <w:r w:rsidRPr="009D21F6">
        <w:rPr>
          <w:szCs w:val="26"/>
        </w:rPr>
        <w:t>)</w:t>
      </w:r>
      <w:r w:rsidRPr="00432F7F">
        <w:rPr>
          <w:szCs w:val="26"/>
        </w:rPr>
        <w:t>.</w:t>
      </w:r>
      <w:r>
        <w:rPr>
          <w:szCs w:val="26"/>
        </w:rPr>
        <w:t xml:space="preserve">  </w:t>
      </w:r>
      <w:r w:rsidRPr="009D21F6">
        <w:rPr>
          <w:szCs w:val="26"/>
        </w:rPr>
        <w:t xml:space="preserve">Only the </w:t>
      </w:r>
      <w:r>
        <w:rPr>
          <w:szCs w:val="26"/>
        </w:rPr>
        <w:t xml:space="preserve">transmission and </w:t>
      </w:r>
      <w:r w:rsidRPr="009D21F6">
        <w:rPr>
          <w:szCs w:val="26"/>
        </w:rPr>
        <w:lastRenderedPageBreak/>
        <w:t>distribution of electricity is regulated as a natural monopoly subject to the direct jurisdiction of the Commission.  66</w:t>
      </w:r>
      <w:r>
        <w:rPr>
          <w:szCs w:val="26"/>
        </w:rPr>
        <w:t> </w:t>
      </w:r>
      <w:r w:rsidRPr="009D21F6">
        <w:rPr>
          <w:szCs w:val="26"/>
        </w:rPr>
        <w:t>Pa.</w:t>
      </w:r>
      <w:r w:rsidR="00015308">
        <w:rPr>
          <w:szCs w:val="26"/>
        </w:rPr>
        <w:t xml:space="preserve"> </w:t>
      </w:r>
      <w:r w:rsidRPr="009D21F6">
        <w:rPr>
          <w:szCs w:val="26"/>
        </w:rPr>
        <w:t>C.S. § 2802(16).</w:t>
      </w:r>
      <w:r>
        <w:rPr>
          <w:szCs w:val="26"/>
        </w:rPr>
        <w:t xml:space="preserve">  Residential and small commercial end-user </w:t>
      </w:r>
      <w:r w:rsidRPr="009D21F6">
        <w:rPr>
          <w:szCs w:val="26"/>
        </w:rPr>
        <w:t xml:space="preserve">customers are provided </w:t>
      </w:r>
      <w:r>
        <w:rPr>
          <w:szCs w:val="26"/>
        </w:rPr>
        <w:t xml:space="preserve">direct </w:t>
      </w:r>
      <w:r w:rsidRPr="009D21F6">
        <w:rPr>
          <w:szCs w:val="26"/>
        </w:rPr>
        <w:t xml:space="preserve">access to the </w:t>
      </w:r>
      <w:r>
        <w:rPr>
          <w:szCs w:val="26"/>
        </w:rPr>
        <w:t xml:space="preserve">wholesale, </w:t>
      </w:r>
      <w:r w:rsidRPr="009D21F6">
        <w:rPr>
          <w:szCs w:val="26"/>
        </w:rPr>
        <w:t>competitive market for the</w:t>
      </w:r>
      <w:r>
        <w:rPr>
          <w:szCs w:val="26"/>
        </w:rPr>
        <w:t xml:space="preserve"> </w:t>
      </w:r>
      <w:r w:rsidRPr="009D21F6">
        <w:rPr>
          <w:szCs w:val="26"/>
        </w:rPr>
        <w:t>purchase of electricity</w:t>
      </w:r>
      <w:r>
        <w:rPr>
          <w:szCs w:val="26"/>
        </w:rPr>
        <w:t xml:space="preserve"> (generation).</w:t>
      </w:r>
      <w:r w:rsidR="00197F14">
        <w:rPr>
          <w:szCs w:val="26"/>
        </w:rPr>
        <w:t xml:space="preserve">  </w:t>
      </w:r>
      <w:r w:rsidR="00197F14" w:rsidRPr="009D21F6">
        <w:rPr>
          <w:szCs w:val="26"/>
        </w:rPr>
        <w:t>66 Pa.</w:t>
      </w:r>
      <w:r w:rsidR="00015308">
        <w:rPr>
          <w:szCs w:val="26"/>
        </w:rPr>
        <w:t xml:space="preserve"> </w:t>
      </w:r>
      <w:r w:rsidR="00197F14" w:rsidRPr="009D21F6">
        <w:rPr>
          <w:szCs w:val="26"/>
        </w:rPr>
        <w:t>C.S. § 2802(12)</w:t>
      </w:r>
      <w:r w:rsidR="00197F14">
        <w:rPr>
          <w:szCs w:val="26"/>
        </w:rPr>
        <w:t>-(13).</w:t>
      </w:r>
      <w:r w:rsidR="009637A1" w:rsidRPr="009637A1">
        <w:rPr>
          <w:rStyle w:val="FootnoteReference"/>
          <w:szCs w:val="26"/>
        </w:rPr>
        <w:t xml:space="preserve"> </w:t>
      </w:r>
      <w:r w:rsidR="007D3372">
        <w:rPr>
          <w:szCs w:val="26"/>
        </w:rPr>
        <w:t xml:space="preserve"> </w:t>
      </w:r>
      <w:r>
        <w:rPr>
          <w:szCs w:val="26"/>
        </w:rPr>
        <w:t>Such end-user access to the wholesale market for electric generation is facilitated by electric generation suppliers</w:t>
      </w:r>
      <w:r w:rsidR="00833DEA">
        <w:rPr>
          <w:szCs w:val="26"/>
        </w:rPr>
        <w:t>,</w:t>
      </w:r>
      <w:r w:rsidR="000F3346">
        <w:rPr>
          <w:szCs w:val="26"/>
        </w:rPr>
        <w:t xml:space="preserve"> </w:t>
      </w:r>
      <w:r w:rsidR="000F3346">
        <w:rPr>
          <w:i/>
          <w:iCs/>
          <w:szCs w:val="26"/>
        </w:rPr>
        <w:t xml:space="preserve">i.e. </w:t>
      </w:r>
      <w:r>
        <w:rPr>
          <w:szCs w:val="26"/>
        </w:rPr>
        <w:t>EGS.</w:t>
      </w:r>
      <w:r w:rsidR="00197F14">
        <w:rPr>
          <w:rStyle w:val="FootnoteReference"/>
        </w:rPr>
        <w:footnoteReference w:id="8"/>
      </w:r>
      <w:r>
        <w:rPr>
          <w:szCs w:val="26"/>
        </w:rPr>
        <w:t xml:space="preserve"> </w:t>
      </w:r>
    </w:p>
    <w:p w14:paraId="03A9BC17" w14:textId="77777777" w:rsidR="000332B4" w:rsidRDefault="000332B4" w:rsidP="000332B4">
      <w:pPr>
        <w:rPr>
          <w:szCs w:val="26"/>
        </w:rPr>
      </w:pPr>
    </w:p>
    <w:p w14:paraId="21A17954" w14:textId="753BBEB5" w:rsidR="00DB054B" w:rsidRDefault="000332B4" w:rsidP="00211ADC">
      <w:pPr>
        <w:rPr>
          <w:szCs w:val="26"/>
        </w:rPr>
      </w:pPr>
      <w:r>
        <w:rPr>
          <w:szCs w:val="26"/>
        </w:rPr>
        <w:t xml:space="preserve">Toward </w:t>
      </w:r>
      <w:r w:rsidR="00DB054B">
        <w:rPr>
          <w:szCs w:val="26"/>
        </w:rPr>
        <w:t xml:space="preserve">accomplishing </w:t>
      </w:r>
      <w:r>
        <w:rPr>
          <w:szCs w:val="26"/>
        </w:rPr>
        <w:t xml:space="preserve">the goals of the Act, the Act provided for a </w:t>
      </w:r>
      <w:r w:rsidRPr="00C701E3">
        <w:rPr>
          <w:szCs w:val="26"/>
        </w:rPr>
        <w:t>transition period</w:t>
      </w:r>
      <w:r w:rsidR="00211ADC">
        <w:rPr>
          <w:szCs w:val="26"/>
        </w:rPr>
        <w:t xml:space="preserve">, </w:t>
      </w:r>
      <w:r w:rsidR="00211ADC">
        <w:rPr>
          <w:i/>
          <w:iCs/>
          <w:szCs w:val="26"/>
        </w:rPr>
        <w:t xml:space="preserve">i.e., </w:t>
      </w:r>
      <w:r w:rsidR="00211ADC" w:rsidRPr="00211ADC">
        <w:rPr>
          <w:szCs w:val="26"/>
        </w:rPr>
        <w:t>restructuring</w:t>
      </w:r>
      <w:r w:rsidR="00450126">
        <w:rPr>
          <w:szCs w:val="26"/>
        </w:rPr>
        <w:t>,</w:t>
      </w:r>
      <w:r w:rsidRPr="00C701E3">
        <w:rPr>
          <w:szCs w:val="26"/>
        </w:rPr>
        <w:t xml:space="preserve"> </w:t>
      </w:r>
      <w:r w:rsidR="00211ADC">
        <w:rPr>
          <w:szCs w:val="26"/>
        </w:rPr>
        <w:t xml:space="preserve">to </w:t>
      </w:r>
      <w:r w:rsidR="00DB054B">
        <w:rPr>
          <w:szCs w:val="26"/>
        </w:rPr>
        <w:t>complete the</w:t>
      </w:r>
      <w:r w:rsidRPr="00C701E3">
        <w:rPr>
          <w:szCs w:val="26"/>
        </w:rPr>
        <w:t xml:space="preserve"> switch from regulation to competition</w:t>
      </w:r>
      <w:r>
        <w:rPr>
          <w:szCs w:val="26"/>
        </w:rPr>
        <w:t>.</w:t>
      </w:r>
      <w:r w:rsidR="00211ADC">
        <w:rPr>
          <w:szCs w:val="26"/>
        </w:rPr>
        <w:t xml:space="preserve">  66 </w:t>
      </w:r>
      <w:r w:rsidR="00DF7743">
        <w:rPr>
          <w:szCs w:val="26"/>
        </w:rPr>
        <w:t>Pa.</w:t>
      </w:r>
      <w:r w:rsidR="00015308">
        <w:rPr>
          <w:szCs w:val="26"/>
        </w:rPr>
        <w:t xml:space="preserve"> </w:t>
      </w:r>
      <w:r w:rsidR="00DF7743">
        <w:rPr>
          <w:szCs w:val="26"/>
        </w:rPr>
        <w:t>C.S. § 2804.</w:t>
      </w:r>
      <w:r w:rsidRPr="00C701E3">
        <w:rPr>
          <w:szCs w:val="26"/>
        </w:rPr>
        <w:t xml:space="preserve"> </w:t>
      </w:r>
      <w:r>
        <w:rPr>
          <w:szCs w:val="26"/>
        </w:rPr>
        <w:t xml:space="preserve"> At the conclusion of the transition</w:t>
      </w:r>
      <w:r w:rsidR="00DB054B">
        <w:rPr>
          <w:szCs w:val="26"/>
        </w:rPr>
        <w:t xml:space="preserve"> period</w:t>
      </w:r>
      <w:r>
        <w:rPr>
          <w:szCs w:val="26"/>
        </w:rPr>
        <w:t>, t</w:t>
      </w:r>
      <w:r w:rsidRPr="00C701E3">
        <w:rPr>
          <w:szCs w:val="26"/>
        </w:rPr>
        <w:t xml:space="preserve">he Act </w:t>
      </w:r>
      <w:r w:rsidR="000F3346">
        <w:rPr>
          <w:szCs w:val="26"/>
        </w:rPr>
        <w:t xml:space="preserve">additionally </w:t>
      </w:r>
      <w:r w:rsidR="002D28DA">
        <w:rPr>
          <w:szCs w:val="26"/>
        </w:rPr>
        <w:t xml:space="preserve">required </w:t>
      </w:r>
      <w:r w:rsidRPr="00C701E3">
        <w:rPr>
          <w:szCs w:val="26"/>
        </w:rPr>
        <w:t xml:space="preserve">that each EDC act as a provider of default service </w:t>
      </w:r>
      <w:r w:rsidR="00D40EAC">
        <w:rPr>
          <w:szCs w:val="26"/>
        </w:rPr>
        <w:t xml:space="preserve">in order </w:t>
      </w:r>
      <w:r w:rsidRPr="00C701E3">
        <w:rPr>
          <w:szCs w:val="26"/>
        </w:rPr>
        <w:t>to</w:t>
      </w:r>
      <w:r w:rsidR="002D28DA">
        <w:rPr>
          <w:szCs w:val="26"/>
        </w:rPr>
        <w:t xml:space="preserve"> supply</w:t>
      </w:r>
      <w:r w:rsidRPr="00C701E3">
        <w:rPr>
          <w:szCs w:val="26"/>
        </w:rPr>
        <w:t xml:space="preserve"> electric generation to customers </w:t>
      </w:r>
      <w:r w:rsidR="002B4A6D">
        <w:rPr>
          <w:szCs w:val="26"/>
        </w:rPr>
        <w:t xml:space="preserve">who do </w:t>
      </w:r>
      <w:r w:rsidRPr="00C701E3">
        <w:rPr>
          <w:szCs w:val="26"/>
        </w:rPr>
        <w:t>not</w:t>
      </w:r>
      <w:r w:rsidR="002B4A6D">
        <w:rPr>
          <w:szCs w:val="26"/>
        </w:rPr>
        <w:t>, for various reasons,</w:t>
      </w:r>
      <w:r w:rsidRPr="00C701E3">
        <w:rPr>
          <w:szCs w:val="26"/>
        </w:rPr>
        <w:t xml:space="preserve"> </w:t>
      </w:r>
      <w:r w:rsidR="002B4A6D">
        <w:rPr>
          <w:szCs w:val="26"/>
        </w:rPr>
        <w:t>obtain generation from an alternative service provider</w:t>
      </w:r>
      <w:r w:rsidR="00E1507B">
        <w:rPr>
          <w:szCs w:val="26"/>
        </w:rPr>
        <w:t xml:space="preserve"> (EGS)</w:t>
      </w:r>
      <w:r w:rsidRPr="00C701E3">
        <w:rPr>
          <w:szCs w:val="26"/>
        </w:rPr>
        <w:t xml:space="preserve">. </w:t>
      </w:r>
      <w:r>
        <w:rPr>
          <w:szCs w:val="26"/>
        </w:rPr>
        <w:t xml:space="preserve"> </w:t>
      </w:r>
      <w:r w:rsidR="00DB054B">
        <w:rPr>
          <w:i/>
          <w:szCs w:val="26"/>
        </w:rPr>
        <w:t xml:space="preserve">See </w:t>
      </w:r>
      <w:r w:rsidR="00DB054B" w:rsidRPr="00C701E3">
        <w:rPr>
          <w:szCs w:val="26"/>
        </w:rPr>
        <w:t>66 Pa.</w:t>
      </w:r>
      <w:r w:rsidR="00015308">
        <w:rPr>
          <w:szCs w:val="26"/>
        </w:rPr>
        <w:t xml:space="preserve"> </w:t>
      </w:r>
      <w:r w:rsidR="00DB054B" w:rsidRPr="00C701E3">
        <w:rPr>
          <w:szCs w:val="26"/>
        </w:rPr>
        <w:t>C.S. § 2807(e</w:t>
      </w:r>
      <w:proofErr w:type="gramStart"/>
      <w:r w:rsidR="00DB054B" w:rsidRPr="00C701E3">
        <w:rPr>
          <w:szCs w:val="26"/>
        </w:rPr>
        <w:t>)</w:t>
      </w:r>
      <w:r w:rsidR="00BD138F">
        <w:rPr>
          <w:szCs w:val="26"/>
        </w:rPr>
        <w:t>(</w:t>
      </w:r>
      <w:proofErr w:type="gramEnd"/>
      <w:r w:rsidR="00BD138F">
        <w:rPr>
          <w:szCs w:val="26"/>
        </w:rPr>
        <w:t>3.1)</w:t>
      </w:r>
      <w:r w:rsidR="00DB054B" w:rsidRPr="00C701E3">
        <w:rPr>
          <w:szCs w:val="26"/>
        </w:rPr>
        <w:t>.</w:t>
      </w:r>
      <w:r w:rsidR="00DB054B">
        <w:rPr>
          <w:i/>
          <w:szCs w:val="26"/>
        </w:rPr>
        <w:t xml:space="preserve">  </w:t>
      </w:r>
      <w:r w:rsidR="00DB054B" w:rsidRPr="00C701E3">
        <w:rPr>
          <w:szCs w:val="26"/>
        </w:rPr>
        <w:t xml:space="preserve">In order to provide </w:t>
      </w:r>
      <w:r w:rsidR="00211ADC">
        <w:rPr>
          <w:szCs w:val="26"/>
        </w:rPr>
        <w:t>default</w:t>
      </w:r>
      <w:r w:rsidR="00DB054B" w:rsidRPr="00C701E3">
        <w:rPr>
          <w:szCs w:val="26"/>
        </w:rPr>
        <w:t xml:space="preserve"> service, the </w:t>
      </w:r>
      <w:r w:rsidR="00DB054B">
        <w:rPr>
          <w:szCs w:val="26"/>
        </w:rPr>
        <w:t>A</w:t>
      </w:r>
      <w:r w:rsidR="00DB054B" w:rsidRPr="00C701E3">
        <w:rPr>
          <w:szCs w:val="26"/>
        </w:rPr>
        <w:t>ct</w:t>
      </w:r>
      <w:r w:rsidR="00DB054B">
        <w:rPr>
          <w:szCs w:val="26"/>
        </w:rPr>
        <w:t xml:space="preserve"> </w:t>
      </w:r>
      <w:r w:rsidR="00DB054B" w:rsidRPr="00C701E3">
        <w:rPr>
          <w:szCs w:val="26"/>
        </w:rPr>
        <w:t xml:space="preserve">required the Commission to promulgate regulations establishing how EDCs would </w:t>
      </w:r>
      <w:r w:rsidR="00DC14C1">
        <w:rPr>
          <w:szCs w:val="26"/>
        </w:rPr>
        <w:t>implement</w:t>
      </w:r>
      <w:r w:rsidR="00DB054B" w:rsidRPr="00C701E3">
        <w:rPr>
          <w:szCs w:val="26"/>
        </w:rPr>
        <w:t xml:space="preserve"> default service.</w:t>
      </w:r>
      <w:r w:rsidR="00DB054B">
        <w:rPr>
          <w:szCs w:val="26"/>
        </w:rPr>
        <w:t xml:space="preserve"> </w:t>
      </w:r>
    </w:p>
    <w:p w14:paraId="4AB83D1E" w14:textId="77777777" w:rsidR="00DB054B" w:rsidRPr="00C701E3" w:rsidRDefault="00DB054B" w:rsidP="00DB054B">
      <w:pPr>
        <w:pStyle w:val="Default"/>
        <w:spacing w:line="360" w:lineRule="auto"/>
        <w:ind w:firstLine="1440"/>
        <w:rPr>
          <w:color w:val="auto"/>
          <w:sz w:val="26"/>
          <w:szCs w:val="26"/>
        </w:rPr>
      </w:pPr>
    </w:p>
    <w:p w14:paraId="190D8B2E" w14:textId="77777777" w:rsidR="00DB054B" w:rsidRDefault="00DB054B" w:rsidP="00DB054B">
      <w:pPr>
        <w:rPr>
          <w:szCs w:val="26"/>
        </w:rPr>
      </w:pPr>
      <w:r w:rsidRPr="00C701E3">
        <w:rPr>
          <w:szCs w:val="26"/>
        </w:rPr>
        <w:t>Pursuant to the Act, the Commission enacted default service regulations, 52</w:t>
      </w:r>
      <w:r>
        <w:rPr>
          <w:szCs w:val="26"/>
        </w:rPr>
        <w:t> </w:t>
      </w:r>
      <w:r w:rsidRPr="00C701E3">
        <w:rPr>
          <w:szCs w:val="26"/>
        </w:rPr>
        <w:t>Pa.</w:t>
      </w:r>
      <w:r>
        <w:rPr>
          <w:szCs w:val="26"/>
        </w:rPr>
        <w:t xml:space="preserve"> </w:t>
      </w:r>
      <w:r w:rsidRPr="00C701E3">
        <w:rPr>
          <w:szCs w:val="26"/>
        </w:rPr>
        <w:t xml:space="preserve">Code §§ 54.181- 54.189, and </w:t>
      </w:r>
      <w:r>
        <w:rPr>
          <w:szCs w:val="26"/>
        </w:rPr>
        <w:t xml:space="preserve">issued </w:t>
      </w:r>
      <w:r w:rsidRPr="00C701E3">
        <w:rPr>
          <w:szCs w:val="26"/>
        </w:rPr>
        <w:t xml:space="preserve">a </w:t>
      </w:r>
      <w:r>
        <w:rPr>
          <w:szCs w:val="26"/>
        </w:rPr>
        <w:t>P</w:t>
      </w:r>
      <w:r w:rsidRPr="00C701E3">
        <w:rPr>
          <w:szCs w:val="26"/>
        </w:rPr>
        <w:t xml:space="preserve">olicy </w:t>
      </w:r>
      <w:r>
        <w:rPr>
          <w:szCs w:val="26"/>
        </w:rPr>
        <w:t>S</w:t>
      </w:r>
      <w:r w:rsidRPr="00C701E3">
        <w:rPr>
          <w:szCs w:val="26"/>
        </w:rPr>
        <w:t>tatement, 52 Pa.</w:t>
      </w:r>
      <w:r>
        <w:rPr>
          <w:szCs w:val="26"/>
        </w:rPr>
        <w:t xml:space="preserve"> </w:t>
      </w:r>
      <w:r w:rsidRPr="00C701E3">
        <w:rPr>
          <w:szCs w:val="26"/>
        </w:rPr>
        <w:t xml:space="preserve">Code §§ 69.1802- 69.1817, </w:t>
      </w:r>
      <w:r w:rsidR="00E75BD9">
        <w:rPr>
          <w:szCs w:val="26"/>
        </w:rPr>
        <w:t>providin</w:t>
      </w:r>
      <w:r w:rsidRPr="00C701E3">
        <w:rPr>
          <w:szCs w:val="26"/>
        </w:rPr>
        <w:t xml:space="preserve">g </w:t>
      </w:r>
      <w:r w:rsidR="00DC14C1">
        <w:rPr>
          <w:szCs w:val="26"/>
        </w:rPr>
        <w:t xml:space="preserve">guidance to </w:t>
      </w:r>
      <w:r>
        <w:rPr>
          <w:szCs w:val="26"/>
        </w:rPr>
        <w:t xml:space="preserve">default service </w:t>
      </w:r>
      <w:r w:rsidR="00E75BD9">
        <w:rPr>
          <w:szCs w:val="26"/>
        </w:rPr>
        <w:t>providers</w:t>
      </w:r>
      <w:r>
        <w:rPr>
          <w:szCs w:val="26"/>
        </w:rPr>
        <w:t xml:space="preserve"> (</w:t>
      </w:r>
      <w:r w:rsidRPr="00C701E3">
        <w:rPr>
          <w:szCs w:val="26"/>
        </w:rPr>
        <w:t>DSPs</w:t>
      </w:r>
      <w:r>
        <w:rPr>
          <w:szCs w:val="26"/>
        </w:rPr>
        <w:t>)</w:t>
      </w:r>
      <w:r w:rsidRPr="00C701E3">
        <w:rPr>
          <w:szCs w:val="26"/>
        </w:rPr>
        <w:t>.</w:t>
      </w:r>
      <w:r>
        <w:rPr>
          <w:szCs w:val="26"/>
        </w:rPr>
        <w:t xml:space="preserve">  Pursuant to 52 Pa. Code § 5.183(a), t</w:t>
      </w:r>
      <w:r w:rsidRPr="00B31B8D">
        <w:rPr>
          <w:szCs w:val="26"/>
        </w:rPr>
        <w:t xml:space="preserve">he DSP </w:t>
      </w:r>
      <w:r>
        <w:rPr>
          <w:szCs w:val="26"/>
        </w:rPr>
        <w:t>is</w:t>
      </w:r>
      <w:r w:rsidRPr="00B31B8D">
        <w:rPr>
          <w:szCs w:val="26"/>
        </w:rPr>
        <w:t xml:space="preserve"> the incumbent EDC in each certificated service territory, except as provided for under subsection (b)</w:t>
      </w:r>
      <w:r>
        <w:rPr>
          <w:szCs w:val="26"/>
        </w:rPr>
        <w:t xml:space="preserve"> of the </w:t>
      </w:r>
      <w:r w:rsidR="000F3346">
        <w:rPr>
          <w:szCs w:val="26"/>
        </w:rPr>
        <w:t>R</w:t>
      </w:r>
      <w:r>
        <w:rPr>
          <w:szCs w:val="26"/>
        </w:rPr>
        <w:t>egulation</w:t>
      </w:r>
      <w:r w:rsidRPr="00B31B8D">
        <w:rPr>
          <w:szCs w:val="26"/>
        </w:rPr>
        <w:t>.</w:t>
      </w:r>
    </w:p>
    <w:p w14:paraId="37A1310A" w14:textId="77777777" w:rsidR="00DB054B" w:rsidRDefault="00DB054B" w:rsidP="00DD0195">
      <w:pPr>
        <w:rPr>
          <w:szCs w:val="26"/>
        </w:rPr>
      </w:pPr>
    </w:p>
    <w:p w14:paraId="3DE3117E" w14:textId="3E3F7BF8" w:rsidR="00E75BD9" w:rsidRDefault="00DB054B" w:rsidP="00E75BD9">
      <w:pPr>
        <w:rPr>
          <w:szCs w:val="26"/>
        </w:rPr>
      </w:pPr>
      <w:r w:rsidRPr="00C701E3">
        <w:rPr>
          <w:szCs w:val="26"/>
        </w:rPr>
        <w:lastRenderedPageBreak/>
        <w:t xml:space="preserve">The </w:t>
      </w:r>
      <w:r>
        <w:rPr>
          <w:szCs w:val="26"/>
        </w:rPr>
        <w:t xml:space="preserve">DSP </w:t>
      </w:r>
      <w:r w:rsidRPr="00C701E3">
        <w:rPr>
          <w:szCs w:val="26"/>
        </w:rPr>
        <w:t xml:space="preserve">regulations became effective in 2007 and </w:t>
      </w:r>
      <w:r w:rsidR="009637A1">
        <w:rPr>
          <w:szCs w:val="26"/>
        </w:rPr>
        <w:t>were</w:t>
      </w:r>
      <w:r w:rsidRPr="00C701E3">
        <w:rPr>
          <w:szCs w:val="26"/>
        </w:rPr>
        <w:t xml:space="preserve"> </w:t>
      </w:r>
      <w:r w:rsidR="00EC63A7">
        <w:rPr>
          <w:szCs w:val="26"/>
        </w:rPr>
        <w:t xml:space="preserve">later </w:t>
      </w:r>
      <w:r w:rsidR="00F92C17">
        <w:rPr>
          <w:szCs w:val="26"/>
        </w:rPr>
        <w:t>revised</w:t>
      </w:r>
      <w:r w:rsidRPr="00C701E3">
        <w:rPr>
          <w:szCs w:val="26"/>
        </w:rPr>
        <w:t xml:space="preserve"> to incorporate the amendments to the Act by Act 129.</w:t>
      </w:r>
      <w:r>
        <w:rPr>
          <w:szCs w:val="26"/>
        </w:rPr>
        <w:t xml:space="preserve">  </w:t>
      </w:r>
      <w:r>
        <w:rPr>
          <w:i/>
          <w:szCs w:val="26"/>
        </w:rPr>
        <w:t>See</w:t>
      </w:r>
      <w:r w:rsidRPr="00C701E3">
        <w:rPr>
          <w:szCs w:val="26"/>
        </w:rPr>
        <w:t xml:space="preserve"> </w:t>
      </w:r>
      <w:r w:rsidRPr="0046342E">
        <w:rPr>
          <w:i/>
          <w:szCs w:val="26"/>
        </w:rPr>
        <w:t>Implementation of Act 129 of October 15, 2008</w:t>
      </w:r>
      <w:r w:rsidRPr="00C701E3">
        <w:rPr>
          <w:szCs w:val="26"/>
        </w:rPr>
        <w:t xml:space="preserve">; </w:t>
      </w:r>
      <w:r w:rsidRPr="0046342E">
        <w:rPr>
          <w:i/>
          <w:szCs w:val="26"/>
        </w:rPr>
        <w:t>Default Service And Retail Electric Markets</w:t>
      </w:r>
      <w:r w:rsidRPr="00C701E3">
        <w:rPr>
          <w:szCs w:val="26"/>
        </w:rPr>
        <w:t>, Docket No. L</w:t>
      </w:r>
      <w:r w:rsidR="00015308">
        <w:rPr>
          <w:szCs w:val="26"/>
        </w:rPr>
        <w:noBreakHyphen/>
      </w:r>
      <w:r w:rsidRPr="00C701E3">
        <w:rPr>
          <w:szCs w:val="26"/>
        </w:rPr>
        <w:t>2009</w:t>
      </w:r>
      <w:r w:rsidR="00015308">
        <w:rPr>
          <w:szCs w:val="26"/>
        </w:rPr>
        <w:noBreakHyphen/>
      </w:r>
      <w:r w:rsidRPr="00C701E3">
        <w:rPr>
          <w:szCs w:val="26"/>
        </w:rPr>
        <w:t>2095604 (Final Rulemaking Order entered October 4, 2011) (</w:t>
      </w:r>
      <w:r w:rsidRPr="0046342E">
        <w:rPr>
          <w:i/>
          <w:szCs w:val="26"/>
        </w:rPr>
        <w:t>Act 129 Final Rulemaking Order</w:t>
      </w:r>
      <w:r w:rsidRPr="00C701E3">
        <w:rPr>
          <w:szCs w:val="26"/>
        </w:rPr>
        <w:t>)</w:t>
      </w:r>
      <w:r w:rsidR="00DD0195">
        <w:rPr>
          <w:szCs w:val="26"/>
        </w:rPr>
        <w:t>.</w:t>
      </w:r>
      <w:r w:rsidR="00E1507B" w:rsidRPr="00E1507B">
        <w:rPr>
          <w:rStyle w:val="FootnoteReference"/>
          <w:szCs w:val="26"/>
        </w:rPr>
        <w:t xml:space="preserve"> </w:t>
      </w:r>
      <w:r w:rsidR="00E1507B">
        <w:rPr>
          <w:rStyle w:val="FootnoteReference"/>
          <w:szCs w:val="26"/>
        </w:rPr>
        <w:footnoteReference w:id="9"/>
      </w:r>
    </w:p>
    <w:p w14:paraId="2483C046" w14:textId="77777777" w:rsidR="00015308" w:rsidRDefault="00015308" w:rsidP="00E75BD9">
      <w:pPr>
        <w:rPr>
          <w:szCs w:val="26"/>
        </w:rPr>
      </w:pPr>
    </w:p>
    <w:p w14:paraId="4B22E5D7" w14:textId="542A29C6" w:rsidR="00197F14" w:rsidRDefault="00734171" w:rsidP="00197F14">
      <w:pPr>
        <w:rPr>
          <w:szCs w:val="26"/>
        </w:rPr>
      </w:pPr>
      <w:r w:rsidRPr="00A818F1">
        <w:rPr>
          <w:szCs w:val="26"/>
        </w:rPr>
        <w:t xml:space="preserve">On November 3, 2015, </w:t>
      </w:r>
      <w:proofErr w:type="spellStart"/>
      <w:r w:rsidRPr="00A818F1">
        <w:rPr>
          <w:szCs w:val="26"/>
        </w:rPr>
        <w:t>Penelec</w:t>
      </w:r>
      <w:proofErr w:type="spellEnd"/>
      <w:r w:rsidRPr="00A818F1">
        <w:rPr>
          <w:szCs w:val="26"/>
        </w:rPr>
        <w:t xml:space="preserve">, West Penn and their other Pennsylvania affiliates filed </w:t>
      </w:r>
      <w:r>
        <w:rPr>
          <w:szCs w:val="26"/>
        </w:rPr>
        <w:t>a</w:t>
      </w:r>
      <w:r w:rsidRPr="00A818F1">
        <w:rPr>
          <w:szCs w:val="26"/>
        </w:rPr>
        <w:t xml:space="preserve"> DSP IV Joint Petition</w:t>
      </w:r>
      <w:r w:rsidR="001D7EE6">
        <w:rPr>
          <w:rStyle w:val="FootnoteReference"/>
          <w:szCs w:val="26"/>
        </w:rPr>
        <w:footnoteReference w:id="10"/>
      </w:r>
      <w:r w:rsidRPr="00A818F1">
        <w:rPr>
          <w:szCs w:val="26"/>
        </w:rPr>
        <w:t xml:space="preserve"> which included revisions to their POR programs</w:t>
      </w:r>
      <w:r w:rsidR="00450126">
        <w:rPr>
          <w:szCs w:val="26"/>
        </w:rPr>
        <w:t xml:space="preserve"> (</w:t>
      </w:r>
      <w:r w:rsidR="0056290C">
        <w:rPr>
          <w:szCs w:val="26"/>
        </w:rPr>
        <w:t xml:space="preserve">DSP IV </w:t>
      </w:r>
      <w:r w:rsidR="00451509">
        <w:rPr>
          <w:szCs w:val="26"/>
        </w:rPr>
        <w:t xml:space="preserve">Joint </w:t>
      </w:r>
      <w:r w:rsidR="00450126">
        <w:rPr>
          <w:szCs w:val="26"/>
        </w:rPr>
        <w:t>Petition)</w:t>
      </w:r>
      <w:r w:rsidRPr="00A818F1">
        <w:rPr>
          <w:szCs w:val="26"/>
        </w:rPr>
        <w:t xml:space="preserve">.  </w:t>
      </w:r>
      <w:r>
        <w:rPr>
          <w:i/>
          <w:iCs/>
          <w:szCs w:val="26"/>
        </w:rPr>
        <w:t xml:space="preserve">June 2019 Order </w:t>
      </w:r>
      <w:r>
        <w:rPr>
          <w:szCs w:val="26"/>
        </w:rPr>
        <w:t xml:space="preserve">at 12, citing </w:t>
      </w:r>
      <w:r w:rsidRPr="00A818F1">
        <w:rPr>
          <w:szCs w:val="26"/>
        </w:rPr>
        <w:t xml:space="preserve">Companies St. </w:t>
      </w:r>
      <w:r w:rsidR="005C7AB2">
        <w:rPr>
          <w:szCs w:val="26"/>
        </w:rPr>
        <w:t xml:space="preserve">No. </w:t>
      </w:r>
      <w:r w:rsidRPr="00A818F1">
        <w:rPr>
          <w:szCs w:val="26"/>
        </w:rPr>
        <w:t>1 at 13.</w:t>
      </w:r>
      <w:r w:rsidR="00F7645F">
        <w:rPr>
          <w:szCs w:val="26"/>
        </w:rPr>
        <w:t xml:space="preserve">  As noted in the </w:t>
      </w:r>
      <w:r w:rsidR="00F7645F">
        <w:rPr>
          <w:i/>
          <w:iCs/>
          <w:szCs w:val="26"/>
        </w:rPr>
        <w:t>June 2019 Order</w:t>
      </w:r>
      <w:r w:rsidR="00713EFA">
        <w:rPr>
          <w:szCs w:val="26"/>
        </w:rPr>
        <w:t xml:space="preserve"> and </w:t>
      </w:r>
      <w:r w:rsidR="00F7645F">
        <w:rPr>
          <w:szCs w:val="26"/>
        </w:rPr>
        <w:t xml:space="preserve">pursuant to Commission Regulations, notice of the filing was published in the </w:t>
      </w:r>
      <w:r w:rsidR="00F7645F">
        <w:rPr>
          <w:i/>
          <w:iCs/>
          <w:szCs w:val="26"/>
        </w:rPr>
        <w:t>Pennsylvania Bulletin</w:t>
      </w:r>
      <w:r w:rsidR="00252BEC">
        <w:rPr>
          <w:szCs w:val="26"/>
        </w:rPr>
        <w:t>.</w:t>
      </w:r>
      <w:r w:rsidR="003819F3">
        <w:rPr>
          <w:rStyle w:val="FootnoteReference"/>
          <w:szCs w:val="26"/>
        </w:rPr>
        <w:footnoteReference w:id="11"/>
      </w:r>
      <w:r w:rsidR="00F7645F">
        <w:rPr>
          <w:szCs w:val="26"/>
        </w:rPr>
        <w:t xml:space="preserve"> </w:t>
      </w:r>
      <w:r w:rsidR="00252BEC">
        <w:rPr>
          <w:szCs w:val="26"/>
        </w:rPr>
        <w:t xml:space="preserve"> </w:t>
      </w:r>
      <w:r w:rsidR="00F7645F" w:rsidRPr="00F7645F">
        <w:rPr>
          <w:szCs w:val="26"/>
        </w:rPr>
        <w:t xml:space="preserve"> </w:t>
      </w:r>
      <w:r w:rsidR="0056290C">
        <w:rPr>
          <w:szCs w:val="26"/>
        </w:rPr>
        <w:t>T</w:t>
      </w:r>
      <w:r w:rsidR="00197F14">
        <w:rPr>
          <w:szCs w:val="26"/>
        </w:rPr>
        <w:t xml:space="preserve">he </w:t>
      </w:r>
      <w:r w:rsidR="0056290C">
        <w:rPr>
          <w:szCs w:val="26"/>
        </w:rPr>
        <w:t xml:space="preserve">DSP IV </w:t>
      </w:r>
      <w:r w:rsidR="00451509">
        <w:rPr>
          <w:szCs w:val="26"/>
        </w:rPr>
        <w:t xml:space="preserve">Joint </w:t>
      </w:r>
      <w:r w:rsidR="00197F14">
        <w:rPr>
          <w:szCs w:val="26"/>
        </w:rPr>
        <w:t xml:space="preserve">Petition was </w:t>
      </w:r>
      <w:r w:rsidR="00F7645F" w:rsidRPr="00F7645F">
        <w:rPr>
          <w:szCs w:val="26"/>
        </w:rPr>
        <w:t>served upon all EGSs licensed to sell electric generation in the service territories of the Companies</w:t>
      </w:r>
      <w:r w:rsidR="00F7645F">
        <w:rPr>
          <w:szCs w:val="26"/>
        </w:rPr>
        <w:t>, which</w:t>
      </w:r>
      <w:r w:rsidR="00F7645F" w:rsidRPr="00F7645F">
        <w:rPr>
          <w:szCs w:val="26"/>
        </w:rPr>
        <w:t xml:space="preserve"> includ</w:t>
      </w:r>
      <w:r w:rsidR="00F7645F">
        <w:rPr>
          <w:szCs w:val="26"/>
        </w:rPr>
        <w:t>ed</w:t>
      </w:r>
      <w:r w:rsidR="00F7645F" w:rsidRPr="00F7645F">
        <w:rPr>
          <w:szCs w:val="26"/>
        </w:rPr>
        <w:t xml:space="preserve"> Respond.</w:t>
      </w:r>
      <w:r w:rsidR="00F7645F">
        <w:rPr>
          <w:szCs w:val="26"/>
        </w:rPr>
        <w:t xml:space="preserve">  </w:t>
      </w:r>
      <w:r w:rsidR="00F7645F">
        <w:rPr>
          <w:i/>
          <w:iCs/>
          <w:szCs w:val="26"/>
        </w:rPr>
        <w:t>June 2019 Order</w:t>
      </w:r>
      <w:r w:rsidR="00F7645F">
        <w:rPr>
          <w:szCs w:val="26"/>
        </w:rPr>
        <w:t xml:space="preserve"> at 12.</w:t>
      </w:r>
    </w:p>
    <w:p w14:paraId="14D8457F" w14:textId="77777777" w:rsidR="00197F14" w:rsidRDefault="00197F14" w:rsidP="00197F14">
      <w:pPr>
        <w:rPr>
          <w:szCs w:val="26"/>
        </w:rPr>
      </w:pPr>
    </w:p>
    <w:p w14:paraId="47EECB30" w14:textId="784762CD" w:rsidR="00734171" w:rsidRDefault="00734171" w:rsidP="00197F14">
      <w:pPr>
        <w:rPr>
          <w:szCs w:val="26"/>
        </w:rPr>
      </w:pPr>
      <w:r w:rsidRPr="00A818F1">
        <w:rPr>
          <w:szCs w:val="26"/>
        </w:rPr>
        <w:t>The Companies proposed the addition of a</w:t>
      </w:r>
      <w:r w:rsidR="00781D8F">
        <w:rPr>
          <w:szCs w:val="26"/>
        </w:rPr>
        <w:t xml:space="preserve"> so-called</w:t>
      </w:r>
      <w:r w:rsidRPr="00A818F1">
        <w:rPr>
          <w:szCs w:val="26"/>
        </w:rPr>
        <w:t xml:space="preserve"> </w:t>
      </w:r>
      <w:r w:rsidR="00781D8F">
        <w:rPr>
          <w:szCs w:val="26"/>
        </w:rPr>
        <w:t>‘</w:t>
      </w:r>
      <w:proofErr w:type="spellStart"/>
      <w:r w:rsidRPr="00A818F1">
        <w:rPr>
          <w:szCs w:val="26"/>
        </w:rPr>
        <w:t>clawback</w:t>
      </w:r>
      <w:proofErr w:type="spellEnd"/>
      <w:r w:rsidR="00781D8F">
        <w:rPr>
          <w:szCs w:val="26"/>
        </w:rPr>
        <w:t>’</w:t>
      </w:r>
      <w:r w:rsidRPr="00A818F1">
        <w:rPr>
          <w:szCs w:val="26"/>
        </w:rPr>
        <w:t xml:space="preserve"> provision to their POR programs in the DSP IV</w:t>
      </w:r>
      <w:r w:rsidR="0056290C">
        <w:rPr>
          <w:szCs w:val="26"/>
        </w:rPr>
        <w:t xml:space="preserve"> </w:t>
      </w:r>
      <w:r w:rsidR="00451509">
        <w:rPr>
          <w:szCs w:val="26"/>
        </w:rPr>
        <w:t xml:space="preserve">Joint </w:t>
      </w:r>
      <w:r w:rsidR="0056290C">
        <w:rPr>
          <w:szCs w:val="26"/>
        </w:rPr>
        <w:t>Petition</w:t>
      </w:r>
      <w:r w:rsidR="00451509">
        <w:rPr>
          <w:szCs w:val="26"/>
        </w:rPr>
        <w:t xml:space="preserve"> proceedings</w:t>
      </w:r>
      <w:r>
        <w:rPr>
          <w:szCs w:val="26"/>
        </w:rPr>
        <w:t>.  The revision was proposed in order</w:t>
      </w:r>
      <w:r w:rsidRPr="00A818F1">
        <w:rPr>
          <w:szCs w:val="26"/>
        </w:rPr>
        <w:t xml:space="preserve"> to reduce the</w:t>
      </w:r>
      <w:r>
        <w:rPr>
          <w:szCs w:val="26"/>
        </w:rPr>
        <w:t xml:space="preserve"> Companies’</w:t>
      </w:r>
      <w:r w:rsidRPr="00A818F1">
        <w:rPr>
          <w:szCs w:val="26"/>
        </w:rPr>
        <w:t xml:space="preserve"> exposure </w:t>
      </w:r>
      <w:r>
        <w:rPr>
          <w:szCs w:val="26"/>
        </w:rPr>
        <w:t>(</w:t>
      </w:r>
      <w:r w:rsidRPr="00A818F1">
        <w:rPr>
          <w:szCs w:val="26"/>
        </w:rPr>
        <w:t>and their customers’ exposure</w:t>
      </w:r>
      <w:r>
        <w:rPr>
          <w:szCs w:val="26"/>
        </w:rPr>
        <w:t>)</w:t>
      </w:r>
      <w:r w:rsidRPr="00A818F1">
        <w:rPr>
          <w:szCs w:val="26"/>
        </w:rPr>
        <w:t xml:space="preserve"> to </w:t>
      </w:r>
      <w:r w:rsidRPr="00A818F1">
        <w:rPr>
          <w:szCs w:val="26"/>
        </w:rPr>
        <w:lastRenderedPageBreak/>
        <w:t>increased uncollectible expenses due to excessive EGS write-offs.</w:t>
      </w:r>
      <w:r>
        <w:rPr>
          <w:szCs w:val="26"/>
        </w:rPr>
        <w:t xml:space="preserve">  </w:t>
      </w:r>
      <w:r>
        <w:rPr>
          <w:i/>
          <w:iCs/>
          <w:szCs w:val="26"/>
        </w:rPr>
        <w:t xml:space="preserve">June 2019 Order </w:t>
      </w:r>
      <w:r>
        <w:rPr>
          <w:szCs w:val="26"/>
        </w:rPr>
        <w:t>at</w:t>
      </w:r>
      <w:r w:rsidR="00015308">
        <w:rPr>
          <w:szCs w:val="26"/>
        </w:rPr>
        <w:t> </w:t>
      </w:r>
      <w:r>
        <w:rPr>
          <w:szCs w:val="26"/>
        </w:rPr>
        <w:t xml:space="preserve">12.  The rationale and application of the </w:t>
      </w:r>
      <w:proofErr w:type="spellStart"/>
      <w:r>
        <w:rPr>
          <w:szCs w:val="26"/>
        </w:rPr>
        <w:t>clawback</w:t>
      </w:r>
      <w:proofErr w:type="spellEnd"/>
      <w:r>
        <w:rPr>
          <w:szCs w:val="26"/>
        </w:rPr>
        <w:t xml:space="preserve"> provision was explained, in pertinent part, as follows:</w:t>
      </w:r>
    </w:p>
    <w:p w14:paraId="2EF5D72A" w14:textId="77777777" w:rsidR="00734171" w:rsidRPr="00BF10CD" w:rsidRDefault="00734171" w:rsidP="00734171">
      <w:pPr>
        <w:spacing w:line="240" w:lineRule="auto"/>
        <w:ind w:right="1440" w:firstLine="0"/>
        <w:rPr>
          <w:szCs w:val="26"/>
        </w:rPr>
      </w:pPr>
    </w:p>
    <w:p w14:paraId="284C4139" w14:textId="77777777" w:rsidR="00734171" w:rsidRPr="00BF10CD" w:rsidRDefault="00734171" w:rsidP="00734171">
      <w:pPr>
        <w:spacing w:line="240" w:lineRule="auto"/>
        <w:ind w:left="1440" w:right="1440" w:firstLine="720"/>
        <w:rPr>
          <w:i/>
          <w:szCs w:val="26"/>
        </w:rPr>
      </w:pPr>
      <w:r w:rsidRPr="00767FBF">
        <w:rPr>
          <w:szCs w:val="26"/>
        </w:rPr>
        <w:t xml:space="preserve">Accordingly, the modified proposal for settlement of the POR program contained two prongs for the </w:t>
      </w:r>
      <w:proofErr w:type="spellStart"/>
      <w:r w:rsidRPr="00767FBF">
        <w:rPr>
          <w:szCs w:val="26"/>
        </w:rPr>
        <w:t>clawback</w:t>
      </w:r>
      <w:proofErr w:type="spellEnd"/>
      <w:r w:rsidRPr="00767FBF">
        <w:rPr>
          <w:szCs w:val="26"/>
        </w:rPr>
        <w:t xml:space="preserve"> test.  First, the write-off threshold was raised from a proposed 150% to 200% of the average write-off percentage of the average of all EGSs.  Second, if an EGS had an average write-off percentage of more than 200% of the average for all EGSs, it would not be subject to the </w:t>
      </w:r>
      <w:proofErr w:type="spellStart"/>
      <w:r w:rsidRPr="00767FBF">
        <w:rPr>
          <w:szCs w:val="26"/>
        </w:rPr>
        <w:t>clawback</w:t>
      </w:r>
      <w:proofErr w:type="spellEnd"/>
      <w:r w:rsidRPr="00767FBF">
        <w:rPr>
          <w:szCs w:val="26"/>
        </w:rPr>
        <w:t xml:space="preserve"> charge unless during the review period, the average price it charged customers for generation was more than 150% of the applicable company’s Price-to-Compare (PTC) for the same period.  </w:t>
      </w:r>
      <w:r w:rsidRPr="00767FBF">
        <w:rPr>
          <w:i/>
          <w:szCs w:val="26"/>
        </w:rPr>
        <w:t>Id.</w:t>
      </w:r>
      <w:r w:rsidRPr="00767FBF">
        <w:rPr>
          <w:szCs w:val="26"/>
        </w:rPr>
        <w:t xml:space="preserve"> at 17.  Hence, the </w:t>
      </w:r>
      <w:proofErr w:type="spellStart"/>
      <w:r w:rsidRPr="00767FBF">
        <w:rPr>
          <w:szCs w:val="26"/>
        </w:rPr>
        <w:t>clawback</w:t>
      </w:r>
      <w:proofErr w:type="spellEnd"/>
      <w:r w:rsidRPr="00767FBF">
        <w:rPr>
          <w:szCs w:val="26"/>
        </w:rPr>
        <w:t xml:space="preserve"> provisions impose a charge on EGSs that participate in </w:t>
      </w:r>
      <w:proofErr w:type="spellStart"/>
      <w:r w:rsidRPr="00767FBF">
        <w:rPr>
          <w:szCs w:val="26"/>
        </w:rPr>
        <w:t>Penelec’s</w:t>
      </w:r>
      <w:proofErr w:type="spellEnd"/>
      <w:r w:rsidRPr="00767FBF">
        <w:rPr>
          <w:szCs w:val="26"/>
        </w:rPr>
        <w:t xml:space="preserve"> and West Penn’s POR program.  Companies’ St.1 at 2.  More importantly, if the operations of the EGS result in: (1) their accounts receivable producing a write-off percentage (write-offs for non-payment as a percentage of revenues) that exceeds 200% of the Companies’ average EGS write-off percentage; and; (2) their charged price for generation service, on average exceeds 150% of the Companies’ PTC, the Companies will impose the </w:t>
      </w:r>
      <w:proofErr w:type="spellStart"/>
      <w:r w:rsidRPr="00767FBF">
        <w:rPr>
          <w:szCs w:val="26"/>
        </w:rPr>
        <w:t>clawback</w:t>
      </w:r>
      <w:proofErr w:type="spellEnd"/>
      <w:r w:rsidRPr="00767FBF">
        <w:rPr>
          <w:szCs w:val="26"/>
        </w:rPr>
        <w:t xml:space="preserve"> charge.  </w:t>
      </w:r>
      <w:r w:rsidRPr="00767FBF">
        <w:rPr>
          <w:i/>
          <w:szCs w:val="26"/>
        </w:rPr>
        <w:t>Id.</w:t>
      </w:r>
      <w:r w:rsidRPr="00767FBF">
        <w:rPr>
          <w:szCs w:val="26"/>
        </w:rPr>
        <w:t>; DSP IV Settlement at 18-20.</w:t>
      </w:r>
    </w:p>
    <w:p w14:paraId="106EEED1" w14:textId="77777777" w:rsidR="00734171" w:rsidRDefault="00734171" w:rsidP="00734171">
      <w:pPr>
        <w:pStyle w:val="FootnoteText"/>
        <w:keepNext/>
        <w:keepLines/>
        <w:spacing w:line="360" w:lineRule="auto"/>
        <w:ind w:firstLine="0"/>
        <w:rPr>
          <w:i/>
          <w:iCs/>
          <w:sz w:val="26"/>
          <w:szCs w:val="26"/>
        </w:rPr>
      </w:pPr>
    </w:p>
    <w:p w14:paraId="0ACC89DE" w14:textId="77777777" w:rsidR="00734171" w:rsidRDefault="00734171" w:rsidP="00734171">
      <w:pPr>
        <w:pStyle w:val="FootnoteText"/>
        <w:keepNext/>
        <w:keepLines/>
        <w:spacing w:line="360" w:lineRule="auto"/>
        <w:ind w:firstLine="0"/>
        <w:rPr>
          <w:sz w:val="26"/>
          <w:szCs w:val="26"/>
        </w:rPr>
      </w:pPr>
      <w:r>
        <w:rPr>
          <w:i/>
          <w:iCs/>
          <w:sz w:val="26"/>
          <w:szCs w:val="26"/>
        </w:rPr>
        <w:t xml:space="preserve">June 2019 Order </w:t>
      </w:r>
      <w:r>
        <w:rPr>
          <w:sz w:val="26"/>
          <w:szCs w:val="26"/>
        </w:rPr>
        <w:t>at 13-14.</w:t>
      </w:r>
      <w:r w:rsidR="008573CD" w:rsidRPr="008573CD">
        <w:rPr>
          <w:rStyle w:val="FootnoteReference"/>
          <w:szCs w:val="26"/>
        </w:rPr>
        <w:t xml:space="preserve"> </w:t>
      </w:r>
      <w:r w:rsidR="008573CD">
        <w:rPr>
          <w:rStyle w:val="FootnoteReference"/>
          <w:szCs w:val="26"/>
        </w:rPr>
        <w:footnoteReference w:id="12"/>
      </w:r>
    </w:p>
    <w:p w14:paraId="63D1B721" w14:textId="77777777" w:rsidR="00734171" w:rsidRDefault="00734171" w:rsidP="008F0C04">
      <w:pPr>
        <w:ind w:firstLine="0"/>
        <w:rPr>
          <w:szCs w:val="26"/>
        </w:rPr>
      </w:pPr>
    </w:p>
    <w:p w14:paraId="7F6B50A4" w14:textId="076D3285" w:rsidR="007D3372" w:rsidRDefault="00781D8F" w:rsidP="007D3372">
      <w:pPr>
        <w:rPr>
          <w:szCs w:val="26"/>
        </w:rPr>
      </w:pPr>
      <w:r>
        <w:rPr>
          <w:szCs w:val="26"/>
        </w:rPr>
        <w:t xml:space="preserve">As noted, </w:t>
      </w:r>
      <w:r w:rsidR="008F0C04">
        <w:rPr>
          <w:szCs w:val="26"/>
        </w:rPr>
        <w:t>Respond is an EGS licensed by the Commission to provide EGS service to residential, small commercial, and large commercial customers</w:t>
      </w:r>
      <w:r w:rsidR="007D3372">
        <w:rPr>
          <w:szCs w:val="26"/>
        </w:rPr>
        <w:t xml:space="preserve"> in the</w:t>
      </w:r>
      <w:r w:rsidR="009637A1">
        <w:rPr>
          <w:szCs w:val="26"/>
        </w:rPr>
        <w:t xml:space="preserve"> service </w:t>
      </w:r>
      <w:r w:rsidR="009637A1">
        <w:rPr>
          <w:szCs w:val="26"/>
        </w:rPr>
        <w:lastRenderedPageBreak/>
        <w:t xml:space="preserve">territories of </w:t>
      </w:r>
      <w:proofErr w:type="spellStart"/>
      <w:r w:rsidR="008F0C04">
        <w:rPr>
          <w:szCs w:val="26"/>
        </w:rPr>
        <w:t>Penelec</w:t>
      </w:r>
      <w:proofErr w:type="spellEnd"/>
      <w:r w:rsidR="008F0C04">
        <w:rPr>
          <w:szCs w:val="26"/>
        </w:rPr>
        <w:t xml:space="preserve"> and West Penn.</w:t>
      </w:r>
      <w:r w:rsidR="00F7645F">
        <w:rPr>
          <w:rStyle w:val="FootnoteReference"/>
          <w:szCs w:val="26"/>
        </w:rPr>
        <w:footnoteReference w:id="13"/>
      </w:r>
      <w:r w:rsidR="00F7645F">
        <w:rPr>
          <w:rStyle w:val="FootnoteReference"/>
          <w:szCs w:val="26"/>
        </w:rPr>
        <w:t xml:space="preserve"> </w:t>
      </w:r>
      <w:r w:rsidR="00296D0F">
        <w:rPr>
          <w:szCs w:val="26"/>
        </w:rPr>
        <w:t xml:space="preserve"> </w:t>
      </w:r>
      <w:r w:rsidR="008F0C04">
        <w:rPr>
          <w:szCs w:val="26"/>
        </w:rPr>
        <w:t xml:space="preserve"> </w:t>
      </w:r>
      <w:r w:rsidR="00F7645F">
        <w:rPr>
          <w:szCs w:val="26"/>
        </w:rPr>
        <w:t>S</w:t>
      </w:r>
      <w:r w:rsidR="007D3372">
        <w:rPr>
          <w:szCs w:val="26"/>
        </w:rPr>
        <w:t xml:space="preserve">ince 2013, Respond </w:t>
      </w:r>
      <w:r w:rsidR="00734171">
        <w:rPr>
          <w:szCs w:val="26"/>
        </w:rPr>
        <w:t>was</w:t>
      </w:r>
      <w:r w:rsidR="007D3372">
        <w:rPr>
          <w:szCs w:val="26"/>
        </w:rPr>
        <w:t xml:space="preserve"> </w:t>
      </w:r>
      <w:r w:rsidR="00E75BD9">
        <w:rPr>
          <w:szCs w:val="26"/>
        </w:rPr>
        <w:t xml:space="preserve">a </w:t>
      </w:r>
      <w:r w:rsidR="005C7AB2">
        <w:rPr>
          <w:szCs w:val="26"/>
        </w:rPr>
        <w:t>voluntary</w:t>
      </w:r>
      <w:r w:rsidR="001E11E6">
        <w:rPr>
          <w:rStyle w:val="FootnoteReference"/>
          <w:szCs w:val="26"/>
        </w:rPr>
        <w:footnoteReference w:id="14"/>
      </w:r>
      <w:r w:rsidR="001E11E6">
        <w:rPr>
          <w:szCs w:val="26"/>
        </w:rPr>
        <w:t xml:space="preserve"> </w:t>
      </w:r>
      <w:r w:rsidR="005C7AB2">
        <w:rPr>
          <w:szCs w:val="26"/>
        </w:rPr>
        <w:t xml:space="preserve"> </w:t>
      </w:r>
      <w:r w:rsidR="007D3372">
        <w:rPr>
          <w:szCs w:val="26"/>
        </w:rPr>
        <w:t>participa</w:t>
      </w:r>
      <w:r w:rsidR="00734171">
        <w:rPr>
          <w:szCs w:val="26"/>
        </w:rPr>
        <w:t>nt</w:t>
      </w:r>
      <w:r w:rsidR="007D3372">
        <w:rPr>
          <w:szCs w:val="26"/>
        </w:rPr>
        <w:t xml:space="preserve"> in the Companies’ POR programs that </w:t>
      </w:r>
      <w:r w:rsidR="00734171">
        <w:rPr>
          <w:szCs w:val="26"/>
        </w:rPr>
        <w:t>were</w:t>
      </w:r>
      <w:r w:rsidR="007D3372">
        <w:rPr>
          <w:szCs w:val="26"/>
        </w:rPr>
        <w:t xml:space="preserve"> implemented through their Default Service Plans</w:t>
      </w:r>
      <w:r w:rsidR="001D7EE6">
        <w:rPr>
          <w:szCs w:val="26"/>
        </w:rPr>
        <w:t xml:space="preserve"> (DSP)</w:t>
      </w:r>
      <w:r w:rsidR="007D3372">
        <w:rPr>
          <w:szCs w:val="26"/>
        </w:rPr>
        <w:t xml:space="preserve">.  </w:t>
      </w:r>
      <w:r w:rsidR="007D3372">
        <w:rPr>
          <w:i/>
          <w:iCs/>
          <w:szCs w:val="26"/>
        </w:rPr>
        <w:t>See</w:t>
      </w:r>
      <w:r w:rsidR="007D3372">
        <w:rPr>
          <w:szCs w:val="26"/>
        </w:rPr>
        <w:t xml:space="preserve"> </w:t>
      </w:r>
      <w:r w:rsidR="007D3372">
        <w:rPr>
          <w:i/>
          <w:iCs/>
          <w:szCs w:val="26"/>
        </w:rPr>
        <w:t>June 2019 Order</w:t>
      </w:r>
      <w:r w:rsidR="001D7EE6">
        <w:rPr>
          <w:i/>
          <w:iCs/>
          <w:szCs w:val="26"/>
        </w:rPr>
        <w:t xml:space="preserve"> </w:t>
      </w:r>
      <w:r w:rsidR="001D7EE6">
        <w:rPr>
          <w:szCs w:val="26"/>
        </w:rPr>
        <w:t xml:space="preserve">at 11, </w:t>
      </w:r>
      <w:r w:rsidR="007D3372">
        <w:rPr>
          <w:szCs w:val="26"/>
        </w:rPr>
        <w:t>citing</w:t>
      </w:r>
      <w:r w:rsidR="007D3372">
        <w:rPr>
          <w:i/>
          <w:iCs/>
          <w:szCs w:val="26"/>
        </w:rPr>
        <w:t xml:space="preserve"> </w:t>
      </w:r>
      <w:r w:rsidR="007D3372">
        <w:rPr>
          <w:szCs w:val="26"/>
        </w:rPr>
        <w:t xml:space="preserve">Respond St. </w:t>
      </w:r>
      <w:r w:rsidR="004B0A42">
        <w:rPr>
          <w:szCs w:val="26"/>
        </w:rPr>
        <w:t xml:space="preserve">No. </w:t>
      </w:r>
      <w:r w:rsidR="007D3372">
        <w:rPr>
          <w:szCs w:val="26"/>
        </w:rPr>
        <w:t xml:space="preserve">1 at 2, 7. </w:t>
      </w:r>
    </w:p>
    <w:p w14:paraId="530193BF" w14:textId="77777777" w:rsidR="008F0C04" w:rsidRPr="00C701E3" w:rsidRDefault="008F0C04" w:rsidP="009637A1">
      <w:pPr>
        <w:ind w:firstLine="0"/>
        <w:rPr>
          <w:szCs w:val="26"/>
        </w:rPr>
      </w:pPr>
    </w:p>
    <w:p w14:paraId="7E8DDD13" w14:textId="10CB22D1" w:rsidR="00197F14" w:rsidRDefault="000F3346" w:rsidP="002C6A8C">
      <w:pPr>
        <w:rPr>
          <w:szCs w:val="26"/>
        </w:rPr>
      </w:pPr>
      <w:r>
        <w:rPr>
          <w:szCs w:val="26"/>
        </w:rPr>
        <w:t>In t</w:t>
      </w:r>
      <w:r w:rsidR="00F67EB8" w:rsidRPr="00C5644C">
        <w:rPr>
          <w:szCs w:val="26"/>
        </w:rPr>
        <w:t xml:space="preserve">he </w:t>
      </w:r>
      <w:r w:rsidR="00F67EB8">
        <w:rPr>
          <w:szCs w:val="26"/>
        </w:rPr>
        <w:t>2016 C</w:t>
      </w:r>
      <w:r w:rsidR="00F67EB8" w:rsidRPr="00C5644C">
        <w:rPr>
          <w:szCs w:val="26"/>
        </w:rPr>
        <w:t>omplaints</w:t>
      </w:r>
      <w:r>
        <w:rPr>
          <w:szCs w:val="26"/>
        </w:rPr>
        <w:t>, Respond</w:t>
      </w:r>
      <w:r w:rsidR="00F67EB8" w:rsidRPr="00C5644C">
        <w:rPr>
          <w:szCs w:val="26"/>
        </w:rPr>
        <w:t xml:space="preserve"> </w:t>
      </w:r>
      <w:r w:rsidR="002C6A8C">
        <w:rPr>
          <w:szCs w:val="26"/>
        </w:rPr>
        <w:t>raised several challenges to the lawfulness of the</w:t>
      </w:r>
      <w:r w:rsidR="00F67EB8" w:rsidRPr="00C5644C">
        <w:rPr>
          <w:szCs w:val="26"/>
        </w:rPr>
        <w:t xml:space="preserve"> </w:t>
      </w:r>
      <w:proofErr w:type="spellStart"/>
      <w:r w:rsidR="004C4C45">
        <w:rPr>
          <w:szCs w:val="26"/>
        </w:rPr>
        <w:t>clawback</w:t>
      </w:r>
      <w:proofErr w:type="spellEnd"/>
      <w:r w:rsidR="004C4C45">
        <w:rPr>
          <w:szCs w:val="26"/>
        </w:rPr>
        <w:t xml:space="preserve"> charge </w:t>
      </w:r>
      <w:r>
        <w:rPr>
          <w:szCs w:val="26"/>
        </w:rPr>
        <w:t>invoiced by the Compan</w:t>
      </w:r>
      <w:r w:rsidR="00F67EB8" w:rsidRPr="00C5644C">
        <w:rPr>
          <w:szCs w:val="26"/>
        </w:rPr>
        <w:t>i</w:t>
      </w:r>
      <w:r>
        <w:rPr>
          <w:szCs w:val="26"/>
        </w:rPr>
        <w:t>e</w:t>
      </w:r>
      <w:r w:rsidR="004C4C45">
        <w:rPr>
          <w:szCs w:val="26"/>
        </w:rPr>
        <w:t>s</w:t>
      </w:r>
      <w:r w:rsidR="002C6A8C">
        <w:rPr>
          <w:szCs w:val="26"/>
        </w:rPr>
        <w:t>.</w:t>
      </w:r>
      <w:r w:rsidR="00E75BD9">
        <w:rPr>
          <w:szCs w:val="26"/>
        </w:rPr>
        <w:t xml:space="preserve">  Respond challenged the </w:t>
      </w:r>
      <w:proofErr w:type="spellStart"/>
      <w:r w:rsidR="004C4C45">
        <w:rPr>
          <w:szCs w:val="26"/>
        </w:rPr>
        <w:t>clawback</w:t>
      </w:r>
      <w:proofErr w:type="spellEnd"/>
      <w:r w:rsidR="004C4C45">
        <w:rPr>
          <w:szCs w:val="26"/>
        </w:rPr>
        <w:t xml:space="preserve"> </w:t>
      </w:r>
      <w:r w:rsidR="00E75BD9">
        <w:rPr>
          <w:szCs w:val="26"/>
        </w:rPr>
        <w:t>charge</w:t>
      </w:r>
      <w:r w:rsidR="004C4C45">
        <w:rPr>
          <w:szCs w:val="26"/>
        </w:rPr>
        <w:t xml:space="preserve"> </w:t>
      </w:r>
      <w:r w:rsidR="00E75BD9">
        <w:rPr>
          <w:szCs w:val="26"/>
        </w:rPr>
        <w:t xml:space="preserve">on both procedural </w:t>
      </w:r>
      <w:r w:rsidR="00197F14">
        <w:rPr>
          <w:szCs w:val="26"/>
        </w:rPr>
        <w:t xml:space="preserve">and substantive grounds. </w:t>
      </w:r>
    </w:p>
    <w:p w14:paraId="2367282D" w14:textId="77777777" w:rsidR="00197F14" w:rsidRDefault="00197F14" w:rsidP="002C6A8C">
      <w:pPr>
        <w:rPr>
          <w:szCs w:val="26"/>
        </w:rPr>
      </w:pPr>
    </w:p>
    <w:p w14:paraId="477D0D01" w14:textId="1E2F6FD9" w:rsidR="00197F14" w:rsidRDefault="00197F14" w:rsidP="002C6A8C">
      <w:pPr>
        <w:rPr>
          <w:szCs w:val="26"/>
        </w:rPr>
      </w:pPr>
      <w:r>
        <w:rPr>
          <w:szCs w:val="26"/>
        </w:rPr>
        <w:t>Respond’s challenge</w:t>
      </w:r>
      <w:r w:rsidR="00D10F99">
        <w:rPr>
          <w:szCs w:val="26"/>
        </w:rPr>
        <w:t>s</w:t>
      </w:r>
      <w:r>
        <w:rPr>
          <w:szCs w:val="26"/>
        </w:rPr>
        <w:t xml:space="preserve"> to the imposition of the </w:t>
      </w:r>
      <w:proofErr w:type="spellStart"/>
      <w:r>
        <w:rPr>
          <w:szCs w:val="26"/>
        </w:rPr>
        <w:t>clawback</w:t>
      </w:r>
      <w:proofErr w:type="spellEnd"/>
      <w:r>
        <w:rPr>
          <w:szCs w:val="26"/>
        </w:rPr>
        <w:t xml:space="preserve"> charge on procedural grounds were, </w:t>
      </w:r>
      <w:r w:rsidR="00E75BD9">
        <w:rPr>
          <w:i/>
          <w:iCs/>
          <w:szCs w:val="26"/>
        </w:rPr>
        <w:t>inter alia</w:t>
      </w:r>
      <w:r w:rsidR="00E75BD9">
        <w:rPr>
          <w:szCs w:val="26"/>
        </w:rPr>
        <w:t>,</w:t>
      </w:r>
      <w:r w:rsidR="00E75BD9">
        <w:rPr>
          <w:i/>
          <w:iCs/>
          <w:szCs w:val="26"/>
        </w:rPr>
        <w:t xml:space="preserve"> </w:t>
      </w:r>
      <w:r>
        <w:rPr>
          <w:szCs w:val="26"/>
        </w:rPr>
        <w:t xml:space="preserve">that </w:t>
      </w:r>
      <w:r w:rsidR="00E75BD9">
        <w:rPr>
          <w:szCs w:val="26"/>
        </w:rPr>
        <w:t>the charge was improper retroactive ratemaking as t</w:t>
      </w:r>
      <w:r>
        <w:rPr>
          <w:szCs w:val="26"/>
        </w:rPr>
        <w:t>he charge</w:t>
      </w:r>
      <w:r w:rsidR="00E75BD9">
        <w:rPr>
          <w:szCs w:val="26"/>
        </w:rPr>
        <w:t xml:space="preserve"> w</w:t>
      </w:r>
      <w:r w:rsidR="00B63064">
        <w:rPr>
          <w:szCs w:val="26"/>
        </w:rPr>
        <w:t>as</w:t>
      </w:r>
      <w:r w:rsidR="00E75BD9">
        <w:rPr>
          <w:szCs w:val="26"/>
        </w:rPr>
        <w:t xml:space="preserve"> computed and based on billing determinants and conditions that were not resolved and/or established until after the period of time in which the conditions giving rise to the liability arose</w:t>
      </w:r>
      <w:r>
        <w:rPr>
          <w:szCs w:val="26"/>
        </w:rPr>
        <w:t>.</w:t>
      </w:r>
      <w:r w:rsidR="00B63064">
        <w:rPr>
          <w:szCs w:val="26"/>
        </w:rPr>
        <w:t xml:space="preserve">  </w:t>
      </w:r>
      <w:r w:rsidR="00B63064">
        <w:rPr>
          <w:i/>
          <w:iCs/>
          <w:szCs w:val="26"/>
        </w:rPr>
        <w:t>See</w:t>
      </w:r>
      <w:r w:rsidR="00B63064">
        <w:rPr>
          <w:szCs w:val="26"/>
        </w:rPr>
        <w:t xml:space="preserve"> </w:t>
      </w:r>
      <w:r w:rsidR="00B63064">
        <w:rPr>
          <w:i/>
          <w:iCs/>
          <w:szCs w:val="26"/>
        </w:rPr>
        <w:t xml:space="preserve">e.g. </w:t>
      </w:r>
      <w:r w:rsidR="00B63064">
        <w:rPr>
          <w:szCs w:val="26"/>
        </w:rPr>
        <w:t>Respond Main Brief at 27-40.</w:t>
      </w:r>
      <w:r w:rsidR="00E75BD9">
        <w:rPr>
          <w:szCs w:val="26"/>
        </w:rPr>
        <w:t xml:space="preserve"> </w:t>
      </w:r>
      <w:r>
        <w:rPr>
          <w:szCs w:val="26"/>
        </w:rPr>
        <w:t xml:space="preserve"> </w:t>
      </w:r>
      <w:r w:rsidR="00E75BD9">
        <w:rPr>
          <w:szCs w:val="26"/>
        </w:rPr>
        <w:t xml:space="preserve">Respond </w:t>
      </w:r>
      <w:r>
        <w:rPr>
          <w:szCs w:val="26"/>
        </w:rPr>
        <w:t>also contended</w:t>
      </w:r>
      <w:r w:rsidR="00B63064">
        <w:rPr>
          <w:szCs w:val="26"/>
        </w:rPr>
        <w:t xml:space="preserve">, </w:t>
      </w:r>
      <w:r w:rsidR="00B63064">
        <w:rPr>
          <w:i/>
          <w:iCs/>
          <w:szCs w:val="26"/>
        </w:rPr>
        <w:t>inter alia</w:t>
      </w:r>
      <w:r w:rsidR="00B63064">
        <w:rPr>
          <w:szCs w:val="26"/>
        </w:rPr>
        <w:t>,</w:t>
      </w:r>
      <w:r>
        <w:rPr>
          <w:szCs w:val="26"/>
        </w:rPr>
        <w:t xml:space="preserve"> that it </w:t>
      </w:r>
      <w:r w:rsidR="00E75BD9">
        <w:rPr>
          <w:szCs w:val="26"/>
        </w:rPr>
        <w:t xml:space="preserve">did not receive adequate notice of the proposed changes </w:t>
      </w:r>
      <w:r>
        <w:rPr>
          <w:szCs w:val="26"/>
        </w:rPr>
        <w:t xml:space="preserve">to the POR program </w:t>
      </w:r>
      <w:r w:rsidR="00E75BD9">
        <w:rPr>
          <w:szCs w:val="26"/>
        </w:rPr>
        <w:t>and, therefore, the</w:t>
      </w:r>
      <w:r>
        <w:rPr>
          <w:szCs w:val="26"/>
        </w:rPr>
        <w:t xml:space="preserve"> revisions</w:t>
      </w:r>
      <w:r w:rsidR="00E75BD9">
        <w:rPr>
          <w:szCs w:val="26"/>
        </w:rPr>
        <w:t xml:space="preserve"> were implemented in violation of </w:t>
      </w:r>
      <w:r>
        <w:rPr>
          <w:szCs w:val="26"/>
        </w:rPr>
        <w:t>its</w:t>
      </w:r>
      <w:r w:rsidR="00E75BD9">
        <w:rPr>
          <w:szCs w:val="26"/>
        </w:rPr>
        <w:t xml:space="preserve"> due process rights</w:t>
      </w:r>
      <w:r>
        <w:rPr>
          <w:szCs w:val="26"/>
        </w:rPr>
        <w:t>.</w:t>
      </w:r>
      <w:r w:rsidR="00B63064">
        <w:rPr>
          <w:szCs w:val="26"/>
        </w:rPr>
        <w:t xml:space="preserve">  Based on the foregoing, Respond complained that the </w:t>
      </w:r>
      <w:proofErr w:type="spellStart"/>
      <w:r w:rsidR="00B63064">
        <w:rPr>
          <w:szCs w:val="26"/>
        </w:rPr>
        <w:t>clawback</w:t>
      </w:r>
      <w:proofErr w:type="spellEnd"/>
      <w:r w:rsidR="00B63064">
        <w:rPr>
          <w:szCs w:val="26"/>
        </w:rPr>
        <w:t xml:space="preserve"> charges should be assessed for a period of time subsequent to</w:t>
      </w:r>
      <w:r w:rsidR="0035646D">
        <w:rPr>
          <w:szCs w:val="26"/>
        </w:rPr>
        <w:t xml:space="preserve"> the periods applicable to the 2016 and 2017 Complaints.</w:t>
      </w:r>
    </w:p>
    <w:p w14:paraId="2368C438" w14:textId="77777777" w:rsidR="00197F14" w:rsidRDefault="00197F14" w:rsidP="002C6A8C">
      <w:pPr>
        <w:rPr>
          <w:szCs w:val="26"/>
        </w:rPr>
      </w:pPr>
    </w:p>
    <w:p w14:paraId="053C5E8E" w14:textId="7DA5E6EF" w:rsidR="00E75BD9" w:rsidRDefault="00197F14" w:rsidP="002C6A8C">
      <w:pPr>
        <w:rPr>
          <w:szCs w:val="26"/>
        </w:rPr>
      </w:pPr>
      <w:r>
        <w:rPr>
          <w:szCs w:val="26"/>
        </w:rPr>
        <w:lastRenderedPageBreak/>
        <w:t>O</w:t>
      </w:r>
      <w:r w:rsidR="00E75BD9">
        <w:rPr>
          <w:szCs w:val="26"/>
        </w:rPr>
        <w:t>n substantive grounds</w:t>
      </w:r>
      <w:r>
        <w:rPr>
          <w:szCs w:val="26"/>
        </w:rPr>
        <w:t xml:space="preserve">, Respond </w:t>
      </w:r>
      <w:r w:rsidR="003E52D1">
        <w:rPr>
          <w:szCs w:val="26"/>
        </w:rPr>
        <w:t>argued</w:t>
      </w:r>
      <w:r>
        <w:rPr>
          <w:szCs w:val="26"/>
        </w:rPr>
        <w:t xml:space="preserve">, </w:t>
      </w:r>
      <w:r w:rsidR="00E75BD9">
        <w:rPr>
          <w:i/>
          <w:iCs/>
          <w:szCs w:val="26"/>
        </w:rPr>
        <w:t>inter alia</w:t>
      </w:r>
      <w:r w:rsidR="00E75BD9">
        <w:rPr>
          <w:szCs w:val="26"/>
        </w:rPr>
        <w:t>,</w:t>
      </w:r>
      <w:r w:rsidR="00E75BD9">
        <w:rPr>
          <w:i/>
          <w:iCs/>
          <w:szCs w:val="26"/>
        </w:rPr>
        <w:t xml:space="preserve"> </w:t>
      </w:r>
      <w:r>
        <w:rPr>
          <w:szCs w:val="26"/>
        </w:rPr>
        <w:t xml:space="preserve">that </w:t>
      </w:r>
      <w:r w:rsidR="00E75BD9">
        <w:rPr>
          <w:szCs w:val="26"/>
        </w:rPr>
        <w:t xml:space="preserve">the charge was unreasonable </w:t>
      </w:r>
      <w:r w:rsidR="00744CD9">
        <w:rPr>
          <w:szCs w:val="26"/>
        </w:rPr>
        <w:t xml:space="preserve">because of </w:t>
      </w:r>
      <w:r w:rsidR="0035646D">
        <w:rPr>
          <w:szCs w:val="26"/>
        </w:rPr>
        <w:t>certain structural flaws</w:t>
      </w:r>
      <w:r w:rsidR="00744CD9">
        <w:rPr>
          <w:szCs w:val="26"/>
        </w:rPr>
        <w:t xml:space="preserve">.  </w:t>
      </w:r>
      <w:r w:rsidR="0035646D">
        <w:rPr>
          <w:szCs w:val="26"/>
        </w:rPr>
        <w:t>Respond</w:t>
      </w:r>
      <w:r w:rsidR="00744CD9">
        <w:rPr>
          <w:szCs w:val="26"/>
        </w:rPr>
        <w:t xml:space="preserve"> asserted that the structural flaws </w:t>
      </w:r>
      <w:r w:rsidR="0035646D">
        <w:rPr>
          <w:szCs w:val="26"/>
        </w:rPr>
        <w:t xml:space="preserve">were, </w:t>
      </w:r>
      <w:r w:rsidR="00744CD9">
        <w:rPr>
          <w:i/>
          <w:iCs/>
          <w:szCs w:val="26"/>
        </w:rPr>
        <w:t>inter alia</w:t>
      </w:r>
      <w:r w:rsidR="00744CD9">
        <w:rPr>
          <w:szCs w:val="26"/>
        </w:rPr>
        <w:t>, a</w:t>
      </w:r>
      <w:r w:rsidR="00744CD9">
        <w:rPr>
          <w:i/>
          <w:iCs/>
          <w:szCs w:val="26"/>
        </w:rPr>
        <w:t xml:space="preserve"> </w:t>
      </w:r>
      <w:r w:rsidR="0035646D">
        <w:rPr>
          <w:szCs w:val="26"/>
        </w:rPr>
        <w:t xml:space="preserve">lack </w:t>
      </w:r>
      <w:r w:rsidR="00D10F99">
        <w:rPr>
          <w:szCs w:val="26"/>
        </w:rPr>
        <w:t xml:space="preserve">of </w:t>
      </w:r>
      <w:r w:rsidR="00296D0F">
        <w:rPr>
          <w:szCs w:val="26"/>
        </w:rPr>
        <w:t xml:space="preserve">Respond’s </w:t>
      </w:r>
      <w:r w:rsidR="0035646D">
        <w:rPr>
          <w:szCs w:val="26"/>
        </w:rPr>
        <w:t xml:space="preserve">ability, as an EGS, to </w:t>
      </w:r>
      <w:r w:rsidR="00744CD9">
        <w:rPr>
          <w:szCs w:val="26"/>
        </w:rPr>
        <w:t xml:space="preserve">obtain information so as to </w:t>
      </w:r>
      <w:r w:rsidR="0035646D">
        <w:rPr>
          <w:szCs w:val="26"/>
        </w:rPr>
        <w:t xml:space="preserve">be advised of customers who were not paying their bills and no ability </w:t>
      </w:r>
      <w:r w:rsidR="00744CD9">
        <w:rPr>
          <w:szCs w:val="26"/>
        </w:rPr>
        <w:t xml:space="preserve">of the EGS </w:t>
      </w:r>
      <w:r w:rsidR="0035646D">
        <w:rPr>
          <w:szCs w:val="26"/>
        </w:rPr>
        <w:t>to control</w:t>
      </w:r>
      <w:r w:rsidR="00744CD9">
        <w:rPr>
          <w:szCs w:val="26"/>
        </w:rPr>
        <w:t xml:space="preserve"> collections from non-paying customers, and a limited ability </w:t>
      </w:r>
      <w:r w:rsidR="004B0A42">
        <w:rPr>
          <w:szCs w:val="26"/>
        </w:rPr>
        <w:t xml:space="preserve">of the EGS </w:t>
      </w:r>
      <w:r w:rsidR="00744CD9">
        <w:rPr>
          <w:szCs w:val="26"/>
        </w:rPr>
        <w:t xml:space="preserve">to screen customers and deny enrollment of customers based on their creditworthiness.  Respond also attacked the </w:t>
      </w:r>
      <w:proofErr w:type="spellStart"/>
      <w:r w:rsidR="00744CD9">
        <w:rPr>
          <w:szCs w:val="26"/>
        </w:rPr>
        <w:t>clawback</w:t>
      </w:r>
      <w:proofErr w:type="spellEnd"/>
      <w:r w:rsidR="00744CD9">
        <w:rPr>
          <w:szCs w:val="26"/>
        </w:rPr>
        <w:t xml:space="preserve"> charge’s structure, raising the inference that </w:t>
      </w:r>
      <w:proofErr w:type="spellStart"/>
      <w:r w:rsidR="00744CD9">
        <w:rPr>
          <w:szCs w:val="26"/>
        </w:rPr>
        <w:t>clawback</w:t>
      </w:r>
      <w:proofErr w:type="spellEnd"/>
      <w:r w:rsidR="00744CD9">
        <w:rPr>
          <w:szCs w:val="26"/>
        </w:rPr>
        <w:t xml:space="preserve"> charges attributed to Respond could be those of another EGS</w:t>
      </w:r>
      <w:r w:rsidR="001E11E6">
        <w:rPr>
          <w:szCs w:val="26"/>
        </w:rPr>
        <w:t xml:space="preserve">. </w:t>
      </w:r>
      <w:r w:rsidR="00744CD9">
        <w:rPr>
          <w:szCs w:val="26"/>
        </w:rPr>
        <w:t xml:space="preserve"> </w:t>
      </w:r>
      <w:r w:rsidR="001E11E6">
        <w:rPr>
          <w:szCs w:val="26"/>
        </w:rPr>
        <w:t xml:space="preserve">Respond also asserted </w:t>
      </w:r>
      <w:r w:rsidR="00744CD9">
        <w:rPr>
          <w:szCs w:val="26"/>
        </w:rPr>
        <w:t>that</w:t>
      </w:r>
      <w:r w:rsidR="001E11E6">
        <w:rPr>
          <w:szCs w:val="26"/>
        </w:rPr>
        <w:t>,</w:t>
      </w:r>
      <w:r w:rsidR="00744CD9">
        <w:rPr>
          <w:szCs w:val="26"/>
        </w:rPr>
        <w:t xml:space="preserve"> as an EGS, </w:t>
      </w:r>
      <w:r w:rsidR="001E11E6">
        <w:rPr>
          <w:szCs w:val="26"/>
        </w:rPr>
        <w:t xml:space="preserve">it </w:t>
      </w:r>
      <w:r w:rsidR="00744CD9">
        <w:rPr>
          <w:szCs w:val="26"/>
        </w:rPr>
        <w:t xml:space="preserve">had no control over the write-off practices of the EDC, that </w:t>
      </w:r>
      <w:r w:rsidR="004B0A42">
        <w:rPr>
          <w:szCs w:val="26"/>
        </w:rPr>
        <w:t xml:space="preserve">the </w:t>
      </w:r>
      <w:r w:rsidR="00744CD9">
        <w:rPr>
          <w:szCs w:val="26"/>
        </w:rPr>
        <w:t>charge did not provide for a credit for subsequent</w:t>
      </w:r>
      <w:r w:rsidR="007946EA">
        <w:rPr>
          <w:szCs w:val="26"/>
        </w:rPr>
        <w:t xml:space="preserve"> payments on a delinquent account, </w:t>
      </w:r>
      <w:r w:rsidR="00744CD9">
        <w:rPr>
          <w:szCs w:val="26"/>
        </w:rPr>
        <w:t>and that the charge unlawfully</w:t>
      </w:r>
      <w:r w:rsidR="001E11E6">
        <w:rPr>
          <w:szCs w:val="26"/>
        </w:rPr>
        <w:t xml:space="preserve"> and improperly</w:t>
      </w:r>
      <w:r w:rsidR="00744CD9">
        <w:rPr>
          <w:szCs w:val="26"/>
        </w:rPr>
        <w:t xml:space="preserve"> </w:t>
      </w:r>
      <w:r w:rsidR="001E11E6">
        <w:rPr>
          <w:szCs w:val="26"/>
        </w:rPr>
        <w:t>im</w:t>
      </w:r>
      <w:r w:rsidR="00744CD9">
        <w:rPr>
          <w:szCs w:val="26"/>
        </w:rPr>
        <w:t xml:space="preserve">posed limits on EGS prices.  </w:t>
      </w:r>
      <w:r w:rsidR="00744CD9">
        <w:rPr>
          <w:i/>
          <w:iCs/>
          <w:szCs w:val="26"/>
        </w:rPr>
        <w:t xml:space="preserve">See </w:t>
      </w:r>
      <w:r w:rsidR="00744CD9">
        <w:rPr>
          <w:szCs w:val="26"/>
        </w:rPr>
        <w:t>Respond Main Brief at 40-57.</w:t>
      </w:r>
    </w:p>
    <w:p w14:paraId="780428A0" w14:textId="77777777" w:rsidR="00E75BD9" w:rsidRDefault="00E75BD9" w:rsidP="002C6A8C">
      <w:pPr>
        <w:rPr>
          <w:szCs w:val="26"/>
        </w:rPr>
      </w:pPr>
    </w:p>
    <w:p w14:paraId="5297876C" w14:textId="53D3A390" w:rsidR="002C6A8C" w:rsidRDefault="002C6A8C" w:rsidP="002C6A8C">
      <w:pPr>
        <w:rPr>
          <w:szCs w:val="26"/>
        </w:rPr>
      </w:pPr>
      <w:r>
        <w:rPr>
          <w:szCs w:val="26"/>
        </w:rPr>
        <w:t xml:space="preserve">In summary, the following issues or challenges to the Companies’ </w:t>
      </w:r>
      <w:proofErr w:type="spellStart"/>
      <w:r>
        <w:rPr>
          <w:szCs w:val="26"/>
        </w:rPr>
        <w:t>clawback</w:t>
      </w:r>
      <w:proofErr w:type="spellEnd"/>
      <w:r>
        <w:rPr>
          <w:szCs w:val="26"/>
        </w:rPr>
        <w:t xml:space="preserve"> charge were </w:t>
      </w:r>
      <w:r w:rsidR="003E52D1">
        <w:rPr>
          <w:szCs w:val="26"/>
        </w:rPr>
        <w:t xml:space="preserve">adjudicated in the 2016 Complaints and </w:t>
      </w:r>
      <w:r>
        <w:rPr>
          <w:szCs w:val="26"/>
        </w:rPr>
        <w:t xml:space="preserve">addressed in the </w:t>
      </w:r>
      <w:r w:rsidRPr="0045193F">
        <w:rPr>
          <w:i/>
          <w:iCs/>
          <w:szCs w:val="26"/>
        </w:rPr>
        <w:t>June 2019 Order</w:t>
      </w:r>
      <w:r>
        <w:rPr>
          <w:szCs w:val="26"/>
        </w:rPr>
        <w:t>: (1) Burden of proof (I.D. at 24</w:t>
      </w:r>
      <w:r>
        <w:rPr>
          <w:szCs w:val="26"/>
        </w:rPr>
        <w:noBreakHyphen/>
        <w:t>27)</w:t>
      </w:r>
      <w:r w:rsidR="009F438C">
        <w:rPr>
          <w:szCs w:val="26"/>
        </w:rPr>
        <w:t>;</w:t>
      </w:r>
      <w:r w:rsidR="00D40EAC">
        <w:rPr>
          <w:rStyle w:val="FootnoteReference"/>
          <w:szCs w:val="26"/>
        </w:rPr>
        <w:footnoteReference w:id="15"/>
      </w:r>
      <w:r>
        <w:rPr>
          <w:szCs w:val="26"/>
        </w:rPr>
        <w:t xml:space="preserve"> (2) Reasonableness of the </w:t>
      </w:r>
      <w:proofErr w:type="spellStart"/>
      <w:r>
        <w:rPr>
          <w:szCs w:val="26"/>
        </w:rPr>
        <w:t>clawback</w:t>
      </w:r>
      <w:proofErr w:type="spellEnd"/>
      <w:r>
        <w:rPr>
          <w:szCs w:val="26"/>
        </w:rPr>
        <w:t xml:space="preserve"> charges (I.D. at 27-29); (3) Due process afforded to Respond (I.D. at 30-33); (4)</w:t>
      </w:r>
      <w:r w:rsidR="004F315D">
        <w:rPr>
          <w:szCs w:val="26"/>
        </w:rPr>
        <w:t xml:space="preserve">  </w:t>
      </w:r>
      <w:r>
        <w:rPr>
          <w:szCs w:val="26"/>
        </w:rPr>
        <w:t xml:space="preserve">Retroactive ratemaking (I.D. at 33-35); (5) Structural flaws in the </w:t>
      </w:r>
      <w:proofErr w:type="spellStart"/>
      <w:r>
        <w:rPr>
          <w:szCs w:val="26"/>
        </w:rPr>
        <w:t>clawback</w:t>
      </w:r>
      <w:proofErr w:type="spellEnd"/>
      <w:r>
        <w:rPr>
          <w:szCs w:val="26"/>
        </w:rPr>
        <w:t xml:space="preserve"> provisions (I.D. at 36); and (6) Respond’s argument that the </w:t>
      </w:r>
      <w:proofErr w:type="spellStart"/>
      <w:r>
        <w:rPr>
          <w:szCs w:val="26"/>
        </w:rPr>
        <w:t>clawback</w:t>
      </w:r>
      <w:proofErr w:type="spellEnd"/>
      <w:r>
        <w:rPr>
          <w:szCs w:val="26"/>
        </w:rPr>
        <w:t xml:space="preserve"> provisions will limit EGS prices (I.D. at 36-37).  </w:t>
      </w:r>
      <w:r>
        <w:rPr>
          <w:i/>
          <w:iCs/>
          <w:szCs w:val="26"/>
        </w:rPr>
        <w:t>See</w:t>
      </w:r>
      <w:r>
        <w:rPr>
          <w:szCs w:val="26"/>
        </w:rPr>
        <w:t xml:space="preserve"> </w:t>
      </w:r>
      <w:r>
        <w:rPr>
          <w:i/>
          <w:iCs/>
          <w:szCs w:val="26"/>
        </w:rPr>
        <w:t xml:space="preserve">June 2019 Order </w:t>
      </w:r>
      <w:r>
        <w:rPr>
          <w:szCs w:val="26"/>
        </w:rPr>
        <w:t xml:space="preserve">at </w:t>
      </w:r>
      <w:r w:rsidR="00F43C3D">
        <w:rPr>
          <w:szCs w:val="26"/>
        </w:rPr>
        <w:t>18</w:t>
      </w:r>
      <w:r>
        <w:rPr>
          <w:szCs w:val="26"/>
        </w:rPr>
        <w:t>.</w:t>
      </w:r>
    </w:p>
    <w:p w14:paraId="1A331979" w14:textId="77777777" w:rsidR="000F3346" w:rsidRDefault="000F3346" w:rsidP="008D1CBF">
      <w:pPr>
        <w:ind w:firstLine="0"/>
        <w:rPr>
          <w:szCs w:val="26"/>
        </w:rPr>
      </w:pPr>
    </w:p>
    <w:bookmarkEnd w:id="3"/>
    <w:p w14:paraId="3564E544" w14:textId="06B2D6C8" w:rsidR="008D1CBF" w:rsidRDefault="008D1CBF" w:rsidP="00DE0C2B">
      <w:pPr>
        <w:rPr>
          <w:szCs w:val="26"/>
        </w:rPr>
      </w:pPr>
      <w:r>
        <w:rPr>
          <w:szCs w:val="26"/>
        </w:rPr>
        <w:t>Intervention</w:t>
      </w:r>
      <w:r w:rsidR="00F44496">
        <w:rPr>
          <w:szCs w:val="26"/>
        </w:rPr>
        <w:t>s</w:t>
      </w:r>
      <w:r>
        <w:rPr>
          <w:szCs w:val="26"/>
        </w:rPr>
        <w:t xml:space="preserve"> in the </w:t>
      </w:r>
      <w:r w:rsidR="003E52D1">
        <w:rPr>
          <w:szCs w:val="26"/>
        </w:rPr>
        <w:t xml:space="preserve">2016 Complaints </w:t>
      </w:r>
      <w:r>
        <w:rPr>
          <w:szCs w:val="26"/>
        </w:rPr>
        <w:t xml:space="preserve">proceedings were </w:t>
      </w:r>
      <w:r w:rsidR="004F315D">
        <w:rPr>
          <w:szCs w:val="26"/>
        </w:rPr>
        <w:t>filed</w:t>
      </w:r>
      <w:r>
        <w:rPr>
          <w:szCs w:val="26"/>
        </w:rPr>
        <w:t xml:space="preserve"> by the following Parties: t</w:t>
      </w:r>
      <w:r w:rsidR="00BA3F07" w:rsidRPr="00BA3F07">
        <w:rPr>
          <w:szCs w:val="26"/>
        </w:rPr>
        <w:t>he West Penn Power Industrial Intervenors (WPPII)</w:t>
      </w:r>
      <w:r>
        <w:rPr>
          <w:szCs w:val="26"/>
        </w:rPr>
        <w:t>;</w:t>
      </w:r>
      <w:r w:rsidR="00BA3F07" w:rsidRPr="00BA3F07">
        <w:rPr>
          <w:szCs w:val="26"/>
        </w:rPr>
        <w:t xml:space="preserve"> the </w:t>
      </w:r>
      <w:proofErr w:type="spellStart"/>
      <w:r w:rsidR="00BA3F07" w:rsidRPr="00BA3F07">
        <w:rPr>
          <w:szCs w:val="26"/>
        </w:rPr>
        <w:t>Penelec</w:t>
      </w:r>
      <w:proofErr w:type="spellEnd"/>
      <w:r w:rsidR="00BA3F07" w:rsidRPr="00BA3F07">
        <w:rPr>
          <w:szCs w:val="26"/>
        </w:rPr>
        <w:t xml:space="preserve"> Industrial Customer Alliance (PICA)</w:t>
      </w:r>
      <w:r>
        <w:rPr>
          <w:szCs w:val="26"/>
        </w:rPr>
        <w:t>;</w:t>
      </w:r>
      <w:r w:rsidR="00BA3F07" w:rsidRPr="00BA3F07">
        <w:rPr>
          <w:szCs w:val="26"/>
        </w:rPr>
        <w:t xml:space="preserve"> the Met-Ed Industrial Users Group (MEIUG), (collectively, the Industrials)</w:t>
      </w:r>
      <w:r>
        <w:rPr>
          <w:szCs w:val="26"/>
        </w:rPr>
        <w:t xml:space="preserve">; </w:t>
      </w:r>
      <w:r w:rsidRPr="00E9759B">
        <w:rPr>
          <w:color w:val="000000"/>
          <w:szCs w:val="26"/>
        </w:rPr>
        <w:t>the Coalition for Affordable Utility Services and Energy Efficiency in Pennsylvania (CAUSE-PA)</w:t>
      </w:r>
      <w:r>
        <w:rPr>
          <w:color w:val="000000"/>
          <w:szCs w:val="26"/>
        </w:rPr>
        <w:t>;</w:t>
      </w:r>
      <w:r w:rsidR="00BA3F07" w:rsidRPr="00BA3F07">
        <w:rPr>
          <w:szCs w:val="26"/>
        </w:rPr>
        <w:t xml:space="preserve"> </w:t>
      </w:r>
      <w:r w:rsidRPr="00394CB8">
        <w:rPr>
          <w:color w:val="000000"/>
          <w:szCs w:val="26"/>
        </w:rPr>
        <w:t xml:space="preserve">the Office of Small Business Advocate </w:t>
      </w:r>
      <w:r w:rsidRPr="00394CB8">
        <w:rPr>
          <w:color w:val="000000"/>
          <w:szCs w:val="26"/>
        </w:rPr>
        <w:lastRenderedPageBreak/>
        <w:t>(OSBA)</w:t>
      </w:r>
      <w:r w:rsidR="00E75BD9">
        <w:rPr>
          <w:color w:val="000000"/>
          <w:szCs w:val="26"/>
        </w:rPr>
        <w:t>;</w:t>
      </w:r>
      <w:r w:rsidRPr="00394CB8">
        <w:rPr>
          <w:color w:val="000000"/>
          <w:szCs w:val="26"/>
        </w:rPr>
        <w:t xml:space="preserve"> </w:t>
      </w:r>
      <w:r w:rsidR="004C4C45">
        <w:rPr>
          <w:color w:val="000000"/>
          <w:szCs w:val="26"/>
        </w:rPr>
        <w:t xml:space="preserve">and </w:t>
      </w:r>
      <w:r>
        <w:rPr>
          <w:szCs w:val="26"/>
        </w:rPr>
        <w:t>t</w:t>
      </w:r>
      <w:r w:rsidR="00BA3F07" w:rsidRPr="00BA3F07">
        <w:rPr>
          <w:szCs w:val="26"/>
        </w:rPr>
        <w:t>he Office of Consumer Advocate (OCA)</w:t>
      </w:r>
      <w:r w:rsidR="004C4C45">
        <w:rPr>
          <w:szCs w:val="26"/>
        </w:rPr>
        <w:t>.  Also,</w:t>
      </w:r>
      <w:r>
        <w:rPr>
          <w:szCs w:val="26"/>
        </w:rPr>
        <w:t xml:space="preserve"> </w:t>
      </w:r>
      <w:r w:rsidRPr="009D753A">
        <w:rPr>
          <w:color w:val="000000"/>
          <w:szCs w:val="26"/>
        </w:rPr>
        <w:t>the Commission</w:t>
      </w:r>
      <w:r>
        <w:rPr>
          <w:color w:val="000000"/>
          <w:szCs w:val="26"/>
        </w:rPr>
        <w:t>’</w:t>
      </w:r>
      <w:r w:rsidRPr="009D753A">
        <w:rPr>
          <w:color w:val="000000"/>
          <w:szCs w:val="26"/>
        </w:rPr>
        <w:t xml:space="preserve">s Bureau of Investigation and Enforcement (I&amp;E) filed a </w:t>
      </w:r>
      <w:r>
        <w:rPr>
          <w:color w:val="000000"/>
          <w:szCs w:val="26"/>
        </w:rPr>
        <w:t>N</w:t>
      </w:r>
      <w:r w:rsidRPr="009D753A">
        <w:rPr>
          <w:color w:val="000000"/>
          <w:szCs w:val="26"/>
        </w:rPr>
        <w:t xml:space="preserve">otice of </w:t>
      </w:r>
      <w:r>
        <w:rPr>
          <w:color w:val="000000"/>
          <w:szCs w:val="26"/>
        </w:rPr>
        <w:t>A</w:t>
      </w:r>
      <w:r w:rsidRPr="009D753A">
        <w:rPr>
          <w:color w:val="000000"/>
          <w:szCs w:val="26"/>
        </w:rPr>
        <w:t>ppearance.</w:t>
      </w:r>
    </w:p>
    <w:p w14:paraId="7ABC1EEB" w14:textId="77777777" w:rsidR="008D1CBF" w:rsidRDefault="008D1CBF" w:rsidP="00DE0C2B">
      <w:pPr>
        <w:rPr>
          <w:szCs w:val="26"/>
        </w:rPr>
      </w:pPr>
    </w:p>
    <w:p w14:paraId="1DFB0693" w14:textId="6AD2D328" w:rsidR="009D753A" w:rsidRDefault="00976BA8" w:rsidP="008D1CBF">
      <w:pPr>
        <w:rPr>
          <w:szCs w:val="26"/>
        </w:rPr>
      </w:pPr>
      <w:r w:rsidRPr="00976BA8">
        <w:rPr>
          <w:szCs w:val="26"/>
        </w:rPr>
        <w:t>On December 8, 2016, the Companies filed Answers with New Matter to the 2016 Complaints</w:t>
      </w:r>
      <w:r w:rsidR="00F44496">
        <w:rPr>
          <w:szCs w:val="26"/>
        </w:rPr>
        <w:t>.</w:t>
      </w:r>
      <w:r w:rsidR="008D1CBF">
        <w:rPr>
          <w:szCs w:val="26"/>
        </w:rPr>
        <w:t xml:space="preserve"> </w:t>
      </w:r>
      <w:r w:rsidR="00F44496">
        <w:rPr>
          <w:szCs w:val="26"/>
        </w:rPr>
        <w:t xml:space="preserve"> The Companies also</w:t>
      </w:r>
      <w:r w:rsidR="00123463" w:rsidRPr="00123463">
        <w:rPr>
          <w:szCs w:val="26"/>
        </w:rPr>
        <w:t xml:space="preserve"> filed Motions for Judgment on the </w:t>
      </w:r>
      <w:r w:rsidR="00E41E76">
        <w:rPr>
          <w:szCs w:val="26"/>
        </w:rPr>
        <w:t>P</w:t>
      </w:r>
      <w:r w:rsidR="00123463" w:rsidRPr="00123463">
        <w:rPr>
          <w:szCs w:val="26"/>
        </w:rPr>
        <w:t>leadings</w:t>
      </w:r>
      <w:r w:rsidR="00F44496">
        <w:rPr>
          <w:szCs w:val="26"/>
        </w:rPr>
        <w:t xml:space="preserve"> and primarily contended that Respond was foreclosed from challenging the </w:t>
      </w:r>
      <w:r w:rsidR="00180516">
        <w:rPr>
          <w:szCs w:val="26"/>
        </w:rPr>
        <w:t>reasonableness</w:t>
      </w:r>
      <w:r w:rsidR="00F44496">
        <w:rPr>
          <w:szCs w:val="26"/>
        </w:rPr>
        <w:t xml:space="preserve"> of the </w:t>
      </w:r>
      <w:proofErr w:type="spellStart"/>
      <w:r w:rsidR="00F44496">
        <w:rPr>
          <w:szCs w:val="26"/>
        </w:rPr>
        <w:t>clawback</w:t>
      </w:r>
      <w:proofErr w:type="spellEnd"/>
      <w:r w:rsidR="00F44496">
        <w:rPr>
          <w:szCs w:val="26"/>
        </w:rPr>
        <w:t xml:space="preserve"> charges </w:t>
      </w:r>
      <w:r w:rsidR="004F315D">
        <w:rPr>
          <w:szCs w:val="26"/>
        </w:rPr>
        <w:t>since the</w:t>
      </w:r>
      <w:r w:rsidR="00F44496">
        <w:rPr>
          <w:szCs w:val="26"/>
        </w:rPr>
        <w:t xml:space="preserve"> charges were the result of a Commission-approved settlement and, </w:t>
      </w:r>
      <w:r w:rsidR="004F315D">
        <w:rPr>
          <w:szCs w:val="26"/>
        </w:rPr>
        <w:t xml:space="preserve">the terms were </w:t>
      </w:r>
      <w:r w:rsidR="00F44496">
        <w:rPr>
          <w:szCs w:val="26"/>
        </w:rPr>
        <w:t>subsequently incorporated into a Commission-approved tariff</w:t>
      </w:r>
      <w:r w:rsidR="00123463" w:rsidRPr="00123463">
        <w:rPr>
          <w:szCs w:val="26"/>
        </w:rPr>
        <w:t>.</w:t>
      </w:r>
    </w:p>
    <w:p w14:paraId="4237E9C7" w14:textId="77777777" w:rsidR="008D1CBF" w:rsidRPr="008D1CBF" w:rsidRDefault="008D1CBF" w:rsidP="008D1CBF">
      <w:pPr>
        <w:rPr>
          <w:szCs w:val="26"/>
        </w:rPr>
      </w:pPr>
    </w:p>
    <w:p w14:paraId="76104FDB" w14:textId="34FB9CE5" w:rsidR="00DE0C2B" w:rsidRDefault="009D753A" w:rsidP="00DE0C2B">
      <w:pPr>
        <w:autoSpaceDE w:val="0"/>
        <w:autoSpaceDN w:val="0"/>
        <w:adjustRightInd w:val="0"/>
        <w:rPr>
          <w:color w:val="000000"/>
          <w:szCs w:val="26"/>
        </w:rPr>
      </w:pPr>
      <w:r w:rsidRPr="009D753A">
        <w:rPr>
          <w:szCs w:val="26"/>
        </w:rPr>
        <w:t xml:space="preserve">On December 28, 2016, Respond filed Replies to the </w:t>
      </w:r>
      <w:r w:rsidR="004F315D">
        <w:rPr>
          <w:szCs w:val="26"/>
        </w:rPr>
        <w:t xml:space="preserve">Companies’ </w:t>
      </w:r>
      <w:r w:rsidRPr="009D753A">
        <w:rPr>
          <w:szCs w:val="26"/>
        </w:rPr>
        <w:t>New Matter</w:t>
      </w:r>
      <w:r w:rsidR="00DE0C2B">
        <w:rPr>
          <w:color w:val="000000"/>
          <w:szCs w:val="26"/>
        </w:rPr>
        <w:t xml:space="preserve"> and A</w:t>
      </w:r>
      <w:r w:rsidR="00E57ABA" w:rsidRPr="00E57ABA">
        <w:rPr>
          <w:color w:val="000000"/>
          <w:szCs w:val="26"/>
        </w:rPr>
        <w:t>nswers to</w:t>
      </w:r>
      <w:r w:rsidR="00E57ABA">
        <w:rPr>
          <w:color w:val="000000"/>
          <w:szCs w:val="26"/>
        </w:rPr>
        <w:t xml:space="preserve"> the Companies</w:t>
      </w:r>
      <w:r w:rsidR="00E00225">
        <w:rPr>
          <w:color w:val="000000"/>
          <w:szCs w:val="26"/>
        </w:rPr>
        <w:t>’</w:t>
      </w:r>
      <w:r w:rsidR="00E57ABA">
        <w:rPr>
          <w:color w:val="000000"/>
          <w:szCs w:val="26"/>
        </w:rPr>
        <w:t xml:space="preserve"> M</w:t>
      </w:r>
      <w:r w:rsidR="00E57ABA" w:rsidRPr="00E57ABA">
        <w:rPr>
          <w:color w:val="000000"/>
          <w:szCs w:val="26"/>
        </w:rPr>
        <w:t xml:space="preserve">otions for </w:t>
      </w:r>
      <w:r w:rsidR="00E57ABA">
        <w:rPr>
          <w:color w:val="000000"/>
          <w:szCs w:val="26"/>
        </w:rPr>
        <w:t>J</w:t>
      </w:r>
      <w:r w:rsidR="00E57ABA" w:rsidRPr="00E57ABA">
        <w:rPr>
          <w:color w:val="000000"/>
          <w:szCs w:val="26"/>
        </w:rPr>
        <w:t>udgment</w:t>
      </w:r>
      <w:r w:rsidR="00DE0C2B">
        <w:rPr>
          <w:color w:val="000000"/>
          <w:szCs w:val="26"/>
        </w:rPr>
        <w:t xml:space="preserve"> on the Pleadings.</w:t>
      </w:r>
    </w:p>
    <w:p w14:paraId="33BEBE4E" w14:textId="77777777" w:rsidR="00F17906" w:rsidRDefault="00F17906" w:rsidP="00DE0C2B">
      <w:pPr>
        <w:autoSpaceDE w:val="0"/>
        <w:autoSpaceDN w:val="0"/>
        <w:adjustRightInd w:val="0"/>
        <w:rPr>
          <w:color w:val="000000"/>
          <w:szCs w:val="26"/>
        </w:rPr>
      </w:pPr>
    </w:p>
    <w:p w14:paraId="743B5280" w14:textId="77777777" w:rsidR="00FA1C1B" w:rsidRDefault="00DE0C2B" w:rsidP="00CC0155">
      <w:pPr>
        <w:autoSpaceDE w:val="0"/>
        <w:autoSpaceDN w:val="0"/>
        <w:adjustRightInd w:val="0"/>
        <w:rPr>
          <w:szCs w:val="26"/>
        </w:rPr>
      </w:pPr>
      <w:r>
        <w:rPr>
          <w:szCs w:val="26"/>
        </w:rPr>
        <w:t xml:space="preserve">By Order dated </w:t>
      </w:r>
      <w:r w:rsidR="00FA1C1B">
        <w:rPr>
          <w:szCs w:val="26"/>
        </w:rPr>
        <w:t xml:space="preserve">January 23, 2017, </w:t>
      </w:r>
      <w:r w:rsidR="004B0A42">
        <w:rPr>
          <w:szCs w:val="26"/>
        </w:rPr>
        <w:t xml:space="preserve">presiding </w:t>
      </w:r>
      <w:r w:rsidR="008C4408">
        <w:rPr>
          <w:szCs w:val="26"/>
        </w:rPr>
        <w:t>A</w:t>
      </w:r>
      <w:r w:rsidR="001E11E6">
        <w:rPr>
          <w:szCs w:val="26"/>
        </w:rPr>
        <w:t>dministrative Law Judge (A</w:t>
      </w:r>
      <w:r w:rsidR="008C4408">
        <w:rPr>
          <w:szCs w:val="26"/>
        </w:rPr>
        <w:t>LJ</w:t>
      </w:r>
      <w:r w:rsidR="001E11E6">
        <w:rPr>
          <w:szCs w:val="26"/>
        </w:rPr>
        <w:t>)</w:t>
      </w:r>
      <w:r w:rsidR="008C4408">
        <w:rPr>
          <w:szCs w:val="26"/>
        </w:rPr>
        <w:t xml:space="preserve"> </w:t>
      </w:r>
      <w:r w:rsidR="004B0A42">
        <w:rPr>
          <w:szCs w:val="26"/>
        </w:rPr>
        <w:t xml:space="preserve">Salapa </w:t>
      </w:r>
      <w:r w:rsidR="00FA1C1B">
        <w:rPr>
          <w:szCs w:val="26"/>
        </w:rPr>
        <w:t>grant</w:t>
      </w:r>
      <w:r w:rsidR="00E37330">
        <w:rPr>
          <w:szCs w:val="26"/>
        </w:rPr>
        <w:t>ed</w:t>
      </w:r>
      <w:r w:rsidR="00FA1C1B">
        <w:rPr>
          <w:szCs w:val="26"/>
        </w:rPr>
        <w:t xml:space="preserve">, in part, the </w:t>
      </w:r>
      <w:r w:rsidR="008D1CBF">
        <w:rPr>
          <w:szCs w:val="26"/>
        </w:rPr>
        <w:t xml:space="preserve">Companies’ </w:t>
      </w:r>
      <w:r w:rsidR="00FA1C1B">
        <w:rPr>
          <w:szCs w:val="26"/>
        </w:rPr>
        <w:t>Motions for Judgment</w:t>
      </w:r>
      <w:r w:rsidR="004C4C45">
        <w:rPr>
          <w:szCs w:val="26"/>
        </w:rPr>
        <w:t xml:space="preserve"> on the Pleadings</w:t>
      </w:r>
      <w:r w:rsidR="00FA1C1B">
        <w:rPr>
          <w:szCs w:val="26"/>
        </w:rPr>
        <w:t xml:space="preserve"> </w:t>
      </w:r>
      <w:r w:rsidR="00FA1C1B" w:rsidRPr="00FA1C1B">
        <w:rPr>
          <w:i/>
          <w:szCs w:val="26"/>
        </w:rPr>
        <w:t>(January 2017 Order)</w:t>
      </w:r>
      <w:r w:rsidR="00FA1C1B">
        <w:rPr>
          <w:szCs w:val="26"/>
        </w:rPr>
        <w:t xml:space="preserve">.  </w:t>
      </w:r>
      <w:r w:rsidR="00BE3D77">
        <w:rPr>
          <w:szCs w:val="26"/>
        </w:rPr>
        <w:t>T</w:t>
      </w:r>
      <w:r w:rsidR="002C3D23">
        <w:rPr>
          <w:szCs w:val="26"/>
        </w:rPr>
        <w:t xml:space="preserve">he </w:t>
      </w:r>
      <w:r w:rsidR="002C3D23" w:rsidRPr="00FA1C1B">
        <w:rPr>
          <w:i/>
          <w:szCs w:val="26"/>
        </w:rPr>
        <w:t>January 2017 Order</w:t>
      </w:r>
      <w:r w:rsidR="002C3D23">
        <w:rPr>
          <w:szCs w:val="26"/>
        </w:rPr>
        <w:t xml:space="preserve"> </w:t>
      </w:r>
      <w:r w:rsidR="00806908">
        <w:rPr>
          <w:szCs w:val="26"/>
        </w:rPr>
        <w:t xml:space="preserve">agreed with the position of the Companies and </w:t>
      </w:r>
      <w:r w:rsidR="00BE3D77">
        <w:rPr>
          <w:szCs w:val="26"/>
        </w:rPr>
        <w:t>den</w:t>
      </w:r>
      <w:r w:rsidR="008C4408">
        <w:rPr>
          <w:szCs w:val="26"/>
        </w:rPr>
        <w:t>ied</w:t>
      </w:r>
      <w:r w:rsidR="00BE3D77">
        <w:rPr>
          <w:szCs w:val="26"/>
        </w:rPr>
        <w:t xml:space="preserve"> Respond the opportunity to present evidence that </w:t>
      </w:r>
      <w:r w:rsidR="004B461E">
        <w:rPr>
          <w:szCs w:val="26"/>
        </w:rPr>
        <w:t xml:space="preserve">the </w:t>
      </w:r>
      <w:proofErr w:type="spellStart"/>
      <w:r w:rsidR="004B461E">
        <w:rPr>
          <w:szCs w:val="26"/>
        </w:rPr>
        <w:t>clawback</w:t>
      </w:r>
      <w:proofErr w:type="spellEnd"/>
      <w:r w:rsidR="004B461E">
        <w:rPr>
          <w:szCs w:val="26"/>
        </w:rPr>
        <w:t xml:space="preserve"> tariff provision </w:t>
      </w:r>
      <w:r w:rsidR="008C4408">
        <w:rPr>
          <w:szCs w:val="26"/>
        </w:rPr>
        <w:t>wa</w:t>
      </w:r>
      <w:r w:rsidR="004B461E">
        <w:rPr>
          <w:szCs w:val="26"/>
        </w:rPr>
        <w:t>s unreasonable</w:t>
      </w:r>
      <w:r w:rsidR="00A07BBC">
        <w:rPr>
          <w:szCs w:val="26"/>
        </w:rPr>
        <w:t xml:space="preserve">.  </w:t>
      </w:r>
      <w:r w:rsidR="008D1CBF">
        <w:rPr>
          <w:szCs w:val="26"/>
        </w:rPr>
        <w:t xml:space="preserve">The </w:t>
      </w:r>
      <w:r w:rsidR="008C4408">
        <w:rPr>
          <w:szCs w:val="26"/>
        </w:rPr>
        <w:t>O</w:t>
      </w:r>
      <w:r w:rsidR="008D1CBF">
        <w:rPr>
          <w:szCs w:val="26"/>
        </w:rPr>
        <w:t>rder did,</w:t>
      </w:r>
      <w:r w:rsidR="00A07BBC">
        <w:rPr>
          <w:szCs w:val="26"/>
        </w:rPr>
        <w:t xml:space="preserve"> however,</w:t>
      </w:r>
      <w:r w:rsidR="004B461E">
        <w:rPr>
          <w:szCs w:val="26"/>
        </w:rPr>
        <w:t xml:space="preserve"> allow </w:t>
      </w:r>
      <w:r w:rsidR="008C4408">
        <w:rPr>
          <w:szCs w:val="26"/>
        </w:rPr>
        <w:t xml:space="preserve">for Respond to proceed to </w:t>
      </w:r>
      <w:r w:rsidR="004B461E">
        <w:rPr>
          <w:szCs w:val="26"/>
        </w:rPr>
        <w:t xml:space="preserve">hearing </w:t>
      </w:r>
      <w:r w:rsidR="008C4408">
        <w:rPr>
          <w:szCs w:val="26"/>
        </w:rPr>
        <w:t>on the question of</w:t>
      </w:r>
      <w:r w:rsidR="00806908">
        <w:rPr>
          <w:szCs w:val="26"/>
        </w:rPr>
        <w:t xml:space="preserve"> the</w:t>
      </w:r>
      <w:r w:rsidR="008C4408">
        <w:rPr>
          <w:szCs w:val="26"/>
        </w:rPr>
        <w:t xml:space="preserve"> </w:t>
      </w:r>
      <w:r w:rsidR="004B461E">
        <w:rPr>
          <w:szCs w:val="26"/>
        </w:rPr>
        <w:t>verif</w:t>
      </w:r>
      <w:r w:rsidR="008C4408">
        <w:rPr>
          <w:szCs w:val="26"/>
        </w:rPr>
        <w:t>ication of</w:t>
      </w:r>
      <w:r w:rsidR="004B461E">
        <w:rPr>
          <w:szCs w:val="26"/>
        </w:rPr>
        <w:t xml:space="preserve"> the accuracy of the</w:t>
      </w:r>
      <w:r w:rsidR="00806908">
        <w:rPr>
          <w:szCs w:val="26"/>
        </w:rPr>
        <w:t xml:space="preserve"> computation of the</w:t>
      </w:r>
      <w:r w:rsidR="004B461E">
        <w:rPr>
          <w:szCs w:val="26"/>
        </w:rPr>
        <w:t xml:space="preserve"> </w:t>
      </w:r>
      <w:proofErr w:type="spellStart"/>
      <w:r w:rsidR="004C4C45">
        <w:rPr>
          <w:szCs w:val="26"/>
        </w:rPr>
        <w:t>clawback</w:t>
      </w:r>
      <w:proofErr w:type="spellEnd"/>
      <w:r w:rsidR="004C4C45">
        <w:rPr>
          <w:szCs w:val="26"/>
        </w:rPr>
        <w:t xml:space="preserve"> charge liability which w</w:t>
      </w:r>
      <w:r w:rsidR="001E11E6">
        <w:rPr>
          <w:szCs w:val="26"/>
        </w:rPr>
        <w:t>as</w:t>
      </w:r>
      <w:r w:rsidR="004C4C45">
        <w:rPr>
          <w:szCs w:val="26"/>
        </w:rPr>
        <w:t xml:space="preserve"> </w:t>
      </w:r>
      <w:r w:rsidR="004B461E">
        <w:rPr>
          <w:szCs w:val="26"/>
        </w:rPr>
        <w:t>assessed in the 2016 Complaints.</w:t>
      </w:r>
    </w:p>
    <w:p w14:paraId="22D8EDC4" w14:textId="77777777" w:rsidR="00B95259" w:rsidRPr="002C3D23" w:rsidRDefault="00B95259" w:rsidP="00CC0155">
      <w:pPr>
        <w:autoSpaceDE w:val="0"/>
        <w:autoSpaceDN w:val="0"/>
        <w:adjustRightInd w:val="0"/>
        <w:rPr>
          <w:szCs w:val="26"/>
        </w:rPr>
      </w:pPr>
    </w:p>
    <w:p w14:paraId="77263604" w14:textId="37978A42" w:rsidR="00F544D7" w:rsidRPr="00DE0C2B" w:rsidRDefault="006B202E" w:rsidP="00DE0C2B">
      <w:pPr>
        <w:autoSpaceDE w:val="0"/>
        <w:autoSpaceDN w:val="0"/>
        <w:adjustRightInd w:val="0"/>
        <w:rPr>
          <w:szCs w:val="26"/>
        </w:rPr>
      </w:pPr>
      <w:r w:rsidRPr="006B202E">
        <w:rPr>
          <w:szCs w:val="26"/>
        </w:rPr>
        <w:t>On January 26, 2017</w:t>
      </w:r>
      <w:r>
        <w:rPr>
          <w:szCs w:val="26"/>
        </w:rPr>
        <w:t>,</w:t>
      </w:r>
      <w:r w:rsidRPr="006B202E">
        <w:rPr>
          <w:szCs w:val="26"/>
        </w:rPr>
        <w:t xml:space="preserve"> Respond filed a Petition for Interlocutory Review</w:t>
      </w:r>
      <w:r w:rsidR="008C4408">
        <w:rPr>
          <w:szCs w:val="26"/>
        </w:rPr>
        <w:t xml:space="preserve"> of the </w:t>
      </w:r>
      <w:r w:rsidR="008C4408">
        <w:rPr>
          <w:i/>
          <w:iCs/>
          <w:szCs w:val="26"/>
        </w:rPr>
        <w:t>January 2017 Order</w:t>
      </w:r>
      <w:r w:rsidRPr="006B202E">
        <w:rPr>
          <w:szCs w:val="26"/>
        </w:rPr>
        <w:t xml:space="preserve">.  </w:t>
      </w:r>
      <w:r w:rsidR="00DC33AE">
        <w:rPr>
          <w:szCs w:val="26"/>
        </w:rPr>
        <w:t>Respond sought interlocutory</w:t>
      </w:r>
      <w:r w:rsidRPr="006B202E">
        <w:rPr>
          <w:szCs w:val="26"/>
        </w:rPr>
        <w:t xml:space="preserve"> Commission review </w:t>
      </w:r>
      <w:r w:rsidR="00DC33AE">
        <w:rPr>
          <w:szCs w:val="26"/>
        </w:rPr>
        <w:t xml:space="preserve">of </w:t>
      </w:r>
      <w:r w:rsidRPr="006B202E">
        <w:rPr>
          <w:szCs w:val="26"/>
        </w:rPr>
        <w:t xml:space="preserve">the </w:t>
      </w:r>
      <w:r w:rsidRPr="00BE3D77">
        <w:rPr>
          <w:i/>
          <w:szCs w:val="26"/>
        </w:rPr>
        <w:t>Ja</w:t>
      </w:r>
      <w:r w:rsidR="00BE3D77" w:rsidRPr="00BE3D77">
        <w:rPr>
          <w:i/>
          <w:szCs w:val="26"/>
        </w:rPr>
        <w:t>nuary</w:t>
      </w:r>
      <w:r w:rsidRPr="00BE3D77">
        <w:rPr>
          <w:i/>
          <w:szCs w:val="26"/>
        </w:rPr>
        <w:t xml:space="preserve"> 2017 </w:t>
      </w:r>
      <w:r w:rsidR="00A41763" w:rsidRPr="00BE3D77">
        <w:rPr>
          <w:i/>
          <w:szCs w:val="26"/>
        </w:rPr>
        <w:t>O</w:t>
      </w:r>
      <w:r w:rsidRPr="00BE3D77">
        <w:rPr>
          <w:i/>
          <w:szCs w:val="26"/>
        </w:rPr>
        <w:t>rder</w:t>
      </w:r>
      <w:r w:rsidRPr="006B202E">
        <w:rPr>
          <w:szCs w:val="26"/>
        </w:rPr>
        <w:t xml:space="preserve"> and</w:t>
      </w:r>
      <w:r w:rsidR="00DC33AE">
        <w:rPr>
          <w:szCs w:val="26"/>
        </w:rPr>
        <w:t xml:space="preserve"> asserted that it should be</w:t>
      </w:r>
      <w:r w:rsidRPr="006B202E">
        <w:rPr>
          <w:szCs w:val="26"/>
        </w:rPr>
        <w:t xml:space="preserve"> allow</w:t>
      </w:r>
      <w:r w:rsidR="00DC33AE">
        <w:rPr>
          <w:szCs w:val="26"/>
        </w:rPr>
        <w:t>ed</w:t>
      </w:r>
      <w:r w:rsidRPr="006B202E">
        <w:rPr>
          <w:szCs w:val="26"/>
        </w:rPr>
        <w:t xml:space="preserve"> to challenge the reasonableness and application of the </w:t>
      </w:r>
      <w:r w:rsidR="00117E17">
        <w:rPr>
          <w:szCs w:val="26"/>
        </w:rPr>
        <w:t>Companies</w:t>
      </w:r>
      <w:r w:rsidR="00E00225">
        <w:rPr>
          <w:szCs w:val="26"/>
        </w:rPr>
        <w:t>’</w:t>
      </w:r>
      <w:r w:rsidR="00117E17">
        <w:rPr>
          <w:szCs w:val="26"/>
        </w:rPr>
        <w:t xml:space="preserve"> </w:t>
      </w:r>
      <w:proofErr w:type="spellStart"/>
      <w:r w:rsidRPr="006B202E">
        <w:rPr>
          <w:szCs w:val="26"/>
        </w:rPr>
        <w:t>clawback</w:t>
      </w:r>
      <w:proofErr w:type="spellEnd"/>
      <w:r w:rsidRPr="006B202E">
        <w:rPr>
          <w:szCs w:val="26"/>
        </w:rPr>
        <w:t xml:space="preserve"> tariff provisions.</w:t>
      </w:r>
      <w:r w:rsidR="00DE0C2B">
        <w:rPr>
          <w:szCs w:val="26"/>
        </w:rPr>
        <w:t xml:space="preserve">  </w:t>
      </w:r>
      <w:r w:rsidR="00F544D7" w:rsidRPr="00F544D7">
        <w:rPr>
          <w:color w:val="000000"/>
          <w:szCs w:val="26"/>
        </w:rPr>
        <w:t>By O</w:t>
      </w:r>
      <w:r w:rsidR="009A11AF">
        <w:rPr>
          <w:color w:val="000000"/>
          <w:szCs w:val="26"/>
        </w:rPr>
        <w:t xml:space="preserve">rder entered </w:t>
      </w:r>
      <w:r w:rsidR="00F544D7" w:rsidRPr="00F544D7">
        <w:rPr>
          <w:color w:val="000000"/>
          <w:szCs w:val="26"/>
        </w:rPr>
        <w:t xml:space="preserve">July 13, 2017 </w:t>
      </w:r>
      <w:r w:rsidR="00F544D7" w:rsidRPr="00806908">
        <w:rPr>
          <w:iCs/>
          <w:color w:val="000000"/>
          <w:szCs w:val="26"/>
        </w:rPr>
        <w:t>(</w:t>
      </w:r>
      <w:r w:rsidR="00FD01B9" w:rsidRPr="00F60A2A">
        <w:rPr>
          <w:i/>
          <w:iCs/>
          <w:szCs w:val="26"/>
        </w:rPr>
        <w:t>Interlocutory Appeal Order</w:t>
      </w:r>
      <w:r w:rsidR="00F544D7" w:rsidRPr="00806908">
        <w:rPr>
          <w:iCs/>
          <w:color w:val="000000"/>
          <w:szCs w:val="26"/>
        </w:rPr>
        <w:t>),</w:t>
      </w:r>
      <w:r w:rsidR="00F544D7" w:rsidRPr="00F544D7">
        <w:rPr>
          <w:color w:val="000000"/>
          <w:szCs w:val="26"/>
        </w:rPr>
        <w:t xml:space="preserve"> the Commission granted </w:t>
      </w:r>
      <w:r w:rsidR="00FD01B9">
        <w:rPr>
          <w:color w:val="000000"/>
          <w:szCs w:val="26"/>
        </w:rPr>
        <w:t>Respond</w:t>
      </w:r>
      <w:r w:rsidR="004F315D">
        <w:rPr>
          <w:color w:val="000000"/>
          <w:szCs w:val="26"/>
        </w:rPr>
        <w:t>’s</w:t>
      </w:r>
      <w:r w:rsidR="00FD01B9">
        <w:rPr>
          <w:color w:val="000000"/>
          <w:szCs w:val="26"/>
        </w:rPr>
        <w:t xml:space="preserve"> </w:t>
      </w:r>
      <w:r w:rsidR="00F544D7" w:rsidRPr="00F544D7">
        <w:rPr>
          <w:color w:val="000000"/>
          <w:szCs w:val="26"/>
        </w:rPr>
        <w:t>P</w:t>
      </w:r>
      <w:r w:rsidR="00FD01B9">
        <w:rPr>
          <w:color w:val="000000"/>
          <w:szCs w:val="26"/>
        </w:rPr>
        <w:t xml:space="preserve">etition for </w:t>
      </w:r>
      <w:r w:rsidR="00F544D7" w:rsidRPr="00F544D7">
        <w:rPr>
          <w:color w:val="000000"/>
          <w:szCs w:val="26"/>
        </w:rPr>
        <w:t>I</w:t>
      </w:r>
      <w:r w:rsidR="00FD01B9">
        <w:rPr>
          <w:color w:val="000000"/>
          <w:szCs w:val="26"/>
        </w:rPr>
        <w:t xml:space="preserve">nterlocutory </w:t>
      </w:r>
      <w:r w:rsidR="00F544D7" w:rsidRPr="00F544D7">
        <w:rPr>
          <w:color w:val="000000"/>
          <w:szCs w:val="26"/>
        </w:rPr>
        <w:t>R</w:t>
      </w:r>
      <w:r w:rsidR="00FD01B9">
        <w:rPr>
          <w:color w:val="000000"/>
          <w:szCs w:val="26"/>
        </w:rPr>
        <w:t>eview</w:t>
      </w:r>
      <w:r w:rsidR="00F544D7" w:rsidRPr="00F544D7">
        <w:rPr>
          <w:color w:val="000000"/>
          <w:szCs w:val="26"/>
        </w:rPr>
        <w:t>.  The Commission held</w:t>
      </w:r>
      <w:r w:rsidR="00FD01B9">
        <w:rPr>
          <w:color w:val="000000"/>
          <w:szCs w:val="26"/>
        </w:rPr>
        <w:t xml:space="preserve">, </w:t>
      </w:r>
      <w:r w:rsidR="00FD01B9">
        <w:rPr>
          <w:i/>
          <w:iCs/>
          <w:color w:val="000000"/>
          <w:szCs w:val="26"/>
        </w:rPr>
        <w:t>inter alia</w:t>
      </w:r>
      <w:r w:rsidR="00FD01B9">
        <w:rPr>
          <w:color w:val="000000"/>
          <w:szCs w:val="26"/>
        </w:rPr>
        <w:t>,</w:t>
      </w:r>
      <w:r w:rsidR="00F544D7" w:rsidRPr="00F544D7">
        <w:rPr>
          <w:color w:val="000000"/>
          <w:szCs w:val="26"/>
        </w:rPr>
        <w:t xml:space="preserve"> that Respond </w:t>
      </w:r>
      <w:r w:rsidR="008D1CBF">
        <w:rPr>
          <w:color w:val="000000"/>
          <w:szCs w:val="26"/>
        </w:rPr>
        <w:t xml:space="preserve">was entitled to pursue a formal complaint against the </w:t>
      </w:r>
      <w:proofErr w:type="spellStart"/>
      <w:r w:rsidR="008D1CBF">
        <w:rPr>
          <w:color w:val="000000"/>
          <w:szCs w:val="26"/>
        </w:rPr>
        <w:t>clawback</w:t>
      </w:r>
      <w:proofErr w:type="spellEnd"/>
      <w:r w:rsidR="008D1CBF">
        <w:rPr>
          <w:color w:val="000000"/>
          <w:szCs w:val="26"/>
        </w:rPr>
        <w:t xml:space="preserve"> charge</w:t>
      </w:r>
      <w:r w:rsidR="008C4408">
        <w:rPr>
          <w:color w:val="000000"/>
          <w:szCs w:val="26"/>
        </w:rPr>
        <w:t xml:space="preserve">.  The </w:t>
      </w:r>
      <w:r w:rsidR="008C4408" w:rsidRPr="00F60A2A">
        <w:rPr>
          <w:i/>
          <w:iCs/>
          <w:szCs w:val="26"/>
        </w:rPr>
        <w:t>Interlocutory Appeal Order</w:t>
      </w:r>
      <w:r w:rsidR="008C4408">
        <w:rPr>
          <w:i/>
          <w:iCs/>
          <w:szCs w:val="26"/>
        </w:rPr>
        <w:t xml:space="preserve"> </w:t>
      </w:r>
      <w:r w:rsidR="008C4408">
        <w:rPr>
          <w:szCs w:val="26"/>
        </w:rPr>
        <w:t>concluded</w:t>
      </w:r>
      <w:r w:rsidR="00DC33AE">
        <w:rPr>
          <w:szCs w:val="26"/>
        </w:rPr>
        <w:t xml:space="preserve">, however, </w:t>
      </w:r>
      <w:r w:rsidR="008C4408">
        <w:rPr>
          <w:szCs w:val="26"/>
        </w:rPr>
        <w:t>that</w:t>
      </w:r>
      <w:r w:rsidR="008D1CBF">
        <w:rPr>
          <w:color w:val="000000"/>
          <w:szCs w:val="26"/>
        </w:rPr>
        <w:t xml:space="preserve"> </w:t>
      </w:r>
      <w:r w:rsidR="008C4408">
        <w:rPr>
          <w:color w:val="000000"/>
          <w:szCs w:val="26"/>
        </w:rPr>
        <w:t xml:space="preserve">Respond </w:t>
      </w:r>
      <w:r w:rsidR="00F544D7" w:rsidRPr="00F544D7">
        <w:rPr>
          <w:color w:val="000000"/>
          <w:szCs w:val="26"/>
        </w:rPr>
        <w:t xml:space="preserve">had the burden of proof to show that the </w:t>
      </w:r>
      <w:proofErr w:type="spellStart"/>
      <w:r w:rsidR="00F544D7" w:rsidRPr="00F544D7">
        <w:rPr>
          <w:color w:val="000000"/>
          <w:szCs w:val="26"/>
        </w:rPr>
        <w:lastRenderedPageBreak/>
        <w:t>clawback</w:t>
      </w:r>
      <w:proofErr w:type="spellEnd"/>
      <w:r w:rsidR="00F544D7" w:rsidRPr="00F544D7">
        <w:rPr>
          <w:color w:val="000000"/>
          <w:szCs w:val="26"/>
        </w:rPr>
        <w:t xml:space="preserve"> tariff provision</w:t>
      </w:r>
      <w:r w:rsidR="00806908">
        <w:rPr>
          <w:color w:val="000000"/>
          <w:szCs w:val="26"/>
        </w:rPr>
        <w:t>s</w:t>
      </w:r>
      <w:r w:rsidR="00F544D7" w:rsidRPr="00F544D7">
        <w:rPr>
          <w:color w:val="000000"/>
          <w:szCs w:val="26"/>
        </w:rPr>
        <w:t xml:space="preserve"> </w:t>
      </w:r>
      <w:r w:rsidR="00DE2276">
        <w:rPr>
          <w:color w:val="000000"/>
          <w:szCs w:val="26"/>
        </w:rPr>
        <w:t>w</w:t>
      </w:r>
      <w:r w:rsidR="00806908">
        <w:rPr>
          <w:color w:val="000000"/>
          <w:szCs w:val="26"/>
        </w:rPr>
        <w:t>ere</w:t>
      </w:r>
      <w:r w:rsidR="00F544D7" w:rsidRPr="00F544D7">
        <w:rPr>
          <w:color w:val="000000"/>
          <w:szCs w:val="26"/>
        </w:rPr>
        <w:t xml:space="preserve"> being applied to it unreasonably.  The Commission </w:t>
      </w:r>
      <w:r w:rsidR="008C4408">
        <w:rPr>
          <w:color w:val="000000"/>
          <w:szCs w:val="26"/>
        </w:rPr>
        <w:t>acknowledged</w:t>
      </w:r>
      <w:r w:rsidR="00F544D7" w:rsidRPr="00F544D7">
        <w:rPr>
          <w:color w:val="000000"/>
          <w:szCs w:val="26"/>
        </w:rPr>
        <w:t xml:space="preserve"> that the burden </w:t>
      </w:r>
      <w:r w:rsidR="00806908">
        <w:rPr>
          <w:color w:val="000000"/>
          <w:szCs w:val="26"/>
        </w:rPr>
        <w:t xml:space="preserve">on Respond </w:t>
      </w:r>
      <w:r w:rsidR="008C4408">
        <w:rPr>
          <w:color w:val="000000"/>
          <w:szCs w:val="26"/>
        </w:rPr>
        <w:t>would be</w:t>
      </w:r>
      <w:r w:rsidR="00F544D7" w:rsidRPr="00F544D7">
        <w:rPr>
          <w:color w:val="000000"/>
          <w:szCs w:val="26"/>
        </w:rPr>
        <w:t xml:space="preserve"> heavy because tariff provisions that have been properly submitted to</w:t>
      </w:r>
      <w:r w:rsidR="004F315D">
        <w:rPr>
          <w:color w:val="000000"/>
          <w:szCs w:val="26"/>
        </w:rPr>
        <w:t>,</w:t>
      </w:r>
      <w:r w:rsidR="00F544D7" w:rsidRPr="00F544D7">
        <w:rPr>
          <w:color w:val="000000"/>
          <w:szCs w:val="26"/>
        </w:rPr>
        <w:t xml:space="preserve"> and </w:t>
      </w:r>
      <w:r w:rsidR="00F544D7" w:rsidRPr="00F544D7">
        <w:rPr>
          <w:szCs w:val="26"/>
        </w:rPr>
        <w:t>approved by</w:t>
      </w:r>
      <w:r w:rsidR="004F315D">
        <w:rPr>
          <w:szCs w:val="26"/>
        </w:rPr>
        <w:t>,</w:t>
      </w:r>
      <w:r w:rsidR="00F544D7" w:rsidRPr="00F544D7">
        <w:rPr>
          <w:szCs w:val="26"/>
        </w:rPr>
        <w:t xml:space="preserve"> the Commission are </w:t>
      </w:r>
      <w:r w:rsidR="00F544D7" w:rsidRPr="00B81C61">
        <w:rPr>
          <w:i/>
          <w:szCs w:val="26"/>
        </w:rPr>
        <w:t>prima facie</w:t>
      </w:r>
      <w:r w:rsidR="00F544D7" w:rsidRPr="00F544D7">
        <w:rPr>
          <w:szCs w:val="26"/>
        </w:rPr>
        <w:t xml:space="preserve"> reasonable.  The Commission concluded that Respond was</w:t>
      </w:r>
      <w:r w:rsidR="008C4408">
        <w:rPr>
          <w:szCs w:val="26"/>
        </w:rPr>
        <w:t>, nevertheless,</w:t>
      </w:r>
      <w:r w:rsidR="00F544D7" w:rsidRPr="00F544D7">
        <w:rPr>
          <w:szCs w:val="26"/>
        </w:rPr>
        <w:t xml:space="preserve"> entitled to an opportunity to meet its burden of proof.</w:t>
      </w:r>
      <w:r w:rsidR="00344200">
        <w:rPr>
          <w:szCs w:val="26"/>
        </w:rPr>
        <w:t xml:space="preserve">  </w:t>
      </w:r>
      <w:r w:rsidR="008D1CBF">
        <w:rPr>
          <w:i/>
          <w:iCs/>
          <w:szCs w:val="26"/>
        </w:rPr>
        <w:t>Interlocutory Appeal</w:t>
      </w:r>
      <w:r w:rsidR="00344200" w:rsidRPr="00F544D7">
        <w:rPr>
          <w:i/>
          <w:color w:val="000000"/>
          <w:szCs w:val="26"/>
        </w:rPr>
        <w:t xml:space="preserve"> Order</w:t>
      </w:r>
      <w:r w:rsidR="00344200">
        <w:rPr>
          <w:color w:val="000000"/>
          <w:szCs w:val="26"/>
        </w:rPr>
        <w:t xml:space="preserve"> a</w:t>
      </w:r>
      <w:r w:rsidR="00CE637B">
        <w:rPr>
          <w:color w:val="000000"/>
          <w:szCs w:val="26"/>
        </w:rPr>
        <w:t>t 17-22.</w:t>
      </w:r>
    </w:p>
    <w:p w14:paraId="0FF3320A" w14:textId="77777777" w:rsidR="00F47A73" w:rsidRPr="00344200" w:rsidRDefault="00F47A73" w:rsidP="00CC0155">
      <w:pPr>
        <w:autoSpaceDE w:val="0"/>
        <w:autoSpaceDN w:val="0"/>
        <w:adjustRightInd w:val="0"/>
        <w:rPr>
          <w:szCs w:val="26"/>
        </w:rPr>
      </w:pPr>
    </w:p>
    <w:p w14:paraId="7FD36366" w14:textId="1417A6D5" w:rsidR="00F544D7" w:rsidRDefault="008960D4" w:rsidP="008D1CBF">
      <w:pPr>
        <w:autoSpaceDE w:val="0"/>
        <w:autoSpaceDN w:val="0"/>
        <w:adjustRightInd w:val="0"/>
        <w:rPr>
          <w:color w:val="000000"/>
          <w:szCs w:val="26"/>
        </w:rPr>
      </w:pPr>
      <w:r w:rsidRPr="008960D4">
        <w:rPr>
          <w:color w:val="000000"/>
          <w:szCs w:val="26"/>
        </w:rPr>
        <w:t xml:space="preserve">On October 27, 2017, Respond filed </w:t>
      </w:r>
      <w:r w:rsidR="00C04ECD">
        <w:rPr>
          <w:color w:val="000000"/>
          <w:szCs w:val="26"/>
        </w:rPr>
        <w:t xml:space="preserve">additional </w:t>
      </w:r>
      <w:r w:rsidR="008C4408">
        <w:rPr>
          <w:color w:val="000000"/>
          <w:szCs w:val="26"/>
        </w:rPr>
        <w:t>f</w:t>
      </w:r>
      <w:r w:rsidRPr="00E60D58">
        <w:rPr>
          <w:color w:val="000000"/>
          <w:szCs w:val="26"/>
        </w:rPr>
        <w:t>ormal C</w:t>
      </w:r>
      <w:r w:rsidRPr="008960D4">
        <w:rPr>
          <w:color w:val="000000"/>
          <w:szCs w:val="26"/>
        </w:rPr>
        <w:t xml:space="preserve">omplaints against West Penn and </w:t>
      </w:r>
      <w:proofErr w:type="spellStart"/>
      <w:r w:rsidRPr="008960D4">
        <w:rPr>
          <w:color w:val="000000"/>
          <w:szCs w:val="26"/>
        </w:rPr>
        <w:t>Penelec</w:t>
      </w:r>
      <w:proofErr w:type="spellEnd"/>
      <w:r w:rsidRPr="008960D4">
        <w:rPr>
          <w:color w:val="000000"/>
          <w:szCs w:val="26"/>
        </w:rPr>
        <w:t xml:space="preserve"> </w:t>
      </w:r>
      <w:r w:rsidR="00C04ECD">
        <w:rPr>
          <w:color w:val="000000"/>
          <w:szCs w:val="26"/>
        </w:rPr>
        <w:t>at D</w:t>
      </w:r>
      <w:r w:rsidRPr="008960D4">
        <w:rPr>
          <w:color w:val="000000"/>
          <w:szCs w:val="26"/>
        </w:rPr>
        <w:t>ocket</w:t>
      </w:r>
      <w:r w:rsidR="00C04ECD">
        <w:rPr>
          <w:color w:val="000000"/>
          <w:szCs w:val="26"/>
        </w:rPr>
        <w:t xml:space="preserve"> Nos. </w:t>
      </w:r>
      <w:r w:rsidRPr="008960D4">
        <w:rPr>
          <w:color w:val="000000"/>
          <w:szCs w:val="26"/>
        </w:rPr>
        <w:t>C-2017-2631326 and C-2017-2631331, respectively</w:t>
      </w:r>
      <w:r w:rsidR="00DE2276">
        <w:rPr>
          <w:color w:val="000000"/>
          <w:szCs w:val="26"/>
        </w:rPr>
        <w:t>,</w:t>
      </w:r>
      <w:r w:rsidR="00C04ECD">
        <w:rPr>
          <w:color w:val="000000"/>
          <w:szCs w:val="26"/>
        </w:rPr>
        <w:t xml:space="preserve"> </w:t>
      </w:r>
      <w:r w:rsidR="00C04ECD" w:rsidRPr="00C70EB8">
        <w:rPr>
          <w:color w:val="000000"/>
          <w:szCs w:val="26"/>
        </w:rPr>
        <w:t>(</w:t>
      </w:r>
      <w:r w:rsidR="00C04ECD" w:rsidRPr="00CD54F0">
        <w:rPr>
          <w:color w:val="000000"/>
          <w:szCs w:val="26"/>
        </w:rPr>
        <w:t>2017 Complaints)</w:t>
      </w:r>
      <w:r w:rsidR="006310FB">
        <w:rPr>
          <w:color w:val="000000"/>
          <w:szCs w:val="26"/>
        </w:rPr>
        <w:t xml:space="preserve"> objecting to the imposition of </w:t>
      </w:r>
      <w:proofErr w:type="spellStart"/>
      <w:r w:rsidR="006310FB">
        <w:rPr>
          <w:color w:val="000000"/>
          <w:szCs w:val="26"/>
        </w:rPr>
        <w:t>clawback</w:t>
      </w:r>
      <w:proofErr w:type="spellEnd"/>
      <w:r w:rsidR="006310FB">
        <w:rPr>
          <w:color w:val="000000"/>
          <w:szCs w:val="26"/>
        </w:rPr>
        <w:t xml:space="preserve"> charges</w:t>
      </w:r>
      <w:r w:rsidR="00806908">
        <w:rPr>
          <w:color w:val="000000"/>
          <w:szCs w:val="26"/>
        </w:rPr>
        <w:t xml:space="preserve"> assessed for a subsequent period</w:t>
      </w:r>
      <w:r w:rsidR="008C4408">
        <w:rPr>
          <w:color w:val="000000"/>
          <w:szCs w:val="26"/>
        </w:rPr>
        <w:t xml:space="preserve">.  The </w:t>
      </w:r>
      <w:r w:rsidR="008C4408" w:rsidRPr="00C70EB8">
        <w:rPr>
          <w:iCs/>
          <w:color w:val="000000"/>
          <w:szCs w:val="26"/>
        </w:rPr>
        <w:t>2017 Complaints</w:t>
      </w:r>
      <w:r w:rsidR="00F760D9">
        <w:rPr>
          <w:color w:val="000000"/>
          <w:szCs w:val="26"/>
        </w:rPr>
        <w:t xml:space="preserve"> </w:t>
      </w:r>
      <w:r w:rsidR="00F760D9" w:rsidRPr="00E60D58">
        <w:rPr>
          <w:szCs w:val="26"/>
        </w:rPr>
        <w:t>contain</w:t>
      </w:r>
      <w:r w:rsidR="008D1CBF">
        <w:rPr>
          <w:szCs w:val="26"/>
        </w:rPr>
        <w:t>ed</w:t>
      </w:r>
      <w:r w:rsidR="00F760D9" w:rsidRPr="00E60D58">
        <w:rPr>
          <w:szCs w:val="26"/>
        </w:rPr>
        <w:t xml:space="preserve"> </w:t>
      </w:r>
      <w:r w:rsidR="008D1CBF">
        <w:rPr>
          <w:szCs w:val="26"/>
        </w:rPr>
        <w:t xml:space="preserve">substantially similar </w:t>
      </w:r>
      <w:r w:rsidR="00F760D9" w:rsidRPr="00E60D58">
        <w:rPr>
          <w:szCs w:val="26"/>
        </w:rPr>
        <w:t xml:space="preserve">allegations </w:t>
      </w:r>
      <w:r w:rsidR="008D1CBF">
        <w:rPr>
          <w:szCs w:val="26"/>
        </w:rPr>
        <w:t>to</w:t>
      </w:r>
      <w:r w:rsidR="00F760D9" w:rsidRPr="00E60D58">
        <w:rPr>
          <w:szCs w:val="26"/>
        </w:rPr>
        <w:t xml:space="preserve"> the allegations in the 2016 Complaints</w:t>
      </w:r>
      <w:r w:rsidRPr="008960D4">
        <w:rPr>
          <w:color w:val="000000"/>
          <w:szCs w:val="26"/>
        </w:rPr>
        <w:t>.</w:t>
      </w:r>
      <w:r w:rsidRPr="00E60D58">
        <w:rPr>
          <w:color w:val="000000"/>
          <w:szCs w:val="26"/>
        </w:rPr>
        <w:t xml:space="preserve">  </w:t>
      </w:r>
      <w:r w:rsidR="008D1CBF">
        <w:rPr>
          <w:color w:val="000000"/>
          <w:szCs w:val="26"/>
        </w:rPr>
        <w:t>I</w:t>
      </w:r>
      <w:r w:rsidR="00C04ECD">
        <w:rPr>
          <w:color w:val="000000"/>
          <w:szCs w:val="26"/>
        </w:rPr>
        <w:t xml:space="preserve">n </w:t>
      </w:r>
      <w:r w:rsidR="008D1CBF">
        <w:rPr>
          <w:color w:val="000000"/>
          <w:szCs w:val="26"/>
        </w:rPr>
        <w:t>the</w:t>
      </w:r>
      <w:r w:rsidR="00C04ECD">
        <w:rPr>
          <w:color w:val="000000"/>
          <w:szCs w:val="26"/>
        </w:rPr>
        <w:t xml:space="preserve"> </w:t>
      </w:r>
      <w:r w:rsidRPr="00C70EB8">
        <w:rPr>
          <w:iCs/>
          <w:color w:val="000000"/>
          <w:szCs w:val="26"/>
        </w:rPr>
        <w:t>2017 Complaints</w:t>
      </w:r>
      <w:r w:rsidR="008D1CBF" w:rsidRPr="00CD54F0">
        <w:rPr>
          <w:iCs/>
          <w:color w:val="000000"/>
          <w:szCs w:val="26"/>
        </w:rPr>
        <w:t>,</w:t>
      </w:r>
      <w:r w:rsidR="008D1CBF">
        <w:rPr>
          <w:color w:val="000000"/>
          <w:szCs w:val="26"/>
        </w:rPr>
        <w:t xml:space="preserve"> Respond</w:t>
      </w:r>
      <w:r w:rsidRPr="008960D4">
        <w:rPr>
          <w:color w:val="000000"/>
          <w:szCs w:val="26"/>
        </w:rPr>
        <w:t xml:space="preserve"> </w:t>
      </w:r>
      <w:r w:rsidR="008D1CBF">
        <w:rPr>
          <w:color w:val="000000"/>
          <w:szCs w:val="26"/>
        </w:rPr>
        <w:t xml:space="preserve">objected </w:t>
      </w:r>
      <w:r w:rsidRPr="008960D4">
        <w:rPr>
          <w:color w:val="000000"/>
          <w:szCs w:val="26"/>
        </w:rPr>
        <w:t xml:space="preserve">that </w:t>
      </w:r>
      <w:r w:rsidR="00E60D58" w:rsidRPr="00E60D58">
        <w:rPr>
          <w:color w:val="000000"/>
          <w:szCs w:val="26"/>
        </w:rPr>
        <w:t>the Companies</w:t>
      </w:r>
      <w:r w:rsidRPr="008960D4">
        <w:rPr>
          <w:color w:val="000000"/>
          <w:szCs w:val="26"/>
        </w:rPr>
        <w:t xml:space="preserve"> </w:t>
      </w:r>
      <w:r w:rsidR="008D1CBF">
        <w:rPr>
          <w:color w:val="000000"/>
          <w:szCs w:val="26"/>
        </w:rPr>
        <w:t>we</w:t>
      </w:r>
      <w:r w:rsidRPr="008960D4">
        <w:rPr>
          <w:color w:val="000000"/>
          <w:szCs w:val="26"/>
        </w:rPr>
        <w:t xml:space="preserve">re threatening to withhold POR payments totaling $211,012.54 from Respond (2017 </w:t>
      </w:r>
      <w:proofErr w:type="spellStart"/>
      <w:r w:rsidRPr="008960D4">
        <w:rPr>
          <w:color w:val="000000"/>
          <w:szCs w:val="26"/>
        </w:rPr>
        <w:t>clawback</w:t>
      </w:r>
      <w:proofErr w:type="spellEnd"/>
      <w:r w:rsidRPr="008960D4">
        <w:rPr>
          <w:color w:val="000000"/>
          <w:szCs w:val="26"/>
        </w:rPr>
        <w:t xml:space="preserve"> charges).</w:t>
      </w:r>
      <w:r w:rsidR="00FC3006">
        <w:rPr>
          <w:rStyle w:val="FootnoteReference"/>
          <w:color w:val="000000"/>
          <w:szCs w:val="26"/>
        </w:rPr>
        <w:footnoteReference w:id="16"/>
      </w:r>
    </w:p>
    <w:p w14:paraId="6B9941FA" w14:textId="77777777" w:rsidR="008D1CBF" w:rsidRDefault="008D1CBF" w:rsidP="008D1CBF">
      <w:pPr>
        <w:autoSpaceDE w:val="0"/>
        <w:autoSpaceDN w:val="0"/>
        <w:adjustRightInd w:val="0"/>
        <w:rPr>
          <w:szCs w:val="26"/>
        </w:rPr>
      </w:pPr>
    </w:p>
    <w:p w14:paraId="718512D2" w14:textId="6A67F47F" w:rsidR="00443D9F" w:rsidRDefault="00443D9F" w:rsidP="00CC0155">
      <w:pPr>
        <w:rPr>
          <w:szCs w:val="26"/>
        </w:rPr>
      </w:pPr>
      <w:r w:rsidRPr="00443D9F">
        <w:rPr>
          <w:szCs w:val="26"/>
        </w:rPr>
        <w:t xml:space="preserve">On November 8, 2017, the Commission consolidated the 2016 Complaints and the </w:t>
      </w:r>
      <w:r w:rsidRPr="00C70EB8">
        <w:rPr>
          <w:iCs/>
          <w:szCs w:val="26"/>
        </w:rPr>
        <w:t>2017 Complaints</w:t>
      </w:r>
      <w:r w:rsidRPr="00443D9F">
        <w:rPr>
          <w:szCs w:val="26"/>
        </w:rPr>
        <w:t xml:space="preserve"> for purposes of hearing and decision</w:t>
      </w:r>
      <w:r w:rsidR="0011500F">
        <w:rPr>
          <w:szCs w:val="26"/>
        </w:rPr>
        <w:t xml:space="preserve">.  </w:t>
      </w:r>
      <w:r w:rsidR="0011500F">
        <w:rPr>
          <w:i/>
          <w:iCs/>
          <w:szCs w:val="26"/>
        </w:rPr>
        <w:t xml:space="preserve">See </w:t>
      </w:r>
      <w:r w:rsidRPr="00443D9F">
        <w:rPr>
          <w:szCs w:val="26"/>
        </w:rPr>
        <w:t>52 Pa. Code § 5.81.</w:t>
      </w:r>
    </w:p>
    <w:p w14:paraId="192FFE00" w14:textId="77777777" w:rsidR="00B2060F" w:rsidRDefault="00B2060F" w:rsidP="00CC0155">
      <w:pPr>
        <w:rPr>
          <w:szCs w:val="26"/>
        </w:rPr>
      </w:pPr>
    </w:p>
    <w:p w14:paraId="612FF547" w14:textId="77777777" w:rsidR="00E8329C" w:rsidRDefault="00E8329C" w:rsidP="00CC0155">
      <w:pPr>
        <w:rPr>
          <w:szCs w:val="26"/>
        </w:rPr>
      </w:pPr>
      <w:r w:rsidRPr="00E8329C">
        <w:rPr>
          <w:szCs w:val="26"/>
        </w:rPr>
        <w:t xml:space="preserve">On November 20, 2017, the Companies filed Answers with New Matter to the </w:t>
      </w:r>
      <w:r w:rsidRPr="00C70EB8">
        <w:rPr>
          <w:iCs/>
          <w:szCs w:val="26"/>
        </w:rPr>
        <w:t>2017 Complaints</w:t>
      </w:r>
      <w:r w:rsidRPr="00E8329C">
        <w:rPr>
          <w:szCs w:val="26"/>
        </w:rPr>
        <w:t>.  The Answers with New Matter contain</w:t>
      </w:r>
      <w:r w:rsidR="008D1CBF">
        <w:rPr>
          <w:szCs w:val="26"/>
        </w:rPr>
        <w:t>ed</w:t>
      </w:r>
      <w:r w:rsidRPr="00E8329C">
        <w:rPr>
          <w:szCs w:val="26"/>
        </w:rPr>
        <w:t xml:space="preserve"> </w:t>
      </w:r>
      <w:r w:rsidR="003345F8">
        <w:rPr>
          <w:szCs w:val="26"/>
        </w:rPr>
        <w:t>responses</w:t>
      </w:r>
      <w:r w:rsidRPr="00E8329C">
        <w:rPr>
          <w:szCs w:val="26"/>
        </w:rPr>
        <w:t xml:space="preserve"> </w:t>
      </w:r>
      <w:r w:rsidR="00310AF6">
        <w:rPr>
          <w:szCs w:val="26"/>
        </w:rPr>
        <w:t>sub</w:t>
      </w:r>
      <w:r w:rsidRPr="00E8329C">
        <w:rPr>
          <w:szCs w:val="26"/>
        </w:rPr>
        <w:t>s</w:t>
      </w:r>
      <w:r w:rsidR="00310AF6">
        <w:rPr>
          <w:szCs w:val="26"/>
        </w:rPr>
        <w:t>tantially s</w:t>
      </w:r>
      <w:r w:rsidRPr="00E8329C">
        <w:rPr>
          <w:szCs w:val="26"/>
        </w:rPr>
        <w:t>imilar to the Answers with New Matter filed in response to the 2016 Complaints.</w:t>
      </w:r>
    </w:p>
    <w:p w14:paraId="07E1963D" w14:textId="77777777" w:rsidR="00FC08AF" w:rsidRDefault="00FC08AF" w:rsidP="00CC0155">
      <w:pPr>
        <w:rPr>
          <w:szCs w:val="26"/>
        </w:rPr>
      </w:pPr>
    </w:p>
    <w:p w14:paraId="744D55C8" w14:textId="77777777" w:rsidR="009A6E85" w:rsidRDefault="009A6E85" w:rsidP="00CC0155">
      <w:pPr>
        <w:rPr>
          <w:szCs w:val="26"/>
        </w:rPr>
      </w:pPr>
      <w:r w:rsidRPr="009A6E85">
        <w:rPr>
          <w:szCs w:val="26"/>
        </w:rPr>
        <w:t>On December 8, 2017, Respond filed Replies to the New Matter of the Companies.</w:t>
      </w:r>
      <w:r w:rsidR="003E26F6">
        <w:rPr>
          <w:szCs w:val="26"/>
        </w:rPr>
        <w:t xml:space="preserve">  </w:t>
      </w:r>
      <w:r w:rsidRPr="009A6E85">
        <w:rPr>
          <w:szCs w:val="26"/>
        </w:rPr>
        <w:t>The responses to New Matter contain</w:t>
      </w:r>
      <w:r w:rsidR="0011500F">
        <w:rPr>
          <w:szCs w:val="26"/>
        </w:rPr>
        <w:t>ed</w:t>
      </w:r>
      <w:r w:rsidRPr="009A6E85">
        <w:rPr>
          <w:szCs w:val="26"/>
        </w:rPr>
        <w:t xml:space="preserve"> a</w:t>
      </w:r>
      <w:r w:rsidR="006310FB">
        <w:rPr>
          <w:szCs w:val="26"/>
        </w:rPr>
        <w:t>verments</w:t>
      </w:r>
      <w:r w:rsidRPr="009A6E85">
        <w:rPr>
          <w:szCs w:val="26"/>
        </w:rPr>
        <w:t xml:space="preserve"> </w:t>
      </w:r>
      <w:r w:rsidR="001E11E6">
        <w:rPr>
          <w:szCs w:val="26"/>
        </w:rPr>
        <w:t xml:space="preserve">substantially </w:t>
      </w:r>
      <w:r w:rsidRPr="009A6E85">
        <w:rPr>
          <w:szCs w:val="26"/>
        </w:rPr>
        <w:t>similar to the responses to New Matter filed in the 2016 Complaints proceedings.</w:t>
      </w:r>
    </w:p>
    <w:p w14:paraId="55E0DFA1" w14:textId="77777777" w:rsidR="00A51CF6" w:rsidRDefault="00A51CF6" w:rsidP="00CC0155">
      <w:pPr>
        <w:rPr>
          <w:szCs w:val="26"/>
        </w:rPr>
      </w:pPr>
    </w:p>
    <w:p w14:paraId="2EEFF4A3" w14:textId="77777777" w:rsidR="00C60767" w:rsidRDefault="00A51CF6" w:rsidP="00CC0155">
      <w:pPr>
        <w:rPr>
          <w:szCs w:val="26"/>
        </w:rPr>
      </w:pPr>
      <w:r>
        <w:rPr>
          <w:szCs w:val="26"/>
        </w:rPr>
        <w:lastRenderedPageBreak/>
        <w:t xml:space="preserve">On February 1, 2018, the </w:t>
      </w:r>
      <w:r w:rsidR="008D1CBF">
        <w:rPr>
          <w:szCs w:val="26"/>
        </w:rPr>
        <w:t xml:space="preserve">presiding </w:t>
      </w:r>
      <w:r>
        <w:rPr>
          <w:szCs w:val="26"/>
        </w:rPr>
        <w:t>ALJ conducted evidentiary hearing</w:t>
      </w:r>
      <w:r w:rsidR="008D1CBF">
        <w:rPr>
          <w:szCs w:val="26"/>
        </w:rPr>
        <w:t>s</w:t>
      </w:r>
      <w:r w:rsidR="006310FB">
        <w:rPr>
          <w:szCs w:val="26"/>
        </w:rPr>
        <w:t xml:space="preserve"> on the consolidated complaints</w:t>
      </w:r>
      <w:r w:rsidR="008D1CBF">
        <w:rPr>
          <w:szCs w:val="26"/>
        </w:rPr>
        <w:t>.</w:t>
      </w:r>
      <w:r>
        <w:rPr>
          <w:szCs w:val="26"/>
        </w:rPr>
        <w:t xml:space="preserve"> </w:t>
      </w:r>
    </w:p>
    <w:p w14:paraId="4688E030" w14:textId="77777777" w:rsidR="008D1CBF" w:rsidRDefault="008D1CBF" w:rsidP="00CC0155">
      <w:pPr>
        <w:rPr>
          <w:szCs w:val="26"/>
        </w:rPr>
      </w:pPr>
    </w:p>
    <w:p w14:paraId="0C0D7C83" w14:textId="77777777" w:rsidR="008E0495" w:rsidRPr="00E36BFF" w:rsidRDefault="00C60767" w:rsidP="00E72A18">
      <w:pPr>
        <w:rPr>
          <w:szCs w:val="26"/>
        </w:rPr>
      </w:pPr>
      <w:r w:rsidRPr="007F0B54">
        <w:rPr>
          <w:szCs w:val="26"/>
        </w:rPr>
        <w:t xml:space="preserve">On February 5, 2018, Respond filed a </w:t>
      </w:r>
      <w:r w:rsidR="007F0B54" w:rsidRPr="007F0B54">
        <w:rPr>
          <w:szCs w:val="26"/>
        </w:rPr>
        <w:t>P</w:t>
      </w:r>
      <w:r w:rsidRPr="007F0B54">
        <w:rPr>
          <w:szCs w:val="26"/>
        </w:rPr>
        <w:t xml:space="preserve">etition to </w:t>
      </w:r>
      <w:r w:rsidR="007F0B54" w:rsidRPr="007F0B54">
        <w:rPr>
          <w:szCs w:val="26"/>
        </w:rPr>
        <w:t>R</w:t>
      </w:r>
      <w:r w:rsidRPr="007F0B54">
        <w:rPr>
          <w:szCs w:val="26"/>
        </w:rPr>
        <w:t xml:space="preserve">eopen the </w:t>
      </w:r>
      <w:r w:rsidR="007F0B54" w:rsidRPr="007F0B54">
        <w:rPr>
          <w:szCs w:val="26"/>
        </w:rPr>
        <w:t>R</w:t>
      </w:r>
      <w:r w:rsidRPr="007F0B54">
        <w:rPr>
          <w:szCs w:val="26"/>
        </w:rPr>
        <w:t>ecord</w:t>
      </w:r>
      <w:r w:rsidR="007F0B54" w:rsidRPr="007F0B54">
        <w:rPr>
          <w:szCs w:val="26"/>
        </w:rPr>
        <w:t xml:space="preserve"> (PRR)</w:t>
      </w:r>
      <w:r w:rsidRPr="007F0B54">
        <w:rPr>
          <w:szCs w:val="26"/>
        </w:rPr>
        <w:t>.</w:t>
      </w:r>
      <w:r w:rsidR="007F0B54" w:rsidRPr="007F0B54">
        <w:rPr>
          <w:szCs w:val="26"/>
        </w:rPr>
        <w:t xml:space="preserve">  </w:t>
      </w:r>
      <w:r w:rsidR="00C97981" w:rsidRPr="00E36BFF">
        <w:rPr>
          <w:szCs w:val="26"/>
        </w:rPr>
        <w:t xml:space="preserve">On February 15, 2018, the Companies filed an Answer to </w:t>
      </w:r>
      <w:r w:rsidR="00865172">
        <w:rPr>
          <w:szCs w:val="26"/>
        </w:rPr>
        <w:t xml:space="preserve">the </w:t>
      </w:r>
      <w:r w:rsidR="00C97981" w:rsidRPr="00E36BFF">
        <w:rPr>
          <w:szCs w:val="26"/>
        </w:rPr>
        <w:t xml:space="preserve">PRR.  The Answer </w:t>
      </w:r>
      <w:r w:rsidR="00E72A18">
        <w:rPr>
          <w:szCs w:val="26"/>
        </w:rPr>
        <w:t>advised</w:t>
      </w:r>
      <w:r w:rsidR="0011500F">
        <w:rPr>
          <w:szCs w:val="26"/>
        </w:rPr>
        <w:t>, and subsequent developments confirmed,</w:t>
      </w:r>
      <w:r w:rsidR="00E72A18">
        <w:rPr>
          <w:szCs w:val="26"/>
        </w:rPr>
        <w:t xml:space="preserve"> that the issues raised were resolved to the satisfaction of counsel for the Parties. </w:t>
      </w:r>
    </w:p>
    <w:p w14:paraId="7C6E76B7" w14:textId="77777777" w:rsidR="00974FE3" w:rsidRDefault="00974FE3" w:rsidP="00CC0155">
      <w:pPr>
        <w:rPr>
          <w:szCs w:val="26"/>
        </w:rPr>
      </w:pPr>
    </w:p>
    <w:p w14:paraId="34CD5579" w14:textId="4B9FCA3C" w:rsidR="00455CCA" w:rsidRDefault="00551F3C" w:rsidP="00E72A18">
      <w:pPr>
        <w:rPr>
          <w:szCs w:val="26"/>
        </w:rPr>
      </w:pPr>
      <w:r w:rsidRPr="00551F3C">
        <w:rPr>
          <w:szCs w:val="26"/>
        </w:rPr>
        <w:t>On March 16, 2018, Respond</w:t>
      </w:r>
      <w:r w:rsidR="00B17BB9">
        <w:rPr>
          <w:szCs w:val="26"/>
        </w:rPr>
        <w:t xml:space="preserve"> and the Companies</w:t>
      </w:r>
      <w:r w:rsidRPr="00551F3C">
        <w:rPr>
          <w:szCs w:val="26"/>
        </w:rPr>
        <w:t xml:space="preserve"> filed</w:t>
      </w:r>
      <w:r w:rsidR="00D90212">
        <w:rPr>
          <w:szCs w:val="26"/>
        </w:rPr>
        <w:t xml:space="preserve"> </w:t>
      </w:r>
      <w:r w:rsidRPr="00551F3C">
        <w:rPr>
          <w:szCs w:val="26"/>
        </w:rPr>
        <w:t xml:space="preserve">Briefs.  The other </w:t>
      </w:r>
      <w:r w:rsidR="0011500F">
        <w:rPr>
          <w:szCs w:val="26"/>
        </w:rPr>
        <w:t>P</w:t>
      </w:r>
      <w:r w:rsidRPr="00551F3C">
        <w:rPr>
          <w:szCs w:val="26"/>
        </w:rPr>
        <w:t>arties</w:t>
      </w:r>
      <w:r w:rsidR="004F317B">
        <w:rPr>
          <w:szCs w:val="26"/>
        </w:rPr>
        <w:t xml:space="preserve"> to th</w:t>
      </w:r>
      <w:r w:rsidR="0011500F">
        <w:rPr>
          <w:szCs w:val="26"/>
        </w:rPr>
        <w:t>e</w:t>
      </w:r>
      <w:r w:rsidR="004F317B">
        <w:rPr>
          <w:szCs w:val="26"/>
        </w:rPr>
        <w:t xml:space="preserve"> proceeding</w:t>
      </w:r>
      <w:r w:rsidR="0011500F">
        <w:rPr>
          <w:szCs w:val="26"/>
        </w:rPr>
        <w:t>s</w:t>
      </w:r>
      <w:r w:rsidR="004F317B">
        <w:rPr>
          <w:szCs w:val="26"/>
        </w:rPr>
        <w:t xml:space="preserve"> </w:t>
      </w:r>
      <w:r w:rsidRPr="00551F3C">
        <w:rPr>
          <w:szCs w:val="26"/>
        </w:rPr>
        <w:t>did not file</w:t>
      </w:r>
      <w:r w:rsidR="00D90212">
        <w:rPr>
          <w:szCs w:val="26"/>
        </w:rPr>
        <w:t xml:space="preserve"> </w:t>
      </w:r>
      <w:r w:rsidRPr="00551F3C">
        <w:rPr>
          <w:szCs w:val="26"/>
        </w:rPr>
        <w:t>Briefs</w:t>
      </w:r>
      <w:r>
        <w:rPr>
          <w:szCs w:val="26"/>
        </w:rPr>
        <w:t xml:space="preserve">.  </w:t>
      </w:r>
      <w:r w:rsidRPr="00551F3C">
        <w:rPr>
          <w:szCs w:val="26"/>
        </w:rPr>
        <w:t xml:space="preserve">On March 30, 2018, </w:t>
      </w:r>
      <w:r>
        <w:rPr>
          <w:szCs w:val="26"/>
        </w:rPr>
        <w:t>the record in th</w:t>
      </w:r>
      <w:r w:rsidR="00E72A18">
        <w:rPr>
          <w:szCs w:val="26"/>
        </w:rPr>
        <w:t>e</w:t>
      </w:r>
      <w:r>
        <w:rPr>
          <w:szCs w:val="26"/>
        </w:rPr>
        <w:t xml:space="preserve"> proceeding</w:t>
      </w:r>
      <w:r w:rsidR="00E72A18">
        <w:rPr>
          <w:szCs w:val="26"/>
        </w:rPr>
        <w:t>s</w:t>
      </w:r>
      <w:r>
        <w:rPr>
          <w:szCs w:val="26"/>
        </w:rPr>
        <w:t xml:space="preserve"> was closed after </w:t>
      </w:r>
      <w:r w:rsidRPr="00551F3C">
        <w:rPr>
          <w:szCs w:val="26"/>
        </w:rPr>
        <w:t>Respond</w:t>
      </w:r>
      <w:r w:rsidR="00B17BB9">
        <w:rPr>
          <w:szCs w:val="26"/>
        </w:rPr>
        <w:t xml:space="preserve"> and the Companies </w:t>
      </w:r>
      <w:r w:rsidRPr="00551F3C">
        <w:rPr>
          <w:szCs w:val="26"/>
        </w:rPr>
        <w:t xml:space="preserve">filed </w:t>
      </w:r>
      <w:r>
        <w:rPr>
          <w:szCs w:val="26"/>
        </w:rPr>
        <w:t>R</w:t>
      </w:r>
      <w:r w:rsidRPr="00551F3C">
        <w:rPr>
          <w:szCs w:val="26"/>
        </w:rPr>
        <w:t xml:space="preserve">eply </w:t>
      </w:r>
      <w:r>
        <w:rPr>
          <w:szCs w:val="26"/>
        </w:rPr>
        <w:t>B</w:t>
      </w:r>
      <w:r w:rsidRPr="00551F3C">
        <w:rPr>
          <w:szCs w:val="26"/>
        </w:rPr>
        <w:t xml:space="preserve">riefs. </w:t>
      </w:r>
    </w:p>
    <w:p w14:paraId="4C1E4BD8" w14:textId="77777777" w:rsidR="00F17906" w:rsidRPr="00117CC1" w:rsidRDefault="00F17906" w:rsidP="00E72A18">
      <w:pPr>
        <w:rPr>
          <w:szCs w:val="26"/>
        </w:rPr>
      </w:pPr>
    </w:p>
    <w:p w14:paraId="0656D368" w14:textId="6712D970" w:rsidR="00011FCB" w:rsidRDefault="00735037" w:rsidP="00CC0155">
      <w:pPr>
        <w:tabs>
          <w:tab w:val="left" w:pos="-720"/>
        </w:tabs>
        <w:suppressAutoHyphens/>
        <w:rPr>
          <w:spacing w:val="-3"/>
        </w:rPr>
      </w:pPr>
      <w:r>
        <w:rPr>
          <w:spacing w:val="-3"/>
        </w:rPr>
        <w:t xml:space="preserve">On April 20, 2018, the Commission issued the </w:t>
      </w:r>
      <w:r w:rsidR="0011500F">
        <w:rPr>
          <w:spacing w:val="-3"/>
        </w:rPr>
        <w:t>I</w:t>
      </w:r>
      <w:r w:rsidR="001E11E6">
        <w:rPr>
          <w:spacing w:val="-3"/>
        </w:rPr>
        <w:t xml:space="preserve">nitial </w:t>
      </w:r>
      <w:r w:rsidR="0011500F">
        <w:rPr>
          <w:spacing w:val="-3"/>
        </w:rPr>
        <w:t>D</w:t>
      </w:r>
      <w:r w:rsidR="001E11E6">
        <w:rPr>
          <w:spacing w:val="-3"/>
        </w:rPr>
        <w:t>ecis</w:t>
      </w:r>
      <w:r w:rsidR="004F315D">
        <w:rPr>
          <w:spacing w:val="-3"/>
        </w:rPr>
        <w:t>i</w:t>
      </w:r>
      <w:r w:rsidR="001E11E6">
        <w:rPr>
          <w:spacing w:val="-3"/>
        </w:rPr>
        <w:t>on</w:t>
      </w:r>
      <w:r w:rsidR="0011500F">
        <w:rPr>
          <w:spacing w:val="-3"/>
        </w:rPr>
        <w:t xml:space="preserve"> </w:t>
      </w:r>
      <w:r>
        <w:rPr>
          <w:spacing w:val="-3"/>
        </w:rPr>
        <w:t xml:space="preserve">of </w:t>
      </w:r>
      <w:r w:rsidR="00DB1097" w:rsidRPr="00117CC1">
        <w:rPr>
          <w:spacing w:val="-3"/>
        </w:rPr>
        <w:t>ALJ</w:t>
      </w:r>
      <w:r w:rsidR="00011FCB">
        <w:rPr>
          <w:spacing w:val="-3"/>
        </w:rPr>
        <w:t xml:space="preserve"> </w:t>
      </w:r>
      <w:r w:rsidR="00557A26">
        <w:rPr>
          <w:spacing w:val="-3"/>
        </w:rPr>
        <w:t>Salapa</w:t>
      </w:r>
      <w:r w:rsidR="00E72A18">
        <w:rPr>
          <w:spacing w:val="-3"/>
        </w:rPr>
        <w:t>.</w:t>
      </w:r>
      <w:r w:rsidR="00E72A18">
        <w:rPr>
          <w:rStyle w:val="FootnoteReference"/>
          <w:spacing w:val="-3"/>
        </w:rPr>
        <w:footnoteReference w:id="17"/>
      </w:r>
      <w:r w:rsidR="00557A26">
        <w:rPr>
          <w:spacing w:val="-3"/>
        </w:rPr>
        <w:t xml:space="preserve"> </w:t>
      </w:r>
      <w:r w:rsidR="004F315D">
        <w:rPr>
          <w:spacing w:val="-3"/>
        </w:rPr>
        <w:t xml:space="preserve"> </w:t>
      </w:r>
      <w:r w:rsidR="00E72A18">
        <w:rPr>
          <w:spacing w:val="-3"/>
        </w:rPr>
        <w:t>ALJ Salapa recommended that R</w:t>
      </w:r>
      <w:r w:rsidR="00011FCB">
        <w:rPr>
          <w:spacing w:val="-3"/>
        </w:rPr>
        <w:t>espond</w:t>
      </w:r>
      <w:r w:rsidR="004F315D">
        <w:rPr>
          <w:spacing w:val="-3"/>
        </w:rPr>
        <w:t>’s</w:t>
      </w:r>
      <w:r w:rsidR="00011FCB">
        <w:rPr>
          <w:spacing w:val="-3"/>
        </w:rPr>
        <w:t xml:space="preserve"> Complaints</w:t>
      </w:r>
      <w:r w:rsidR="00E72A18">
        <w:rPr>
          <w:spacing w:val="-3"/>
        </w:rPr>
        <w:t xml:space="preserve"> be dismissed and </w:t>
      </w:r>
      <w:r w:rsidR="003345F8">
        <w:rPr>
          <w:spacing w:val="-3"/>
        </w:rPr>
        <w:t>concluded that</w:t>
      </w:r>
      <w:r w:rsidR="00011FCB">
        <w:rPr>
          <w:spacing w:val="-3"/>
        </w:rPr>
        <w:t xml:space="preserve"> Respond failed to demonstrate</w:t>
      </w:r>
      <w:r w:rsidR="00806908">
        <w:rPr>
          <w:spacing w:val="-3"/>
        </w:rPr>
        <w:t>, by a preponderance of the evidence,</w:t>
      </w:r>
      <w:r w:rsidR="00011FCB">
        <w:rPr>
          <w:spacing w:val="-3"/>
        </w:rPr>
        <w:t xml:space="preserve"> that facts and circumstances ha</w:t>
      </w:r>
      <w:r w:rsidR="006310FB">
        <w:rPr>
          <w:spacing w:val="-3"/>
        </w:rPr>
        <w:t>d</w:t>
      </w:r>
      <w:r w:rsidR="00011FCB">
        <w:rPr>
          <w:spacing w:val="-3"/>
        </w:rPr>
        <w:t xml:space="preserve"> changed so drastically since</w:t>
      </w:r>
      <w:r w:rsidR="00557A26">
        <w:rPr>
          <w:spacing w:val="-3"/>
        </w:rPr>
        <w:t xml:space="preserve"> issuance of the </w:t>
      </w:r>
      <w:r w:rsidR="00557A26" w:rsidRPr="00557A26">
        <w:rPr>
          <w:i/>
          <w:spacing w:val="-3"/>
        </w:rPr>
        <w:t>Default Service Order</w:t>
      </w:r>
      <w:r w:rsidR="00D10F99">
        <w:rPr>
          <w:spacing w:val="-3"/>
        </w:rPr>
        <w:t>,</w:t>
      </w:r>
      <w:r w:rsidR="00E20227">
        <w:rPr>
          <w:spacing w:val="-3"/>
        </w:rPr>
        <w:t xml:space="preserve"> </w:t>
      </w:r>
      <w:r w:rsidR="00011FCB">
        <w:rPr>
          <w:spacing w:val="-3"/>
        </w:rPr>
        <w:t xml:space="preserve">so as to render application of the </w:t>
      </w:r>
      <w:proofErr w:type="spellStart"/>
      <w:r w:rsidR="00011FCB">
        <w:rPr>
          <w:spacing w:val="-3"/>
        </w:rPr>
        <w:t>clawback</w:t>
      </w:r>
      <w:proofErr w:type="spellEnd"/>
      <w:r w:rsidR="00011FCB">
        <w:rPr>
          <w:spacing w:val="-3"/>
        </w:rPr>
        <w:t xml:space="preserve"> provision unreasonable</w:t>
      </w:r>
      <w:r w:rsidR="00E72A18">
        <w:rPr>
          <w:spacing w:val="-3"/>
        </w:rPr>
        <w:t>.  The ALJ also concluded</w:t>
      </w:r>
      <w:r w:rsidR="00A87EF4">
        <w:rPr>
          <w:spacing w:val="-3"/>
        </w:rPr>
        <w:t xml:space="preserve"> </w:t>
      </w:r>
      <w:r w:rsidR="00011FCB">
        <w:rPr>
          <w:spacing w:val="-3"/>
        </w:rPr>
        <w:t xml:space="preserve">that Respond failed to demonstrate that the Companies miscalculated the </w:t>
      </w:r>
      <w:proofErr w:type="spellStart"/>
      <w:r w:rsidR="00011FCB">
        <w:rPr>
          <w:spacing w:val="-3"/>
        </w:rPr>
        <w:t>clawback</w:t>
      </w:r>
      <w:proofErr w:type="spellEnd"/>
      <w:r w:rsidR="00011FCB">
        <w:rPr>
          <w:spacing w:val="-3"/>
        </w:rPr>
        <w:t xml:space="preserve"> charge</w:t>
      </w:r>
      <w:r w:rsidR="00503230">
        <w:rPr>
          <w:spacing w:val="-3"/>
        </w:rPr>
        <w:t>s</w:t>
      </w:r>
      <w:r w:rsidR="00011FCB">
        <w:rPr>
          <w:spacing w:val="-3"/>
        </w:rPr>
        <w:t xml:space="preserve">.  </w:t>
      </w:r>
      <w:r w:rsidR="001E11E6">
        <w:rPr>
          <w:i/>
          <w:iCs/>
          <w:spacing w:val="-3"/>
        </w:rPr>
        <w:t xml:space="preserve">See </w:t>
      </w:r>
      <w:r w:rsidR="00011FCB">
        <w:rPr>
          <w:spacing w:val="-3"/>
        </w:rPr>
        <w:t>I.D. at 2</w:t>
      </w:r>
      <w:r w:rsidR="001E11E6">
        <w:rPr>
          <w:spacing w:val="-3"/>
        </w:rPr>
        <w:t>;</w:t>
      </w:r>
      <w:r w:rsidR="00011FCB">
        <w:rPr>
          <w:spacing w:val="-3"/>
        </w:rPr>
        <w:t xml:space="preserve"> 37-38.</w:t>
      </w:r>
    </w:p>
    <w:p w14:paraId="4BF8F01B" w14:textId="77777777" w:rsidR="00EF5063" w:rsidRPr="00117CC1" w:rsidRDefault="00EF5063" w:rsidP="00CC0155">
      <w:pPr>
        <w:tabs>
          <w:tab w:val="left" w:pos="-720"/>
        </w:tabs>
        <w:suppressAutoHyphens/>
        <w:rPr>
          <w:spacing w:val="-3"/>
        </w:rPr>
      </w:pPr>
    </w:p>
    <w:p w14:paraId="282025E9" w14:textId="046E9A22" w:rsidR="002E7978" w:rsidRDefault="00011FCB" w:rsidP="00CC0155">
      <w:pPr>
        <w:tabs>
          <w:tab w:val="left" w:pos="-720"/>
        </w:tabs>
        <w:suppressAutoHyphens/>
        <w:rPr>
          <w:szCs w:val="26"/>
        </w:rPr>
      </w:pPr>
      <w:r>
        <w:rPr>
          <w:szCs w:val="26"/>
        </w:rPr>
        <w:t>Respond</w:t>
      </w:r>
      <w:r w:rsidR="00076645" w:rsidRPr="00117CC1">
        <w:rPr>
          <w:szCs w:val="26"/>
        </w:rPr>
        <w:t xml:space="preserve"> </w:t>
      </w:r>
      <w:r w:rsidR="00EF5063" w:rsidRPr="00117CC1">
        <w:rPr>
          <w:szCs w:val="26"/>
        </w:rPr>
        <w:t xml:space="preserve">filed Exceptions </w:t>
      </w:r>
      <w:r w:rsidR="00E72A18">
        <w:rPr>
          <w:szCs w:val="26"/>
        </w:rPr>
        <w:t xml:space="preserve">to the Initial Decision </w:t>
      </w:r>
      <w:r w:rsidR="00EB4486" w:rsidRPr="00117CC1">
        <w:rPr>
          <w:szCs w:val="26"/>
        </w:rPr>
        <w:t>on</w:t>
      </w:r>
      <w:r>
        <w:rPr>
          <w:szCs w:val="26"/>
        </w:rPr>
        <w:t xml:space="preserve"> May 10, 2018</w:t>
      </w:r>
      <w:r w:rsidR="00076645" w:rsidRPr="00117CC1">
        <w:rPr>
          <w:szCs w:val="26"/>
        </w:rPr>
        <w:t>.</w:t>
      </w:r>
      <w:r>
        <w:rPr>
          <w:szCs w:val="26"/>
        </w:rPr>
        <w:t xml:space="preserve">  The Companies </w:t>
      </w:r>
      <w:r w:rsidR="00EF5063" w:rsidRPr="00117CC1">
        <w:rPr>
          <w:szCs w:val="26"/>
        </w:rPr>
        <w:t xml:space="preserve">filed </w:t>
      </w:r>
      <w:r w:rsidR="0095325D" w:rsidRPr="00117CC1">
        <w:rPr>
          <w:szCs w:val="26"/>
        </w:rPr>
        <w:t>Replies to Exceptions on</w:t>
      </w:r>
      <w:r>
        <w:rPr>
          <w:szCs w:val="26"/>
        </w:rPr>
        <w:t xml:space="preserve"> May 21</w:t>
      </w:r>
      <w:r w:rsidR="00EF5063" w:rsidRPr="00117CC1">
        <w:rPr>
          <w:szCs w:val="26"/>
        </w:rPr>
        <w:t>, 201</w:t>
      </w:r>
      <w:r>
        <w:rPr>
          <w:szCs w:val="26"/>
        </w:rPr>
        <w:t>8</w:t>
      </w:r>
      <w:r w:rsidR="00EF5063" w:rsidRPr="00117CC1">
        <w:rPr>
          <w:szCs w:val="26"/>
        </w:rPr>
        <w:t>.</w:t>
      </w:r>
    </w:p>
    <w:p w14:paraId="745B16E9" w14:textId="77777777" w:rsidR="00E72A18" w:rsidRDefault="00E72A18" w:rsidP="00CC0155">
      <w:pPr>
        <w:tabs>
          <w:tab w:val="left" w:pos="-720"/>
        </w:tabs>
        <w:suppressAutoHyphens/>
        <w:rPr>
          <w:szCs w:val="26"/>
        </w:rPr>
      </w:pPr>
    </w:p>
    <w:p w14:paraId="658ADC7B" w14:textId="7494C849" w:rsidR="00E72A18" w:rsidRDefault="00E72A18" w:rsidP="005D7541">
      <w:pPr>
        <w:tabs>
          <w:tab w:val="left" w:pos="-720"/>
        </w:tabs>
        <w:suppressAutoHyphens/>
        <w:rPr>
          <w:szCs w:val="26"/>
        </w:rPr>
      </w:pPr>
      <w:r>
        <w:rPr>
          <w:szCs w:val="26"/>
        </w:rPr>
        <w:t xml:space="preserve">On June 13, 2019, the Commission entered </w:t>
      </w:r>
      <w:r w:rsidR="0011500F">
        <w:rPr>
          <w:szCs w:val="26"/>
        </w:rPr>
        <w:t>the</w:t>
      </w:r>
      <w:r w:rsidR="00806908">
        <w:rPr>
          <w:szCs w:val="26"/>
        </w:rPr>
        <w:t xml:space="preserve"> </w:t>
      </w:r>
      <w:r w:rsidR="00DB34AB">
        <w:rPr>
          <w:i/>
          <w:iCs/>
          <w:szCs w:val="26"/>
        </w:rPr>
        <w:t>June 2019 Order</w:t>
      </w:r>
      <w:r w:rsidR="00DC33AE">
        <w:rPr>
          <w:szCs w:val="26"/>
        </w:rPr>
        <w:t xml:space="preserve">.  In </w:t>
      </w:r>
      <w:r>
        <w:rPr>
          <w:szCs w:val="26"/>
        </w:rPr>
        <w:t xml:space="preserve">substantial part, the </w:t>
      </w:r>
      <w:r w:rsidR="00DC33AE">
        <w:rPr>
          <w:szCs w:val="26"/>
        </w:rPr>
        <w:t xml:space="preserve">Commission adopted the </w:t>
      </w:r>
      <w:r>
        <w:rPr>
          <w:szCs w:val="26"/>
        </w:rPr>
        <w:t>recommendations of ALJ Salapa.</w:t>
      </w:r>
      <w:bookmarkStart w:id="4" w:name="_Toc415316183"/>
    </w:p>
    <w:p w14:paraId="1B3953FF" w14:textId="77777777" w:rsidR="005D7541" w:rsidRDefault="005D7541" w:rsidP="005D7541">
      <w:pPr>
        <w:tabs>
          <w:tab w:val="left" w:pos="-720"/>
        </w:tabs>
        <w:suppressAutoHyphens/>
        <w:rPr>
          <w:szCs w:val="26"/>
        </w:rPr>
      </w:pPr>
    </w:p>
    <w:p w14:paraId="2B05722A" w14:textId="77777777" w:rsidR="00767179" w:rsidRPr="00117CC1" w:rsidRDefault="00767179" w:rsidP="00F71658">
      <w:pPr>
        <w:pStyle w:val="Heading1"/>
        <w:keepLines/>
        <w:spacing w:line="360" w:lineRule="auto"/>
      </w:pPr>
      <w:r w:rsidRPr="00117CC1">
        <w:lastRenderedPageBreak/>
        <w:t>Discussion</w:t>
      </w:r>
      <w:bookmarkEnd w:id="4"/>
    </w:p>
    <w:p w14:paraId="0AF98762" w14:textId="77777777" w:rsidR="00AE5D31" w:rsidRPr="00CA21AB" w:rsidRDefault="00AE5D31" w:rsidP="00F71658">
      <w:pPr>
        <w:pStyle w:val="Heading1"/>
        <w:keepLines/>
        <w:spacing w:line="360" w:lineRule="auto"/>
      </w:pPr>
    </w:p>
    <w:p w14:paraId="21CB7C94" w14:textId="77777777" w:rsidR="00E97404" w:rsidRPr="00117CC1" w:rsidRDefault="00AE5D31" w:rsidP="00F71658">
      <w:pPr>
        <w:pStyle w:val="Heading2"/>
        <w:keepLines/>
        <w:spacing w:line="360" w:lineRule="auto"/>
        <w:rPr>
          <w:sz w:val="26"/>
        </w:rPr>
      </w:pPr>
      <w:bookmarkStart w:id="5" w:name="_Toc415316184"/>
      <w:r w:rsidRPr="00117CC1">
        <w:rPr>
          <w:sz w:val="26"/>
        </w:rPr>
        <w:t>Legal Standards</w:t>
      </w:r>
      <w:bookmarkEnd w:id="5"/>
      <w:r w:rsidRPr="00117CC1">
        <w:rPr>
          <w:sz w:val="26"/>
        </w:rPr>
        <w:t xml:space="preserve"> </w:t>
      </w:r>
      <w:r w:rsidR="00C61EB8" w:rsidRPr="00117CC1">
        <w:rPr>
          <w:sz w:val="26"/>
        </w:rPr>
        <w:t xml:space="preserve"> </w:t>
      </w:r>
    </w:p>
    <w:p w14:paraId="1676FDEA" w14:textId="77777777" w:rsidR="00E97404" w:rsidRPr="00117CC1" w:rsidRDefault="00E97404" w:rsidP="00020398">
      <w:pPr>
        <w:keepNext/>
        <w:keepLines/>
        <w:tabs>
          <w:tab w:val="left" w:pos="-720"/>
        </w:tabs>
        <w:suppressAutoHyphens/>
        <w:ind w:right="144"/>
        <w:rPr>
          <w:rFonts w:eastAsia="Times New Roman"/>
          <w:szCs w:val="24"/>
        </w:rPr>
      </w:pPr>
    </w:p>
    <w:p w14:paraId="6DF7C86B" w14:textId="54651951" w:rsidR="00F131C4" w:rsidRPr="00117CC1" w:rsidRDefault="00BB6076" w:rsidP="00CC0155">
      <w:pPr>
        <w:rPr>
          <w:color w:val="000000"/>
          <w:szCs w:val="26"/>
        </w:rPr>
      </w:pPr>
      <w:r>
        <w:rPr>
          <w:color w:val="000000"/>
          <w:szCs w:val="26"/>
        </w:rPr>
        <w:t>Respond</w:t>
      </w:r>
      <w:r w:rsidR="00EB6F0C">
        <w:rPr>
          <w:color w:val="000000"/>
          <w:szCs w:val="26"/>
        </w:rPr>
        <w:t xml:space="preserve">, </w:t>
      </w:r>
      <w:r w:rsidR="00E72A18">
        <w:rPr>
          <w:color w:val="000000"/>
          <w:szCs w:val="26"/>
        </w:rPr>
        <w:t>through its Petition for Reconsideration, i</w:t>
      </w:r>
      <w:r w:rsidR="00EB6F0C">
        <w:rPr>
          <w:color w:val="000000"/>
          <w:szCs w:val="26"/>
        </w:rPr>
        <w:t>s the proponent of a rule or order from the Commission</w:t>
      </w:r>
      <w:r w:rsidR="00E72A18">
        <w:rPr>
          <w:color w:val="000000"/>
          <w:szCs w:val="26"/>
        </w:rPr>
        <w:t>.  Respond, therefore,</w:t>
      </w:r>
      <w:r w:rsidR="00F131C4" w:rsidRPr="00117CC1">
        <w:rPr>
          <w:color w:val="000000"/>
          <w:szCs w:val="26"/>
        </w:rPr>
        <w:t xml:space="preserve"> has the burden of proof to establish that it is entitled to the relief it is seeking.  66 Pa.</w:t>
      </w:r>
      <w:r w:rsidR="00015308">
        <w:rPr>
          <w:color w:val="000000"/>
          <w:szCs w:val="26"/>
        </w:rPr>
        <w:t xml:space="preserve"> </w:t>
      </w:r>
      <w:r w:rsidR="00F131C4" w:rsidRPr="00117CC1">
        <w:rPr>
          <w:color w:val="000000"/>
          <w:szCs w:val="26"/>
        </w:rPr>
        <w:t xml:space="preserve">C.S. § 332(a).  </w:t>
      </w:r>
      <w:r w:rsidR="00B10F82">
        <w:rPr>
          <w:color w:val="000000"/>
          <w:szCs w:val="26"/>
        </w:rPr>
        <w:t>Respond</w:t>
      </w:r>
      <w:r w:rsidR="00F131C4" w:rsidRPr="00117CC1">
        <w:rPr>
          <w:color w:val="000000"/>
          <w:szCs w:val="26"/>
        </w:rPr>
        <w:t xml:space="preserve"> must </w:t>
      </w:r>
      <w:r w:rsidR="000F2DE1">
        <w:rPr>
          <w:color w:val="000000"/>
          <w:szCs w:val="26"/>
        </w:rPr>
        <w:t>prove</w:t>
      </w:r>
      <w:r w:rsidR="00F131C4" w:rsidRPr="00117CC1">
        <w:rPr>
          <w:color w:val="000000"/>
          <w:szCs w:val="26"/>
        </w:rPr>
        <w:t xml:space="preserve"> its case by a preponderance of the evidence.  </w:t>
      </w:r>
      <w:r w:rsidR="00F131C4" w:rsidRPr="00117CC1">
        <w:rPr>
          <w:i/>
          <w:color w:val="000000"/>
          <w:szCs w:val="26"/>
        </w:rPr>
        <w:t xml:space="preserve">Samuel J. </w:t>
      </w:r>
      <w:proofErr w:type="spellStart"/>
      <w:r w:rsidR="00F131C4" w:rsidRPr="00117CC1">
        <w:rPr>
          <w:i/>
          <w:color w:val="000000"/>
          <w:szCs w:val="26"/>
        </w:rPr>
        <w:t>Lansberry</w:t>
      </w:r>
      <w:proofErr w:type="spellEnd"/>
      <w:r w:rsidR="00F131C4" w:rsidRPr="00117CC1">
        <w:rPr>
          <w:i/>
          <w:color w:val="000000"/>
          <w:szCs w:val="26"/>
        </w:rPr>
        <w:t>, Inc. v. Pa. PUC</w:t>
      </w:r>
      <w:r w:rsidR="00F131C4" w:rsidRPr="00117CC1">
        <w:rPr>
          <w:color w:val="000000"/>
          <w:szCs w:val="26"/>
        </w:rPr>
        <w:t xml:space="preserve">, 578 A.2d 600 (Pa. </w:t>
      </w:r>
      <w:proofErr w:type="spellStart"/>
      <w:r w:rsidR="00F131C4" w:rsidRPr="00117CC1">
        <w:rPr>
          <w:color w:val="000000"/>
          <w:szCs w:val="26"/>
        </w:rPr>
        <w:t>Cmwlth</w:t>
      </w:r>
      <w:proofErr w:type="spellEnd"/>
      <w:r w:rsidR="00F131C4" w:rsidRPr="00117CC1">
        <w:rPr>
          <w:color w:val="000000"/>
          <w:szCs w:val="26"/>
        </w:rPr>
        <w:t xml:space="preserve">. 1990), </w:t>
      </w:r>
      <w:proofErr w:type="spellStart"/>
      <w:r w:rsidR="00F131C4" w:rsidRPr="00117CC1">
        <w:rPr>
          <w:i/>
          <w:color w:val="000000"/>
          <w:szCs w:val="26"/>
        </w:rPr>
        <w:t>alloc</w:t>
      </w:r>
      <w:proofErr w:type="spellEnd"/>
      <w:r w:rsidR="00F131C4" w:rsidRPr="00117CC1">
        <w:rPr>
          <w:i/>
          <w:color w:val="000000"/>
          <w:szCs w:val="26"/>
        </w:rPr>
        <w:t>. den</w:t>
      </w:r>
      <w:r w:rsidR="00F131C4" w:rsidRPr="00117CC1">
        <w:rPr>
          <w:color w:val="000000"/>
          <w:szCs w:val="26"/>
        </w:rPr>
        <w:t>.,  602 A.2d 863 (</w:t>
      </w:r>
      <w:r w:rsidR="009C3E82">
        <w:rPr>
          <w:color w:val="000000"/>
          <w:szCs w:val="26"/>
        </w:rPr>
        <w:t xml:space="preserve">Pa. </w:t>
      </w:r>
      <w:r w:rsidR="00F131C4" w:rsidRPr="00117CC1">
        <w:rPr>
          <w:color w:val="000000"/>
          <w:szCs w:val="26"/>
        </w:rPr>
        <w:t xml:space="preserve">1992).  To meet its burden of proof, </w:t>
      </w:r>
      <w:r w:rsidR="00B10F82">
        <w:rPr>
          <w:color w:val="000000"/>
          <w:szCs w:val="26"/>
        </w:rPr>
        <w:t>Respond</w:t>
      </w:r>
      <w:r w:rsidR="00F131C4" w:rsidRPr="00117CC1">
        <w:rPr>
          <w:color w:val="000000"/>
          <w:szCs w:val="26"/>
        </w:rPr>
        <w:t xml:space="preserve"> must present evidence more convincing, by even the smallest amount, than that presented by any opposing party.  </w:t>
      </w:r>
      <w:r w:rsidR="00F131C4" w:rsidRPr="00117CC1">
        <w:rPr>
          <w:i/>
          <w:color w:val="000000"/>
          <w:szCs w:val="26"/>
        </w:rPr>
        <w:t>Se-Ling Hosiery, Inc. v. Margulies</w:t>
      </w:r>
      <w:r w:rsidR="00F131C4" w:rsidRPr="00117CC1">
        <w:rPr>
          <w:color w:val="000000"/>
          <w:szCs w:val="26"/>
        </w:rPr>
        <w:t>, 70 A.2d 854 (</w:t>
      </w:r>
      <w:r w:rsidR="009C3E82">
        <w:rPr>
          <w:color w:val="000000"/>
          <w:szCs w:val="26"/>
        </w:rPr>
        <w:t xml:space="preserve">Pa. </w:t>
      </w:r>
      <w:r w:rsidR="00F131C4" w:rsidRPr="00117CC1">
        <w:rPr>
          <w:color w:val="000000"/>
          <w:szCs w:val="26"/>
        </w:rPr>
        <w:t>1950).</w:t>
      </w:r>
    </w:p>
    <w:p w14:paraId="55D0A13A" w14:textId="77777777" w:rsidR="00F131C4" w:rsidRDefault="00F131C4" w:rsidP="00CC0155">
      <w:pPr>
        <w:rPr>
          <w:color w:val="000000"/>
          <w:szCs w:val="26"/>
        </w:rPr>
      </w:pPr>
    </w:p>
    <w:p w14:paraId="3FC602F7" w14:textId="72369D0C" w:rsidR="00EB70BB" w:rsidRPr="002E2E16" w:rsidRDefault="00EB70BB" w:rsidP="00EB70BB">
      <w:pPr>
        <w:rPr>
          <w:rFonts w:eastAsia="Times New Roman"/>
          <w:szCs w:val="26"/>
        </w:rPr>
      </w:pPr>
      <w:r>
        <w:rPr>
          <w:color w:val="000000"/>
          <w:szCs w:val="26"/>
        </w:rPr>
        <w:t xml:space="preserve">In addition to the allocation of the burden of proof, we must address the considerations governing petitions for reconsideration of a final Commission Order.  </w:t>
      </w:r>
      <w:r w:rsidRPr="002E2E16">
        <w:rPr>
          <w:rFonts w:eastAsia="Times New Roman"/>
          <w:szCs w:val="26"/>
        </w:rPr>
        <w:t>The Public Utility Code</w:t>
      </w:r>
      <w:r w:rsidR="00D66F72">
        <w:rPr>
          <w:rFonts w:eastAsia="Times New Roman"/>
          <w:szCs w:val="26"/>
        </w:rPr>
        <w:t xml:space="preserve"> (Code)</w:t>
      </w:r>
      <w:r>
        <w:rPr>
          <w:rFonts w:eastAsia="Times New Roman"/>
          <w:szCs w:val="26"/>
        </w:rPr>
        <w:t>, 66 Pa.</w:t>
      </w:r>
      <w:r w:rsidR="00015308">
        <w:rPr>
          <w:rFonts w:eastAsia="Times New Roman"/>
          <w:szCs w:val="26"/>
        </w:rPr>
        <w:t xml:space="preserve"> </w:t>
      </w:r>
      <w:r>
        <w:rPr>
          <w:rFonts w:eastAsia="Times New Roman"/>
          <w:szCs w:val="26"/>
        </w:rPr>
        <w:t xml:space="preserve">C.S. §§ 101, </w:t>
      </w:r>
      <w:r>
        <w:rPr>
          <w:rFonts w:eastAsia="Times New Roman"/>
          <w:i/>
          <w:iCs/>
          <w:szCs w:val="26"/>
        </w:rPr>
        <w:t>et seq.</w:t>
      </w:r>
      <w:r w:rsidRPr="002E2E16">
        <w:rPr>
          <w:rFonts w:eastAsia="Times New Roman"/>
          <w:szCs w:val="26"/>
        </w:rPr>
        <w:t xml:space="preserve"> establishes a party</w:t>
      </w:r>
      <w:r>
        <w:rPr>
          <w:rFonts w:eastAsia="Times New Roman"/>
          <w:szCs w:val="26"/>
        </w:rPr>
        <w:t>’</w:t>
      </w:r>
      <w:r w:rsidRPr="002E2E16">
        <w:rPr>
          <w:rFonts w:eastAsia="Times New Roman"/>
          <w:szCs w:val="26"/>
        </w:rPr>
        <w:t>s right to seek relief following the issuance of our final decisions pursuant to Subsections 703(f) and (g)</w:t>
      </w:r>
      <w:r>
        <w:rPr>
          <w:rFonts w:eastAsia="Times New Roman"/>
          <w:szCs w:val="26"/>
        </w:rPr>
        <w:t>,</w:t>
      </w:r>
      <w:r w:rsidRPr="002E2E16">
        <w:rPr>
          <w:rFonts w:eastAsia="Times New Roman"/>
          <w:szCs w:val="26"/>
        </w:rPr>
        <w:t xml:space="preserve"> </w:t>
      </w:r>
      <w:hyperlink r:id="rId11" w:history="1">
        <w:r w:rsidRPr="002E2E16">
          <w:rPr>
            <w:rFonts w:eastAsia="Times New Roman"/>
            <w:szCs w:val="26"/>
          </w:rPr>
          <w:t>66 Pa.</w:t>
        </w:r>
        <w:r w:rsidR="00015308">
          <w:rPr>
            <w:rFonts w:eastAsia="Times New Roman"/>
            <w:szCs w:val="26"/>
          </w:rPr>
          <w:t xml:space="preserve"> </w:t>
        </w:r>
        <w:r w:rsidRPr="002E2E16">
          <w:rPr>
            <w:rFonts w:eastAsia="Times New Roman"/>
            <w:szCs w:val="26"/>
          </w:rPr>
          <w:t xml:space="preserve">C.S. </w:t>
        </w:r>
        <w:r w:rsidR="00453056">
          <w:rPr>
            <w:rFonts w:eastAsia="Times New Roman"/>
            <w:szCs w:val="26"/>
          </w:rPr>
          <w:t>§</w:t>
        </w:r>
        <w:r w:rsidRPr="002E2E16">
          <w:rPr>
            <w:rFonts w:eastAsia="Times New Roman"/>
            <w:szCs w:val="26"/>
          </w:rPr>
          <w:t>§703(f) and (g)</w:t>
        </w:r>
      </w:hyperlink>
      <w:r w:rsidRPr="002E2E16">
        <w:rPr>
          <w:rFonts w:eastAsia="Times New Roman"/>
          <w:szCs w:val="26"/>
        </w:rPr>
        <w:t xml:space="preserve">, relating to </w:t>
      </w:r>
      <w:proofErr w:type="spellStart"/>
      <w:r w:rsidRPr="002E2E16">
        <w:rPr>
          <w:rFonts w:eastAsia="Times New Roman"/>
          <w:szCs w:val="26"/>
        </w:rPr>
        <w:t>rehearings</w:t>
      </w:r>
      <w:proofErr w:type="spellEnd"/>
      <w:r w:rsidRPr="002E2E16">
        <w:rPr>
          <w:rFonts w:eastAsia="Times New Roman"/>
          <w:szCs w:val="26"/>
        </w:rPr>
        <w:t xml:space="preserve">, rescission and amendment of orders. </w:t>
      </w:r>
      <w:r>
        <w:rPr>
          <w:rFonts w:eastAsia="Times New Roman"/>
          <w:szCs w:val="26"/>
        </w:rPr>
        <w:t xml:space="preserve"> </w:t>
      </w:r>
      <w:r w:rsidRPr="002E2E16">
        <w:rPr>
          <w:rFonts w:eastAsia="Times New Roman"/>
          <w:szCs w:val="26"/>
        </w:rPr>
        <w:t xml:space="preserve">Such requests for relief must be consistent with Section 5.572(b) of our Regulations, </w:t>
      </w:r>
      <w:hyperlink r:id="rId12" w:history="1">
        <w:r w:rsidRPr="002E2E16">
          <w:rPr>
            <w:rFonts w:eastAsia="Times New Roman"/>
            <w:szCs w:val="26"/>
          </w:rPr>
          <w:t>52</w:t>
        </w:r>
        <w:r w:rsidR="00015308">
          <w:rPr>
            <w:rFonts w:eastAsia="Times New Roman"/>
            <w:szCs w:val="26"/>
          </w:rPr>
          <w:t> </w:t>
        </w:r>
        <w:r w:rsidRPr="002E2E16">
          <w:rPr>
            <w:rFonts w:eastAsia="Times New Roman"/>
            <w:szCs w:val="26"/>
          </w:rPr>
          <w:t>Pa. Code §5.572(b)</w:t>
        </w:r>
      </w:hyperlink>
      <w:r w:rsidRPr="002E2E16">
        <w:rPr>
          <w:rFonts w:eastAsia="Times New Roman"/>
          <w:szCs w:val="26"/>
        </w:rPr>
        <w:t xml:space="preserve">, relating to petitions for relief following the issuance of a final decision. </w:t>
      </w:r>
    </w:p>
    <w:p w14:paraId="2A6C8FDB" w14:textId="77777777" w:rsidR="00EB70BB" w:rsidRPr="002E2E16" w:rsidRDefault="00EB70BB" w:rsidP="00EB70BB">
      <w:pPr>
        <w:rPr>
          <w:rFonts w:eastAsia="Times New Roman"/>
          <w:szCs w:val="26"/>
        </w:rPr>
      </w:pPr>
      <w:r w:rsidRPr="002E2E16">
        <w:rPr>
          <w:rFonts w:eastAsia="Times New Roman"/>
          <w:szCs w:val="26"/>
        </w:rPr>
        <w:t> </w:t>
      </w:r>
    </w:p>
    <w:p w14:paraId="21D77B09" w14:textId="6E9B106A" w:rsidR="002D3FCE" w:rsidRPr="00EB70BB" w:rsidRDefault="00EB70BB" w:rsidP="00E71C15">
      <w:pPr>
        <w:rPr>
          <w:rFonts w:eastAsia="Times New Roman"/>
          <w:szCs w:val="26"/>
        </w:rPr>
      </w:pPr>
      <w:r w:rsidRPr="002E2E16">
        <w:rPr>
          <w:rFonts w:eastAsia="Times New Roman"/>
          <w:szCs w:val="26"/>
        </w:rPr>
        <w:t xml:space="preserve">The standards for a petition for relief following a final decision were addressed in </w:t>
      </w:r>
      <w:hyperlink r:id="rId13" w:history="1">
        <w:proofErr w:type="spellStart"/>
        <w:r w:rsidRPr="002E2E16">
          <w:rPr>
            <w:rFonts w:eastAsia="Times New Roman"/>
            <w:i/>
            <w:iCs/>
            <w:szCs w:val="26"/>
          </w:rPr>
          <w:t>Duick</w:t>
        </w:r>
        <w:proofErr w:type="spellEnd"/>
        <w:r w:rsidRPr="002E2E16">
          <w:rPr>
            <w:rFonts w:eastAsia="Times New Roman"/>
            <w:i/>
            <w:iCs/>
            <w:szCs w:val="26"/>
          </w:rPr>
          <w:t xml:space="preserve"> </w:t>
        </w:r>
      </w:hyperlink>
      <w:r>
        <w:rPr>
          <w:rFonts w:eastAsia="Times New Roman"/>
          <w:szCs w:val="26"/>
        </w:rPr>
        <w:t xml:space="preserve">and are well-established.  </w:t>
      </w:r>
      <w:proofErr w:type="spellStart"/>
      <w:r w:rsidRPr="002E2E16">
        <w:rPr>
          <w:rFonts w:eastAsia="Times New Roman"/>
          <w:i/>
          <w:iCs/>
          <w:szCs w:val="26"/>
        </w:rPr>
        <w:t>Duick</w:t>
      </w:r>
      <w:proofErr w:type="spellEnd"/>
      <w:r w:rsidR="00E71C15">
        <w:rPr>
          <w:rFonts w:eastAsia="Times New Roman"/>
          <w:i/>
          <w:iCs/>
          <w:szCs w:val="26"/>
        </w:rPr>
        <w:t xml:space="preserve">, </w:t>
      </w:r>
      <w:r w:rsidR="00E71C15">
        <w:rPr>
          <w:rFonts w:eastAsia="Times New Roman"/>
          <w:szCs w:val="26"/>
        </w:rPr>
        <w:t xml:space="preserve">citing </w:t>
      </w:r>
      <w:hyperlink r:id="rId14" w:history="1">
        <w:r w:rsidR="00E71C15" w:rsidRPr="002E2E16">
          <w:rPr>
            <w:i/>
            <w:iCs/>
            <w:szCs w:val="26"/>
          </w:rPr>
          <w:t>P</w:t>
        </w:r>
        <w:r w:rsidR="00E71C15">
          <w:rPr>
            <w:i/>
            <w:iCs/>
            <w:szCs w:val="26"/>
          </w:rPr>
          <w:t>a.</w:t>
        </w:r>
        <w:r w:rsidR="00E71C15" w:rsidRPr="002E2E16">
          <w:rPr>
            <w:i/>
            <w:iCs/>
            <w:szCs w:val="26"/>
          </w:rPr>
          <w:t xml:space="preserve"> Railroad Co</w:t>
        </w:r>
        <w:r w:rsidR="00E71C15">
          <w:rPr>
            <w:i/>
            <w:iCs/>
            <w:szCs w:val="26"/>
          </w:rPr>
          <w:t>.</w:t>
        </w:r>
        <w:r w:rsidR="00E71C15" w:rsidRPr="002E2E16">
          <w:rPr>
            <w:i/>
            <w:iCs/>
            <w:szCs w:val="26"/>
          </w:rPr>
          <w:t xml:space="preserve"> v. P</w:t>
        </w:r>
        <w:r w:rsidR="00E71C15">
          <w:rPr>
            <w:i/>
            <w:iCs/>
            <w:szCs w:val="26"/>
          </w:rPr>
          <w:t>a.</w:t>
        </w:r>
        <w:r w:rsidR="00E71C15" w:rsidRPr="002E2E16">
          <w:rPr>
            <w:i/>
            <w:iCs/>
            <w:szCs w:val="26"/>
          </w:rPr>
          <w:t xml:space="preserve"> PSC</w:t>
        </w:r>
        <w:r w:rsidR="00E71C15" w:rsidRPr="00015308">
          <w:rPr>
            <w:szCs w:val="26"/>
          </w:rPr>
          <w:t>,</w:t>
        </w:r>
        <w:r w:rsidR="00E71C15" w:rsidRPr="002E2E16">
          <w:rPr>
            <w:szCs w:val="26"/>
          </w:rPr>
          <w:t xml:space="preserve"> 118 Pa.</w:t>
        </w:r>
        <w:r w:rsidR="00E71C15">
          <w:rPr>
            <w:szCs w:val="26"/>
          </w:rPr>
          <w:t xml:space="preserve"> </w:t>
        </w:r>
        <w:r w:rsidR="00E71C15" w:rsidRPr="002E2E16">
          <w:rPr>
            <w:szCs w:val="26"/>
          </w:rPr>
          <w:t>Superior Ct. 380, 179 A. 850 (1935)</w:t>
        </w:r>
      </w:hyperlink>
      <w:r w:rsidR="00E71C15">
        <w:rPr>
          <w:szCs w:val="26"/>
        </w:rPr>
        <w:t xml:space="preserve">, </w:t>
      </w:r>
      <w:r w:rsidRPr="002E2E16">
        <w:rPr>
          <w:rFonts w:eastAsia="Times New Roman"/>
          <w:szCs w:val="26"/>
        </w:rPr>
        <w:t>held that a petition for rehearing under Subsection 703(f) of the Code must allege newly-discovered evidence not discoverable through the exercise of due diligence prior to the close of the record.</w:t>
      </w:r>
      <w:r>
        <w:rPr>
          <w:rFonts w:eastAsia="Times New Roman"/>
          <w:szCs w:val="26"/>
        </w:rPr>
        <w:t xml:space="preserve"> </w:t>
      </w:r>
      <w:r w:rsidRPr="002E2E16">
        <w:rPr>
          <w:rFonts w:eastAsia="Times New Roman"/>
          <w:szCs w:val="26"/>
        </w:rPr>
        <w:t xml:space="preserve"> </w:t>
      </w:r>
      <w:proofErr w:type="spellStart"/>
      <w:r w:rsidRPr="002E2E16">
        <w:rPr>
          <w:rFonts w:eastAsia="Times New Roman"/>
          <w:i/>
          <w:iCs/>
          <w:szCs w:val="26"/>
        </w:rPr>
        <w:t>Duick</w:t>
      </w:r>
      <w:proofErr w:type="spellEnd"/>
      <w:r w:rsidRPr="002E2E16">
        <w:rPr>
          <w:rFonts w:eastAsia="Times New Roman"/>
          <w:szCs w:val="26"/>
        </w:rPr>
        <w:t xml:space="preserve"> </w:t>
      </w:r>
      <w:r>
        <w:rPr>
          <w:rFonts w:eastAsia="Times New Roman"/>
          <w:szCs w:val="26"/>
        </w:rPr>
        <w:t>at</w:t>
      </w:r>
      <w:r w:rsidRPr="002E2E16">
        <w:rPr>
          <w:rFonts w:eastAsia="Times New Roman"/>
          <w:szCs w:val="26"/>
        </w:rPr>
        <w:t xml:space="preserve"> 558. </w:t>
      </w:r>
      <w:r>
        <w:rPr>
          <w:rFonts w:eastAsia="Times New Roman"/>
          <w:szCs w:val="26"/>
        </w:rPr>
        <w:t xml:space="preserve"> However, a</w:t>
      </w:r>
      <w:r w:rsidRPr="002E2E16">
        <w:rPr>
          <w:rFonts w:eastAsia="Times New Roman"/>
          <w:szCs w:val="26"/>
        </w:rPr>
        <w:t xml:space="preserve"> petition for reconsideration under Subsection 703(g), may properly raise any matter designed to convince us that we should exercise our discretion to amend or rescind </w:t>
      </w:r>
      <w:r w:rsidRPr="002E2E16">
        <w:rPr>
          <w:rFonts w:eastAsia="Times New Roman"/>
          <w:szCs w:val="26"/>
        </w:rPr>
        <w:lastRenderedPageBreak/>
        <w:t xml:space="preserve">a prior Order, in whole or in part. </w:t>
      </w:r>
      <w:r>
        <w:rPr>
          <w:rFonts w:eastAsia="Times New Roman"/>
          <w:szCs w:val="26"/>
        </w:rPr>
        <w:t xml:space="preserve"> S</w:t>
      </w:r>
      <w:r w:rsidRPr="002E2E16">
        <w:rPr>
          <w:rFonts w:eastAsia="Times New Roman"/>
          <w:szCs w:val="26"/>
        </w:rPr>
        <w:t xml:space="preserve">uch petitions are likely to succeed only when they raise “new and novel arguments” not previously heard or considerations which appear to have been overlooked or not addressed by </w:t>
      </w:r>
      <w:r>
        <w:rPr>
          <w:rFonts w:eastAsia="Times New Roman"/>
          <w:szCs w:val="26"/>
        </w:rPr>
        <w:t>the Commission</w:t>
      </w:r>
      <w:r w:rsidRPr="002E2E16">
        <w:rPr>
          <w:rFonts w:eastAsia="Times New Roman"/>
          <w:szCs w:val="26"/>
        </w:rPr>
        <w:t>.</w:t>
      </w:r>
      <w:r>
        <w:rPr>
          <w:rFonts w:eastAsia="Times New Roman"/>
          <w:szCs w:val="26"/>
        </w:rPr>
        <w:t xml:space="preserve">  </w:t>
      </w:r>
      <w:proofErr w:type="spellStart"/>
      <w:r w:rsidRPr="002E2E16">
        <w:rPr>
          <w:rFonts w:eastAsia="Times New Roman"/>
          <w:i/>
          <w:iCs/>
          <w:szCs w:val="26"/>
        </w:rPr>
        <w:t>Duick</w:t>
      </w:r>
      <w:proofErr w:type="spellEnd"/>
      <w:r w:rsidRPr="002E2E16">
        <w:rPr>
          <w:rFonts w:eastAsia="Times New Roman"/>
          <w:szCs w:val="26"/>
        </w:rPr>
        <w:t>,</w:t>
      </w:r>
      <w:r>
        <w:rPr>
          <w:rFonts w:eastAsia="Times New Roman"/>
          <w:szCs w:val="26"/>
        </w:rPr>
        <w:t xml:space="preserve"> at</w:t>
      </w:r>
      <w:r w:rsidRPr="002E2E16">
        <w:rPr>
          <w:rFonts w:eastAsia="Times New Roman"/>
          <w:szCs w:val="26"/>
        </w:rPr>
        <w:t xml:space="preserve"> 559</w:t>
      </w:r>
      <w:r>
        <w:rPr>
          <w:rFonts w:eastAsia="Times New Roman"/>
          <w:szCs w:val="26"/>
        </w:rPr>
        <w:t xml:space="preserve">; </w:t>
      </w:r>
      <w:r>
        <w:rPr>
          <w:rFonts w:eastAsia="Times New Roman"/>
          <w:i/>
          <w:iCs/>
          <w:szCs w:val="26"/>
        </w:rPr>
        <w:t>also</w:t>
      </w:r>
      <w:r w:rsidRPr="002E2E16">
        <w:rPr>
          <w:rFonts w:eastAsia="Times New Roman"/>
          <w:szCs w:val="26"/>
        </w:rPr>
        <w:t xml:space="preserve"> </w:t>
      </w:r>
      <w:hyperlink r:id="rId15" w:history="1">
        <w:r w:rsidRPr="002E2E16">
          <w:rPr>
            <w:rFonts w:eastAsia="Times New Roman"/>
            <w:i/>
            <w:iCs/>
            <w:szCs w:val="26"/>
          </w:rPr>
          <w:t>AT&amp;T v. Pa. PUC</w:t>
        </w:r>
        <w:r w:rsidRPr="00015308">
          <w:rPr>
            <w:rFonts w:eastAsia="Times New Roman"/>
            <w:szCs w:val="26"/>
          </w:rPr>
          <w:t>,</w:t>
        </w:r>
        <w:r w:rsidRPr="002E2E16">
          <w:rPr>
            <w:rFonts w:eastAsia="Times New Roman"/>
            <w:szCs w:val="26"/>
          </w:rPr>
          <w:t xml:space="preserve"> 568 A.2d 1362 (Pa. </w:t>
        </w:r>
        <w:proofErr w:type="spellStart"/>
        <w:r w:rsidRPr="002E2E16">
          <w:rPr>
            <w:rFonts w:eastAsia="Times New Roman"/>
            <w:szCs w:val="26"/>
          </w:rPr>
          <w:t>Cmwlth</w:t>
        </w:r>
        <w:proofErr w:type="spellEnd"/>
        <w:r w:rsidRPr="002E2E16">
          <w:rPr>
            <w:rFonts w:eastAsia="Times New Roman"/>
            <w:szCs w:val="26"/>
          </w:rPr>
          <w:t xml:space="preserve"> 1990)</w:t>
        </w:r>
      </w:hyperlink>
      <w:r w:rsidRPr="002E2E16">
        <w:rPr>
          <w:rFonts w:eastAsia="Times New Roman"/>
          <w:szCs w:val="26"/>
        </w:rPr>
        <w:t>.</w:t>
      </w:r>
      <w:r w:rsidR="00B90327">
        <w:rPr>
          <w:rStyle w:val="FootnoteReference"/>
          <w:rFonts w:eastAsia="Times New Roman"/>
          <w:szCs w:val="26"/>
        </w:rPr>
        <w:footnoteReference w:id="18"/>
      </w:r>
    </w:p>
    <w:p w14:paraId="1D152599" w14:textId="77777777" w:rsidR="008177FA" w:rsidRDefault="008177FA" w:rsidP="00E71C15">
      <w:pPr>
        <w:rPr>
          <w:szCs w:val="26"/>
        </w:rPr>
      </w:pPr>
    </w:p>
    <w:p w14:paraId="4F50174D" w14:textId="77777777" w:rsidR="006C206E" w:rsidRPr="006C206E" w:rsidRDefault="008177FA" w:rsidP="008177FA">
      <w:pPr>
        <w:ind w:firstLine="0"/>
        <w:rPr>
          <w:b/>
          <w:bCs/>
          <w:szCs w:val="26"/>
        </w:rPr>
      </w:pPr>
      <w:r w:rsidRPr="006C206E">
        <w:rPr>
          <w:b/>
          <w:bCs/>
          <w:szCs w:val="26"/>
        </w:rPr>
        <w:t>B</w:t>
      </w:r>
      <w:r w:rsidRPr="006C206E">
        <w:rPr>
          <w:b/>
          <w:bCs/>
          <w:szCs w:val="26"/>
        </w:rPr>
        <w:tab/>
      </w:r>
      <w:r w:rsidR="006C206E" w:rsidRPr="006C206E">
        <w:rPr>
          <w:b/>
          <w:bCs/>
          <w:szCs w:val="26"/>
        </w:rPr>
        <w:t>Respond</w:t>
      </w:r>
      <w:r w:rsidR="009C3E82">
        <w:rPr>
          <w:b/>
          <w:bCs/>
          <w:szCs w:val="26"/>
        </w:rPr>
        <w:t>’s</w:t>
      </w:r>
      <w:r w:rsidR="006C206E" w:rsidRPr="006C206E">
        <w:rPr>
          <w:b/>
          <w:bCs/>
          <w:szCs w:val="26"/>
        </w:rPr>
        <w:t xml:space="preserve"> Petition</w:t>
      </w:r>
    </w:p>
    <w:p w14:paraId="4E9AD211" w14:textId="77777777" w:rsidR="006C206E" w:rsidRDefault="006C206E" w:rsidP="006C206E">
      <w:pPr>
        <w:rPr>
          <w:szCs w:val="26"/>
        </w:rPr>
      </w:pPr>
    </w:p>
    <w:p w14:paraId="2479C200" w14:textId="7EEAC388" w:rsidR="00843538" w:rsidRDefault="00843538" w:rsidP="006C206E">
      <w:pPr>
        <w:rPr>
          <w:szCs w:val="26"/>
        </w:rPr>
      </w:pPr>
      <w:r>
        <w:rPr>
          <w:szCs w:val="26"/>
        </w:rPr>
        <w:t xml:space="preserve">As a threshold consideration, Respond notes that its Petition is directed to </w:t>
      </w:r>
      <w:r w:rsidR="00FB4421">
        <w:rPr>
          <w:szCs w:val="26"/>
        </w:rPr>
        <w:t>the Commission’s disposition of the 2016 Complaint</w:t>
      </w:r>
      <w:r w:rsidR="00D66F72">
        <w:rPr>
          <w:szCs w:val="26"/>
        </w:rPr>
        <w:t>s</w:t>
      </w:r>
      <w:r w:rsidR="00FB4421">
        <w:rPr>
          <w:szCs w:val="26"/>
        </w:rPr>
        <w:t xml:space="preserve"> </w:t>
      </w:r>
      <w:proofErr w:type="spellStart"/>
      <w:r w:rsidR="00FB4421">
        <w:rPr>
          <w:szCs w:val="26"/>
        </w:rPr>
        <w:t>clawback</w:t>
      </w:r>
      <w:proofErr w:type="spellEnd"/>
      <w:r w:rsidR="00FB4421">
        <w:rPr>
          <w:szCs w:val="26"/>
        </w:rPr>
        <w:t xml:space="preserve"> charges.  Petition at 1-2.</w:t>
      </w:r>
    </w:p>
    <w:p w14:paraId="6E143C16" w14:textId="77777777" w:rsidR="00FC455D" w:rsidRDefault="00FC455D" w:rsidP="006C206E">
      <w:pPr>
        <w:rPr>
          <w:szCs w:val="26"/>
        </w:rPr>
      </w:pPr>
    </w:p>
    <w:p w14:paraId="1951F9C7" w14:textId="00DBA0A1" w:rsidR="0056087E" w:rsidRDefault="00FB4421" w:rsidP="006C206E">
      <w:pPr>
        <w:rPr>
          <w:szCs w:val="26"/>
        </w:rPr>
      </w:pPr>
      <w:r>
        <w:rPr>
          <w:szCs w:val="26"/>
        </w:rPr>
        <w:t xml:space="preserve">In its Introduction to the substantive allegations of the Petition, Respond asserts that the 2016 </w:t>
      </w:r>
      <w:proofErr w:type="spellStart"/>
      <w:r>
        <w:rPr>
          <w:szCs w:val="26"/>
        </w:rPr>
        <w:t>clawback</w:t>
      </w:r>
      <w:proofErr w:type="spellEnd"/>
      <w:r>
        <w:rPr>
          <w:szCs w:val="26"/>
        </w:rPr>
        <w:t xml:space="preserve"> charges retroactively changed the terms and conditions of the POR program in which it participated for the June 1, 2015 – May 31, 2017, “DSP” period.  Petition at 2.  Respond argues, </w:t>
      </w:r>
      <w:r>
        <w:rPr>
          <w:i/>
          <w:iCs/>
          <w:szCs w:val="26"/>
        </w:rPr>
        <w:t>inter alia</w:t>
      </w:r>
      <w:r>
        <w:rPr>
          <w:szCs w:val="26"/>
        </w:rPr>
        <w:t xml:space="preserve">, that it was not provided due process in that the change to the terms and conditions of the Companies’ DSP III program were made during the DSP IV proceeding.  Respond emphasizes </w:t>
      </w:r>
      <w:r w:rsidR="0056087E">
        <w:rPr>
          <w:szCs w:val="26"/>
        </w:rPr>
        <w:t xml:space="preserve">its retroactive change argument by relying, in substantial part, </w:t>
      </w:r>
      <w:r w:rsidR="006041B9">
        <w:rPr>
          <w:szCs w:val="26"/>
        </w:rPr>
        <w:t>o</w:t>
      </w:r>
      <w:r w:rsidR="00E20227">
        <w:rPr>
          <w:szCs w:val="26"/>
        </w:rPr>
        <w:t>n</w:t>
      </w:r>
      <w:r w:rsidR="006041B9">
        <w:rPr>
          <w:szCs w:val="26"/>
        </w:rPr>
        <w:t xml:space="preserve"> the fact </w:t>
      </w:r>
      <w:r w:rsidR="0056087E">
        <w:rPr>
          <w:szCs w:val="26"/>
        </w:rPr>
        <w:t xml:space="preserve">that </w:t>
      </w:r>
      <w:r>
        <w:rPr>
          <w:szCs w:val="26"/>
        </w:rPr>
        <w:t xml:space="preserve">the tariff modification </w:t>
      </w:r>
      <w:r w:rsidR="0056087E">
        <w:rPr>
          <w:szCs w:val="26"/>
        </w:rPr>
        <w:t xml:space="preserve">resulting from </w:t>
      </w:r>
      <w:r>
        <w:rPr>
          <w:szCs w:val="26"/>
        </w:rPr>
        <w:t>the DSP IV proceeding was filed October 28, 2016, with an effective date of August</w:t>
      </w:r>
      <w:r w:rsidR="00015308">
        <w:rPr>
          <w:szCs w:val="26"/>
        </w:rPr>
        <w:t> </w:t>
      </w:r>
      <w:r>
        <w:rPr>
          <w:szCs w:val="26"/>
        </w:rPr>
        <w:t xml:space="preserve">1, 2016, and approved by the Commission </w:t>
      </w:r>
      <w:r w:rsidR="006041B9">
        <w:rPr>
          <w:szCs w:val="26"/>
        </w:rPr>
        <w:t xml:space="preserve">on </w:t>
      </w:r>
      <w:r>
        <w:rPr>
          <w:szCs w:val="26"/>
        </w:rPr>
        <w:t xml:space="preserve">November 10, 2016.  Petition at 3.  </w:t>
      </w:r>
      <w:r>
        <w:rPr>
          <w:szCs w:val="26"/>
        </w:rPr>
        <w:lastRenderedPageBreak/>
        <w:t xml:space="preserve">Respond concludes its introductory </w:t>
      </w:r>
      <w:r w:rsidR="0056087E">
        <w:rPr>
          <w:szCs w:val="26"/>
        </w:rPr>
        <w:t xml:space="preserve">arguments by alleging that the change (non-recourse of accounts receivable to </w:t>
      </w:r>
      <w:proofErr w:type="spellStart"/>
      <w:r w:rsidR="0056087E">
        <w:rPr>
          <w:szCs w:val="26"/>
        </w:rPr>
        <w:t>clawback</w:t>
      </w:r>
      <w:proofErr w:type="spellEnd"/>
      <w:r w:rsidR="0056087E">
        <w:rPr>
          <w:szCs w:val="26"/>
        </w:rPr>
        <w:t xml:space="preserve"> charge) was implemented unilaterally, without adequate notice, and is tantamount to a breach of contract.  Petition at 4.</w:t>
      </w:r>
    </w:p>
    <w:p w14:paraId="0A978EF0" w14:textId="77777777" w:rsidR="00E20227" w:rsidRDefault="00E20227" w:rsidP="006C206E">
      <w:pPr>
        <w:rPr>
          <w:szCs w:val="26"/>
        </w:rPr>
      </w:pPr>
    </w:p>
    <w:p w14:paraId="7423FC24" w14:textId="383CD888" w:rsidR="00FB4421" w:rsidRDefault="00A056E1" w:rsidP="006C206E">
      <w:pPr>
        <w:rPr>
          <w:szCs w:val="26"/>
        </w:rPr>
      </w:pPr>
      <w:r>
        <w:rPr>
          <w:szCs w:val="26"/>
        </w:rPr>
        <w:t xml:space="preserve">After reciting the pertinent background to the proceedings, Respond’s arguments for reconsideration may be summarized as follows:  1) the change to the POR program represented by the </w:t>
      </w:r>
      <w:proofErr w:type="spellStart"/>
      <w:r>
        <w:rPr>
          <w:szCs w:val="26"/>
        </w:rPr>
        <w:t>clawback</w:t>
      </w:r>
      <w:proofErr w:type="spellEnd"/>
      <w:r>
        <w:rPr>
          <w:szCs w:val="26"/>
        </w:rPr>
        <w:t xml:space="preserve"> charge should be applied prospectively so as to coincide with the period Respond anticipated was involved with the DSP IV proceedings, a period which begins June 1, 2017.  Petition at ⁋⁋ 21</w:t>
      </w:r>
      <w:r w:rsidR="00015308">
        <w:rPr>
          <w:szCs w:val="26"/>
        </w:rPr>
        <w:t>,</w:t>
      </w:r>
      <w:r>
        <w:rPr>
          <w:szCs w:val="26"/>
        </w:rPr>
        <w:t xml:space="preserve"> 24</w:t>
      </w:r>
      <w:r w:rsidR="00015308">
        <w:rPr>
          <w:szCs w:val="26"/>
        </w:rPr>
        <w:t>,</w:t>
      </w:r>
      <w:r>
        <w:rPr>
          <w:szCs w:val="26"/>
        </w:rPr>
        <w:t xml:space="preserve"> 33</w:t>
      </w:r>
      <w:r w:rsidR="00BF2281">
        <w:rPr>
          <w:szCs w:val="26"/>
        </w:rPr>
        <w:t>;</w:t>
      </w:r>
      <w:r>
        <w:rPr>
          <w:szCs w:val="26"/>
        </w:rPr>
        <w:t xml:space="preserve"> 2) the notice provided was not adequate so as to apprise Respond, as an EGS, of the specific modifications to the POR program and their retroactive application to the remittance of accounts receivable.  Petition at ⁋⁋ 29-31.</w:t>
      </w:r>
      <w:r w:rsidR="00FB4421">
        <w:rPr>
          <w:szCs w:val="26"/>
        </w:rPr>
        <w:t xml:space="preserve">      </w:t>
      </w:r>
    </w:p>
    <w:p w14:paraId="238CEDFC" w14:textId="77777777" w:rsidR="004866E0" w:rsidRDefault="004866E0" w:rsidP="006C206E">
      <w:pPr>
        <w:rPr>
          <w:szCs w:val="26"/>
        </w:rPr>
      </w:pPr>
    </w:p>
    <w:p w14:paraId="7092AE97" w14:textId="1FE38126" w:rsidR="004866E0" w:rsidRDefault="00EB4FAD" w:rsidP="00C34725">
      <w:pPr>
        <w:ind w:firstLine="0"/>
        <w:rPr>
          <w:szCs w:val="26"/>
        </w:rPr>
      </w:pPr>
      <w:r>
        <w:rPr>
          <w:b/>
          <w:bCs/>
          <w:szCs w:val="26"/>
        </w:rPr>
        <w:t xml:space="preserve">C.  </w:t>
      </w:r>
      <w:r>
        <w:rPr>
          <w:b/>
          <w:bCs/>
          <w:szCs w:val="26"/>
        </w:rPr>
        <w:tab/>
      </w:r>
      <w:r w:rsidR="004866E0">
        <w:rPr>
          <w:b/>
          <w:bCs/>
          <w:szCs w:val="26"/>
        </w:rPr>
        <w:t xml:space="preserve">Companies’ Answer </w:t>
      </w:r>
    </w:p>
    <w:p w14:paraId="4640D316" w14:textId="77777777" w:rsidR="004866E0" w:rsidRDefault="004866E0" w:rsidP="008264F5">
      <w:pPr>
        <w:rPr>
          <w:szCs w:val="26"/>
        </w:rPr>
      </w:pPr>
    </w:p>
    <w:p w14:paraId="3FEED320" w14:textId="77777777" w:rsidR="004866E0" w:rsidRDefault="004866E0" w:rsidP="008264F5">
      <w:pPr>
        <w:rPr>
          <w:szCs w:val="26"/>
        </w:rPr>
      </w:pPr>
      <w:r>
        <w:rPr>
          <w:szCs w:val="26"/>
        </w:rPr>
        <w:t xml:space="preserve">The Companies vigorously assert that Respond’s arguments in support of reconsideration fail the standards of </w:t>
      </w:r>
      <w:proofErr w:type="spellStart"/>
      <w:r>
        <w:rPr>
          <w:i/>
          <w:iCs/>
          <w:szCs w:val="26"/>
        </w:rPr>
        <w:t>Duick</w:t>
      </w:r>
      <w:proofErr w:type="spellEnd"/>
      <w:r>
        <w:rPr>
          <w:szCs w:val="26"/>
        </w:rPr>
        <w:t>.</w:t>
      </w:r>
      <w:r w:rsidR="008264F5">
        <w:rPr>
          <w:szCs w:val="26"/>
        </w:rPr>
        <w:t xml:space="preserve">  The Answer admits, and denies, the paragraph averments of the Petition.</w:t>
      </w:r>
    </w:p>
    <w:p w14:paraId="48264E30" w14:textId="77777777" w:rsidR="004866E0" w:rsidRPr="004866E0" w:rsidRDefault="004866E0" w:rsidP="004866E0">
      <w:pPr>
        <w:rPr>
          <w:szCs w:val="26"/>
        </w:rPr>
      </w:pPr>
      <w:r>
        <w:rPr>
          <w:szCs w:val="26"/>
        </w:rPr>
        <w:t xml:space="preserve"> </w:t>
      </w:r>
    </w:p>
    <w:p w14:paraId="00925FEF" w14:textId="5169C00B" w:rsidR="004866E0" w:rsidRDefault="008264F5" w:rsidP="004866E0">
      <w:pPr>
        <w:rPr>
          <w:szCs w:val="26"/>
        </w:rPr>
      </w:pPr>
      <w:r>
        <w:rPr>
          <w:szCs w:val="26"/>
        </w:rPr>
        <w:t>We find most pertinent t</w:t>
      </w:r>
      <w:r w:rsidR="004866E0">
        <w:rPr>
          <w:szCs w:val="26"/>
        </w:rPr>
        <w:t>he Companies</w:t>
      </w:r>
      <w:r w:rsidR="009C3E82">
        <w:rPr>
          <w:szCs w:val="26"/>
        </w:rPr>
        <w:t>’</w:t>
      </w:r>
      <w:r w:rsidR="004866E0">
        <w:rPr>
          <w:szCs w:val="26"/>
        </w:rPr>
        <w:t xml:space="preserve"> reply </w:t>
      </w:r>
      <w:r w:rsidR="009C3E82">
        <w:rPr>
          <w:szCs w:val="26"/>
        </w:rPr>
        <w:t xml:space="preserve">to </w:t>
      </w:r>
      <w:r>
        <w:rPr>
          <w:szCs w:val="26"/>
        </w:rPr>
        <w:t>Respond’s</w:t>
      </w:r>
      <w:r w:rsidR="004866E0">
        <w:rPr>
          <w:szCs w:val="26"/>
        </w:rPr>
        <w:t xml:space="preserve"> argument that </w:t>
      </w:r>
      <w:r>
        <w:rPr>
          <w:szCs w:val="26"/>
        </w:rPr>
        <w:t xml:space="preserve">an </w:t>
      </w:r>
      <w:r w:rsidR="004866E0">
        <w:rPr>
          <w:szCs w:val="26"/>
        </w:rPr>
        <w:t>impermissible retroactive change</w:t>
      </w:r>
      <w:r>
        <w:rPr>
          <w:szCs w:val="26"/>
        </w:rPr>
        <w:t xml:space="preserve"> to its POR</w:t>
      </w:r>
      <w:r w:rsidR="004866E0">
        <w:rPr>
          <w:szCs w:val="26"/>
        </w:rPr>
        <w:t xml:space="preserve"> is involved.  The Companies </w:t>
      </w:r>
      <w:r w:rsidR="004866E0" w:rsidRPr="004E3448">
        <w:rPr>
          <w:rFonts w:eastAsia="Times New Roman"/>
          <w:szCs w:val="26"/>
        </w:rPr>
        <w:t>deny</w:t>
      </w:r>
      <w:r w:rsidR="004866E0">
        <w:rPr>
          <w:szCs w:val="26"/>
        </w:rPr>
        <w:t xml:space="preserve"> and counter</w:t>
      </w:r>
      <w:r w:rsidR="004866E0" w:rsidRPr="004E3448">
        <w:rPr>
          <w:rFonts w:eastAsia="Times New Roman"/>
          <w:szCs w:val="26"/>
        </w:rPr>
        <w:t xml:space="preserve"> Respond</w:t>
      </w:r>
      <w:r w:rsidR="004866E0">
        <w:rPr>
          <w:szCs w:val="26"/>
        </w:rPr>
        <w:t>’s</w:t>
      </w:r>
      <w:r w:rsidR="004866E0" w:rsidRPr="004E3448">
        <w:rPr>
          <w:rFonts w:eastAsia="Times New Roman"/>
          <w:szCs w:val="26"/>
        </w:rPr>
        <w:t xml:space="preserve"> contentions that</w:t>
      </w:r>
      <w:r w:rsidR="006041B9">
        <w:rPr>
          <w:rFonts w:eastAsia="Times New Roman"/>
          <w:szCs w:val="26"/>
        </w:rPr>
        <w:t>: 1)</w:t>
      </w:r>
      <w:r w:rsidR="004866E0" w:rsidRPr="004E3448">
        <w:rPr>
          <w:rFonts w:eastAsia="Times New Roman"/>
          <w:szCs w:val="26"/>
        </w:rPr>
        <w:t xml:space="preserve"> a POR program exists only for the duration of a co-extensive DSP and, therefore POR programs must be reauthorized at the same time each new DSP is approved</w:t>
      </w:r>
      <w:r w:rsidR="009C3E82">
        <w:rPr>
          <w:rFonts w:eastAsia="Times New Roman"/>
          <w:szCs w:val="26"/>
        </w:rPr>
        <w:t xml:space="preserve">; </w:t>
      </w:r>
      <w:r w:rsidR="004866E0" w:rsidRPr="004E3448">
        <w:rPr>
          <w:rFonts w:eastAsia="Times New Roman"/>
          <w:szCs w:val="26"/>
        </w:rPr>
        <w:t xml:space="preserve">and 2) an EDC, even with prior Commission approval, is </w:t>
      </w:r>
      <w:r w:rsidR="004866E0">
        <w:rPr>
          <w:szCs w:val="26"/>
        </w:rPr>
        <w:t>“</w:t>
      </w:r>
      <w:r w:rsidR="004866E0" w:rsidRPr="004E3448">
        <w:rPr>
          <w:rFonts w:eastAsia="Times New Roman"/>
          <w:szCs w:val="26"/>
        </w:rPr>
        <w:t>powerless</w:t>
      </w:r>
      <w:r w:rsidR="004866E0">
        <w:rPr>
          <w:szCs w:val="26"/>
        </w:rPr>
        <w:t>”</w:t>
      </w:r>
      <w:r w:rsidR="004866E0" w:rsidRPr="004E3448">
        <w:rPr>
          <w:rFonts w:eastAsia="Times New Roman"/>
          <w:szCs w:val="26"/>
        </w:rPr>
        <w:t xml:space="preserve"> to revise a POR program except in </w:t>
      </w:r>
      <w:r w:rsidR="004866E0">
        <w:rPr>
          <w:szCs w:val="26"/>
        </w:rPr>
        <w:t>“</w:t>
      </w:r>
      <w:r w:rsidR="004866E0" w:rsidRPr="004E3448">
        <w:rPr>
          <w:rFonts w:eastAsia="Times New Roman"/>
          <w:szCs w:val="26"/>
        </w:rPr>
        <w:t>lock-step</w:t>
      </w:r>
      <w:r w:rsidR="004866E0">
        <w:rPr>
          <w:szCs w:val="26"/>
        </w:rPr>
        <w:t>”</w:t>
      </w:r>
      <w:r w:rsidR="004866E0" w:rsidRPr="004E3448">
        <w:rPr>
          <w:rFonts w:eastAsia="Times New Roman"/>
          <w:szCs w:val="26"/>
        </w:rPr>
        <w:t xml:space="preserve"> with the time intervals covered by its DSP.</w:t>
      </w:r>
      <w:r w:rsidR="004866E0">
        <w:rPr>
          <w:szCs w:val="26"/>
        </w:rPr>
        <w:t xml:space="preserve">  </w:t>
      </w:r>
      <w:r w:rsidR="004866E0">
        <w:rPr>
          <w:i/>
          <w:iCs/>
          <w:szCs w:val="26"/>
        </w:rPr>
        <w:t xml:space="preserve">See </w:t>
      </w:r>
      <w:r w:rsidR="004866E0">
        <w:rPr>
          <w:szCs w:val="26"/>
        </w:rPr>
        <w:t>Answer at ⁋ 6.</w:t>
      </w:r>
      <w:r w:rsidR="004866E0" w:rsidRPr="004E3448">
        <w:rPr>
          <w:rFonts w:eastAsia="Times New Roman"/>
          <w:szCs w:val="26"/>
        </w:rPr>
        <w:t xml:space="preserve"> </w:t>
      </w:r>
    </w:p>
    <w:p w14:paraId="0A76F4CC" w14:textId="77777777" w:rsidR="004866E0" w:rsidRDefault="004866E0" w:rsidP="004866E0">
      <w:pPr>
        <w:ind w:firstLine="0"/>
        <w:rPr>
          <w:szCs w:val="26"/>
        </w:rPr>
      </w:pPr>
    </w:p>
    <w:p w14:paraId="1099E698" w14:textId="77777777" w:rsidR="004866E0" w:rsidRDefault="004866E0" w:rsidP="004866E0">
      <w:pPr>
        <w:rPr>
          <w:szCs w:val="26"/>
        </w:rPr>
      </w:pPr>
      <w:r>
        <w:rPr>
          <w:szCs w:val="26"/>
        </w:rPr>
        <w:t xml:space="preserve">The Companies observe that </w:t>
      </w:r>
      <w:r w:rsidRPr="004E3448">
        <w:rPr>
          <w:rFonts w:eastAsia="Times New Roman"/>
          <w:szCs w:val="26"/>
        </w:rPr>
        <w:t>POR programs have routinely been reviewed and approved in DSP proceedings.</w:t>
      </w:r>
      <w:r w:rsidR="009C3E82">
        <w:rPr>
          <w:rFonts w:eastAsia="Times New Roman"/>
          <w:szCs w:val="26"/>
        </w:rPr>
        <w:t xml:space="preserve"> </w:t>
      </w:r>
      <w:r>
        <w:rPr>
          <w:szCs w:val="26"/>
        </w:rPr>
        <w:t xml:space="preserve"> They attack as </w:t>
      </w:r>
      <w:r w:rsidRPr="004E3448">
        <w:rPr>
          <w:rFonts w:eastAsia="Times New Roman"/>
          <w:szCs w:val="26"/>
        </w:rPr>
        <w:t>unsupported</w:t>
      </w:r>
      <w:r>
        <w:rPr>
          <w:szCs w:val="26"/>
        </w:rPr>
        <w:t>,</w:t>
      </w:r>
      <w:r w:rsidRPr="004E3448">
        <w:rPr>
          <w:rFonts w:eastAsia="Times New Roman"/>
          <w:szCs w:val="26"/>
        </w:rPr>
        <w:t xml:space="preserve"> </w:t>
      </w:r>
      <w:r>
        <w:rPr>
          <w:szCs w:val="26"/>
        </w:rPr>
        <w:t>Respond’s</w:t>
      </w:r>
      <w:r w:rsidRPr="004E3448">
        <w:rPr>
          <w:rFonts w:eastAsia="Times New Roman"/>
          <w:szCs w:val="26"/>
        </w:rPr>
        <w:t xml:space="preserve"> contention </w:t>
      </w:r>
      <w:r w:rsidRPr="004E3448">
        <w:rPr>
          <w:rFonts w:eastAsia="Times New Roman"/>
          <w:szCs w:val="26"/>
        </w:rPr>
        <w:lastRenderedPageBreak/>
        <w:t>that POR programs are tied to a particular DSP term and, therefore, revisions to POR programs cannot become effective except at precisely the same time a new DSP also goes into effect.</w:t>
      </w:r>
      <w:r>
        <w:rPr>
          <w:szCs w:val="26"/>
        </w:rPr>
        <w:t xml:space="preserve">  </w:t>
      </w:r>
      <w:r>
        <w:rPr>
          <w:i/>
          <w:iCs/>
          <w:szCs w:val="26"/>
        </w:rPr>
        <w:t>Id</w:t>
      </w:r>
      <w:r>
        <w:rPr>
          <w:szCs w:val="26"/>
        </w:rPr>
        <w:t>.</w:t>
      </w:r>
      <w:r w:rsidRPr="004E3448">
        <w:rPr>
          <w:rFonts w:eastAsia="Times New Roman"/>
          <w:szCs w:val="26"/>
        </w:rPr>
        <w:t xml:space="preserve"> </w:t>
      </w:r>
    </w:p>
    <w:p w14:paraId="7B3001D6" w14:textId="77777777" w:rsidR="008177FA" w:rsidRPr="008177FA" w:rsidRDefault="008177FA" w:rsidP="008177FA">
      <w:pPr>
        <w:ind w:firstLine="0"/>
        <w:rPr>
          <w:szCs w:val="26"/>
        </w:rPr>
      </w:pPr>
    </w:p>
    <w:p w14:paraId="7BC3622A" w14:textId="436F9083" w:rsidR="00C02F4E" w:rsidRDefault="000C20E5" w:rsidP="00C34725">
      <w:pPr>
        <w:ind w:firstLine="0"/>
        <w:rPr>
          <w:szCs w:val="26"/>
        </w:rPr>
      </w:pPr>
      <w:r>
        <w:rPr>
          <w:b/>
          <w:bCs/>
          <w:szCs w:val="26"/>
        </w:rPr>
        <w:t xml:space="preserve">D. </w:t>
      </w:r>
      <w:r>
        <w:rPr>
          <w:b/>
          <w:bCs/>
          <w:szCs w:val="26"/>
        </w:rPr>
        <w:tab/>
      </w:r>
      <w:r w:rsidR="00C02F4E">
        <w:rPr>
          <w:b/>
          <w:bCs/>
          <w:szCs w:val="26"/>
        </w:rPr>
        <w:t xml:space="preserve">Disposition </w:t>
      </w:r>
    </w:p>
    <w:p w14:paraId="1199F1C0" w14:textId="77777777" w:rsidR="00A34045" w:rsidRDefault="00A34045" w:rsidP="00A34045">
      <w:pPr>
        <w:rPr>
          <w:szCs w:val="26"/>
        </w:rPr>
      </w:pPr>
      <w:bookmarkStart w:id="6" w:name="_Hlk23258302"/>
    </w:p>
    <w:p w14:paraId="59DC1C67" w14:textId="0B8A18E9" w:rsidR="00C02F4E" w:rsidRDefault="00A34045" w:rsidP="00A34045">
      <w:pPr>
        <w:rPr>
          <w:szCs w:val="26"/>
        </w:rPr>
      </w:pPr>
      <w:r>
        <w:rPr>
          <w:szCs w:val="26"/>
        </w:rPr>
        <w:t xml:space="preserve">As a preliminary consideration, </w:t>
      </w:r>
      <w:r w:rsidRPr="00022809">
        <w:rPr>
          <w:szCs w:val="26"/>
        </w:rPr>
        <w:t xml:space="preserve">we remind both Parties that any issue or </w:t>
      </w:r>
      <w:r>
        <w:rPr>
          <w:szCs w:val="26"/>
        </w:rPr>
        <w:t>argument</w:t>
      </w:r>
      <w:r w:rsidRPr="00022809">
        <w:rPr>
          <w:szCs w:val="26"/>
        </w:rPr>
        <w:t xml:space="preserve"> that we do not specifically address shall be deemed to have been duly considered and denied without further discussion.  The Commission is not required to consider, expressly or at length, each contention or argument raised by the parties.  </w:t>
      </w:r>
      <w:hyperlink r:id="rId16" w:history="1">
        <w:r w:rsidRPr="00022809">
          <w:rPr>
            <w:i/>
            <w:iCs/>
            <w:szCs w:val="26"/>
          </w:rPr>
          <w:t>Consolidated Rail Corp. v. Pa. PUC</w:t>
        </w:r>
        <w:r w:rsidRPr="00015308">
          <w:rPr>
            <w:szCs w:val="26"/>
          </w:rPr>
          <w:t>,</w:t>
        </w:r>
        <w:r w:rsidRPr="00022809">
          <w:rPr>
            <w:i/>
            <w:iCs/>
            <w:szCs w:val="26"/>
          </w:rPr>
          <w:t xml:space="preserve"> </w:t>
        </w:r>
        <w:r w:rsidRPr="00022809">
          <w:rPr>
            <w:szCs w:val="26"/>
          </w:rPr>
          <w:t xml:space="preserve">625 A.2d 741 (Pa. </w:t>
        </w:r>
        <w:proofErr w:type="spellStart"/>
        <w:r w:rsidRPr="00022809">
          <w:rPr>
            <w:szCs w:val="26"/>
          </w:rPr>
          <w:t>Cmwlth</w:t>
        </w:r>
        <w:proofErr w:type="spellEnd"/>
        <w:r w:rsidRPr="00022809">
          <w:rPr>
            <w:szCs w:val="26"/>
          </w:rPr>
          <w:t>. 1993);</w:t>
        </w:r>
      </w:hyperlink>
      <w:r w:rsidRPr="00022809">
        <w:rPr>
          <w:szCs w:val="26"/>
        </w:rPr>
        <w:t xml:space="preserve"> </w:t>
      </w:r>
      <w:r w:rsidRPr="00022809">
        <w:rPr>
          <w:i/>
          <w:szCs w:val="26"/>
        </w:rPr>
        <w:t xml:space="preserve">also </w:t>
      </w:r>
      <w:r w:rsidRPr="00022809">
        <w:rPr>
          <w:i/>
          <w:iCs/>
          <w:szCs w:val="26"/>
        </w:rPr>
        <w:t xml:space="preserve">see, generally, </w:t>
      </w:r>
      <w:hyperlink r:id="rId17" w:history="1">
        <w:r w:rsidRPr="00022809">
          <w:rPr>
            <w:i/>
            <w:iCs/>
            <w:szCs w:val="26"/>
          </w:rPr>
          <w:t>Univ. of Pa. v. Pa. PUC</w:t>
        </w:r>
        <w:r w:rsidRPr="00022809">
          <w:rPr>
            <w:szCs w:val="26"/>
          </w:rPr>
          <w:t xml:space="preserve">, 485 A.2d 1217 (Pa. </w:t>
        </w:r>
        <w:proofErr w:type="spellStart"/>
        <w:r w:rsidRPr="00022809">
          <w:rPr>
            <w:szCs w:val="26"/>
          </w:rPr>
          <w:t>Cmwlth</w:t>
        </w:r>
        <w:proofErr w:type="spellEnd"/>
        <w:r w:rsidRPr="00022809">
          <w:rPr>
            <w:szCs w:val="26"/>
          </w:rPr>
          <w:t>. 1984).</w:t>
        </w:r>
      </w:hyperlink>
      <w:r w:rsidRPr="00022809">
        <w:rPr>
          <w:szCs w:val="26"/>
        </w:rPr>
        <w:t xml:space="preserve">  </w:t>
      </w:r>
      <w:r w:rsidRPr="00022809">
        <w:rPr>
          <w:i/>
          <w:iCs/>
          <w:szCs w:val="26"/>
        </w:rPr>
        <w:t>See</w:t>
      </w:r>
      <w:r w:rsidRPr="00022809">
        <w:rPr>
          <w:szCs w:val="26"/>
        </w:rPr>
        <w:t xml:space="preserve">, </w:t>
      </w:r>
      <w:r w:rsidRPr="00022809">
        <w:rPr>
          <w:i/>
          <w:iCs/>
          <w:szCs w:val="26"/>
        </w:rPr>
        <w:t>also</w:t>
      </w:r>
      <w:r w:rsidRPr="00022809">
        <w:rPr>
          <w:szCs w:val="26"/>
        </w:rPr>
        <w:t xml:space="preserve"> </w:t>
      </w:r>
      <w:hyperlink r:id="rId18" w:history="1">
        <w:r w:rsidRPr="00022809">
          <w:rPr>
            <w:i/>
            <w:iCs/>
            <w:szCs w:val="26"/>
          </w:rPr>
          <w:t>Metropolitan Edison Co. v. Pa. PUC</w:t>
        </w:r>
        <w:r w:rsidRPr="00022809">
          <w:rPr>
            <w:szCs w:val="26"/>
          </w:rPr>
          <w:t xml:space="preserve">, </w:t>
        </w:r>
      </w:hyperlink>
      <w:r w:rsidRPr="00022809">
        <w:rPr>
          <w:szCs w:val="26"/>
        </w:rPr>
        <w:t xml:space="preserve">22 A.3d 353 (Pa. </w:t>
      </w:r>
      <w:proofErr w:type="spellStart"/>
      <w:r w:rsidRPr="00022809">
        <w:rPr>
          <w:szCs w:val="26"/>
        </w:rPr>
        <w:t>Cmwlth</w:t>
      </w:r>
      <w:proofErr w:type="spellEnd"/>
      <w:r w:rsidRPr="00022809">
        <w:rPr>
          <w:szCs w:val="26"/>
        </w:rPr>
        <w:t xml:space="preserve">. 2011), </w:t>
      </w:r>
      <w:r w:rsidRPr="00022809">
        <w:rPr>
          <w:i/>
          <w:iCs/>
          <w:szCs w:val="26"/>
        </w:rPr>
        <w:t>appeal denied</w:t>
      </w:r>
      <w:r w:rsidR="00015308">
        <w:rPr>
          <w:szCs w:val="26"/>
        </w:rPr>
        <w:t xml:space="preserve">, </w:t>
      </w:r>
      <w:hyperlink r:id="rId19" w:history="1">
        <w:r w:rsidRPr="00022809">
          <w:rPr>
            <w:szCs w:val="26"/>
          </w:rPr>
          <w:t>22 A.3d 353</w:t>
        </w:r>
      </w:hyperlink>
      <w:r w:rsidRPr="00022809">
        <w:rPr>
          <w:szCs w:val="26"/>
        </w:rPr>
        <w:t xml:space="preserve"> (</w:t>
      </w:r>
      <w:r w:rsidR="009C3E82">
        <w:rPr>
          <w:szCs w:val="26"/>
        </w:rPr>
        <w:t xml:space="preserve">Pa. </w:t>
      </w:r>
      <w:r w:rsidRPr="00022809">
        <w:rPr>
          <w:szCs w:val="26"/>
        </w:rPr>
        <w:t xml:space="preserve">2012), citing </w:t>
      </w:r>
      <w:hyperlink r:id="rId20" w:anchor="co_pp_sp_162_794" w:history="1">
        <w:r w:rsidRPr="00022809">
          <w:rPr>
            <w:i/>
            <w:iCs/>
            <w:szCs w:val="26"/>
          </w:rPr>
          <w:t>Wheeling &amp; Lake Erie Railway Company v. Pa. PUC</w:t>
        </w:r>
        <w:r w:rsidRPr="00015308">
          <w:rPr>
            <w:szCs w:val="26"/>
          </w:rPr>
          <w:t>,</w:t>
        </w:r>
        <w:r w:rsidRPr="00022809">
          <w:rPr>
            <w:szCs w:val="26"/>
          </w:rPr>
          <w:t xml:space="preserve"> 778</w:t>
        </w:r>
        <w:r w:rsidR="00015308">
          <w:rPr>
            <w:szCs w:val="26"/>
          </w:rPr>
          <w:t> </w:t>
        </w:r>
        <w:r w:rsidRPr="00022809">
          <w:rPr>
            <w:szCs w:val="26"/>
          </w:rPr>
          <w:t xml:space="preserve">A.2d 785, 794 (Pa. </w:t>
        </w:r>
        <w:proofErr w:type="spellStart"/>
        <w:r w:rsidRPr="00022809">
          <w:rPr>
            <w:szCs w:val="26"/>
          </w:rPr>
          <w:t>Cmwlth</w:t>
        </w:r>
        <w:proofErr w:type="spellEnd"/>
        <w:r w:rsidRPr="00022809">
          <w:rPr>
            <w:szCs w:val="26"/>
          </w:rPr>
          <w:t>. 2001)</w:t>
        </w:r>
      </w:hyperlink>
      <w:r w:rsidRPr="00022809">
        <w:rPr>
          <w:szCs w:val="26"/>
        </w:rPr>
        <w:t xml:space="preserve"> for the proposition that the Commission is not required to expressly consider all of the arguments set forth by the parties in its Order.  </w:t>
      </w:r>
      <w:bookmarkEnd w:id="6"/>
    </w:p>
    <w:p w14:paraId="6C3A8A76" w14:textId="77777777" w:rsidR="00A34045" w:rsidRPr="00C02F4E" w:rsidRDefault="00A34045" w:rsidP="00A34045">
      <w:pPr>
        <w:rPr>
          <w:szCs w:val="26"/>
        </w:rPr>
      </w:pPr>
    </w:p>
    <w:p w14:paraId="1CDEB20D" w14:textId="77777777" w:rsidR="00A34045" w:rsidRDefault="00C02F4E" w:rsidP="00C02F4E">
      <w:pPr>
        <w:rPr>
          <w:rFonts w:eastAsia="Times New Roman"/>
          <w:szCs w:val="26"/>
        </w:rPr>
      </w:pPr>
      <w:r>
        <w:rPr>
          <w:rFonts w:eastAsia="Times New Roman"/>
          <w:szCs w:val="26"/>
        </w:rPr>
        <w:t xml:space="preserve">On consideration of Respond’s </w:t>
      </w:r>
      <w:r w:rsidR="00A34045">
        <w:rPr>
          <w:rFonts w:eastAsia="Times New Roman"/>
          <w:szCs w:val="26"/>
        </w:rPr>
        <w:t xml:space="preserve">Petition and the </w:t>
      </w:r>
      <w:r w:rsidRPr="00C02F4E">
        <w:rPr>
          <w:rFonts w:eastAsia="Times New Roman"/>
          <w:szCs w:val="26"/>
        </w:rPr>
        <w:t>arguments in support of reconsideration</w:t>
      </w:r>
      <w:r>
        <w:rPr>
          <w:rFonts w:eastAsia="Times New Roman"/>
          <w:szCs w:val="26"/>
        </w:rPr>
        <w:t>, we conclude that they</w:t>
      </w:r>
      <w:r w:rsidRPr="00C02F4E">
        <w:rPr>
          <w:rFonts w:eastAsia="Times New Roman"/>
          <w:szCs w:val="26"/>
        </w:rPr>
        <w:t xml:space="preserve"> neither raise new or novel arguments, nor call our attention to matters</w:t>
      </w:r>
      <w:r>
        <w:rPr>
          <w:rFonts w:eastAsia="Times New Roman"/>
          <w:szCs w:val="26"/>
        </w:rPr>
        <w:t xml:space="preserve"> or considerations</w:t>
      </w:r>
      <w:r w:rsidRPr="00C02F4E">
        <w:rPr>
          <w:rFonts w:eastAsia="Times New Roman"/>
          <w:szCs w:val="26"/>
        </w:rPr>
        <w:t xml:space="preserve"> which we may have previously overlooked.</w:t>
      </w:r>
      <w:r>
        <w:rPr>
          <w:rFonts w:eastAsia="Times New Roman"/>
          <w:szCs w:val="26"/>
        </w:rPr>
        <w:t xml:space="preserve">  Respond </w:t>
      </w:r>
      <w:r w:rsidR="00FC455D">
        <w:rPr>
          <w:rFonts w:eastAsia="Times New Roman"/>
          <w:szCs w:val="26"/>
        </w:rPr>
        <w:t xml:space="preserve">substantially </w:t>
      </w:r>
      <w:r w:rsidRPr="00C02F4E">
        <w:rPr>
          <w:rFonts w:eastAsia="Times New Roman"/>
          <w:szCs w:val="26"/>
        </w:rPr>
        <w:t xml:space="preserve">restates the arguments </w:t>
      </w:r>
      <w:r w:rsidR="005F6B54">
        <w:rPr>
          <w:rFonts w:eastAsia="Times New Roman"/>
          <w:szCs w:val="26"/>
        </w:rPr>
        <w:t>and objections litigated</w:t>
      </w:r>
      <w:r w:rsidRPr="00C02F4E">
        <w:rPr>
          <w:rFonts w:eastAsia="Times New Roman"/>
          <w:szCs w:val="26"/>
        </w:rPr>
        <w:t xml:space="preserve"> in the underlying </w:t>
      </w:r>
      <w:r>
        <w:rPr>
          <w:rFonts w:eastAsia="Times New Roman"/>
          <w:szCs w:val="26"/>
        </w:rPr>
        <w:t>2016 Complaints</w:t>
      </w:r>
      <w:r w:rsidRPr="00C02F4E">
        <w:rPr>
          <w:rFonts w:eastAsia="Times New Roman"/>
          <w:szCs w:val="26"/>
        </w:rPr>
        <w:t xml:space="preserve"> proceeding</w:t>
      </w:r>
      <w:r w:rsidR="00A34045">
        <w:rPr>
          <w:rFonts w:eastAsia="Times New Roman"/>
          <w:szCs w:val="26"/>
        </w:rPr>
        <w:t>.</w:t>
      </w:r>
    </w:p>
    <w:p w14:paraId="266166D4" w14:textId="77777777" w:rsidR="00A34045" w:rsidRDefault="00A34045" w:rsidP="00C02F4E">
      <w:pPr>
        <w:rPr>
          <w:rFonts w:eastAsia="Times New Roman"/>
          <w:szCs w:val="26"/>
        </w:rPr>
      </w:pPr>
    </w:p>
    <w:p w14:paraId="01B29F26" w14:textId="7704A0AA" w:rsidR="00406D70" w:rsidRDefault="00563CC8" w:rsidP="00C02F4E">
      <w:pPr>
        <w:rPr>
          <w:rFonts w:eastAsia="Times New Roman"/>
          <w:szCs w:val="26"/>
        </w:rPr>
      </w:pPr>
      <w:r>
        <w:rPr>
          <w:rFonts w:eastAsia="Times New Roman"/>
          <w:szCs w:val="26"/>
        </w:rPr>
        <w:t xml:space="preserve">The essential objection to the 2016 </w:t>
      </w:r>
      <w:proofErr w:type="spellStart"/>
      <w:r>
        <w:rPr>
          <w:rFonts w:eastAsia="Times New Roman"/>
          <w:szCs w:val="26"/>
        </w:rPr>
        <w:t>clawback</w:t>
      </w:r>
      <w:proofErr w:type="spellEnd"/>
      <w:r>
        <w:rPr>
          <w:rFonts w:eastAsia="Times New Roman"/>
          <w:szCs w:val="26"/>
        </w:rPr>
        <w:t xml:space="preserve"> charge, and </w:t>
      </w:r>
      <w:r w:rsidR="009C3E82">
        <w:rPr>
          <w:rFonts w:eastAsia="Times New Roman"/>
          <w:szCs w:val="26"/>
        </w:rPr>
        <w:t>Respond’s</w:t>
      </w:r>
      <w:r>
        <w:rPr>
          <w:rFonts w:eastAsia="Times New Roman"/>
          <w:szCs w:val="26"/>
        </w:rPr>
        <w:t xml:space="preserve"> </w:t>
      </w:r>
      <w:r w:rsidR="008C7295">
        <w:rPr>
          <w:rFonts w:eastAsia="Times New Roman"/>
          <w:szCs w:val="26"/>
        </w:rPr>
        <w:t xml:space="preserve">primary </w:t>
      </w:r>
      <w:r>
        <w:rPr>
          <w:rFonts w:eastAsia="Times New Roman"/>
          <w:szCs w:val="26"/>
        </w:rPr>
        <w:t>basis</w:t>
      </w:r>
      <w:r w:rsidR="009C3E82">
        <w:rPr>
          <w:rFonts w:eastAsia="Times New Roman"/>
          <w:szCs w:val="26"/>
        </w:rPr>
        <w:t xml:space="preserve"> for </w:t>
      </w:r>
      <w:r>
        <w:rPr>
          <w:rFonts w:eastAsia="Times New Roman"/>
          <w:szCs w:val="26"/>
        </w:rPr>
        <w:t xml:space="preserve">seeking reconsideration, is the </w:t>
      </w:r>
      <w:r w:rsidR="00406D70">
        <w:rPr>
          <w:rFonts w:eastAsia="Times New Roman"/>
          <w:szCs w:val="26"/>
        </w:rPr>
        <w:t>view</w:t>
      </w:r>
      <w:r>
        <w:rPr>
          <w:rFonts w:eastAsia="Times New Roman"/>
          <w:szCs w:val="26"/>
        </w:rPr>
        <w:t xml:space="preserve"> that the </w:t>
      </w:r>
      <w:proofErr w:type="spellStart"/>
      <w:r w:rsidR="008C7295">
        <w:rPr>
          <w:rFonts w:eastAsia="Times New Roman"/>
          <w:szCs w:val="26"/>
        </w:rPr>
        <w:t>clawback</w:t>
      </w:r>
      <w:proofErr w:type="spellEnd"/>
      <w:r w:rsidR="008C7295">
        <w:rPr>
          <w:rFonts w:eastAsia="Times New Roman"/>
          <w:szCs w:val="26"/>
        </w:rPr>
        <w:t xml:space="preserve"> </w:t>
      </w:r>
      <w:r>
        <w:rPr>
          <w:rFonts w:eastAsia="Times New Roman"/>
          <w:szCs w:val="26"/>
        </w:rPr>
        <w:t xml:space="preserve">charge retroactively changed terms and conditions on which Respond </w:t>
      </w:r>
      <w:r w:rsidR="008C7295">
        <w:rPr>
          <w:rFonts w:eastAsia="Times New Roman"/>
          <w:szCs w:val="26"/>
        </w:rPr>
        <w:t xml:space="preserve">was entitled to </w:t>
      </w:r>
      <w:r>
        <w:rPr>
          <w:rFonts w:eastAsia="Times New Roman"/>
          <w:szCs w:val="26"/>
        </w:rPr>
        <w:t>rel</w:t>
      </w:r>
      <w:r w:rsidR="008C7295">
        <w:rPr>
          <w:rFonts w:eastAsia="Times New Roman"/>
          <w:szCs w:val="26"/>
        </w:rPr>
        <w:t>y</w:t>
      </w:r>
      <w:r>
        <w:rPr>
          <w:rFonts w:eastAsia="Times New Roman"/>
          <w:szCs w:val="26"/>
        </w:rPr>
        <w:t xml:space="preserve"> for a </w:t>
      </w:r>
      <w:r w:rsidR="008C7295">
        <w:rPr>
          <w:rFonts w:eastAsia="Times New Roman"/>
          <w:szCs w:val="26"/>
        </w:rPr>
        <w:t xml:space="preserve">finite </w:t>
      </w:r>
      <w:r>
        <w:rPr>
          <w:rFonts w:eastAsia="Times New Roman"/>
          <w:szCs w:val="26"/>
        </w:rPr>
        <w:t>period of time</w:t>
      </w:r>
      <w:r w:rsidR="008C7295">
        <w:rPr>
          <w:rFonts w:eastAsia="Times New Roman"/>
          <w:szCs w:val="26"/>
        </w:rPr>
        <w:t>.  Respond contends that it held reasonable expectations that the terms and conditions</w:t>
      </w:r>
      <w:r>
        <w:rPr>
          <w:rFonts w:eastAsia="Times New Roman"/>
          <w:szCs w:val="26"/>
        </w:rPr>
        <w:t xml:space="preserve"> </w:t>
      </w:r>
      <w:r w:rsidR="008C7295">
        <w:rPr>
          <w:rFonts w:eastAsia="Times New Roman"/>
          <w:szCs w:val="26"/>
        </w:rPr>
        <w:t xml:space="preserve">of the POR program as existed </w:t>
      </w:r>
      <w:r>
        <w:rPr>
          <w:rFonts w:eastAsia="Times New Roman"/>
          <w:szCs w:val="26"/>
        </w:rPr>
        <w:t xml:space="preserve">with the “DSP III” </w:t>
      </w:r>
      <w:r w:rsidR="00406D70">
        <w:rPr>
          <w:rFonts w:eastAsia="Times New Roman"/>
          <w:szCs w:val="26"/>
        </w:rPr>
        <w:t xml:space="preserve">structure </w:t>
      </w:r>
      <w:r w:rsidR="008C7295">
        <w:rPr>
          <w:rFonts w:eastAsia="Times New Roman"/>
          <w:szCs w:val="26"/>
        </w:rPr>
        <w:t xml:space="preserve">should be changed, or modified, coterminous </w:t>
      </w:r>
      <w:r w:rsidR="00406D70">
        <w:rPr>
          <w:rFonts w:eastAsia="Times New Roman"/>
          <w:szCs w:val="26"/>
        </w:rPr>
        <w:t xml:space="preserve">and prospectively, </w:t>
      </w:r>
      <w:r w:rsidR="008C7295">
        <w:rPr>
          <w:rFonts w:eastAsia="Times New Roman"/>
          <w:szCs w:val="26"/>
        </w:rPr>
        <w:t>with a period it</w:t>
      </w:r>
      <w:r w:rsidR="00406D70">
        <w:rPr>
          <w:rFonts w:eastAsia="Times New Roman"/>
          <w:szCs w:val="26"/>
        </w:rPr>
        <w:t xml:space="preserve"> associates with </w:t>
      </w:r>
      <w:r w:rsidR="00406D70">
        <w:rPr>
          <w:rFonts w:eastAsia="Times New Roman"/>
          <w:szCs w:val="26"/>
        </w:rPr>
        <w:lastRenderedPageBreak/>
        <w:t>the DSP</w:t>
      </w:r>
      <w:r w:rsidR="00E20227">
        <w:rPr>
          <w:rFonts w:eastAsia="Times New Roman"/>
          <w:szCs w:val="26"/>
        </w:rPr>
        <w:t xml:space="preserve"> IV</w:t>
      </w:r>
      <w:r w:rsidR="00406D70">
        <w:rPr>
          <w:rFonts w:eastAsia="Times New Roman"/>
          <w:szCs w:val="26"/>
        </w:rPr>
        <w:t xml:space="preserve"> proceeding.</w:t>
      </w:r>
      <w:r w:rsidR="008C7295">
        <w:rPr>
          <w:rFonts w:eastAsia="Times New Roman"/>
          <w:szCs w:val="26"/>
        </w:rPr>
        <w:t xml:space="preserve">  It objects that the terms and conditions of the Companies’ POR were changed to alter its reasonable expectations of no-recourse during this period</w:t>
      </w:r>
      <w:r>
        <w:rPr>
          <w:rFonts w:eastAsia="Times New Roman"/>
          <w:szCs w:val="26"/>
        </w:rPr>
        <w:t>.</w:t>
      </w:r>
      <w:r w:rsidR="005F6B54">
        <w:rPr>
          <w:rStyle w:val="FootnoteReference"/>
          <w:rFonts w:eastAsia="Times New Roman"/>
          <w:szCs w:val="26"/>
        </w:rPr>
        <w:footnoteReference w:id="19"/>
      </w:r>
    </w:p>
    <w:p w14:paraId="3C9016E6" w14:textId="77777777" w:rsidR="00406D70" w:rsidRDefault="00406D70" w:rsidP="00C02F4E">
      <w:pPr>
        <w:rPr>
          <w:rFonts w:eastAsia="Times New Roman"/>
          <w:szCs w:val="26"/>
        </w:rPr>
      </w:pPr>
    </w:p>
    <w:p w14:paraId="7ECB41D5" w14:textId="672EAECA" w:rsidR="00563CC8" w:rsidRDefault="008C7295" w:rsidP="00C02F4E">
      <w:pPr>
        <w:rPr>
          <w:rFonts w:eastAsia="Times New Roman"/>
          <w:szCs w:val="26"/>
        </w:rPr>
      </w:pPr>
      <w:r>
        <w:rPr>
          <w:rFonts w:eastAsia="Times New Roman"/>
          <w:szCs w:val="26"/>
        </w:rPr>
        <w:t>Respond further alleges</w:t>
      </w:r>
      <w:r w:rsidR="00406D70">
        <w:rPr>
          <w:rFonts w:eastAsia="Times New Roman"/>
          <w:szCs w:val="26"/>
        </w:rPr>
        <w:t>,</w:t>
      </w:r>
      <w:r>
        <w:rPr>
          <w:rFonts w:eastAsia="Times New Roman"/>
          <w:szCs w:val="26"/>
        </w:rPr>
        <w:t xml:space="preserve"> that </w:t>
      </w:r>
      <w:r w:rsidR="00FD7596">
        <w:rPr>
          <w:rFonts w:eastAsia="Times New Roman"/>
          <w:szCs w:val="26"/>
        </w:rPr>
        <w:t xml:space="preserve">it was not provided with </w:t>
      </w:r>
      <w:r>
        <w:rPr>
          <w:rFonts w:eastAsia="Times New Roman"/>
          <w:szCs w:val="26"/>
        </w:rPr>
        <w:t xml:space="preserve">reasonable notice of the change even </w:t>
      </w:r>
      <w:r w:rsidR="00FD7596">
        <w:rPr>
          <w:rFonts w:eastAsia="Times New Roman"/>
          <w:szCs w:val="26"/>
        </w:rPr>
        <w:t xml:space="preserve">with </w:t>
      </w:r>
      <w:r>
        <w:rPr>
          <w:rFonts w:eastAsia="Times New Roman"/>
          <w:szCs w:val="26"/>
        </w:rPr>
        <w:t xml:space="preserve">the regulatory notices, </w:t>
      </w:r>
      <w:r w:rsidR="00FD7596">
        <w:rPr>
          <w:rFonts w:eastAsia="Times New Roman"/>
          <w:szCs w:val="26"/>
        </w:rPr>
        <w:t xml:space="preserve">since the notice(s) </w:t>
      </w:r>
      <w:r w:rsidR="00406D70">
        <w:rPr>
          <w:rFonts w:eastAsia="Times New Roman"/>
          <w:szCs w:val="26"/>
        </w:rPr>
        <w:t>did not specifically apprise it of the financial impact of the change on its receivable</w:t>
      </w:r>
      <w:r w:rsidR="00E20227">
        <w:rPr>
          <w:rFonts w:eastAsia="Times New Roman"/>
          <w:szCs w:val="26"/>
        </w:rPr>
        <w:t>s</w:t>
      </w:r>
      <w:r w:rsidR="00406D70">
        <w:rPr>
          <w:rFonts w:eastAsia="Times New Roman"/>
          <w:szCs w:val="26"/>
        </w:rPr>
        <w:t xml:space="preserve"> accumulated during the period it associates with the DSP III structure.  </w:t>
      </w:r>
      <w:r w:rsidR="00563CC8">
        <w:rPr>
          <w:rFonts w:eastAsia="Times New Roman"/>
          <w:szCs w:val="26"/>
        </w:rPr>
        <w:t xml:space="preserve">We conclude that this position has been </w:t>
      </w:r>
      <w:r w:rsidR="00406D70">
        <w:rPr>
          <w:rFonts w:eastAsia="Times New Roman"/>
          <w:szCs w:val="26"/>
        </w:rPr>
        <w:t xml:space="preserve">substantially </w:t>
      </w:r>
      <w:r w:rsidR="00563CC8">
        <w:rPr>
          <w:rFonts w:eastAsia="Times New Roman"/>
          <w:szCs w:val="26"/>
        </w:rPr>
        <w:t xml:space="preserve">considered and rejected in the </w:t>
      </w:r>
      <w:r w:rsidR="00563CC8">
        <w:rPr>
          <w:rFonts w:eastAsia="Times New Roman"/>
          <w:i/>
          <w:iCs/>
          <w:szCs w:val="26"/>
        </w:rPr>
        <w:t>June 2019 Order</w:t>
      </w:r>
      <w:r w:rsidR="005F7B4C">
        <w:rPr>
          <w:rFonts w:eastAsia="Times New Roman"/>
          <w:szCs w:val="26"/>
        </w:rPr>
        <w:t xml:space="preserve"> as stated below</w:t>
      </w:r>
      <w:r w:rsidR="00563CC8">
        <w:rPr>
          <w:rFonts w:eastAsia="Times New Roman"/>
          <w:szCs w:val="26"/>
        </w:rPr>
        <w:t>:</w:t>
      </w:r>
    </w:p>
    <w:p w14:paraId="56A975C6" w14:textId="77777777" w:rsidR="00563CC8" w:rsidRDefault="00563CC8" w:rsidP="00C02F4E">
      <w:pPr>
        <w:rPr>
          <w:rFonts w:eastAsia="Times New Roman"/>
          <w:szCs w:val="26"/>
        </w:rPr>
      </w:pPr>
    </w:p>
    <w:p w14:paraId="3E180E43" w14:textId="77777777" w:rsidR="00563CC8" w:rsidRDefault="00563CC8" w:rsidP="00563CC8">
      <w:pPr>
        <w:spacing w:line="240" w:lineRule="auto"/>
        <w:ind w:left="1440" w:right="1440" w:firstLine="0"/>
      </w:pPr>
      <w:r>
        <w:t xml:space="preserve">The DSP IV Settlement approved by the </w:t>
      </w:r>
      <w:r w:rsidRPr="00297877">
        <w:rPr>
          <w:i/>
        </w:rPr>
        <w:t>Default Service Order</w:t>
      </w:r>
      <w:r>
        <w:t xml:space="preserve"> clearly explains the terms and conditions of the </w:t>
      </w:r>
      <w:proofErr w:type="spellStart"/>
      <w:r>
        <w:t>clawback</w:t>
      </w:r>
      <w:proofErr w:type="spellEnd"/>
      <w:r>
        <w:t xml:space="preserve"> provision and how it would operate.  According to the Settlement, the </w:t>
      </w:r>
      <w:proofErr w:type="spellStart"/>
      <w:r>
        <w:t>clawback</w:t>
      </w:r>
      <w:proofErr w:type="spellEnd"/>
      <w:r>
        <w:t xml:space="preserve"> charges will be assessed based on historical data from the prior twelve-month period.  We acknowledge the Companies’ argument that neither the 2016 nor the 2017 </w:t>
      </w:r>
      <w:proofErr w:type="spellStart"/>
      <w:r>
        <w:t>clawback</w:t>
      </w:r>
      <w:proofErr w:type="spellEnd"/>
      <w:r>
        <w:t xml:space="preserve"> charges were imposed on Respond until after the entry of the </w:t>
      </w:r>
      <w:r w:rsidRPr="00297877">
        <w:rPr>
          <w:i/>
        </w:rPr>
        <w:t>Default Service Order</w:t>
      </w:r>
      <w:r>
        <w:t xml:space="preserve"> approving the </w:t>
      </w:r>
      <w:proofErr w:type="spellStart"/>
      <w:r>
        <w:t>clawback</w:t>
      </w:r>
      <w:proofErr w:type="spellEnd"/>
      <w:r>
        <w:t xml:space="preserve"> provision as part of their respective PORs.  We agree with the Companies that the </w:t>
      </w:r>
      <w:proofErr w:type="spellStart"/>
      <w:r>
        <w:t>clawback</w:t>
      </w:r>
      <w:proofErr w:type="spellEnd"/>
      <w:r>
        <w:t xml:space="preserve"> charges did not modify the terms of the prior POR programs but is an authorized revision to the program that was approved in the </w:t>
      </w:r>
      <w:r w:rsidRPr="00297877">
        <w:rPr>
          <w:i/>
        </w:rPr>
        <w:t>Default Service Order</w:t>
      </w:r>
      <w:r>
        <w:t xml:space="preserve">.  </w:t>
      </w:r>
      <w:r>
        <w:rPr>
          <w:i/>
        </w:rPr>
        <w:t xml:space="preserve">See </w:t>
      </w:r>
      <w:r>
        <w:t xml:space="preserve">Tr. at 80-82.  The use of billing determinants from a prior, historic period, does not render the operation of the </w:t>
      </w:r>
      <w:proofErr w:type="spellStart"/>
      <w:r>
        <w:t>clawback</w:t>
      </w:r>
      <w:proofErr w:type="spellEnd"/>
      <w:r>
        <w:t xml:space="preserve"> improperly retroactive.  Therefore, we find no merit in Respond’s claim that the Commission was not aware of the use of the historic data to assess the charge.</w:t>
      </w:r>
    </w:p>
    <w:p w14:paraId="3BE7F84E" w14:textId="77777777" w:rsidR="00563CC8" w:rsidRDefault="00563CC8" w:rsidP="00563CC8">
      <w:pPr>
        <w:spacing w:line="240" w:lineRule="auto"/>
        <w:ind w:left="1440" w:right="1440" w:firstLine="0"/>
      </w:pPr>
    </w:p>
    <w:p w14:paraId="4D2DAB9E" w14:textId="77777777" w:rsidR="00563CC8" w:rsidRPr="000275F4" w:rsidRDefault="00563CC8" w:rsidP="00563CC8">
      <w:pPr>
        <w:spacing w:line="240" w:lineRule="auto"/>
        <w:ind w:left="1440" w:right="1440" w:firstLine="0"/>
      </w:pPr>
      <w:r>
        <w:t xml:space="preserve">The Companies further aver that contrary to Respond’s claim, the </w:t>
      </w:r>
      <w:proofErr w:type="spellStart"/>
      <w:r>
        <w:t>clawback</w:t>
      </w:r>
      <w:proofErr w:type="spellEnd"/>
      <w:r>
        <w:t xml:space="preserve"> charge is an administrative fee for participation in the Companies’ POR program that is applied prospectively to all EGSs and was charged only </w:t>
      </w:r>
      <w:r w:rsidRPr="00363485">
        <w:rPr>
          <w:i/>
        </w:rPr>
        <w:t>after</w:t>
      </w:r>
      <w:r>
        <w:t xml:space="preserve"> the </w:t>
      </w:r>
      <w:proofErr w:type="spellStart"/>
      <w:r>
        <w:t>clawback</w:t>
      </w:r>
      <w:proofErr w:type="spellEnd"/>
      <w:r>
        <w:t xml:space="preserve"> provision was approved in the </w:t>
      </w:r>
      <w:r w:rsidRPr="00AB146A">
        <w:rPr>
          <w:i/>
        </w:rPr>
        <w:t xml:space="preserve">Default Service Order. </w:t>
      </w:r>
      <w:r>
        <w:t xml:space="preserve"> </w:t>
      </w:r>
      <w:r>
        <w:lastRenderedPageBreak/>
        <w:t xml:space="preserve">Moreover, the Companies argue that the charge is not retroactive just because the </w:t>
      </w:r>
      <w:proofErr w:type="spellStart"/>
      <w:r>
        <w:t>clawback</w:t>
      </w:r>
      <w:proofErr w:type="spellEnd"/>
      <w:r>
        <w:t xml:space="preserve"> screening process analyzes the track records of the EGSs to identify their mode of operation, product type and pricing policies and how these factors drive higher uncollectible account expense.  Furthermore, the record clearly shows that the Companies’ calculation and assessment of the </w:t>
      </w:r>
      <w:proofErr w:type="spellStart"/>
      <w:r>
        <w:t>clawback</w:t>
      </w:r>
      <w:proofErr w:type="spellEnd"/>
      <w:r>
        <w:t xml:space="preserve"> charges for 2016 and 2017 were in accordance with the terms and conditions of the </w:t>
      </w:r>
      <w:proofErr w:type="spellStart"/>
      <w:r>
        <w:t>clawback</w:t>
      </w:r>
      <w:proofErr w:type="spellEnd"/>
      <w:r>
        <w:t xml:space="preserve"> provisions approved by the </w:t>
      </w:r>
      <w:r w:rsidRPr="00AB146A">
        <w:rPr>
          <w:i/>
        </w:rPr>
        <w:t>Default Service Order</w:t>
      </w:r>
      <w:r>
        <w:rPr>
          <w:b/>
        </w:rPr>
        <w:t xml:space="preserve">.  </w:t>
      </w:r>
      <w:r w:rsidRPr="00D8085F">
        <w:t>Therefore, we find no merit in Respond</w:t>
      </w:r>
      <w:r>
        <w:t>’</w:t>
      </w:r>
      <w:r w:rsidRPr="00D8085F">
        <w:t>s retroactive ratemaking argument</w:t>
      </w:r>
      <w:r>
        <w:t xml:space="preserve">.  Accordingly, we </w:t>
      </w:r>
      <w:r w:rsidRPr="00D8085F">
        <w:t>shall deny Respond</w:t>
      </w:r>
      <w:r>
        <w:t>’</w:t>
      </w:r>
      <w:r w:rsidRPr="00D8085F">
        <w:t>s Exception No. 2.</w:t>
      </w:r>
      <w:r>
        <w:rPr>
          <w:b/>
        </w:rPr>
        <w:t xml:space="preserve">  </w:t>
      </w:r>
      <w:r w:rsidRPr="00E41838">
        <w:t>R. Exc. at 8.</w:t>
      </w:r>
    </w:p>
    <w:p w14:paraId="469F396E" w14:textId="4BEA59DE" w:rsidR="00FD7596" w:rsidRDefault="00563CC8" w:rsidP="00015308">
      <w:pPr>
        <w:spacing w:line="480" w:lineRule="auto"/>
        <w:ind w:firstLine="0"/>
        <w:rPr>
          <w:rFonts w:eastAsia="Times New Roman"/>
          <w:szCs w:val="26"/>
        </w:rPr>
      </w:pPr>
      <w:r>
        <w:rPr>
          <w:rFonts w:eastAsia="Times New Roman"/>
          <w:i/>
          <w:iCs/>
          <w:szCs w:val="26"/>
        </w:rPr>
        <w:t xml:space="preserve"> </w:t>
      </w:r>
      <w:r>
        <w:rPr>
          <w:rFonts w:eastAsia="Times New Roman"/>
          <w:szCs w:val="26"/>
        </w:rPr>
        <w:t xml:space="preserve"> </w:t>
      </w:r>
    </w:p>
    <w:p w14:paraId="656B081A" w14:textId="77777777" w:rsidR="00E00225" w:rsidRPr="00406D70" w:rsidRDefault="00563CC8" w:rsidP="00406D70">
      <w:pPr>
        <w:ind w:firstLine="0"/>
        <w:rPr>
          <w:rFonts w:eastAsia="Times New Roman"/>
          <w:szCs w:val="26"/>
        </w:rPr>
      </w:pPr>
      <w:r>
        <w:rPr>
          <w:rFonts w:eastAsia="Times New Roman"/>
          <w:i/>
          <w:iCs/>
          <w:szCs w:val="26"/>
        </w:rPr>
        <w:t xml:space="preserve">June 2019 Order </w:t>
      </w:r>
      <w:r>
        <w:rPr>
          <w:rFonts w:eastAsia="Times New Roman"/>
          <w:szCs w:val="26"/>
        </w:rPr>
        <w:t>at 47-48</w:t>
      </w:r>
      <w:r w:rsidR="00406D70">
        <w:rPr>
          <w:rFonts w:eastAsia="Times New Roman"/>
          <w:szCs w:val="26"/>
        </w:rPr>
        <w:t>.</w:t>
      </w:r>
    </w:p>
    <w:p w14:paraId="5622B0CD" w14:textId="77777777" w:rsidR="00DE11D7" w:rsidRPr="00117CC1" w:rsidRDefault="00DE11D7" w:rsidP="00CC0155"/>
    <w:p w14:paraId="0BE57CC5" w14:textId="77777777" w:rsidR="00537D7F" w:rsidRPr="00117CC1" w:rsidRDefault="00537D7F" w:rsidP="005F6B54">
      <w:pPr>
        <w:pStyle w:val="Heading1"/>
        <w:keepLines/>
      </w:pPr>
      <w:bookmarkStart w:id="7" w:name="_Toc415316194"/>
      <w:r w:rsidRPr="00117CC1">
        <w:t>Conclusion</w:t>
      </w:r>
      <w:bookmarkEnd w:id="7"/>
    </w:p>
    <w:p w14:paraId="7DF0524D" w14:textId="77777777" w:rsidR="00537D7F" w:rsidRPr="00117CC1" w:rsidRDefault="00537D7F" w:rsidP="00F71658">
      <w:pPr>
        <w:keepNext/>
        <w:keepLines/>
        <w:rPr>
          <w:rFonts w:eastAsia="Times New Roman"/>
          <w:color w:val="000000"/>
          <w:szCs w:val="26"/>
        </w:rPr>
      </w:pPr>
    </w:p>
    <w:p w14:paraId="079251C8" w14:textId="04F46CFA" w:rsidR="00B53E8B" w:rsidRDefault="00412DF3" w:rsidP="00CC0155">
      <w:pPr>
        <w:tabs>
          <w:tab w:val="left" w:pos="-720"/>
        </w:tabs>
        <w:suppressAutoHyphens/>
        <w:rPr>
          <w:b/>
          <w:spacing w:val="-3"/>
          <w:szCs w:val="26"/>
        </w:rPr>
      </w:pPr>
      <w:r w:rsidRPr="00117CC1">
        <w:rPr>
          <w:spacing w:val="-3"/>
        </w:rPr>
        <w:t xml:space="preserve">Based on </w:t>
      </w:r>
      <w:r w:rsidR="005F6B54">
        <w:rPr>
          <w:spacing w:val="-3"/>
        </w:rPr>
        <w:t xml:space="preserve">the foregoing discussion, we shall deny </w:t>
      </w:r>
      <w:r w:rsidR="005F7B4C">
        <w:rPr>
          <w:spacing w:val="-3"/>
        </w:rPr>
        <w:t>Respond’s Petition</w:t>
      </w:r>
      <w:r w:rsidR="005F6B54">
        <w:rPr>
          <w:spacing w:val="-3"/>
        </w:rPr>
        <w:t>;</w:t>
      </w:r>
      <w:r w:rsidR="00355FC7" w:rsidRPr="00117CC1">
        <w:t xml:space="preserve"> </w:t>
      </w:r>
      <w:r w:rsidR="00BE6ED3" w:rsidRPr="00117CC1">
        <w:rPr>
          <w:b/>
          <w:spacing w:val="-3"/>
          <w:szCs w:val="26"/>
        </w:rPr>
        <w:t>T</w:t>
      </w:r>
      <w:r w:rsidR="00357564" w:rsidRPr="00117CC1">
        <w:rPr>
          <w:b/>
          <w:spacing w:val="-3"/>
          <w:szCs w:val="26"/>
        </w:rPr>
        <w:t>HEREFORE</w:t>
      </w:r>
      <w:r w:rsidR="0036542B" w:rsidRPr="00117CC1">
        <w:rPr>
          <w:b/>
          <w:spacing w:val="-3"/>
          <w:szCs w:val="26"/>
        </w:rPr>
        <w:t>,</w:t>
      </w:r>
    </w:p>
    <w:p w14:paraId="1358183C" w14:textId="77777777" w:rsidR="00C50DDA" w:rsidRDefault="00C50DDA" w:rsidP="00CC0155">
      <w:pPr>
        <w:tabs>
          <w:tab w:val="left" w:pos="-720"/>
        </w:tabs>
        <w:suppressAutoHyphens/>
        <w:rPr>
          <w:b/>
          <w:spacing w:val="-3"/>
          <w:szCs w:val="26"/>
        </w:rPr>
      </w:pPr>
    </w:p>
    <w:p w14:paraId="35A68094" w14:textId="77777777" w:rsidR="00B53E8B" w:rsidRPr="00117CC1" w:rsidRDefault="0047221A" w:rsidP="00F71658">
      <w:pPr>
        <w:pStyle w:val="NoSpacing"/>
        <w:keepNext/>
        <w:keepLines/>
        <w:spacing w:line="360" w:lineRule="auto"/>
        <w:ind w:left="720" w:firstLine="720"/>
        <w:rPr>
          <w:b/>
          <w:color w:val="333333"/>
          <w:sz w:val="26"/>
          <w:szCs w:val="26"/>
        </w:rPr>
      </w:pPr>
      <w:r w:rsidRPr="00117CC1">
        <w:rPr>
          <w:b/>
          <w:color w:val="333333"/>
          <w:sz w:val="26"/>
          <w:szCs w:val="26"/>
        </w:rPr>
        <w:t xml:space="preserve">IT IS </w:t>
      </w:r>
      <w:r w:rsidR="00C57E0A" w:rsidRPr="00117CC1">
        <w:rPr>
          <w:b/>
          <w:color w:val="333333"/>
          <w:sz w:val="26"/>
          <w:szCs w:val="26"/>
        </w:rPr>
        <w:t>ORDERED</w:t>
      </w:r>
      <w:r w:rsidRPr="00117CC1">
        <w:rPr>
          <w:b/>
          <w:color w:val="333333"/>
          <w:sz w:val="26"/>
          <w:szCs w:val="26"/>
        </w:rPr>
        <w:t>:</w:t>
      </w:r>
    </w:p>
    <w:p w14:paraId="4F9F6BE1" w14:textId="77777777" w:rsidR="006F0CC8" w:rsidRPr="00117CC1" w:rsidRDefault="006F0CC8" w:rsidP="00F71658">
      <w:pPr>
        <w:pStyle w:val="NoSpacing"/>
        <w:keepNext/>
        <w:keepLines/>
        <w:spacing w:line="360" w:lineRule="auto"/>
        <w:ind w:left="720" w:firstLine="720"/>
        <w:rPr>
          <w:b/>
          <w:color w:val="333333"/>
          <w:sz w:val="26"/>
          <w:szCs w:val="26"/>
        </w:rPr>
      </w:pPr>
    </w:p>
    <w:p w14:paraId="31FA86D5" w14:textId="19ABB3F6" w:rsidR="00C57E0A" w:rsidRPr="00117CC1" w:rsidRDefault="00E36112" w:rsidP="00CC0155">
      <w:pPr>
        <w:pStyle w:val="NoSpacing"/>
        <w:numPr>
          <w:ilvl w:val="0"/>
          <w:numId w:val="27"/>
        </w:numPr>
        <w:spacing w:line="360" w:lineRule="auto"/>
        <w:ind w:left="0" w:firstLine="1440"/>
        <w:rPr>
          <w:spacing w:val="-3"/>
          <w:sz w:val="26"/>
          <w:szCs w:val="26"/>
        </w:rPr>
      </w:pPr>
      <w:r w:rsidRPr="00117CC1">
        <w:rPr>
          <w:spacing w:val="-3"/>
          <w:sz w:val="26"/>
          <w:szCs w:val="26"/>
        </w:rPr>
        <w:t xml:space="preserve">That the </w:t>
      </w:r>
      <w:r w:rsidR="005F6B54">
        <w:rPr>
          <w:spacing w:val="-3"/>
          <w:sz w:val="26"/>
          <w:szCs w:val="26"/>
        </w:rPr>
        <w:t>Petition for Reconsideration</w:t>
      </w:r>
      <w:r w:rsidRPr="00117CC1">
        <w:rPr>
          <w:spacing w:val="-3"/>
          <w:sz w:val="26"/>
          <w:szCs w:val="26"/>
        </w:rPr>
        <w:t xml:space="preserve"> filed by</w:t>
      </w:r>
      <w:r w:rsidR="00F259B3">
        <w:rPr>
          <w:spacing w:val="-3"/>
          <w:sz w:val="26"/>
          <w:szCs w:val="26"/>
        </w:rPr>
        <w:t xml:space="preserve"> Respond Power, LLC</w:t>
      </w:r>
      <w:r w:rsidR="007A0630">
        <w:rPr>
          <w:spacing w:val="-3"/>
          <w:sz w:val="26"/>
          <w:szCs w:val="26"/>
        </w:rPr>
        <w:t>,</w:t>
      </w:r>
      <w:r w:rsidR="00AD0A8C" w:rsidRPr="00117CC1">
        <w:rPr>
          <w:sz w:val="26"/>
          <w:szCs w:val="26"/>
        </w:rPr>
        <w:t xml:space="preserve"> on</w:t>
      </w:r>
      <w:r w:rsidR="00F259B3">
        <w:rPr>
          <w:sz w:val="26"/>
          <w:szCs w:val="26"/>
        </w:rPr>
        <w:t xml:space="preserve"> </w:t>
      </w:r>
      <w:r w:rsidR="005F6B54">
        <w:rPr>
          <w:sz w:val="26"/>
          <w:szCs w:val="26"/>
        </w:rPr>
        <w:t>June 28, 2019,</w:t>
      </w:r>
      <w:r w:rsidR="00BD74DF" w:rsidRPr="00117CC1">
        <w:rPr>
          <w:sz w:val="26"/>
          <w:szCs w:val="26"/>
        </w:rPr>
        <w:t xml:space="preserve"> </w:t>
      </w:r>
      <w:r w:rsidR="00AD0A8C" w:rsidRPr="00117CC1">
        <w:rPr>
          <w:sz w:val="26"/>
          <w:szCs w:val="26"/>
        </w:rPr>
        <w:t xml:space="preserve">to the </w:t>
      </w:r>
      <w:r w:rsidR="005F6B54">
        <w:rPr>
          <w:sz w:val="26"/>
          <w:szCs w:val="26"/>
        </w:rPr>
        <w:t>Opinion and Order</w:t>
      </w:r>
      <w:r w:rsidR="00450439" w:rsidRPr="00117CC1">
        <w:rPr>
          <w:sz w:val="26"/>
          <w:szCs w:val="26"/>
        </w:rPr>
        <w:t xml:space="preserve"> </w:t>
      </w:r>
      <w:r w:rsidR="0015492B">
        <w:rPr>
          <w:sz w:val="26"/>
          <w:szCs w:val="26"/>
        </w:rPr>
        <w:t>entered</w:t>
      </w:r>
      <w:r w:rsidR="00FA7B0E" w:rsidRPr="00DE4320">
        <w:rPr>
          <w:sz w:val="26"/>
          <w:szCs w:val="26"/>
        </w:rPr>
        <w:t xml:space="preserve"> on </w:t>
      </w:r>
      <w:r w:rsidR="005F6B54">
        <w:rPr>
          <w:sz w:val="26"/>
          <w:szCs w:val="26"/>
        </w:rPr>
        <w:t>June 13, 2019</w:t>
      </w:r>
      <w:r w:rsidR="00FA7B0E" w:rsidRPr="00DE4320">
        <w:rPr>
          <w:sz w:val="26"/>
          <w:szCs w:val="26"/>
        </w:rPr>
        <w:t>,</w:t>
      </w:r>
      <w:r w:rsidR="00FA7B0E" w:rsidRPr="00F71658">
        <w:rPr>
          <w:spacing w:val="-3"/>
          <w:sz w:val="26"/>
        </w:rPr>
        <w:t xml:space="preserve"> </w:t>
      </w:r>
      <w:r w:rsidR="005F6B54">
        <w:rPr>
          <w:spacing w:val="-3"/>
          <w:sz w:val="26"/>
        </w:rPr>
        <w:t>is</w:t>
      </w:r>
      <w:r w:rsidR="00DE4320">
        <w:rPr>
          <w:spacing w:val="-3"/>
          <w:sz w:val="26"/>
          <w:szCs w:val="26"/>
        </w:rPr>
        <w:t xml:space="preserve"> denied</w:t>
      </w:r>
      <w:r w:rsidR="00F259B3">
        <w:rPr>
          <w:spacing w:val="-3"/>
          <w:sz w:val="26"/>
          <w:szCs w:val="26"/>
        </w:rPr>
        <w:t xml:space="preserve">, </w:t>
      </w:r>
      <w:r w:rsidR="00C5313B" w:rsidRPr="00117CC1">
        <w:rPr>
          <w:spacing w:val="-3"/>
          <w:sz w:val="26"/>
          <w:szCs w:val="26"/>
        </w:rPr>
        <w:t>consistent</w:t>
      </w:r>
      <w:r w:rsidR="00355FC7" w:rsidRPr="00117CC1">
        <w:rPr>
          <w:spacing w:val="-3"/>
          <w:sz w:val="26"/>
          <w:szCs w:val="26"/>
        </w:rPr>
        <w:t xml:space="preserve"> with this Opinion and Order</w:t>
      </w:r>
      <w:r w:rsidR="00992092" w:rsidRPr="00117CC1">
        <w:rPr>
          <w:spacing w:val="-3"/>
          <w:sz w:val="26"/>
          <w:szCs w:val="26"/>
        </w:rPr>
        <w:t>.</w:t>
      </w:r>
    </w:p>
    <w:p w14:paraId="73136906" w14:textId="77777777" w:rsidR="0001260B" w:rsidRPr="00117CC1" w:rsidRDefault="0001260B" w:rsidP="00CC0155">
      <w:pPr>
        <w:pStyle w:val="NoSpacing"/>
        <w:spacing w:line="360" w:lineRule="auto"/>
        <w:ind w:firstLine="1440"/>
        <w:rPr>
          <w:spacing w:val="-3"/>
          <w:sz w:val="26"/>
          <w:szCs w:val="26"/>
        </w:rPr>
      </w:pPr>
    </w:p>
    <w:p w14:paraId="4AB10E9B" w14:textId="77777777" w:rsidR="00C854D7" w:rsidRPr="00117CC1" w:rsidRDefault="00613175" w:rsidP="00015308">
      <w:pPr>
        <w:pStyle w:val="NoSpacing"/>
        <w:keepNext/>
        <w:keepLines/>
        <w:numPr>
          <w:ilvl w:val="0"/>
          <w:numId w:val="27"/>
        </w:numPr>
        <w:spacing w:line="360" w:lineRule="auto"/>
        <w:ind w:left="0" w:firstLine="1440"/>
        <w:rPr>
          <w:spacing w:val="-3"/>
          <w:sz w:val="26"/>
          <w:szCs w:val="26"/>
        </w:rPr>
      </w:pPr>
      <w:r w:rsidRPr="00117CC1">
        <w:rPr>
          <w:spacing w:val="-3"/>
          <w:sz w:val="26"/>
          <w:szCs w:val="26"/>
        </w:rPr>
        <w:lastRenderedPageBreak/>
        <w:t>That</w:t>
      </w:r>
      <w:r w:rsidR="005632BF">
        <w:rPr>
          <w:spacing w:val="-3"/>
          <w:sz w:val="26"/>
          <w:szCs w:val="26"/>
        </w:rPr>
        <w:t xml:space="preserve"> </w:t>
      </w:r>
      <w:r w:rsidRPr="00117CC1">
        <w:rPr>
          <w:spacing w:val="-3"/>
          <w:sz w:val="26"/>
          <w:szCs w:val="26"/>
        </w:rPr>
        <w:t>th</w:t>
      </w:r>
      <w:r w:rsidR="0063195B" w:rsidRPr="00117CC1">
        <w:rPr>
          <w:spacing w:val="-3"/>
          <w:sz w:val="26"/>
          <w:szCs w:val="26"/>
        </w:rPr>
        <w:t xml:space="preserve">is </w:t>
      </w:r>
      <w:r w:rsidR="00A90901" w:rsidRPr="00117CC1">
        <w:rPr>
          <w:spacing w:val="-3"/>
          <w:sz w:val="26"/>
          <w:szCs w:val="26"/>
        </w:rPr>
        <w:t>proceeding</w:t>
      </w:r>
      <w:r w:rsidR="0063195B" w:rsidRPr="00117CC1">
        <w:rPr>
          <w:spacing w:val="-3"/>
          <w:sz w:val="26"/>
          <w:szCs w:val="26"/>
        </w:rPr>
        <w:t xml:space="preserve"> be marked closed.</w:t>
      </w:r>
    </w:p>
    <w:p w14:paraId="058A1ADE" w14:textId="77777777" w:rsidR="00B53E8B" w:rsidRPr="00117CC1" w:rsidRDefault="00B53E8B" w:rsidP="00015308">
      <w:pPr>
        <w:pStyle w:val="NoSpacing"/>
        <w:keepNext/>
        <w:keepLines/>
        <w:spacing w:line="360" w:lineRule="auto"/>
        <w:ind w:firstLine="1440"/>
        <w:rPr>
          <w:b/>
          <w:spacing w:val="-3"/>
          <w:sz w:val="26"/>
          <w:szCs w:val="26"/>
        </w:rPr>
      </w:pPr>
    </w:p>
    <w:p w14:paraId="1E355FDD" w14:textId="2A02652E" w:rsidR="006345BA" w:rsidRPr="00117CC1" w:rsidRDefault="001D5B34" w:rsidP="00015308">
      <w:pPr>
        <w:pStyle w:val="ListParagraph"/>
        <w:keepNext/>
        <w:keepLines/>
        <w:spacing w:line="360" w:lineRule="auto"/>
        <w:ind w:left="0" w:firstLine="0"/>
        <w:rPr>
          <w:b/>
          <w:spacing w:val="-3"/>
          <w:sz w:val="26"/>
          <w:szCs w:val="26"/>
        </w:rPr>
      </w:pPr>
      <w:bookmarkStart w:id="8" w:name="_GoBack"/>
      <w:r w:rsidRPr="009F01BA">
        <w:rPr>
          <w:b/>
          <w:noProof/>
          <w:sz w:val="20"/>
          <w:szCs w:val="20"/>
        </w:rPr>
        <w:drawing>
          <wp:anchor distT="0" distB="0" distL="114300" distR="114300" simplePos="0" relativeHeight="251659264" behindDoc="1" locked="0" layoutInCell="1" allowOverlap="1" wp14:anchorId="7C212317" wp14:editId="4BB4DE8A">
            <wp:simplePos x="0" y="0"/>
            <wp:positionH relativeFrom="column">
              <wp:posOffset>2981325</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t>BY THE COMMISSION,</w:t>
      </w:r>
    </w:p>
    <w:p w14:paraId="00AB5105" w14:textId="0A272E91" w:rsidR="007C1AE9" w:rsidRPr="00117CC1" w:rsidRDefault="007C1AE9" w:rsidP="00015308">
      <w:pPr>
        <w:keepNext/>
        <w:keepLines/>
        <w:tabs>
          <w:tab w:val="left" w:pos="-720"/>
        </w:tabs>
        <w:suppressAutoHyphens/>
        <w:spacing w:line="240" w:lineRule="auto"/>
        <w:ind w:firstLine="0"/>
        <w:rPr>
          <w:spacing w:val="-3"/>
          <w:szCs w:val="26"/>
        </w:rPr>
      </w:pPr>
    </w:p>
    <w:p w14:paraId="474FD4FA" w14:textId="62F34747" w:rsidR="000A0EBD" w:rsidRPr="00117CC1" w:rsidRDefault="001D5B34" w:rsidP="001D5B34">
      <w:pPr>
        <w:keepNext/>
        <w:keepLines/>
        <w:tabs>
          <w:tab w:val="left" w:pos="-720"/>
          <w:tab w:val="left" w:pos="5970"/>
        </w:tabs>
        <w:suppressAutoHyphens/>
        <w:spacing w:line="240" w:lineRule="auto"/>
        <w:ind w:firstLine="0"/>
        <w:rPr>
          <w:spacing w:val="-3"/>
          <w:szCs w:val="26"/>
        </w:rPr>
      </w:pPr>
      <w:r>
        <w:rPr>
          <w:spacing w:val="-3"/>
          <w:szCs w:val="26"/>
        </w:rPr>
        <w:tab/>
      </w:r>
    </w:p>
    <w:p w14:paraId="0F8F9CBD" w14:textId="77777777" w:rsidR="000A0EBD" w:rsidRPr="00117CC1" w:rsidRDefault="000A0EBD" w:rsidP="00015308">
      <w:pPr>
        <w:keepNext/>
        <w:keepLines/>
        <w:tabs>
          <w:tab w:val="left" w:pos="-720"/>
        </w:tabs>
        <w:suppressAutoHyphens/>
        <w:spacing w:line="240" w:lineRule="auto"/>
        <w:ind w:firstLine="0"/>
        <w:rPr>
          <w:spacing w:val="-3"/>
          <w:szCs w:val="26"/>
        </w:rPr>
      </w:pPr>
    </w:p>
    <w:p w14:paraId="137CB2AA" w14:textId="77777777" w:rsidR="006345BA" w:rsidRPr="00117CC1" w:rsidRDefault="006345BA" w:rsidP="00015308">
      <w:pPr>
        <w:keepNext/>
        <w:keepLines/>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Rosemary Chiavetta</w:t>
      </w:r>
    </w:p>
    <w:p w14:paraId="31DED97C" w14:textId="77777777" w:rsidR="006345BA" w:rsidRPr="00117CC1" w:rsidRDefault="006345BA" w:rsidP="00015308">
      <w:pPr>
        <w:keepNext/>
        <w:keepLines/>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Secretary</w:t>
      </w:r>
    </w:p>
    <w:p w14:paraId="4D4A2697" w14:textId="77777777" w:rsidR="000A0EBD" w:rsidRPr="00117CC1" w:rsidRDefault="000A0EBD" w:rsidP="00015308">
      <w:pPr>
        <w:keepNext/>
        <w:keepLines/>
        <w:tabs>
          <w:tab w:val="left" w:pos="-720"/>
        </w:tabs>
        <w:suppressAutoHyphens/>
        <w:spacing w:line="240" w:lineRule="auto"/>
        <w:ind w:firstLine="0"/>
        <w:rPr>
          <w:spacing w:val="-3"/>
          <w:szCs w:val="26"/>
        </w:rPr>
      </w:pPr>
    </w:p>
    <w:p w14:paraId="721575B7" w14:textId="77777777" w:rsidR="00015308" w:rsidRDefault="00015308" w:rsidP="00015308">
      <w:pPr>
        <w:pStyle w:val="BodyText3"/>
        <w:keepNext/>
        <w:keepLines/>
        <w:tabs>
          <w:tab w:val="left" w:pos="-720"/>
        </w:tabs>
        <w:suppressAutoHyphens/>
        <w:spacing w:line="480" w:lineRule="auto"/>
        <w:ind w:firstLine="0"/>
        <w:rPr>
          <w:spacing w:val="-3"/>
        </w:rPr>
      </w:pPr>
    </w:p>
    <w:p w14:paraId="30B73FB4" w14:textId="37AFE5F3" w:rsidR="006345BA" w:rsidRPr="00117CC1" w:rsidRDefault="006345BA" w:rsidP="00015308">
      <w:pPr>
        <w:pStyle w:val="BodyText3"/>
        <w:keepNext/>
        <w:keepLines/>
        <w:tabs>
          <w:tab w:val="left" w:pos="-720"/>
        </w:tabs>
        <w:suppressAutoHyphens/>
        <w:spacing w:line="480" w:lineRule="auto"/>
        <w:ind w:firstLine="0"/>
        <w:rPr>
          <w:spacing w:val="-3"/>
        </w:rPr>
      </w:pPr>
      <w:r w:rsidRPr="00117CC1">
        <w:rPr>
          <w:spacing w:val="-3"/>
        </w:rPr>
        <w:t>(SEAL)</w:t>
      </w:r>
    </w:p>
    <w:p w14:paraId="6C3467C0" w14:textId="77777777" w:rsidR="006345BA" w:rsidRDefault="006345BA" w:rsidP="00015308">
      <w:pPr>
        <w:keepNext/>
        <w:keepLines/>
        <w:tabs>
          <w:tab w:val="left" w:pos="-720"/>
        </w:tabs>
        <w:suppressAutoHyphens/>
        <w:spacing w:line="480" w:lineRule="auto"/>
        <w:ind w:firstLine="0"/>
        <w:rPr>
          <w:spacing w:val="-3"/>
          <w:szCs w:val="26"/>
        </w:rPr>
      </w:pPr>
      <w:r w:rsidRPr="00117CC1">
        <w:rPr>
          <w:spacing w:val="-3"/>
          <w:szCs w:val="26"/>
        </w:rPr>
        <w:t xml:space="preserve">ORDER ADOPTED:  </w:t>
      </w:r>
      <w:r w:rsidR="005F6B54">
        <w:rPr>
          <w:spacing w:val="-3"/>
          <w:szCs w:val="26"/>
        </w:rPr>
        <w:t>February 6,</w:t>
      </w:r>
      <w:r w:rsidR="0045193F">
        <w:rPr>
          <w:spacing w:val="-3"/>
          <w:szCs w:val="26"/>
        </w:rPr>
        <w:t xml:space="preserve"> 2020</w:t>
      </w:r>
    </w:p>
    <w:p w14:paraId="317D1EBF" w14:textId="02DAB2A6" w:rsidR="003C7AC9" w:rsidRDefault="006345BA" w:rsidP="00015308">
      <w:pPr>
        <w:pStyle w:val="BodyText3"/>
        <w:keepNext/>
        <w:keepLines/>
        <w:tabs>
          <w:tab w:val="left" w:pos="-720"/>
        </w:tabs>
        <w:suppressAutoHyphens/>
        <w:spacing w:line="480" w:lineRule="auto"/>
        <w:ind w:firstLine="0"/>
        <w:rPr>
          <w:spacing w:val="-3"/>
        </w:rPr>
      </w:pPr>
      <w:r w:rsidRPr="00117CC1">
        <w:rPr>
          <w:spacing w:val="-3"/>
        </w:rPr>
        <w:t>ORDER ENTERED:</w:t>
      </w:r>
      <w:r w:rsidR="008E312F" w:rsidRPr="00117CC1">
        <w:rPr>
          <w:spacing w:val="-3"/>
        </w:rPr>
        <w:t xml:space="preserve">  </w:t>
      </w:r>
      <w:r w:rsidR="001D5B34">
        <w:rPr>
          <w:spacing w:val="-3"/>
        </w:rPr>
        <w:t>February 6, 2020</w:t>
      </w:r>
    </w:p>
    <w:p w14:paraId="28115D48" w14:textId="77777777" w:rsidR="0045193F" w:rsidRDefault="0045193F" w:rsidP="00015308">
      <w:pPr>
        <w:pStyle w:val="BodyText3"/>
        <w:tabs>
          <w:tab w:val="left" w:pos="-720"/>
        </w:tabs>
        <w:suppressAutoHyphens/>
        <w:ind w:firstLine="0"/>
        <w:rPr>
          <w:spacing w:val="-3"/>
        </w:rPr>
      </w:pPr>
    </w:p>
    <w:p w14:paraId="3D34491B" w14:textId="77777777" w:rsidR="0045193F" w:rsidRDefault="0045193F" w:rsidP="0045193F">
      <w:pPr>
        <w:pStyle w:val="BodyText3"/>
        <w:tabs>
          <w:tab w:val="left" w:pos="-720"/>
        </w:tabs>
        <w:suppressAutoHyphens/>
        <w:ind w:firstLine="0"/>
        <w:rPr>
          <w:spacing w:val="-3"/>
        </w:rPr>
      </w:pPr>
    </w:p>
    <w:sectPr w:rsidR="0045193F" w:rsidSect="003E673A">
      <w:footerReference w:type="default" r:id="rId22"/>
      <w:footerReference w:type="firs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7138F" w14:textId="77777777" w:rsidR="00201162" w:rsidRDefault="00201162" w:rsidP="00DD03CC">
      <w:pPr>
        <w:spacing w:line="240" w:lineRule="auto"/>
      </w:pPr>
      <w:r>
        <w:separator/>
      </w:r>
    </w:p>
  </w:endnote>
  <w:endnote w:type="continuationSeparator" w:id="0">
    <w:p w14:paraId="475B8EEC" w14:textId="77777777" w:rsidR="00201162" w:rsidRDefault="00201162" w:rsidP="00DD03CC">
      <w:pPr>
        <w:spacing w:line="240" w:lineRule="auto"/>
      </w:pPr>
      <w:r>
        <w:continuationSeparator/>
      </w:r>
    </w:p>
  </w:endnote>
  <w:endnote w:type="continuationNotice" w:id="1">
    <w:p w14:paraId="344CF4CB" w14:textId="77777777" w:rsidR="00201162" w:rsidRDefault="002011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247"/>
      <w:docPartObj>
        <w:docPartGallery w:val="Page Numbers (Bottom of Page)"/>
        <w:docPartUnique/>
      </w:docPartObj>
    </w:sdtPr>
    <w:sdtEndPr>
      <w:rPr>
        <w:noProof/>
      </w:rPr>
    </w:sdtEndPr>
    <w:sdtContent>
      <w:p w14:paraId="49481CDF" w14:textId="548BA5A1" w:rsidR="00BF2281" w:rsidRPr="003A682F" w:rsidRDefault="00BF2281" w:rsidP="00015308">
        <w:pPr>
          <w:pStyle w:val="Footer"/>
          <w:tabs>
            <w:tab w:val="clear" w:pos="4680"/>
          </w:tabs>
          <w:ind w:firstLine="0"/>
          <w:jc w:val="center"/>
        </w:pPr>
        <w:r>
          <w:fldChar w:fldCharType="begin"/>
        </w:r>
        <w:r>
          <w:instrText xml:space="preserve"> PAGE   \* MERGEFORMAT </w:instrText>
        </w:r>
        <w:r>
          <w:fldChar w:fldCharType="separate"/>
        </w:r>
        <w:r w:rsidR="00507026">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0581" w14:textId="77777777" w:rsidR="00BF2281" w:rsidRDefault="00BF2281">
    <w:pPr>
      <w:pStyle w:val="Footer"/>
      <w:jc w:val="center"/>
    </w:pPr>
  </w:p>
  <w:p w14:paraId="5DB2DFB5" w14:textId="77777777" w:rsidR="00BF2281" w:rsidRDefault="00BF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CC99" w14:textId="77777777" w:rsidR="00201162" w:rsidRDefault="00201162" w:rsidP="00F71658">
      <w:pPr>
        <w:spacing w:line="240" w:lineRule="auto"/>
        <w:ind w:firstLine="0"/>
      </w:pPr>
      <w:r>
        <w:separator/>
      </w:r>
    </w:p>
  </w:footnote>
  <w:footnote w:type="continuationSeparator" w:id="0">
    <w:p w14:paraId="5D578FE3" w14:textId="77777777" w:rsidR="00201162" w:rsidRDefault="00201162" w:rsidP="00DD03CC">
      <w:pPr>
        <w:spacing w:line="240" w:lineRule="auto"/>
      </w:pPr>
      <w:r>
        <w:continuationSeparator/>
      </w:r>
    </w:p>
  </w:footnote>
  <w:footnote w:type="continuationNotice" w:id="1">
    <w:p w14:paraId="14677555" w14:textId="77777777" w:rsidR="00201162" w:rsidRDefault="00201162">
      <w:pPr>
        <w:spacing w:line="240" w:lineRule="auto"/>
      </w:pPr>
    </w:p>
  </w:footnote>
  <w:footnote w:id="2">
    <w:p w14:paraId="33831389" w14:textId="77777777" w:rsidR="00BF2281" w:rsidRPr="00015308" w:rsidRDefault="00BF2281" w:rsidP="00AD153D">
      <w:pPr>
        <w:pStyle w:val="FootnoteText"/>
        <w:keepNext/>
        <w:keepLines/>
        <w:spacing w:after="120"/>
        <w:ind w:firstLine="720"/>
        <w:rPr>
          <w:sz w:val="26"/>
          <w:szCs w:val="26"/>
        </w:rPr>
      </w:pPr>
      <w:r w:rsidRPr="00015308">
        <w:rPr>
          <w:rStyle w:val="FootnoteReference"/>
          <w:sz w:val="26"/>
          <w:szCs w:val="26"/>
        </w:rPr>
        <w:footnoteRef/>
      </w:r>
      <w:r w:rsidRPr="00015308">
        <w:rPr>
          <w:sz w:val="26"/>
          <w:szCs w:val="26"/>
        </w:rPr>
        <w:t xml:space="preserve"> </w:t>
      </w:r>
      <w:r w:rsidRPr="00015308">
        <w:rPr>
          <w:sz w:val="26"/>
          <w:szCs w:val="26"/>
        </w:rPr>
        <w:tab/>
        <w:t>The Commission Opinion and Order entered July 13, 2017 (</w:t>
      </w:r>
      <w:r w:rsidRPr="00015308">
        <w:rPr>
          <w:i/>
          <w:iCs/>
          <w:sz w:val="26"/>
          <w:szCs w:val="26"/>
        </w:rPr>
        <w:t>Interlocutory Appeal Order</w:t>
      </w:r>
      <w:r w:rsidRPr="00015308">
        <w:rPr>
          <w:sz w:val="26"/>
          <w:szCs w:val="26"/>
        </w:rPr>
        <w:t xml:space="preserve">), </w:t>
      </w:r>
      <w:r w:rsidRPr="00015308">
        <w:rPr>
          <w:i/>
          <w:iCs/>
          <w:sz w:val="26"/>
          <w:szCs w:val="26"/>
        </w:rPr>
        <w:t>infra</w:t>
      </w:r>
      <w:r w:rsidRPr="00015308">
        <w:rPr>
          <w:sz w:val="26"/>
          <w:szCs w:val="26"/>
        </w:rPr>
        <w:t>,</w:t>
      </w:r>
      <w:r w:rsidRPr="00015308">
        <w:rPr>
          <w:i/>
          <w:iCs/>
          <w:sz w:val="26"/>
          <w:szCs w:val="26"/>
        </w:rPr>
        <w:t xml:space="preserve"> </w:t>
      </w:r>
      <w:r w:rsidRPr="00015308">
        <w:rPr>
          <w:sz w:val="26"/>
          <w:szCs w:val="26"/>
        </w:rPr>
        <w:t xml:space="preserve">clarifies that Respond originally filed one complaint against Penelec and West Penn.  </w:t>
      </w:r>
      <w:r w:rsidRPr="00015308">
        <w:rPr>
          <w:rFonts w:eastAsiaTheme="minorHAnsi"/>
          <w:sz w:val="26"/>
          <w:szCs w:val="26"/>
        </w:rPr>
        <w:t xml:space="preserve">At the request of the Commission’s Secretary, Respond filed separate Complaints against Penelec and West Penn with dates of November 17, 2016, [sic] and November 18, 2016 [sic].  </w:t>
      </w:r>
      <w:r w:rsidRPr="00015308">
        <w:rPr>
          <w:i/>
          <w:iCs/>
          <w:sz w:val="26"/>
          <w:szCs w:val="26"/>
        </w:rPr>
        <w:t xml:space="preserve">Interlocutory Appeal Order </w:t>
      </w:r>
      <w:r w:rsidRPr="00015308">
        <w:rPr>
          <w:sz w:val="26"/>
          <w:szCs w:val="26"/>
        </w:rPr>
        <w:t>at 5, n. 3.</w:t>
      </w:r>
      <w:r w:rsidRPr="00015308">
        <w:rPr>
          <w:rFonts w:eastAsiaTheme="minorHAnsi"/>
          <w:sz w:val="26"/>
          <w:szCs w:val="26"/>
        </w:rPr>
        <w:t xml:space="preserve"> </w:t>
      </w:r>
    </w:p>
  </w:footnote>
  <w:footnote w:id="3">
    <w:p w14:paraId="46914217" w14:textId="77777777" w:rsidR="00BF2281" w:rsidRPr="00015308" w:rsidRDefault="00BF2281" w:rsidP="00F67EB8">
      <w:pPr>
        <w:pStyle w:val="FootnoteText"/>
        <w:keepNext/>
        <w:keepLines/>
        <w:spacing w:after="120"/>
        <w:ind w:firstLine="720"/>
        <w:rPr>
          <w:sz w:val="26"/>
          <w:szCs w:val="26"/>
        </w:rPr>
      </w:pPr>
      <w:r w:rsidRPr="00015308">
        <w:rPr>
          <w:rStyle w:val="FootnoteReference"/>
          <w:sz w:val="26"/>
          <w:szCs w:val="26"/>
        </w:rPr>
        <w:footnoteRef/>
      </w:r>
      <w:r w:rsidRPr="00015308">
        <w:rPr>
          <w:sz w:val="26"/>
          <w:szCs w:val="26"/>
        </w:rPr>
        <w:tab/>
        <w:t xml:space="preserve">Penelec invoiced Respond in the amount of $305,890.63, while West Penn invoiced Respond in the amount of $178,907.06. </w:t>
      </w:r>
    </w:p>
  </w:footnote>
  <w:footnote w:id="4">
    <w:p w14:paraId="4DA14598" w14:textId="77777777" w:rsidR="00BF2281" w:rsidRPr="00015308" w:rsidRDefault="00BF2281" w:rsidP="00C34725">
      <w:pPr>
        <w:pStyle w:val="FootnoteText"/>
        <w:spacing w:after="120"/>
        <w:ind w:firstLine="720"/>
        <w:rPr>
          <w:sz w:val="26"/>
          <w:szCs w:val="26"/>
        </w:rPr>
      </w:pPr>
      <w:r w:rsidRPr="00015308">
        <w:rPr>
          <w:rStyle w:val="FootnoteReference"/>
          <w:sz w:val="26"/>
          <w:szCs w:val="26"/>
        </w:rPr>
        <w:footnoteRef/>
      </w:r>
      <w:r w:rsidRPr="00015308">
        <w:rPr>
          <w:sz w:val="26"/>
          <w:szCs w:val="26"/>
        </w:rPr>
        <w:t xml:space="preserve"> </w:t>
      </w:r>
      <w:r w:rsidRPr="00015308">
        <w:rPr>
          <w:sz w:val="26"/>
          <w:szCs w:val="26"/>
        </w:rPr>
        <w:tab/>
        <w:t xml:space="preserve">The Companies reference the POR as a “POR Administrative Charge.”  </w:t>
      </w:r>
      <w:r w:rsidRPr="00015308">
        <w:rPr>
          <w:i/>
          <w:iCs/>
          <w:sz w:val="26"/>
          <w:szCs w:val="26"/>
        </w:rPr>
        <w:t>See</w:t>
      </w:r>
      <w:r w:rsidRPr="00015308">
        <w:rPr>
          <w:sz w:val="26"/>
          <w:szCs w:val="26"/>
        </w:rPr>
        <w:t xml:space="preserve">, Answer at 3, </w:t>
      </w:r>
      <w:r w:rsidRPr="00015308">
        <w:rPr>
          <w:i/>
          <w:iCs/>
          <w:sz w:val="26"/>
          <w:szCs w:val="26"/>
        </w:rPr>
        <w:t>infra</w:t>
      </w:r>
      <w:r w:rsidRPr="00015308">
        <w:rPr>
          <w:sz w:val="26"/>
          <w:szCs w:val="26"/>
        </w:rPr>
        <w:t>.</w:t>
      </w:r>
      <w:r w:rsidRPr="00015308">
        <w:rPr>
          <w:i/>
          <w:iCs/>
          <w:sz w:val="26"/>
          <w:szCs w:val="26"/>
        </w:rPr>
        <w:t xml:space="preserve"> </w:t>
      </w:r>
      <w:r w:rsidRPr="00015308">
        <w:rPr>
          <w:sz w:val="26"/>
          <w:szCs w:val="26"/>
        </w:rPr>
        <w:t xml:space="preserve"> </w:t>
      </w:r>
    </w:p>
  </w:footnote>
  <w:footnote w:id="5">
    <w:p w14:paraId="41624502" w14:textId="26531DEF" w:rsidR="00BF2281" w:rsidRDefault="00BF2281" w:rsidP="00C34725">
      <w:pPr>
        <w:spacing w:line="240" w:lineRule="auto"/>
        <w:ind w:firstLine="720"/>
      </w:pPr>
      <w:r w:rsidRPr="00015308">
        <w:rPr>
          <w:rStyle w:val="FootnoteReference"/>
          <w:szCs w:val="26"/>
        </w:rPr>
        <w:footnoteRef/>
      </w:r>
      <w:r w:rsidRPr="00015308">
        <w:rPr>
          <w:szCs w:val="26"/>
        </w:rPr>
        <w:t xml:space="preserve"> </w:t>
      </w:r>
      <w:r w:rsidRPr="00015308">
        <w:rPr>
          <w:szCs w:val="26"/>
        </w:rPr>
        <w:tab/>
      </w:r>
      <w:r w:rsidRPr="00015308">
        <w:rPr>
          <w:i/>
          <w:iCs/>
          <w:szCs w:val="26"/>
        </w:rPr>
        <w:t>See</w:t>
      </w:r>
      <w:r w:rsidRPr="00015308">
        <w:rPr>
          <w:szCs w:val="26"/>
        </w:rPr>
        <w:t xml:space="preserve"> 66 Pa.</w:t>
      </w:r>
      <w:r w:rsidR="00015308">
        <w:rPr>
          <w:szCs w:val="26"/>
        </w:rPr>
        <w:t xml:space="preserve"> </w:t>
      </w:r>
      <w:r w:rsidRPr="00015308">
        <w:rPr>
          <w:szCs w:val="26"/>
        </w:rPr>
        <w:t>C.S. § 2807(c),</w:t>
      </w:r>
      <w:r w:rsidRPr="00015308">
        <w:rPr>
          <w:i/>
          <w:iCs/>
          <w:szCs w:val="26"/>
        </w:rPr>
        <w:t xml:space="preserve"> </w:t>
      </w:r>
      <w:r w:rsidRPr="00015308">
        <w:rPr>
          <w:szCs w:val="26"/>
        </w:rPr>
        <w:t>“</w:t>
      </w:r>
      <w:r w:rsidRPr="00015308">
        <w:rPr>
          <w:b/>
          <w:bCs/>
          <w:szCs w:val="26"/>
        </w:rPr>
        <w:t>(c) Customer billing.--</w:t>
      </w:r>
      <w:r w:rsidRPr="00015308">
        <w:rPr>
          <w:szCs w:val="26"/>
        </w:rPr>
        <w:t>Subject to the right of an end-use customer to choose to receive separate bills from its electric generation supplier, the electric distribution company may be responsible for billing customers for all electric services, consistent with the regulations of the commission, regardless of the identity of the provider of those services.”</w:t>
      </w:r>
    </w:p>
  </w:footnote>
  <w:footnote w:id="6">
    <w:p w14:paraId="71FE28F4" w14:textId="77777777" w:rsidR="00BF2281" w:rsidRPr="00015308" w:rsidRDefault="00BF2281" w:rsidP="00F7645F">
      <w:pPr>
        <w:keepNext/>
        <w:keepLines/>
        <w:autoSpaceDE w:val="0"/>
        <w:autoSpaceDN w:val="0"/>
        <w:adjustRightInd w:val="0"/>
        <w:spacing w:after="120" w:line="240" w:lineRule="auto"/>
        <w:ind w:firstLine="720"/>
        <w:rPr>
          <w:szCs w:val="26"/>
        </w:rPr>
      </w:pPr>
      <w:r w:rsidRPr="00015308">
        <w:rPr>
          <w:rStyle w:val="FootnoteReference"/>
          <w:szCs w:val="26"/>
        </w:rPr>
        <w:footnoteRef/>
      </w:r>
      <w:r w:rsidRPr="00015308">
        <w:rPr>
          <w:szCs w:val="26"/>
        </w:rPr>
        <w:tab/>
        <w:t xml:space="preserve">“Write-offs” are customer accounts receivable balances that become delinquent due to non-payment and are ‘written off’ the Companies’ books approximately 182 days after the final bill is sent to the customer.  </w:t>
      </w:r>
      <w:r w:rsidRPr="00015308">
        <w:rPr>
          <w:i/>
          <w:iCs/>
          <w:szCs w:val="26"/>
        </w:rPr>
        <w:t xml:space="preserve">See </w:t>
      </w:r>
      <w:r w:rsidRPr="00015308">
        <w:rPr>
          <w:szCs w:val="26"/>
        </w:rPr>
        <w:t xml:space="preserve">Initial Decision Finding of Fact No. 30, </w:t>
      </w:r>
      <w:r w:rsidRPr="00015308">
        <w:rPr>
          <w:i/>
          <w:iCs/>
          <w:szCs w:val="26"/>
        </w:rPr>
        <w:t>infra</w:t>
      </w:r>
      <w:r w:rsidRPr="00015308">
        <w:rPr>
          <w:szCs w:val="26"/>
        </w:rPr>
        <w:t>;</w:t>
      </w:r>
      <w:r w:rsidRPr="00015308">
        <w:rPr>
          <w:i/>
          <w:szCs w:val="26"/>
        </w:rPr>
        <w:t xml:space="preserve"> </w:t>
      </w:r>
      <w:r w:rsidRPr="00015308">
        <w:rPr>
          <w:szCs w:val="26"/>
        </w:rPr>
        <w:t>Companies St. 1 at 18.</w:t>
      </w:r>
    </w:p>
  </w:footnote>
  <w:footnote w:id="7">
    <w:p w14:paraId="3E760091" w14:textId="77777777" w:rsidR="00BF2281" w:rsidRPr="00F60A2A" w:rsidRDefault="00BF2281" w:rsidP="000332B4">
      <w:pPr>
        <w:pStyle w:val="FootnoteText"/>
        <w:ind w:firstLine="720"/>
        <w:rPr>
          <w:sz w:val="26"/>
          <w:szCs w:val="26"/>
        </w:rPr>
      </w:pPr>
      <w:r w:rsidRPr="00015308">
        <w:rPr>
          <w:rStyle w:val="FootnoteReference"/>
          <w:sz w:val="26"/>
          <w:szCs w:val="26"/>
        </w:rPr>
        <w:footnoteRef/>
      </w:r>
      <w:r w:rsidRPr="00015308">
        <w:rPr>
          <w:sz w:val="26"/>
          <w:szCs w:val="26"/>
        </w:rPr>
        <w:t xml:space="preserve"> </w:t>
      </w:r>
      <w:r w:rsidRPr="00015308">
        <w:rPr>
          <w:sz w:val="26"/>
          <w:szCs w:val="26"/>
        </w:rPr>
        <w:tab/>
        <w:t>66 Pa.</w:t>
      </w:r>
      <w:r w:rsidRPr="009D21F6">
        <w:rPr>
          <w:sz w:val="26"/>
          <w:szCs w:val="26"/>
        </w:rPr>
        <w:t xml:space="preserve"> C.S. §§ 2801-2812,</w:t>
      </w:r>
      <w:r>
        <w:rPr>
          <w:sz w:val="26"/>
          <w:szCs w:val="26"/>
        </w:rPr>
        <w:t xml:space="preserve"> </w:t>
      </w:r>
      <w:r w:rsidRPr="00ED5966">
        <w:rPr>
          <w:sz w:val="26"/>
          <w:szCs w:val="26"/>
        </w:rPr>
        <w:t>effective January 1, 1997</w:t>
      </w:r>
      <w:r>
        <w:rPr>
          <w:sz w:val="26"/>
          <w:szCs w:val="26"/>
        </w:rPr>
        <w:t>.</w:t>
      </w:r>
    </w:p>
  </w:footnote>
  <w:footnote w:id="8">
    <w:p w14:paraId="40F261C3" w14:textId="54E0AD18" w:rsidR="00BF2281" w:rsidRPr="00D03AC7" w:rsidRDefault="00BF2281" w:rsidP="00015308">
      <w:pPr>
        <w:spacing w:line="240" w:lineRule="auto"/>
        <w:ind w:firstLine="720"/>
        <w:rPr>
          <w:szCs w:val="26"/>
        </w:rPr>
      </w:pPr>
      <w:r>
        <w:rPr>
          <w:rStyle w:val="FootnoteReference"/>
        </w:rPr>
        <w:footnoteRef/>
      </w:r>
      <w:r>
        <w:t xml:space="preserve"> </w:t>
      </w:r>
      <w:r>
        <w:rPr>
          <w:szCs w:val="26"/>
        </w:rPr>
        <w:tab/>
        <w:t>An EGS is defined as “[a]</w:t>
      </w:r>
      <w:r w:rsidRPr="00A151D4">
        <w:rPr>
          <w:szCs w:val="26"/>
        </w:rPr>
        <w:t xml:space="preserve"> person or corporation,</w:t>
      </w:r>
      <w:r>
        <w:rPr>
          <w:szCs w:val="26"/>
        </w:rPr>
        <w:t xml:space="preserve"> . . .</w:t>
      </w:r>
      <w:r w:rsidRPr="00A151D4">
        <w:rPr>
          <w:szCs w:val="26"/>
        </w:rPr>
        <w:t xml:space="preserve">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w:t>
      </w:r>
      <w:r>
        <w:rPr>
          <w:szCs w:val="26"/>
        </w:rPr>
        <w:t xml:space="preserve"> . . .”  66 Pa. C.S. § 2803; </w:t>
      </w:r>
      <w:r>
        <w:rPr>
          <w:i/>
          <w:iCs/>
          <w:szCs w:val="26"/>
        </w:rPr>
        <w:t xml:space="preserve">see also </w:t>
      </w:r>
      <w:r>
        <w:rPr>
          <w:szCs w:val="26"/>
        </w:rPr>
        <w:t>66 Pa.</w:t>
      </w:r>
      <w:r w:rsidR="00015308">
        <w:rPr>
          <w:szCs w:val="26"/>
        </w:rPr>
        <w:t xml:space="preserve"> </w:t>
      </w:r>
      <w:r>
        <w:rPr>
          <w:szCs w:val="26"/>
        </w:rPr>
        <w:t>C.S. § 2809.</w:t>
      </w:r>
    </w:p>
  </w:footnote>
  <w:footnote w:id="9">
    <w:p w14:paraId="09793BB2" w14:textId="0DD480D6" w:rsidR="00BF2281" w:rsidRPr="00015308" w:rsidRDefault="00BF2281" w:rsidP="00015308">
      <w:pPr>
        <w:spacing w:after="120" w:line="240" w:lineRule="auto"/>
        <w:ind w:firstLine="720"/>
        <w:rPr>
          <w:bCs/>
          <w:szCs w:val="26"/>
        </w:rPr>
      </w:pPr>
      <w:r>
        <w:rPr>
          <w:rStyle w:val="FootnoteReference"/>
        </w:rPr>
        <w:footnoteRef/>
      </w:r>
      <w:r>
        <w:t xml:space="preserve"> </w:t>
      </w:r>
      <w:r>
        <w:tab/>
      </w:r>
      <w:r>
        <w:rPr>
          <w:i/>
          <w:iCs/>
        </w:rPr>
        <w:t>See</w:t>
      </w:r>
      <w:r>
        <w:t xml:space="preserve"> </w:t>
      </w:r>
      <w:r>
        <w:rPr>
          <w:i/>
          <w:iCs/>
        </w:rPr>
        <w:t>e.g.</w:t>
      </w:r>
      <w:r>
        <w:t>,</w:t>
      </w:r>
      <w:r>
        <w:rPr>
          <w:i/>
          <w:iCs/>
        </w:rPr>
        <w:t xml:space="preserve"> </w:t>
      </w:r>
      <w:r w:rsidRPr="00E75F8E">
        <w:rPr>
          <w:bCs/>
          <w:i/>
          <w:szCs w:val="26"/>
        </w:rPr>
        <w:t>Romeo v. Pa. PUC</w:t>
      </w:r>
      <w:r w:rsidRPr="00E75F8E">
        <w:rPr>
          <w:bCs/>
          <w:szCs w:val="26"/>
        </w:rPr>
        <w:t>, 154 A.3d 422</w:t>
      </w:r>
      <w:r>
        <w:rPr>
          <w:bCs/>
          <w:szCs w:val="26"/>
        </w:rPr>
        <w:t>, 424 (Pa. Cmwlth. 2017) – . . .</w:t>
      </w:r>
      <w:r w:rsidRPr="00416381">
        <w:rPr>
          <w:szCs w:val="26"/>
        </w:rPr>
        <w:t xml:space="preserve"> by Act 129 </w:t>
      </w:r>
      <w:r>
        <w:rPr>
          <w:szCs w:val="26"/>
        </w:rPr>
        <w:t xml:space="preserve">. . . </w:t>
      </w:r>
      <w:r w:rsidRPr="00416381">
        <w:rPr>
          <w:szCs w:val="26"/>
        </w:rPr>
        <w:t xml:space="preserve">the General Assembly amended the </w:t>
      </w:r>
      <w:r>
        <w:rPr>
          <w:szCs w:val="26"/>
        </w:rPr>
        <w:t xml:space="preserve">. . . </w:t>
      </w:r>
      <w:r w:rsidRPr="00416381">
        <w:rPr>
          <w:szCs w:val="26"/>
        </w:rPr>
        <w:t>Code</w:t>
      </w:r>
      <w:r>
        <w:rPr>
          <w:szCs w:val="26"/>
        </w:rPr>
        <w:t xml:space="preserve"> . . .</w:t>
      </w:r>
      <w:r w:rsidRPr="00416381">
        <w:rPr>
          <w:szCs w:val="26"/>
        </w:rPr>
        <w:t xml:space="preserve"> for the purpose of reducing energy consumption and demand. </w:t>
      </w:r>
      <w:r>
        <w:rPr>
          <w:szCs w:val="26"/>
        </w:rPr>
        <w:t xml:space="preserve"> </w:t>
      </w:r>
      <w:r w:rsidRPr="00F93C83">
        <w:rPr>
          <w:szCs w:val="26"/>
        </w:rPr>
        <w:t>Act 129</w:t>
      </w:r>
      <w:r w:rsidRPr="00416381">
        <w:rPr>
          <w:szCs w:val="26"/>
        </w:rPr>
        <w:t xml:space="preserve"> set in motion a multi-phase implementation process that addresses electric distribution companies and default service provider responsibilities, conservation service providers, smart meter technology, time-of-use rates, real-time pricing plans, default service procurement, market misconduct, alternative energy sources, and cost recovery</w:t>
      </w:r>
      <w:r>
        <w:rPr>
          <w:szCs w:val="26"/>
        </w:rPr>
        <w:t>.</w:t>
      </w:r>
    </w:p>
  </w:footnote>
  <w:footnote w:id="10">
    <w:p w14:paraId="0AF3BEA9" w14:textId="77777777" w:rsidR="00BF2281" w:rsidRDefault="00BF2281" w:rsidP="001D7EE6">
      <w:pPr>
        <w:keepNext/>
        <w:keepLines/>
        <w:spacing w:after="120" w:line="240" w:lineRule="auto"/>
        <w:ind w:firstLine="720"/>
      </w:pPr>
      <w:r>
        <w:rPr>
          <w:rStyle w:val="FootnoteReference"/>
        </w:rPr>
        <w:footnoteRef/>
      </w:r>
      <w:r>
        <w:tab/>
      </w:r>
      <w:r w:rsidRPr="00C5644C">
        <w:rPr>
          <w:i/>
          <w:szCs w:val="26"/>
        </w:rPr>
        <w:t>Petition of Metropolitan Edison Company, Pennsylvania Electric Company, Pennsylvania Power Company and West Penn Power Company for Approval of a Default Service Program for the Period Beginning June 1, 2017 through May 31, 2019,</w:t>
      </w:r>
      <w:r w:rsidRPr="00C5644C">
        <w:rPr>
          <w:szCs w:val="26"/>
        </w:rPr>
        <w:t xml:space="preserve"> Docket Nos. P-2015-2511333, P-2015-2511351, P-2015-2511355 and P-2015-2511356 (Order entered May 19, 2016)</w:t>
      </w:r>
      <w:r w:rsidRPr="004164D0">
        <w:rPr>
          <w:i/>
          <w:szCs w:val="26"/>
        </w:rPr>
        <w:t xml:space="preserve"> (Default Service Order)</w:t>
      </w:r>
      <w:r w:rsidRPr="00C5644C">
        <w:rPr>
          <w:szCs w:val="26"/>
        </w:rPr>
        <w:t>.</w:t>
      </w:r>
    </w:p>
  </w:footnote>
  <w:footnote w:id="11">
    <w:p w14:paraId="43E60634" w14:textId="6F288C02" w:rsidR="00BF2281" w:rsidRPr="003819F3" w:rsidRDefault="00BF2281" w:rsidP="003819F3">
      <w:pPr>
        <w:pStyle w:val="FootnoteText"/>
        <w:ind w:firstLine="720"/>
        <w:rPr>
          <w:sz w:val="26"/>
          <w:szCs w:val="26"/>
        </w:rPr>
      </w:pPr>
      <w:r>
        <w:rPr>
          <w:rStyle w:val="FootnoteReference"/>
        </w:rPr>
        <w:footnoteRef/>
      </w:r>
      <w:r>
        <w:t xml:space="preserve"> </w:t>
      </w:r>
      <w:r>
        <w:tab/>
      </w:r>
      <w:r>
        <w:rPr>
          <w:i/>
          <w:iCs/>
          <w:sz w:val="26"/>
          <w:szCs w:val="26"/>
        </w:rPr>
        <w:t xml:space="preserve">See </w:t>
      </w:r>
      <w:r w:rsidRPr="003819F3">
        <w:rPr>
          <w:sz w:val="26"/>
          <w:szCs w:val="26"/>
        </w:rPr>
        <w:t xml:space="preserve">November 14, 2015 </w:t>
      </w:r>
      <w:r w:rsidRPr="003819F3">
        <w:rPr>
          <w:i/>
          <w:sz w:val="26"/>
          <w:szCs w:val="26"/>
        </w:rPr>
        <w:t>Pennsylvania Bulletin</w:t>
      </w:r>
      <w:r w:rsidRPr="003819F3">
        <w:rPr>
          <w:sz w:val="26"/>
          <w:szCs w:val="26"/>
        </w:rPr>
        <w:t xml:space="preserve"> at 45 </w:t>
      </w:r>
      <w:r w:rsidRPr="003819F3">
        <w:rPr>
          <w:i/>
          <w:sz w:val="26"/>
          <w:szCs w:val="26"/>
        </w:rPr>
        <w:t>Pa. B</w:t>
      </w:r>
      <w:r w:rsidRPr="003819F3">
        <w:rPr>
          <w:sz w:val="26"/>
          <w:szCs w:val="26"/>
        </w:rPr>
        <w:t xml:space="preserve"> 6654-6655, specifying a deadline of November 30, 2015</w:t>
      </w:r>
      <w:r>
        <w:rPr>
          <w:sz w:val="26"/>
          <w:szCs w:val="26"/>
        </w:rPr>
        <w:t>,</w:t>
      </w:r>
      <w:r w:rsidRPr="003819F3">
        <w:rPr>
          <w:sz w:val="26"/>
          <w:szCs w:val="26"/>
        </w:rPr>
        <w:t xml:space="preserve"> for filing protests, petitions, and answers to the DSP IV Petitions.  </w:t>
      </w:r>
    </w:p>
  </w:footnote>
  <w:footnote w:id="12">
    <w:p w14:paraId="1BDB7AB2" w14:textId="65A65D9D" w:rsidR="00BF2281" w:rsidRPr="008573CD" w:rsidRDefault="00BF2281" w:rsidP="00015308">
      <w:pPr>
        <w:spacing w:line="240" w:lineRule="auto"/>
        <w:ind w:firstLine="720"/>
        <w:rPr>
          <w:szCs w:val="26"/>
        </w:rPr>
      </w:pPr>
      <w:r>
        <w:rPr>
          <w:rStyle w:val="FootnoteReference"/>
        </w:rPr>
        <w:footnoteRef/>
      </w:r>
      <w:r>
        <w:t xml:space="preserve"> </w:t>
      </w:r>
      <w:r>
        <w:rPr>
          <w:szCs w:val="26"/>
        </w:rPr>
        <w:tab/>
        <w:t>I</w:t>
      </w:r>
      <w:r w:rsidRPr="00510B20">
        <w:rPr>
          <w:szCs w:val="26"/>
        </w:rPr>
        <w:t xml:space="preserve">n Statement No. 3 of the Joint Petition submitted in the DSP IV proceeding, </w:t>
      </w:r>
      <w:r>
        <w:rPr>
          <w:szCs w:val="26"/>
        </w:rPr>
        <w:t xml:space="preserve">Companies witness, Ms. </w:t>
      </w:r>
      <w:r w:rsidRPr="00510B20">
        <w:rPr>
          <w:szCs w:val="26"/>
        </w:rPr>
        <w:t>Bortz explained the terms of the proposed clawback provisions, why they were being proposed, how they would be calculated, and how the proceeds would be applied.</w:t>
      </w:r>
      <w:r>
        <w:rPr>
          <w:szCs w:val="26"/>
        </w:rPr>
        <w:t xml:space="preserve">  </w:t>
      </w:r>
      <w:r>
        <w:rPr>
          <w:i/>
          <w:iCs/>
          <w:szCs w:val="26"/>
        </w:rPr>
        <w:t xml:space="preserve">June 3029 Order </w:t>
      </w:r>
      <w:r>
        <w:rPr>
          <w:szCs w:val="26"/>
        </w:rPr>
        <w:t>at 13.</w:t>
      </w:r>
      <w:r w:rsidRPr="00510B20">
        <w:rPr>
          <w:szCs w:val="26"/>
        </w:rPr>
        <w:t xml:space="preserve">  </w:t>
      </w:r>
    </w:p>
  </w:footnote>
  <w:footnote w:id="13">
    <w:p w14:paraId="4DFED1E9" w14:textId="77777777" w:rsidR="00BF2281" w:rsidRPr="00607E64" w:rsidRDefault="00BF2281" w:rsidP="00F7645F">
      <w:pPr>
        <w:pStyle w:val="FootnoteText"/>
        <w:keepNext/>
        <w:keepLines/>
        <w:spacing w:after="120"/>
        <w:ind w:firstLine="720"/>
        <w:rPr>
          <w:sz w:val="26"/>
          <w:szCs w:val="26"/>
        </w:rPr>
      </w:pPr>
      <w:r w:rsidRPr="00607E64">
        <w:rPr>
          <w:rStyle w:val="FootnoteReference"/>
          <w:sz w:val="26"/>
          <w:szCs w:val="26"/>
        </w:rPr>
        <w:footnoteRef/>
      </w:r>
      <w:r w:rsidRPr="00607E64">
        <w:rPr>
          <w:sz w:val="26"/>
          <w:szCs w:val="26"/>
        </w:rPr>
        <w:tab/>
      </w:r>
      <w:r>
        <w:rPr>
          <w:i/>
          <w:iCs/>
          <w:sz w:val="26"/>
          <w:szCs w:val="26"/>
        </w:rPr>
        <w:t xml:space="preserve">See, </w:t>
      </w:r>
      <w:r w:rsidRPr="00607E64">
        <w:rPr>
          <w:i/>
          <w:sz w:val="26"/>
          <w:szCs w:val="26"/>
        </w:rPr>
        <w:t>License Application of Respond Power LLC for Approval to Offer, Render, Furnish or Supply Electricity or Electric Generation Services as a Supplier of Retail Electric Power</w:t>
      </w:r>
      <w:r w:rsidRPr="00015308">
        <w:rPr>
          <w:iCs/>
          <w:sz w:val="26"/>
          <w:szCs w:val="26"/>
        </w:rPr>
        <w:t>,</w:t>
      </w:r>
      <w:r w:rsidRPr="00607E64">
        <w:rPr>
          <w:sz w:val="26"/>
          <w:szCs w:val="26"/>
        </w:rPr>
        <w:t xml:space="preserve"> Docket No. A-2010-2163898 (Order entered August 19, 2010).</w:t>
      </w:r>
    </w:p>
  </w:footnote>
  <w:footnote w:id="14">
    <w:p w14:paraId="43C7A9EA" w14:textId="3B4BED13" w:rsidR="00BF2281" w:rsidRPr="00EE2C34" w:rsidRDefault="00BF2281" w:rsidP="001E11E6">
      <w:pPr>
        <w:pStyle w:val="FootnoteText"/>
        <w:ind w:firstLine="720"/>
        <w:rPr>
          <w:sz w:val="26"/>
          <w:szCs w:val="26"/>
        </w:rPr>
      </w:pPr>
      <w:r>
        <w:rPr>
          <w:rStyle w:val="FootnoteReference"/>
        </w:rPr>
        <w:footnoteRef/>
      </w:r>
      <w:r>
        <w:t xml:space="preserve"> </w:t>
      </w:r>
      <w:r>
        <w:tab/>
      </w:r>
      <w:r w:rsidRPr="00EE2C34">
        <w:rPr>
          <w:sz w:val="26"/>
          <w:szCs w:val="26"/>
        </w:rPr>
        <w:t>Respond dispute</w:t>
      </w:r>
      <w:r>
        <w:rPr>
          <w:sz w:val="26"/>
          <w:szCs w:val="26"/>
        </w:rPr>
        <w:t>s</w:t>
      </w:r>
      <w:r w:rsidRPr="00EE2C34">
        <w:rPr>
          <w:sz w:val="26"/>
          <w:szCs w:val="26"/>
        </w:rPr>
        <w:t xml:space="preserve"> the characterization of the POR program as voluntary.</w:t>
      </w:r>
      <w:r>
        <w:rPr>
          <w:sz w:val="26"/>
          <w:szCs w:val="26"/>
        </w:rPr>
        <w:t xml:space="preserve">  It takes the position that participation in the POR program is “. . . mandatory for EGSs serving mass market customers and using the Companies’ consolidated billing system, which is the only option for EGSs other than sending customers separate bills for their supply charges.” </w:t>
      </w:r>
      <w:r w:rsidRPr="00EE2C34">
        <w:rPr>
          <w:sz w:val="26"/>
          <w:szCs w:val="26"/>
        </w:rPr>
        <w:t xml:space="preserve"> </w:t>
      </w:r>
      <w:r w:rsidRPr="00EE2C34">
        <w:rPr>
          <w:i/>
          <w:iCs/>
          <w:sz w:val="26"/>
          <w:szCs w:val="26"/>
        </w:rPr>
        <w:t>See</w:t>
      </w:r>
      <w:r w:rsidRPr="00EE2C34">
        <w:rPr>
          <w:sz w:val="26"/>
          <w:szCs w:val="26"/>
        </w:rPr>
        <w:t xml:space="preserve"> Petition at 5, citing Respond St. No. 1 at 5</w:t>
      </w:r>
      <w:r>
        <w:rPr>
          <w:sz w:val="26"/>
          <w:szCs w:val="26"/>
        </w:rPr>
        <w:t xml:space="preserve">; </w:t>
      </w:r>
      <w:r w:rsidR="00F17906">
        <w:rPr>
          <w:i/>
          <w:sz w:val="26"/>
          <w:szCs w:val="26"/>
        </w:rPr>
        <w:t xml:space="preserve">see </w:t>
      </w:r>
      <w:r>
        <w:rPr>
          <w:i/>
          <w:iCs/>
          <w:sz w:val="26"/>
          <w:szCs w:val="26"/>
        </w:rPr>
        <w:t xml:space="preserve">also </w:t>
      </w:r>
      <w:r w:rsidRPr="00EE2C34">
        <w:rPr>
          <w:i/>
          <w:iCs/>
          <w:sz w:val="26"/>
          <w:szCs w:val="26"/>
        </w:rPr>
        <w:t xml:space="preserve">June 2019 Order </w:t>
      </w:r>
      <w:r w:rsidRPr="00EE2C34">
        <w:rPr>
          <w:sz w:val="26"/>
          <w:szCs w:val="26"/>
        </w:rPr>
        <w:t>at 46-47.</w:t>
      </w:r>
    </w:p>
  </w:footnote>
  <w:footnote w:id="15">
    <w:p w14:paraId="5DCE60C7" w14:textId="019021D1" w:rsidR="00BF2281" w:rsidRPr="00D40EAC" w:rsidRDefault="00BF2281" w:rsidP="00D40EAC">
      <w:pPr>
        <w:pStyle w:val="FootnoteText"/>
        <w:ind w:firstLine="720"/>
        <w:rPr>
          <w:sz w:val="26"/>
          <w:szCs w:val="26"/>
        </w:rPr>
      </w:pPr>
      <w:r w:rsidRPr="00C34725">
        <w:rPr>
          <w:rStyle w:val="FootnoteReference"/>
          <w:sz w:val="26"/>
          <w:szCs w:val="26"/>
        </w:rPr>
        <w:footnoteRef/>
      </w:r>
      <w:r>
        <w:t xml:space="preserve"> </w:t>
      </w:r>
      <w:r>
        <w:rPr>
          <w:sz w:val="26"/>
          <w:szCs w:val="26"/>
        </w:rPr>
        <w:tab/>
        <w:t>“I.D.” refers to the Initial Decision of presiding Administrative Law Judge (ALJ) David A. Salapa, issued April 20, 2018, in the consolidated proceedings.</w:t>
      </w:r>
    </w:p>
  </w:footnote>
  <w:footnote w:id="16">
    <w:p w14:paraId="5163AC47" w14:textId="77777777" w:rsidR="00BF2281" w:rsidRPr="00FC3006" w:rsidRDefault="00BF2281" w:rsidP="00F71658">
      <w:pPr>
        <w:pStyle w:val="FootnoteText"/>
        <w:keepNext/>
        <w:keepLines/>
        <w:spacing w:after="120"/>
        <w:ind w:firstLine="720"/>
        <w:rPr>
          <w:sz w:val="26"/>
          <w:szCs w:val="26"/>
        </w:rPr>
      </w:pPr>
      <w:r w:rsidRPr="00FC3006">
        <w:rPr>
          <w:rStyle w:val="FootnoteReference"/>
          <w:sz w:val="26"/>
          <w:szCs w:val="26"/>
        </w:rPr>
        <w:footnoteRef/>
      </w:r>
      <w:r w:rsidRPr="00FC3006">
        <w:rPr>
          <w:sz w:val="26"/>
          <w:szCs w:val="26"/>
        </w:rPr>
        <w:tab/>
        <w:t xml:space="preserve">Penelec assessed </w:t>
      </w:r>
      <w:r>
        <w:rPr>
          <w:sz w:val="26"/>
          <w:szCs w:val="26"/>
        </w:rPr>
        <w:t xml:space="preserve">and invoiced </w:t>
      </w:r>
      <w:r w:rsidRPr="00FC3006">
        <w:rPr>
          <w:sz w:val="26"/>
          <w:szCs w:val="26"/>
        </w:rPr>
        <w:t xml:space="preserve">clawback charges against Respond in the amount of $142,973.13 and West Penn assessed </w:t>
      </w:r>
      <w:r>
        <w:rPr>
          <w:sz w:val="26"/>
          <w:szCs w:val="26"/>
        </w:rPr>
        <w:t xml:space="preserve">and invoiced </w:t>
      </w:r>
      <w:r w:rsidRPr="00FC3006">
        <w:rPr>
          <w:sz w:val="26"/>
          <w:szCs w:val="26"/>
        </w:rPr>
        <w:t xml:space="preserve">clawback charges against Respond in the amount of $68,039.41.  </w:t>
      </w:r>
      <w:r>
        <w:rPr>
          <w:sz w:val="26"/>
          <w:szCs w:val="26"/>
        </w:rPr>
        <w:t>Respond Exhibit AS-9; Respond St. 1-Supp. at 7.</w:t>
      </w:r>
    </w:p>
  </w:footnote>
  <w:footnote w:id="17">
    <w:p w14:paraId="77D4EE8A" w14:textId="77777777" w:rsidR="00BF2281" w:rsidRDefault="00BF2281" w:rsidP="00E72A18">
      <w:pPr>
        <w:spacing w:line="240" w:lineRule="auto"/>
        <w:ind w:firstLine="720"/>
        <w:rPr>
          <w:szCs w:val="26"/>
        </w:rPr>
      </w:pPr>
      <w:r>
        <w:rPr>
          <w:rStyle w:val="FootnoteReference"/>
        </w:rPr>
        <w:footnoteRef/>
      </w:r>
      <w:r>
        <w:t xml:space="preserve"> </w:t>
      </w:r>
      <w:r>
        <w:tab/>
      </w:r>
      <w:r w:rsidRPr="00117CC1">
        <w:rPr>
          <w:szCs w:val="26"/>
        </w:rPr>
        <w:t xml:space="preserve">The ALJ </w:t>
      </w:r>
      <w:r>
        <w:rPr>
          <w:szCs w:val="26"/>
        </w:rPr>
        <w:t>made</w:t>
      </w:r>
      <w:r w:rsidRPr="00117CC1">
        <w:rPr>
          <w:szCs w:val="26"/>
        </w:rPr>
        <w:t xml:space="preserve"> </w:t>
      </w:r>
      <w:r>
        <w:rPr>
          <w:szCs w:val="26"/>
        </w:rPr>
        <w:t>forty-one Findings of Fact and reached seven</w:t>
      </w:r>
      <w:r w:rsidRPr="00117CC1">
        <w:rPr>
          <w:szCs w:val="26"/>
        </w:rPr>
        <w:t xml:space="preserve"> Conclusions of Law</w:t>
      </w:r>
      <w:r>
        <w:rPr>
          <w:szCs w:val="26"/>
        </w:rPr>
        <w:t xml:space="preserve"> which were adopted and</w:t>
      </w:r>
      <w:r w:rsidRPr="00117CC1">
        <w:rPr>
          <w:szCs w:val="26"/>
        </w:rPr>
        <w:t xml:space="preserve"> incorporated </w:t>
      </w:r>
      <w:r>
        <w:rPr>
          <w:szCs w:val="26"/>
        </w:rPr>
        <w:t>b</w:t>
      </w:r>
      <w:r w:rsidRPr="00117CC1">
        <w:rPr>
          <w:szCs w:val="26"/>
        </w:rPr>
        <w:t>y reference</w:t>
      </w:r>
      <w:r>
        <w:rPr>
          <w:szCs w:val="26"/>
        </w:rPr>
        <w:t xml:space="preserve"> in the </w:t>
      </w:r>
      <w:r w:rsidRPr="00E72A18">
        <w:rPr>
          <w:i/>
          <w:iCs/>
          <w:szCs w:val="26"/>
        </w:rPr>
        <w:t>June 2019 Order</w:t>
      </w:r>
      <w:r>
        <w:rPr>
          <w:szCs w:val="26"/>
        </w:rPr>
        <w:t>.</w:t>
      </w:r>
    </w:p>
    <w:p w14:paraId="3ED020AA" w14:textId="77777777" w:rsidR="00BF2281" w:rsidRDefault="00BF2281" w:rsidP="00E72A18">
      <w:pPr>
        <w:pStyle w:val="FootnoteText"/>
        <w:ind w:firstLine="720"/>
      </w:pPr>
    </w:p>
  </w:footnote>
  <w:footnote w:id="18">
    <w:p w14:paraId="00CA0D80" w14:textId="04ADF4CB" w:rsidR="00BF2281" w:rsidRPr="00015308" w:rsidRDefault="00BF2281" w:rsidP="00015308">
      <w:pPr>
        <w:spacing w:line="240" w:lineRule="auto"/>
        <w:ind w:firstLine="720"/>
        <w:rPr>
          <w:rFonts w:eastAsia="Times New Roman"/>
          <w:color w:val="212121"/>
          <w:szCs w:val="26"/>
        </w:rPr>
      </w:pPr>
      <w:r>
        <w:rPr>
          <w:rStyle w:val="FootnoteReference"/>
        </w:rPr>
        <w:footnoteRef/>
      </w:r>
      <w:r>
        <w:t xml:space="preserve"> </w:t>
      </w:r>
      <w:r>
        <w:tab/>
      </w:r>
      <w:r w:rsidRPr="00607E57">
        <w:rPr>
          <w:szCs w:val="26"/>
        </w:rPr>
        <w:t xml:space="preserve">The considerations of </w:t>
      </w:r>
      <w:r w:rsidRPr="00607E57">
        <w:rPr>
          <w:i/>
          <w:iCs/>
          <w:szCs w:val="26"/>
        </w:rPr>
        <w:t>Duick</w:t>
      </w:r>
      <w:r w:rsidRPr="00607E57">
        <w:rPr>
          <w:szCs w:val="26"/>
        </w:rPr>
        <w:t xml:space="preserve">, on application, essentially, require a two-step analysis. </w:t>
      </w:r>
      <w:r w:rsidRPr="00607E57">
        <w:rPr>
          <w:i/>
          <w:iCs/>
          <w:szCs w:val="26"/>
        </w:rPr>
        <w:t>See, e.g.,</w:t>
      </w:r>
      <w:r>
        <w:rPr>
          <w:i/>
          <w:iCs/>
          <w:szCs w:val="26"/>
        </w:rPr>
        <w:t xml:space="preserve"> </w:t>
      </w:r>
      <w:r w:rsidRPr="00607E57">
        <w:rPr>
          <w:rFonts w:eastAsia="Times New Roman"/>
          <w:i/>
          <w:iCs/>
          <w:color w:val="212121"/>
          <w:szCs w:val="26"/>
        </w:rPr>
        <w:t>SBG Management Services, Inc./ Colonial Garden Realty Co., L.P. v. Philadelphia Gas Works</w:t>
      </w:r>
      <w:r>
        <w:rPr>
          <w:rFonts w:eastAsia="Times New Roman"/>
          <w:color w:val="212121"/>
          <w:szCs w:val="26"/>
        </w:rPr>
        <w:t xml:space="preserve">, </w:t>
      </w:r>
      <w:r w:rsidRPr="00607E57">
        <w:rPr>
          <w:rFonts w:eastAsia="Times New Roman"/>
          <w:color w:val="212121"/>
          <w:szCs w:val="26"/>
        </w:rPr>
        <w:t>Docket No. C-2012-2304183</w:t>
      </w:r>
      <w:r>
        <w:rPr>
          <w:rFonts w:eastAsia="Times New Roman"/>
          <w:color w:val="212121"/>
          <w:szCs w:val="26"/>
        </w:rPr>
        <w:t xml:space="preserve"> (Order entered May 19, 2019), discussing </w:t>
      </w:r>
      <w:hyperlink r:id="rId1" w:history="1">
        <w:r w:rsidRPr="00607E57">
          <w:rPr>
            <w:i/>
            <w:iCs/>
            <w:szCs w:val="26"/>
          </w:rPr>
          <w:t>Application of La Mexicana Express Service, LLC, to transport persons in paratransit service, between points within Berks County</w:t>
        </w:r>
        <w:r w:rsidRPr="00015308">
          <w:rPr>
            <w:szCs w:val="26"/>
          </w:rPr>
          <w:t>,</w:t>
        </w:r>
        <w:r w:rsidRPr="00607E57">
          <w:rPr>
            <w:szCs w:val="26"/>
          </w:rPr>
          <w:t xml:space="preserve"> Docket No. A-2012-2329717; A-6415209 (Order entered September 11, 2014)</w:t>
        </w:r>
      </w:hyperlink>
      <w:r w:rsidRPr="00607E57">
        <w:rPr>
          <w:szCs w:val="26"/>
        </w:rPr>
        <w:t xml:space="preserve">. </w:t>
      </w:r>
      <w:r>
        <w:rPr>
          <w:szCs w:val="26"/>
        </w:rPr>
        <w:t xml:space="preserve"> </w:t>
      </w:r>
      <w:r w:rsidRPr="00607E57">
        <w:rPr>
          <w:szCs w:val="26"/>
        </w:rPr>
        <w:t xml:space="preserve">The first step is that we determine whether a party has offered new and novel arguments or identified considerations that appear to have been overlooked or not addressed by the Commission in its previous order. </w:t>
      </w:r>
      <w:r w:rsidR="009C3E82">
        <w:rPr>
          <w:szCs w:val="26"/>
        </w:rPr>
        <w:t xml:space="preserve"> </w:t>
      </w:r>
      <w:r w:rsidRPr="00607E57">
        <w:rPr>
          <w:i/>
          <w:iCs/>
          <w:szCs w:val="26"/>
        </w:rPr>
        <w:t>Id.</w:t>
      </w:r>
      <w:r w:rsidRPr="00607E57">
        <w:rPr>
          <w:szCs w:val="26"/>
        </w:rPr>
        <w:t xml:space="preserve"> </w:t>
      </w:r>
      <w:r>
        <w:rPr>
          <w:szCs w:val="26"/>
        </w:rPr>
        <w:t xml:space="preserve"> </w:t>
      </w:r>
      <w:r w:rsidRPr="00607E57">
        <w:rPr>
          <w:szCs w:val="26"/>
        </w:rPr>
        <w:t xml:space="preserve">The second step of the </w:t>
      </w:r>
      <w:r w:rsidRPr="00607E57">
        <w:rPr>
          <w:i/>
          <w:iCs/>
          <w:szCs w:val="26"/>
        </w:rPr>
        <w:t>Duick</w:t>
      </w:r>
      <w:r w:rsidRPr="00607E57">
        <w:rPr>
          <w:szCs w:val="26"/>
        </w:rPr>
        <w:t xml:space="preserve"> analysis is to evaluate the new or novel argument, or overlooked consideration that is alleged, in order to determine whether to modify our previous decision. </w:t>
      </w:r>
      <w:r>
        <w:rPr>
          <w:szCs w:val="26"/>
        </w:rPr>
        <w:t xml:space="preserve"> </w:t>
      </w:r>
      <w:r w:rsidRPr="00607E57">
        <w:rPr>
          <w:i/>
          <w:iCs/>
          <w:szCs w:val="26"/>
        </w:rPr>
        <w:t>Id.</w:t>
      </w:r>
      <w:r w:rsidRPr="00607E57">
        <w:rPr>
          <w:szCs w:val="26"/>
        </w:rPr>
        <w:t xml:space="preserve"> </w:t>
      </w:r>
      <w:r>
        <w:rPr>
          <w:szCs w:val="26"/>
        </w:rPr>
        <w:t xml:space="preserve"> </w:t>
      </w:r>
      <w:r w:rsidRPr="00607E57">
        <w:rPr>
          <w:szCs w:val="26"/>
        </w:rPr>
        <w:t xml:space="preserve">We will not necessarily modify our prior decision just because a party offers a new and novel argument or identifies a consideration that was overlooked or not addressed by the Commission in its previous order. </w:t>
      </w:r>
      <w:r>
        <w:rPr>
          <w:szCs w:val="26"/>
        </w:rPr>
        <w:t xml:space="preserve"> </w:t>
      </w:r>
      <w:r w:rsidRPr="00607E57">
        <w:rPr>
          <w:i/>
          <w:iCs/>
          <w:szCs w:val="26"/>
        </w:rPr>
        <w:t>Id.</w:t>
      </w:r>
    </w:p>
  </w:footnote>
  <w:footnote w:id="19">
    <w:p w14:paraId="2E6FFA3C" w14:textId="2EEBBB62" w:rsidR="005F6B54" w:rsidRPr="005F6B54" w:rsidRDefault="005F6B54" w:rsidP="005F6B54">
      <w:pPr>
        <w:pStyle w:val="FootnoteText"/>
        <w:ind w:firstLine="720"/>
        <w:rPr>
          <w:sz w:val="26"/>
          <w:szCs w:val="26"/>
        </w:rPr>
      </w:pPr>
      <w:r w:rsidRPr="00C34725">
        <w:rPr>
          <w:rStyle w:val="FootnoteReference"/>
          <w:sz w:val="26"/>
          <w:szCs w:val="26"/>
        </w:rPr>
        <w:footnoteRef/>
      </w:r>
      <w:r>
        <w:t xml:space="preserve"> </w:t>
      </w:r>
      <w:r>
        <w:rPr>
          <w:sz w:val="26"/>
          <w:szCs w:val="26"/>
        </w:rPr>
        <w:tab/>
        <w:t>Respond places substantial reliance on the fact that the modifications to the POR were not embodied in a tariff until Commission approval, November 10, 2016, with an effective date of August 1, 2016</w:t>
      </w:r>
      <w:r w:rsidR="008C7295">
        <w:rPr>
          <w:sz w:val="26"/>
          <w:szCs w:val="26"/>
        </w:rPr>
        <w:t>, but appears to have abandoned the position that the POR is a “rate” under the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3231D2"/>
    <w:lvl w:ilvl="0">
      <w:start w:val="1"/>
      <w:numFmt w:val="decimal"/>
      <w:pStyle w:val="ListNumber"/>
      <w:lvlText w:val="%1."/>
      <w:lvlJc w:val="left"/>
      <w:pPr>
        <w:tabs>
          <w:tab w:val="num" w:pos="5490"/>
        </w:tabs>
        <w:ind w:left="5490" w:hanging="360"/>
      </w:pPr>
    </w:lvl>
  </w:abstractNum>
  <w:abstractNum w:abstractNumId="1" w15:restartNumberingAfterBreak="0">
    <w:nsid w:val="09040D8E"/>
    <w:multiLevelType w:val="hybridMultilevel"/>
    <w:tmpl w:val="1284AFAA"/>
    <w:lvl w:ilvl="0" w:tplc="135AA082">
      <w:start w:val="1"/>
      <w:numFmt w:val="lowerLetter"/>
      <w:lvlText w:val="(%1)"/>
      <w:lvlJc w:val="left"/>
      <w:pPr>
        <w:ind w:left="2320" w:hanging="360"/>
      </w:pPr>
      <w:rPr>
        <w:rFonts w:hint="default"/>
      </w:rPr>
    </w:lvl>
    <w:lvl w:ilvl="1" w:tplc="04090019">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 w15:restartNumberingAfterBreak="0">
    <w:nsid w:val="0B847F95"/>
    <w:multiLevelType w:val="hybridMultilevel"/>
    <w:tmpl w:val="0046C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40C31"/>
    <w:multiLevelType w:val="hybridMultilevel"/>
    <w:tmpl w:val="F006CFC0"/>
    <w:lvl w:ilvl="0" w:tplc="20AA7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2795B"/>
    <w:multiLevelType w:val="hybridMultilevel"/>
    <w:tmpl w:val="666489FE"/>
    <w:lvl w:ilvl="0" w:tplc="61CE92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3F18A9"/>
    <w:multiLevelType w:val="hybridMultilevel"/>
    <w:tmpl w:val="3392F868"/>
    <w:lvl w:ilvl="0" w:tplc="7A06CC5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B77BC"/>
    <w:multiLevelType w:val="hybridMultilevel"/>
    <w:tmpl w:val="7DA45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0C4B08"/>
    <w:multiLevelType w:val="hybridMultilevel"/>
    <w:tmpl w:val="6E92367C"/>
    <w:lvl w:ilvl="0" w:tplc="2BE67ECE">
      <w:start w:val="1"/>
      <w:numFmt w:val="lowerLetter"/>
      <w:pStyle w:val="Heading4"/>
      <w:lvlText w:val="%1."/>
      <w:lvlJc w:val="left"/>
      <w:pPr>
        <w:ind w:left="45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53F1E37"/>
    <w:multiLevelType w:val="hybridMultilevel"/>
    <w:tmpl w:val="9D680852"/>
    <w:lvl w:ilvl="0" w:tplc="268895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3572AE"/>
    <w:multiLevelType w:val="hybridMultilevel"/>
    <w:tmpl w:val="99EA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72A60"/>
    <w:multiLevelType w:val="hybridMultilevel"/>
    <w:tmpl w:val="D454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1105"/>
    <w:multiLevelType w:val="hybridMultilevel"/>
    <w:tmpl w:val="DBBA180C"/>
    <w:lvl w:ilvl="0" w:tplc="1410258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A5336A"/>
    <w:multiLevelType w:val="hybridMultilevel"/>
    <w:tmpl w:val="4860E4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490703"/>
    <w:multiLevelType w:val="hybridMultilevel"/>
    <w:tmpl w:val="775A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83FED"/>
    <w:multiLevelType w:val="hybridMultilevel"/>
    <w:tmpl w:val="D6FC212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BF9787E"/>
    <w:multiLevelType w:val="hybridMultilevel"/>
    <w:tmpl w:val="E9945DFA"/>
    <w:lvl w:ilvl="0" w:tplc="C1625F84">
      <w:start w:val="1"/>
      <w:numFmt w:val="decimal"/>
      <w:lvlText w:val="%1."/>
      <w:lvlJc w:val="left"/>
      <w:pPr>
        <w:ind w:left="1080" w:hanging="360"/>
      </w:pPr>
      <w:rPr>
        <w:rFonts w:hint="default"/>
      </w:rPr>
    </w:lvl>
    <w:lvl w:ilvl="1" w:tplc="97F88FE8">
      <w:start w:val="1"/>
      <w:numFmt w:val="lowerLetter"/>
      <w:lvlText w:val="%2."/>
      <w:lvlJc w:val="left"/>
      <w:pPr>
        <w:ind w:left="1890" w:hanging="360"/>
      </w:pPr>
      <w:rPr>
        <w:b/>
        <w:sz w:val="26"/>
        <w:szCs w:val="26"/>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A73FAE"/>
    <w:multiLevelType w:val="hybridMultilevel"/>
    <w:tmpl w:val="C3D090C4"/>
    <w:lvl w:ilvl="0" w:tplc="DDBE54D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6D32"/>
    <w:multiLevelType w:val="hybridMultilevel"/>
    <w:tmpl w:val="BBC617DE"/>
    <w:lvl w:ilvl="0" w:tplc="4C188A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6E1254"/>
    <w:multiLevelType w:val="hybridMultilevel"/>
    <w:tmpl w:val="8356F146"/>
    <w:lvl w:ilvl="0" w:tplc="886ABE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DE7F5C"/>
    <w:multiLevelType w:val="multilevel"/>
    <w:tmpl w:val="988EF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524083"/>
    <w:multiLevelType w:val="hybridMultilevel"/>
    <w:tmpl w:val="523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051C9"/>
    <w:multiLevelType w:val="hybridMultilevel"/>
    <w:tmpl w:val="8D2411F2"/>
    <w:lvl w:ilvl="0" w:tplc="5C5823BE">
      <w:start w:val="1"/>
      <w:numFmt w:val="decimal"/>
      <w:pStyle w:val="Heading3"/>
      <w:lvlText w:val="%1."/>
      <w:lvlJc w:val="left"/>
      <w:pPr>
        <w:ind w:left="36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C5794"/>
    <w:multiLevelType w:val="multilevel"/>
    <w:tmpl w:val="3DC04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4039C1"/>
    <w:multiLevelType w:val="hybridMultilevel"/>
    <w:tmpl w:val="8EE45AD2"/>
    <w:lvl w:ilvl="0" w:tplc="29A0565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E385739"/>
    <w:multiLevelType w:val="hybridMultilevel"/>
    <w:tmpl w:val="D4F8D2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6D8B4029"/>
    <w:multiLevelType w:val="hybridMultilevel"/>
    <w:tmpl w:val="481A6710"/>
    <w:lvl w:ilvl="0" w:tplc="14102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B54DA"/>
    <w:multiLevelType w:val="hybridMultilevel"/>
    <w:tmpl w:val="D572FE3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78AA715D"/>
    <w:multiLevelType w:val="hybridMultilevel"/>
    <w:tmpl w:val="7BE2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C03D4"/>
    <w:multiLevelType w:val="hybridMultilevel"/>
    <w:tmpl w:val="481A6710"/>
    <w:lvl w:ilvl="0" w:tplc="14102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4"/>
  </w:num>
  <w:num w:numId="3">
    <w:abstractNumId w:val="0"/>
  </w:num>
  <w:num w:numId="4">
    <w:abstractNumId w:val="18"/>
  </w:num>
  <w:num w:numId="5">
    <w:abstractNumId w:val="15"/>
  </w:num>
  <w:num w:numId="6">
    <w:abstractNumId w:val="3"/>
  </w:num>
  <w:num w:numId="7">
    <w:abstractNumId w:val="1"/>
  </w:num>
  <w:num w:numId="8">
    <w:abstractNumId w:val="8"/>
  </w:num>
  <w:num w:numId="9">
    <w:abstractNumId w:val="27"/>
  </w:num>
  <w:num w:numId="10">
    <w:abstractNumId w:val="19"/>
  </w:num>
  <w:num w:numId="11">
    <w:abstractNumId w:val="5"/>
  </w:num>
  <w:num w:numId="12">
    <w:abstractNumId w:val="31"/>
  </w:num>
  <w:num w:numId="13">
    <w:abstractNumId w:val="13"/>
  </w:num>
  <w:num w:numId="14">
    <w:abstractNumId w:val="29"/>
  </w:num>
  <w:num w:numId="15">
    <w:abstractNumId w:val="22"/>
  </w:num>
  <w:num w:numId="16">
    <w:abstractNumId w:val="26"/>
  </w:num>
  <w:num w:numId="17">
    <w:abstractNumId w:val="32"/>
  </w:num>
  <w:num w:numId="18">
    <w:abstractNumId w:val="2"/>
  </w:num>
  <w:num w:numId="19">
    <w:abstractNumId w:val="7"/>
  </w:num>
  <w:num w:numId="20">
    <w:abstractNumId w:val="7"/>
    <w:lvlOverride w:ilvl="0">
      <w:startOverride w:val="1"/>
    </w:lvlOverride>
  </w:num>
  <w:num w:numId="21">
    <w:abstractNumId w:val="7"/>
    <w:lvlOverride w:ilvl="0">
      <w:startOverride w:val="1"/>
    </w:lvlOverride>
  </w:num>
  <w:num w:numId="22">
    <w:abstractNumId w:val="6"/>
  </w:num>
  <w:num w:numId="23">
    <w:abstractNumId w:val="12"/>
  </w:num>
  <w:num w:numId="24">
    <w:abstractNumId w:val="9"/>
  </w:num>
  <w:num w:numId="25">
    <w:abstractNumId w:val="10"/>
  </w:num>
  <w:num w:numId="26">
    <w:abstractNumId w:val="23"/>
  </w:num>
  <w:num w:numId="27">
    <w:abstractNumId w:val="14"/>
  </w:num>
  <w:num w:numId="28">
    <w:abstractNumId w:val="33"/>
  </w:num>
  <w:num w:numId="29">
    <w:abstractNumId w:val="34"/>
  </w:num>
  <w:num w:numId="30">
    <w:abstractNumId w:val="16"/>
  </w:num>
  <w:num w:numId="31">
    <w:abstractNumId w:val="30"/>
  </w:num>
  <w:num w:numId="32">
    <w:abstractNumId w:val="11"/>
  </w:num>
  <w:num w:numId="33">
    <w:abstractNumId w:val="28"/>
  </w:num>
  <w:num w:numId="34">
    <w:abstractNumId w:val="20"/>
  </w:num>
  <w:num w:numId="35">
    <w:abstractNumId w:val="4"/>
  </w:num>
  <w:num w:numId="36">
    <w:abstractNumId w:val="21"/>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30"/>
    <w:rsid w:val="00000733"/>
    <w:rsid w:val="00002563"/>
    <w:rsid w:val="00002624"/>
    <w:rsid w:val="00003295"/>
    <w:rsid w:val="0000489E"/>
    <w:rsid w:val="000054F2"/>
    <w:rsid w:val="00005E57"/>
    <w:rsid w:val="00006A66"/>
    <w:rsid w:val="00010107"/>
    <w:rsid w:val="00010ECE"/>
    <w:rsid w:val="00011700"/>
    <w:rsid w:val="00011AAA"/>
    <w:rsid w:val="00011FCB"/>
    <w:rsid w:val="0001260B"/>
    <w:rsid w:val="00013477"/>
    <w:rsid w:val="000137B1"/>
    <w:rsid w:val="000138BB"/>
    <w:rsid w:val="00014031"/>
    <w:rsid w:val="00014464"/>
    <w:rsid w:val="000144C2"/>
    <w:rsid w:val="00014B1B"/>
    <w:rsid w:val="00015308"/>
    <w:rsid w:val="00015DA3"/>
    <w:rsid w:val="00017272"/>
    <w:rsid w:val="000172A9"/>
    <w:rsid w:val="00020132"/>
    <w:rsid w:val="000202A6"/>
    <w:rsid w:val="00020398"/>
    <w:rsid w:val="000206CB"/>
    <w:rsid w:val="00021463"/>
    <w:rsid w:val="000216BB"/>
    <w:rsid w:val="00021BDF"/>
    <w:rsid w:val="0002257C"/>
    <w:rsid w:val="00022D3C"/>
    <w:rsid w:val="00022DFF"/>
    <w:rsid w:val="000230DC"/>
    <w:rsid w:val="00023346"/>
    <w:rsid w:val="00024624"/>
    <w:rsid w:val="000246F3"/>
    <w:rsid w:val="0002499E"/>
    <w:rsid w:val="00024A7B"/>
    <w:rsid w:val="00024BBA"/>
    <w:rsid w:val="000253B2"/>
    <w:rsid w:val="00026BB0"/>
    <w:rsid w:val="00026E52"/>
    <w:rsid w:val="00026F70"/>
    <w:rsid w:val="00027106"/>
    <w:rsid w:val="000275F4"/>
    <w:rsid w:val="000305B3"/>
    <w:rsid w:val="00030702"/>
    <w:rsid w:val="000308C0"/>
    <w:rsid w:val="00030C16"/>
    <w:rsid w:val="000310DD"/>
    <w:rsid w:val="000311CE"/>
    <w:rsid w:val="00031435"/>
    <w:rsid w:val="00031F8E"/>
    <w:rsid w:val="00032216"/>
    <w:rsid w:val="00032ACC"/>
    <w:rsid w:val="00032F12"/>
    <w:rsid w:val="00033263"/>
    <w:rsid w:val="000332B4"/>
    <w:rsid w:val="00033781"/>
    <w:rsid w:val="00033C21"/>
    <w:rsid w:val="0003422F"/>
    <w:rsid w:val="000344ED"/>
    <w:rsid w:val="00034A8F"/>
    <w:rsid w:val="00034F0B"/>
    <w:rsid w:val="00035E23"/>
    <w:rsid w:val="00035F2E"/>
    <w:rsid w:val="000363DC"/>
    <w:rsid w:val="0003659E"/>
    <w:rsid w:val="00037065"/>
    <w:rsid w:val="0003786D"/>
    <w:rsid w:val="00037C52"/>
    <w:rsid w:val="00037E19"/>
    <w:rsid w:val="00040540"/>
    <w:rsid w:val="000409C4"/>
    <w:rsid w:val="00041C35"/>
    <w:rsid w:val="00042617"/>
    <w:rsid w:val="000428D9"/>
    <w:rsid w:val="000429A8"/>
    <w:rsid w:val="00042B02"/>
    <w:rsid w:val="00042B50"/>
    <w:rsid w:val="00042C00"/>
    <w:rsid w:val="00042E73"/>
    <w:rsid w:val="00042F8F"/>
    <w:rsid w:val="00043F3A"/>
    <w:rsid w:val="0004497D"/>
    <w:rsid w:val="000449F6"/>
    <w:rsid w:val="00045AE8"/>
    <w:rsid w:val="0004692D"/>
    <w:rsid w:val="000471DB"/>
    <w:rsid w:val="0004725A"/>
    <w:rsid w:val="000472F6"/>
    <w:rsid w:val="0004786D"/>
    <w:rsid w:val="0005023D"/>
    <w:rsid w:val="000503B3"/>
    <w:rsid w:val="000513B9"/>
    <w:rsid w:val="00051713"/>
    <w:rsid w:val="00051D65"/>
    <w:rsid w:val="0005229D"/>
    <w:rsid w:val="000525B7"/>
    <w:rsid w:val="0005269F"/>
    <w:rsid w:val="000527EB"/>
    <w:rsid w:val="00054763"/>
    <w:rsid w:val="00055926"/>
    <w:rsid w:val="00055D48"/>
    <w:rsid w:val="00055FEC"/>
    <w:rsid w:val="00056717"/>
    <w:rsid w:val="00056E9D"/>
    <w:rsid w:val="00060A11"/>
    <w:rsid w:val="0006139B"/>
    <w:rsid w:val="00063976"/>
    <w:rsid w:val="000645BB"/>
    <w:rsid w:val="000648CE"/>
    <w:rsid w:val="00065342"/>
    <w:rsid w:val="00065522"/>
    <w:rsid w:val="000656C3"/>
    <w:rsid w:val="00065AC4"/>
    <w:rsid w:val="00065E08"/>
    <w:rsid w:val="000660E1"/>
    <w:rsid w:val="000666CD"/>
    <w:rsid w:val="00066D6C"/>
    <w:rsid w:val="00066E24"/>
    <w:rsid w:val="00067490"/>
    <w:rsid w:val="000675EE"/>
    <w:rsid w:val="0006765F"/>
    <w:rsid w:val="000707F8"/>
    <w:rsid w:val="000729DB"/>
    <w:rsid w:val="00074389"/>
    <w:rsid w:val="000756F7"/>
    <w:rsid w:val="00075FEA"/>
    <w:rsid w:val="00076645"/>
    <w:rsid w:val="00076DF2"/>
    <w:rsid w:val="00077C45"/>
    <w:rsid w:val="00080508"/>
    <w:rsid w:val="000807F5"/>
    <w:rsid w:val="00080935"/>
    <w:rsid w:val="00080A4D"/>
    <w:rsid w:val="00080AD5"/>
    <w:rsid w:val="00080F83"/>
    <w:rsid w:val="0008254A"/>
    <w:rsid w:val="000828F2"/>
    <w:rsid w:val="00082E1B"/>
    <w:rsid w:val="00083530"/>
    <w:rsid w:val="000835FE"/>
    <w:rsid w:val="000838FB"/>
    <w:rsid w:val="00084141"/>
    <w:rsid w:val="00085388"/>
    <w:rsid w:val="00085CF5"/>
    <w:rsid w:val="000860A0"/>
    <w:rsid w:val="00086495"/>
    <w:rsid w:val="00086B1E"/>
    <w:rsid w:val="00086B22"/>
    <w:rsid w:val="00086CF2"/>
    <w:rsid w:val="00087080"/>
    <w:rsid w:val="00087E43"/>
    <w:rsid w:val="00090062"/>
    <w:rsid w:val="00090483"/>
    <w:rsid w:val="0009087F"/>
    <w:rsid w:val="00091D1B"/>
    <w:rsid w:val="00092467"/>
    <w:rsid w:val="00092EE4"/>
    <w:rsid w:val="00093491"/>
    <w:rsid w:val="00093C7C"/>
    <w:rsid w:val="00093C84"/>
    <w:rsid w:val="00094932"/>
    <w:rsid w:val="00094D35"/>
    <w:rsid w:val="000953AB"/>
    <w:rsid w:val="00096D16"/>
    <w:rsid w:val="000979FA"/>
    <w:rsid w:val="00097BE1"/>
    <w:rsid w:val="000A0014"/>
    <w:rsid w:val="000A07B3"/>
    <w:rsid w:val="000A0EBD"/>
    <w:rsid w:val="000A15D5"/>
    <w:rsid w:val="000A16EF"/>
    <w:rsid w:val="000A19DC"/>
    <w:rsid w:val="000A1AE4"/>
    <w:rsid w:val="000A212B"/>
    <w:rsid w:val="000A29CC"/>
    <w:rsid w:val="000A2A81"/>
    <w:rsid w:val="000A3459"/>
    <w:rsid w:val="000A4813"/>
    <w:rsid w:val="000A5853"/>
    <w:rsid w:val="000A5AB9"/>
    <w:rsid w:val="000A5D23"/>
    <w:rsid w:val="000A618D"/>
    <w:rsid w:val="000A6785"/>
    <w:rsid w:val="000A6D30"/>
    <w:rsid w:val="000A73D9"/>
    <w:rsid w:val="000A7827"/>
    <w:rsid w:val="000B0B6C"/>
    <w:rsid w:val="000B14C4"/>
    <w:rsid w:val="000B161C"/>
    <w:rsid w:val="000B1A81"/>
    <w:rsid w:val="000B1C34"/>
    <w:rsid w:val="000B20A8"/>
    <w:rsid w:val="000B239D"/>
    <w:rsid w:val="000B23B9"/>
    <w:rsid w:val="000B2552"/>
    <w:rsid w:val="000B28C3"/>
    <w:rsid w:val="000B2ABA"/>
    <w:rsid w:val="000B2E41"/>
    <w:rsid w:val="000B31A2"/>
    <w:rsid w:val="000B3E99"/>
    <w:rsid w:val="000B41A5"/>
    <w:rsid w:val="000B4678"/>
    <w:rsid w:val="000B4A07"/>
    <w:rsid w:val="000B4A14"/>
    <w:rsid w:val="000B4C28"/>
    <w:rsid w:val="000B525B"/>
    <w:rsid w:val="000B52B1"/>
    <w:rsid w:val="000B53FF"/>
    <w:rsid w:val="000B6131"/>
    <w:rsid w:val="000B6550"/>
    <w:rsid w:val="000B692E"/>
    <w:rsid w:val="000B6BF3"/>
    <w:rsid w:val="000B744F"/>
    <w:rsid w:val="000C0842"/>
    <w:rsid w:val="000C1D6A"/>
    <w:rsid w:val="000C20E5"/>
    <w:rsid w:val="000C2C03"/>
    <w:rsid w:val="000C333D"/>
    <w:rsid w:val="000C3755"/>
    <w:rsid w:val="000C39B9"/>
    <w:rsid w:val="000C3B0B"/>
    <w:rsid w:val="000C3C7E"/>
    <w:rsid w:val="000C3C91"/>
    <w:rsid w:val="000C3D31"/>
    <w:rsid w:val="000C4001"/>
    <w:rsid w:val="000C44AA"/>
    <w:rsid w:val="000C4616"/>
    <w:rsid w:val="000C534D"/>
    <w:rsid w:val="000C78EF"/>
    <w:rsid w:val="000C7E1D"/>
    <w:rsid w:val="000D051A"/>
    <w:rsid w:val="000D0697"/>
    <w:rsid w:val="000D0FD6"/>
    <w:rsid w:val="000D1427"/>
    <w:rsid w:val="000D20B1"/>
    <w:rsid w:val="000D2151"/>
    <w:rsid w:val="000D3015"/>
    <w:rsid w:val="000D3017"/>
    <w:rsid w:val="000D36D5"/>
    <w:rsid w:val="000D371E"/>
    <w:rsid w:val="000D45D3"/>
    <w:rsid w:val="000D52F3"/>
    <w:rsid w:val="000D57DA"/>
    <w:rsid w:val="000D6055"/>
    <w:rsid w:val="000D7F37"/>
    <w:rsid w:val="000E067B"/>
    <w:rsid w:val="000E0CE6"/>
    <w:rsid w:val="000E0D04"/>
    <w:rsid w:val="000E18C8"/>
    <w:rsid w:val="000E1974"/>
    <w:rsid w:val="000E24D2"/>
    <w:rsid w:val="000E3091"/>
    <w:rsid w:val="000E389C"/>
    <w:rsid w:val="000E4A15"/>
    <w:rsid w:val="000E526C"/>
    <w:rsid w:val="000E5306"/>
    <w:rsid w:val="000E534E"/>
    <w:rsid w:val="000E552D"/>
    <w:rsid w:val="000E624F"/>
    <w:rsid w:val="000E6A7D"/>
    <w:rsid w:val="000E70B1"/>
    <w:rsid w:val="000E7AF7"/>
    <w:rsid w:val="000F06E6"/>
    <w:rsid w:val="000F079D"/>
    <w:rsid w:val="000F07A9"/>
    <w:rsid w:val="000F109B"/>
    <w:rsid w:val="000F173B"/>
    <w:rsid w:val="000F1810"/>
    <w:rsid w:val="000F2644"/>
    <w:rsid w:val="000F2BBA"/>
    <w:rsid w:val="000F2C19"/>
    <w:rsid w:val="000F2DE1"/>
    <w:rsid w:val="000F3346"/>
    <w:rsid w:val="000F3734"/>
    <w:rsid w:val="000F37DC"/>
    <w:rsid w:val="000F43D4"/>
    <w:rsid w:val="000F46EC"/>
    <w:rsid w:val="000F4F23"/>
    <w:rsid w:val="000F5BDD"/>
    <w:rsid w:val="000F5D1D"/>
    <w:rsid w:val="000F5FC0"/>
    <w:rsid w:val="000F5FFF"/>
    <w:rsid w:val="000F6117"/>
    <w:rsid w:val="000F62A1"/>
    <w:rsid w:val="000F64CB"/>
    <w:rsid w:val="000F6DED"/>
    <w:rsid w:val="000F7193"/>
    <w:rsid w:val="000F7690"/>
    <w:rsid w:val="000F7851"/>
    <w:rsid w:val="000F79AB"/>
    <w:rsid w:val="000F7F9E"/>
    <w:rsid w:val="001000D5"/>
    <w:rsid w:val="00100633"/>
    <w:rsid w:val="00100B56"/>
    <w:rsid w:val="0010114D"/>
    <w:rsid w:val="001012B5"/>
    <w:rsid w:val="0010192F"/>
    <w:rsid w:val="00101F68"/>
    <w:rsid w:val="00104156"/>
    <w:rsid w:val="0010448F"/>
    <w:rsid w:val="00105E0E"/>
    <w:rsid w:val="00106066"/>
    <w:rsid w:val="0010676F"/>
    <w:rsid w:val="00106BB4"/>
    <w:rsid w:val="00106D61"/>
    <w:rsid w:val="00106EA6"/>
    <w:rsid w:val="00107FAB"/>
    <w:rsid w:val="00110106"/>
    <w:rsid w:val="001101AA"/>
    <w:rsid w:val="00110C16"/>
    <w:rsid w:val="00112333"/>
    <w:rsid w:val="001125EC"/>
    <w:rsid w:val="00112CC4"/>
    <w:rsid w:val="00112E6A"/>
    <w:rsid w:val="00112F58"/>
    <w:rsid w:val="001132DA"/>
    <w:rsid w:val="001133EC"/>
    <w:rsid w:val="00113BC1"/>
    <w:rsid w:val="001142D1"/>
    <w:rsid w:val="00114414"/>
    <w:rsid w:val="0011500F"/>
    <w:rsid w:val="001168BE"/>
    <w:rsid w:val="00116AE5"/>
    <w:rsid w:val="00116ECC"/>
    <w:rsid w:val="0011768B"/>
    <w:rsid w:val="00117CC1"/>
    <w:rsid w:val="00117E17"/>
    <w:rsid w:val="0012019C"/>
    <w:rsid w:val="00120504"/>
    <w:rsid w:val="0012073F"/>
    <w:rsid w:val="0012075D"/>
    <w:rsid w:val="001218C9"/>
    <w:rsid w:val="00121F2C"/>
    <w:rsid w:val="0012252A"/>
    <w:rsid w:val="0012255F"/>
    <w:rsid w:val="00122E17"/>
    <w:rsid w:val="00122ED9"/>
    <w:rsid w:val="00123463"/>
    <w:rsid w:val="00123BE8"/>
    <w:rsid w:val="00125244"/>
    <w:rsid w:val="00125F6F"/>
    <w:rsid w:val="00126750"/>
    <w:rsid w:val="001268FD"/>
    <w:rsid w:val="00126B9C"/>
    <w:rsid w:val="00126ECD"/>
    <w:rsid w:val="001276FA"/>
    <w:rsid w:val="0013142B"/>
    <w:rsid w:val="00131A96"/>
    <w:rsid w:val="00131F82"/>
    <w:rsid w:val="001328E8"/>
    <w:rsid w:val="00132AA9"/>
    <w:rsid w:val="00132F87"/>
    <w:rsid w:val="0013315C"/>
    <w:rsid w:val="00134973"/>
    <w:rsid w:val="00135047"/>
    <w:rsid w:val="001357CF"/>
    <w:rsid w:val="00135824"/>
    <w:rsid w:val="001359E7"/>
    <w:rsid w:val="00135B09"/>
    <w:rsid w:val="00135D70"/>
    <w:rsid w:val="00135EAB"/>
    <w:rsid w:val="001369BD"/>
    <w:rsid w:val="001369E6"/>
    <w:rsid w:val="00136EB8"/>
    <w:rsid w:val="00137178"/>
    <w:rsid w:val="001371CA"/>
    <w:rsid w:val="00137754"/>
    <w:rsid w:val="00137B2D"/>
    <w:rsid w:val="00137CA4"/>
    <w:rsid w:val="00137DDD"/>
    <w:rsid w:val="00140479"/>
    <w:rsid w:val="001404FC"/>
    <w:rsid w:val="001409B0"/>
    <w:rsid w:val="001417FB"/>
    <w:rsid w:val="00142316"/>
    <w:rsid w:val="00142A41"/>
    <w:rsid w:val="00142C59"/>
    <w:rsid w:val="001431BB"/>
    <w:rsid w:val="0014389B"/>
    <w:rsid w:val="001448CA"/>
    <w:rsid w:val="00144EAA"/>
    <w:rsid w:val="00145CBA"/>
    <w:rsid w:val="00145D42"/>
    <w:rsid w:val="00146564"/>
    <w:rsid w:val="00146FB3"/>
    <w:rsid w:val="001501A4"/>
    <w:rsid w:val="0015043C"/>
    <w:rsid w:val="00150E09"/>
    <w:rsid w:val="001510AE"/>
    <w:rsid w:val="00151FA4"/>
    <w:rsid w:val="00152690"/>
    <w:rsid w:val="00152F28"/>
    <w:rsid w:val="00153091"/>
    <w:rsid w:val="00153BC9"/>
    <w:rsid w:val="00154140"/>
    <w:rsid w:val="001547F8"/>
    <w:rsid w:val="0015492B"/>
    <w:rsid w:val="00154B5B"/>
    <w:rsid w:val="0015577C"/>
    <w:rsid w:val="001558D5"/>
    <w:rsid w:val="00155FA8"/>
    <w:rsid w:val="00155FB6"/>
    <w:rsid w:val="001607BF"/>
    <w:rsid w:val="00160C2D"/>
    <w:rsid w:val="001610C0"/>
    <w:rsid w:val="00161362"/>
    <w:rsid w:val="00161880"/>
    <w:rsid w:val="00161D0C"/>
    <w:rsid w:val="00162362"/>
    <w:rsid w:val="001635E5"/>
    <w:rsid w:val="0016388D"/>
    <w:rsid w:val="0016392D"/>
    <w:rsid w:val="00163B5D"/>
    <w:rsid w:val="0016417E"/>
    <w:rsid w:val="00165878"/>
    <w:rsid w:val="001658FE"/>
    <w:rsid w:val="001662DF"/>
    <w:rsid w:val="001668F5"/>
    <w:rsid w:val="0016789A"/>
    <w:rsid w:val="00167D01"/>
    <w:rsid w:val="00170834"/>
    <w:rsid w:val="001708FB"/>
    <w:rsid w:val="00171615"/>
    <w:rsid w:val="001724C0"/>
    <w:rsid w:val="001726F1"/>
    <w:rsid w:val="001731E5"/>
    <w:rsid w:val="00173319"/>
    <w:rsid w:val="00173867"/>
    <w:rsid w:val="001739A7"/>
    <w:rsid w:val="00175892"/>
    <w:rsid w:val="0017638F"/>
    <w:rsid w:val="001774CE"/>
    <w:rsid w:val="0017755A"/>
    <w:rsid w:val="00177C0C"/>
    <w:rsid w:val="0018019E"/>
    <w:rsid w:val="00180516"/>
    <w:rsid w:val="001805B2"/>
    <w:rsid w:val="00180C15"/>
    <w:rsid w:val="00180C57"/>
    <w:rsid w:val="001818E6"/>
    <w:rsid w:val="00181BDA"/>
    <w:rsid w:val="001823C3"/>
    <w:rsid w:val="00182443"/>
    <w:rsid w:val="001835E0"/>
    <w:rsid w:val="0018378C"/>
    <w:rsid w:val="00183B47"/>
    <w:rsid w:val="00183E72"/>
    <w:rsid w:val="001845B2"/>
    <w:rsid w:val="00184870"/>
    <w:rsid w:val="001849AC"/>
    <w:rsid w:val="0018538A"/>
    <w:rsid w:val="00185671"/>
    <w:rsid w:val="001858E8"/>
    <w:rsid w:val="00185A64"/>
    <w:rsid w:val="00185EFE"/>
    <w:rsid w:val="00186448"/>
    <w:rsid w:val="001868CB"/>
    <w:rsid w:val="00186B7E"/>
    <w:rsid w:val="00187808"/>
    <w:rsid w:val="00187A44"/>
    <w:rsid w:val="001902C9"/>
    <w:rsid w:val="00190C97"/>
    <w:rsid w:val="00190F84"/>
    <w:rsid w:val="00190FD7"/>
    <w:rsid w:val="00191B68"/>
    <w:rsid w:val="0019238C"/>
    <w:rsid w:val="0019290D"/>
    <w:rsid w:val="00192B67"/>
    <w:rsid w:val="00193730"/>
    <w:rsid w:val="00193AB7"/>
    <w:rsid w:val="00194299"/>
    <w:rsid w:val="00194BC1"/>
    <w:rsid w:val="00195901"/>
    <w:rsid w:val="00195B95"/>
    <w:rsid w:val="00196775"/>
    <w:rsid w:val="00196833"/>
    <w:rsid w:val="00196C70"/>
    <w:rsid w:val="00196E06"/>
    <w:rsid w:val="00197351"/>
    <w:rsid w:val="00197CB0"/>
    <w:rsid w:val="00197D7A"/>
    <w:rsid w:val="00197ED3"/>
    <w:rsid w:val="00197F14"/>
    <w:rsid w:val="001A03D2"/>
    <w:rsid w:val="001A0B2D"/>
    <w:rsid w:val="001A1017"/>
    <w:rsid w:val="001A17F8"/>
    <w:rsid w:val="001A1A57"/>
    <w:rsid w:val="001A1B86"/>
    <w:rsid w:val="001A1C0B"/>
    <w:rsid w:val="001A1DA9"/>
    <w:rsid w:val="001A33A9"/>
    <w:rsid w:val="001A3D45"/>
    <w:rsid w:val="001A586A"/>
    <w:rsid w:val="001A5948"/>
    <w:rsid w:val="001A5D18"/>
    <w:rsid w:val="001A5E37"/>
    <w:rsid w:val="001A630C"/>
    <w:rsid w:val="001A63E2"/>
    <w:rsid w:val="001A64EC"/>
    <w:rsid w:val="001B0060"/>
    <w:rsid w:val="001B0ECD"/>
    <w:rsid w:val="001B2E0A"/>
    <w:rsid w:val="001B3198"/>
    <w:rsid w:val="001B4B07"/>
    <w:rsid w:val="001B514D"/>
    <w:rsid w:val="001B5AE1"/>
    <w:rsid w:val="001B6C26"/>
    <w:rsid w:val="001B71D4"/>
    <w:rsid w:val="001B7A4C"/>
    <w:rsid w:val="001B7F86"/>
    <w:rsid w:val="001C09C6"/>
    <w:rsid w:val="001C180A"/>
    <w:rsid w:val="001C1DAC"/>
    <w:rsid w:val="001C311E"/>
    <w:rsid w:val="001C3566"/>
    <w:rsid w:val="001C36DC"/>
    <w:rsid w:val="001C3CD4"/>
    <w:rsid w:val="001C48D9"/>
    <w:rsid w:val="001C4BAE"/>
    <w:rsid w:val="001C5669"/>
    <w:rsid w:val="001C575A"/>
    <w:rsid w:val="001C58FD"/>
    <w:rsid w:val="001C5ACA"/>
    <w:rsid w:val="001C6059"/>
    <w:rsid w:val="001C62BB"/>
    <w:rsid w:val="001C62E8"/>
    <w:rsid w:val="001C68D6"/>
    <w:rsid w:val="001C76C1"/>
    <w:rsid w:val="001C7F7E"/>
    <w:rsid w:val="001C7FA1"/>
    <w:rsid w:val="001D0030"/>
    <w:rsid w:val="001D01CB"/>
    <w:rsid w:val="001D0692"/>
    <w:rsid w:val="001D1154"/>
    <w:rsid w:val="001D13D5"/>
    <w:rsid w:val="001D155C"/>
    <w:rsid w:val="001D281C"/>
    <w:rsid w:val="001D283E"/>
    <w:rsid w:val="001D32E7"/>
    <w:rsid w:val="001D335B"/>
    <w:rsid w:val="001D37F9"/>
    <w:rsid w:val="001D38CA"/>
    <w:rsid w:val="001D3B17"/>
    <w:rsid w:val="001D5B34"/>
    <w:rsid w:val="001D63CB"/>
    <w:rsid w:val="001D6A72"/>
    <w:rsid w:val="001D7227"/>
    <w:rsid w:val="001D7392"/>
    <w:rsid w:val="001D7EE6"/>
    <w:rsid w:val="001D7FFD"/>
    <w:rsid w:val="001E0035"/>
    <w:rsid w:val="001E022A"/>
    <w:rsid w:val="001E11E6"/>
    <w:rsid w:val="001E2E66"/>
    <w:rsid w:val="001E4005"/>
    <w:rsid w:val="001E4F9B"/>
    <w:rsid w:val="001E5520"/>
    <w:rsid w:val="001E5878"/>
    <w:rsid w:val="001E5FF8"/>
    <w:rsid w:val="001E6547"/>
    <w:rsid w:val="001E6FB2"/>
    <w:rsid w:val="001E7158"/>
    <w:rsid w:val="001E7A20"/>
    <w:rsid w:val="001F0823"/>
    <w:rsid w:val="001F1DCE"/>
    <w:rsid w:val="001F2FF3"/>
    <w:rsid w:val="001F423D"/>
    <w:rsid w:val="001F441C"/>
    <w:rsid w:val="001F5583"/>
    <w:rsid w:val="001F5BD1"/>
    <w:rsid w:val="001F5CD1"/>
    <w:rsid w:val="001F6B41"/>
    <w:rsid w:val="00200D06"/>
    <w:rsid w:val="00201162"/>
    <w:rsid w:val="0020119B"/>
    <w:rsid w:val="002015DB"/>
    <w:rsid w:val="0020296F"/>
    <w:rsid w:val="002031C9"/>
    <w:rsid w:val="002040BA"/>
    <w:rsid w:val="00204679"/>
    <w:rsid w:val="00204800"/>
    <w:rsid w:val="00205C55"/>
    <w:rsid w:val="002060BD"/>
    <w:rsid w:val="00206349"/>
    <w:rsid w:val="00206B5C"/>
    <w:rsid w:val="00206EA3"/>
    <w:rsid w:val="00207BD6"/>
    <w:rsid w:val="002103B9"/>
    <w:rsid w:val="00210707"/>
    <w:rsid w:val="0021183A"/>
    <w:rsid w:val="00211ADC"/>
    <w:rsid w:val="002125D2"/>
    <w:rsid w:val="00212609"/>
    <w:rsid w:val="00212A2B"/>
    <w:rsid w:val="00212C6C"/>
    <w:rsid w:val="00212F68"/>
    <w:rsid w:val="002133D2"/>
    <w:rsid w:val="00213FA0"/>
    <w:rsid w:val="0021406A"/>
    <w:rsid w:val="002143EA"/>
    <w:rsid w:val="00214E85"/>
    <w:rsid w:val="002171FB"/>
    <w:rsid w:val="00220F3C"/>
    <w:rsid w:val="00221BAF"/>
    <w:rsid w:val="00222007"/>
    <w:rsid w:val="002220DC"/>
    <w:rsid w:val="002221DC"/>
    <w:rsid w:val="002226FB"/>
    <w:rsid w:val="00222931"/>
    <w:rsid w:val="0022450B"/>
    <w:rsid w:val="00224883"/>
    <w:rsid w:val="00224A39"/>
    <w:rsid w:val="00224B0D"/>
    <w:rsid w:val="002259A1"/>
    <w:rsid w:val="0022735D"/>
    <w:rsid w:val="0022763B"/>
    <w:rsid w:val="00227D07"/>
    <w:rsid w:val="00230843"/>
    <w:rsid w:val="00231221"/>
    <w:rsid w:val="002322E4"/>
    <w:rsid w:val="00233025"/>
    <w:rsid w:val="00233511"/>
    <w:rsid w:val="0023384A"/>
    <w:rsid w:val="00233901"/>
    <w:rsid w:val="00233986"/>
    <w:rsid w:val="0023407C"/>
    <w:rsid w:val="0023424F"/>
    <w:rsid w:val="00235076"/>
    <w:rsid w:val="00235821"/>
    <w:rsid w:val="00235AA2"/>
    <w:rsid w:val="00235AD5"/>
    <w:rsid w:val="00236B78"/>
    <w:rsid w:val="00237912"/>
    <w:rsid w:val="00237B40"/>
    <w:rsid w:val="00240A74"/>
    <w:rsid w:val="00240D7E"/>
    <w:rsid w:val="00241432"/>
    <w:rsid w:val="00241FF0"/>
    <w:rsid w:val="00242281"/>
    <w:rsid w:val="00242609"/>
    <w:rsid w:val="00242981"/>
    <w:rsid w:val="00243386"/>
    <w:rsid w:val="00243902"/>
    <w:rsid w:val="00244246"/>
    <w:rsid w:val="00244934"/>
    <w:rsid w:val="00244D62"/>
    <w:rsid w:val="002451DD"/>
    <w:rsid w:val="002453AD"/>
    <w:rsid w:val="00245B7F"/>
    <w:rsid w:val="00246872"/>
    <w:rsid w:val="00246A77"/>
    <w:rsid w:val="00246E34"/>
    <w:rsid w:val="00246F3F"/>
    <w:rsid w:val="00246F57"/>
    <w:rsid w:val="00247B9D"/>
    <w:rsid w:val="00247C5C"/>
    <w:rsid w:val="002501F2"/>
    <w:rsid w:val="00250AF4"/>
    <w:rsid w:val="0025155B"/>
    <w:rsid w:val="002515DE"/>
    <w:rsid w:val="00251B1B"/>
    <w:rsid w:val="00251F8F"/>
    <w:rsid w:val="00252B1C"/>
    <w:rsid w:val="00252BEC"/>
    <w:rsid w:val="00252F6A"/>
    <w:rsid w:val="00253443"/>
    <w:rsid w:val="0025351E"/>
    <w:rsid w:val="002543D5"/>
    <w:rsid w:val="002543DD"/>
    <w:rsid w:val="00254BD8"/>
    <w:rsid w:val="00254C34"/>
    <w:rsid w:val="00255559"/>
    <w:rsid w:val="002557E6"/>
    <w:rsid w:val="00256B85"/>
    <w:rsid w:val="0025797F"/>
    <w:rsid w:val="002609EE"/>
    <w:rsid w:val="00260F52"/>
    <w:rsid w:val="00261FB1"/>
    <w:rsid w:val="00262A7C"/>
    <w:rsid w:val="002638AA"/>
    <w:rsid w:val="0026496D"/>
    <w:rsid w:val="00264F30"/>
    <w:rsid w:val="0026616B"/>
    <w:rsid w:val="00266917"/>
    <w:rsid w:val="002670F1"/>
    <w:rsid w:val="002672C2"/>
    <w:rsid w:val="002702AC"/>
    <w:rsid w:val="00271249"/>
    <w:rsid w:val="00271558"/>
    <w:rsid w:val="002722A5"/>
    <w:rsid w:val="0027266A"/>
    <w:rsid w:val="0027327D"/>
    <w:rsid w:val="002734F5"/>
    <w:rsid w:val="00274253"/>
    <w:rsid w:val="00274BED"/>
    <w:rsid w:val="002755DE"/>
    <w:rsid w:val="00275643"/>
    <w:rsid w:val="00275939"/>
    <w:rsid w:val="0027650D"/>
    <w:rsid w:val="00277A13"/>
    <w:rsid w:val="00280449"/>
    <w:rsid w:val="00280694"/>
    <w:rsid w:val="00281278"/>
    <w:rsid w:val="002821BB"/>
    <w:rsid w:val="002829F0"/>
    <w:rsid w:val="00282A9C"/>
    <w:rsid w:val="00282F55"/>
    <w:rsid w:val="00283323"/>
    <w:rsid w:val="00283732"/>
    <w:rsid w:val="00285071"/>
    <w:rsid w:val="00285ECD"/>
    <w:rsid w:val="00285F7D"/>
    <w:rsid w:val="00286E8F"/>
    <w:rsid w:val="002878D2"/>
    <w:rsid w:val="002879CB"/>
    <w:rsid w:val="00287C8A"/>
    <w:rsid w:val="00290027"/>
    <w:rsid w:val="00290D4F"/>
    <w:rsid w:val="0029147F"/>
    <w:rsid w:val="00291A81"/>
    <w:rsid w:val="00292A1D"/>
    <w:rsid w:val="002938CE"/>
    <w:rsid w:val="00293E02"/>
    <w:rsid w:val="00294005"/>
    <w:rsid w:val="002942AD"/>
    <w:rsid w:val="00294387"/>
    <w:rsid w:val="00295FE5"/>
    <w:rsid w:val="00296179"/>
    <w:rsid w:val="00296562"/>
    <w:rsid w:val="00296AB0"/>
    <w:rsid w:val="00296D0F"/>
    <w:rsid w:val="00297269"/>
    <w:rsid w:val="00297877"/>
    <w:rsid w:val="002A08E4"/>
    <w:rsid w:val="002A100A"/>
    <w:rsid w:val="002A1851"/>
    <w:rsid w:val="002A1BB8"/>
    <w:rsid w:val="002A1BF5"/>
    <w:rsid w:val="002A205F"/>
    <w:rsid w:val="002A213F"/>
    <w:rsid w:val="002A2207"/>
    <w:rsid w:val="002A2DA3"/>
    <w:rsid w:val="002A40A5"/>
    <w:rsid w:val="002A4601"/>
    <w:rsid w:val="002A5C4E"/>
    <w:rsid w:val="002A6B84"/>
    <w:rsid w:val="002A731E"/>
    <w:rsid w:val="002A7D02"/>
    <w:rsid w:val="002B003B"/>
    <w:rsid w:val="002B0ADE"/>
    <w:rsid w:val="002B0C95"/>
    <w:rsid w:val="002B172B"/>
    <w:rsid w:val="002B21AF"/>
    <w:rsid w:val="002B3D16"/>
    <w:rsid w:val="002B3D28"/>
    <w:rsid w:val="002B40FD"/>
    <w:rsid w:val="002B4A6D"/>
    <w:rsid w:val="002B51A2"/>
    <w:rsid w:val="002B6627"/>
    <w:rsid w:val="002B68D3"/>
    <w:rsid w:val="002B6B86"/>
    <w:rsid w:val="002B7559"/>
    <w:rsid w:val="002B7631"/>
    <w:rsid w:val="002B7C60"/>
    <w:rsid w:val="002C0751"/>
    <w:rsid w:val="002C09F1"/>
    <w:rsid w:val="002C11B7"/>
    <w:rsid w:val="002C226C"/>
    <w:rsid w:val="002C2BB1"/>
    <w:rsid w:val="002C2CA2"/>
    <w:rsid w:val="002C3188"/>
    <w:rsid w:val="002C3CDE"/>
    <w:rsid w:val="002C3D23"/>
    <w:rsid w:val="002C41B3"/>
    <w:rsid w:val="002C429A"/>
    <w:rsid w:val="002C4445"/>
    <w:rsid w:val="002C4670"/>
    <w:rsid w:val="002C4942"/>
    <w:rsid w:val="002C587E"/>
    <w:rsid w:val="002C5A13"/>
    <w:rsid w:val="002C6652"/>
    <w:rsid w:val="002C6A8C"/>
    <w:rsid w:val="002C6B65"/>
    <w:rsid w:val="002C7CC1"/>
    <w:rsid w:val="002D0D1B"/>
    <w:rsid w:val="002D0E88"/>
    <w:rsid w:val="002D15AA"/>
    <w:rsid w:val="002D17B6"/>
    <w:rsid w:val="002D20C6"/>
    <w:rsid w:val="002D242A"/>
    <w:rsid w:val="002D275D"/>
    <w:rsid w:val="002D28DA"/>
    <w:rsid w:val="002D3FCE"/>
    <w:rsid w:val="002D42D6"/>
    <w:rsid w:val="002D4919"/>
    <w:rsid w:val="002D492B"/>
    <w:rsid w:val="002D6337"/>
    <w:rsid w:val="002D6494"/>
    <w:rsid w:val="002E0179"/>
    <w:rsid w:val="002E01E6"/>
    <w:rsid w:val="002E0744"/>
    <w:rsid w:val="002E0D22"/>
    <w:rsid w:val="002E125A"/>
    <w:rsid w:val="002E18D7"/>
    <w:rsid w:val="002E337E"/>
    <w:rsid w:val="002E3A93"/>
    <w:rsid w:val="002E3D5E"/>
    <w:rsid w:val="002E4887"/>
    <w:rsid w:val="002E493D"/>
    <w:rsid w:val="002E4950"/>
    <w:rsid w:val="002E4FDE"/>
    <w:rsid w:val="002E52F9"/>
    <w:rsid w:val="002E53F9"/>
    <w:rsid w:val="002E6532"/>
    <w:rsid w:val="002E65DE"/>
    <w:rsid w:val="002E6D8F"/>
    <w:rsid w:val="002E6E3C"/>
    <w:rsid w:val="002E706C"/>
    <w:rsid w:val="002E7739"/>
    <w:rsid w:val="002E7978"/>
    <w:rsid w:val="002F08A9"/>
    <w:rsid w:val="002F096F"/>
    <w:rsid w:val="002F1F1C"/>
    <w:rsid w:val="002F2059"/>
    <w:rsid w:val="002F20B2"/>
    <w:rsid w:val="002F21BE"/>
    <w:rsid w:val="002F2AEA"/>
    <w:rsid w:val="002F2EA0"/>
    <w:rsid w:val="002F3718"/>
    <w:rsid w:val="002F3BF2"/>
    <w:rsid w:val="002F3C11"/>
    <w:rsid w:val="002F3C94"/>
    <w:rsid w:val="002F419A"/>
    <w:rsid w:val="002F4D4A"/>
    <w:rsid w:val="002F4E7C"/>
    <w:rsid w:val="002F4F18"/>
    <w:rsid w:val="002F6330"/>
    <w:rsid w:val="002F668D"/>
    <w:rsid w:val="002F6C97"/>
    <w:rsid w:val="002F7421"/>
    <w:rsid w:val="002F7B2C"/>
    <w:rsid w:val="00300080"/>
    <w:rsid w:val="00300579"/>
    <w:rsid w:val="00301BB3"/>
    <w:rsid w:val="00302BFD"/>
    <w:rsid w:val="00302C34"/>
    <w:rsid w:val="00303AB4"/>
    <w:rsid w:val="00303DFD"/>
    <w:rsid w:val="00303EF0"/>
    <w:rsid w:val="00304D2A"/>
    <w:rsid w:val="003053F9"/>
    <w:rsid w:val="0030585B"/>
    <w:rsid w:val="003058B8"/>
    <w:rsid w:val="003058FB"/>
    <w:rsid w:val="00305C24"/>
    <w:rsid w:val="00305C70"/>
    <w:rsid w:val="003068F7"/>
    <w:rsid w:val="00306F65"/>
    <w:rsid w:val="003074E3"/>
    <w:rsid w:val="003107C4"/>
    <w:rsid w:val="00310AF6"/>
    <w:rsid w:val="00310C5A"/>
    <w:rsid w:val="00310E88"/>
    <w:rsid w:val="00313171"/>
    <w:rsid w:val="003132EF"/>
    <w:rsid w:val="00314206"/>
    <w:rsid w:val="0031485B"/>
    <w:rsid w:val="00315B98"/>
    <w:rsid w:val="00315BE5"/>
    <w:rsid w:val="00315D26"/>
    <w:rsid w:val="00317257"/>
    <w:rsid w:val="0031748B"/>
    <w:rsid w:val="00317B6B"/>
    <w:rsid w:val="00317B7C"/>
    <w:rsid w:val="00320023"/>
    <w:rsid w:val="00320335"/>
    <w:rsid w:val="00320D0F"/>
    <w:rsid w:val="00321F88"/>
    <w:rsid w:val="00322AB9"/>
    <w:rsid w:val="00322EC1"/>
    <w:rsid w:val="0032301C"/>
    <w:rsid w:val="003232FD"/>
    <w:rsid w:val="00323A35"/>
    <w:rsid w:val="0032437A"/>
    <w:rsid w:val="00324BE3"/>
    <w:rsid w:val="00324D8A"/>
    <w:rsid w:val="003255AA"/>
    <w:rsid w:val="003257D1"/>
    <w:rsid w:val="003260DB"/>
    <w:rsid w:val="003265CF"/>
    <w:rsid w:val="00326D43"/>
    <w:rsid w:val="00327468"/>
    <w:rsid w:val="003303AD"/>
    <w:rsid w:val="00331B01"/>
    <w:rsid w:val="00331BD1"/>
    <w:rsid w:val="00332265"/>
    <w:rsid w:val="00332A56"/>
    <w:rsid w:val="00333152"/>
    <w:rsid w:val="003333CF"/>
    <w:rsid w:val="0033361A"/>
    <w:rsid w:val="003345F8"/>
    <w:rsid w:val="00334DB5"/>
    <w:rsid w:val="003353A0"/>
    <w:rsid w:val="003357E5"/>
    <w:rsid w:val="00335986"/>
    <w:rsid w:val="00335AA7"/>
    <w:rsid w:val="00335C58"/>
    <w:rsid w:val="003362C2"/>
    <w:rsid w:val="00336B64"/>
    <w:rsid w:val="00336DE0"/>
    <w:rsid w:val="003372CA"/>
    <w:rsid w:val="0033740D"/>
    <w:rsid w:val="003403AF"/>
    <w:rsid w:val="0034077B"/>
    <w:rsid w:val="00341003"/>
    <w:rsid w:val="003418E5"/>
    <w:rsid w:val="003418F4"/>
    <w:rsid w:val="003429E6"/>
    <w:rsid w:val="00342FEB"/>
    <w:rsid w:val="00343CA1"/>
    <w:rsid w:val="00343DF3"/>
    <w:rsid w:val="00343F8D"/>
    <w:rsid w:val="00344200"/>
    <w:rsid w:val="00344E26"/>
    <w:rsid w:val="003450BD"/>
    <w:rsid w:val="00345894"/>
    <w:rsid w:val="00345F6A"/>
    <w:rsid w:val="00346209"/>
    <w:rsid w:val="00346524"/>
    <w:rsid w:val="003472CD"/>
    <w:rsid w:val="00347685"/>
    <w:rsid w:val="00347EFF"/>
    <w:rsid w:val="0035023C"/>
    <w:rsid w:val="00350469"/>
    <w:rsid w:val="00350764"/>
    <w:rsid w:val="00350BCA"/>
    <w:rsid w:val="00350EA8"/>
    <w:rsid w:val="00351312"/>
    <w:rsid w:val="0035229D"/>
    <w:rsid w:val="0035359E"/>
    <w:rsid w:val="00353866"/>
    <w:rsid w:val="00353BC9"/>
    <w:rsid w:val="00353C66"/>
    <w:rsid w:val="00353F43"/>
    <w:rsid w:val="003541F6"/>
    <w:rsid w:val="003548F5"/>
    <w:rsid w:val="00354960"/>
    <w:rsid w:val="00354DD9"/>
    <w:rsid w:val="003556DA"/>
    <w:rsid w:val="003559CA"/>
    <w:rsid w:val="00355FC7"/>
    <w:rsid w:val="0035646D"/>
    <w:rsid w:val="00356D66"/>
    <w:rsid w:val="00356EDA"/>
    <w:rsid w:val="00357564"/>
    <w:rsid w:val="003576A3"/>
    <w:rsid w:val="00357814"/>
    <w:rsid w:val="003603C4"/>
    <w:rsid w:val="00360465"/>
    <w:rsid w:val="003605DC"/>
    <w:rsid w:val="0036061A"/>
    <w:rsid w:val="00361B5F"/>
    <w:rsid w:val="00362108"/>
    <w:rsid w:val="003621C2"/>
    <w:rsid w:val="003622E9"/>
    <w:rsid w:val="0036256A"/>
    <w:rsid w:val="003629E4"/>
    <w:rsid w:val="00362C61"/>
    <w:rsid w:val="00362E50"/>
    <w:rsid w:val="00362FB1"/>
    <w:rsid w:val="00363485"/>
    <w:rsid w:val="003649D9"/>
    <w:rsid w:val="0036542B"/>
    <w:rsid w:val="003658D6"/>
    <w:rsid w:val="00365A83"/>
    <w:rsid w:val="00365C52"/>
    <w:rsid w:val="00365FC5"/>
    <w:rsid w:val="003660C4"/>
    <w:rsid w:val="003661B2"/>
    <w:rsid w:val="003666CD"/>
    <w:rsid w:val="00366E2A"/>
    <w:rsid w:val="00367238"/>
    <w:rsid w:val="00367F85"/>
    <w:rsid w:val="00370648"/>
    <w:rsid w:val="0037072F"/>
    <w:rsid w:val="00371AAC"/>
    <w:rsid w:val="0037232E"/>
    <w:rsid w:val="0037235D"/>
    <w:rsid w:val="00372503"/>
    <w:rsid w:val="003730C2"/>
    <w:rsid w:val="00373342"/>
    <w:rsid w:val="003733B2"/>
    <w:rsid w:val="00373B8D"/>
    <w:rsid w:val="00374586"/>
    <w:rsid w:val="003750FF"/>
    <w:rsid w:val="00375425"/>
    <w:rsid w:val="00375491"/>
    <w:rsid w:val="00375DB4"/>
    <w:rsid w:val="00376CE0"/>
    <w:rsid w:val="00377AE5"/>
    <w:rsid w:val="00380355"/>
    <w:rsid w:val="00380EB9"/>
    <w:rsid w:val="00380F56"/>
    <w:rsid w:val="003819F3"/>
    <w:rsid w:val="00381D21"/>
    <w:rsid w:val="00382575"/>
    <w:rsid w:val="0038281A"/>
    <w:rsid w:val="00382B9B"/>
    <w:rsid w:val="00383542"/>
    <w:rsid w:val="00383860"/>
    <w:rsid w:val="00383900"/>
    <w:rsid w:val="00384797"/>
    <w:rsid w:val="003858ED"/>
    <w:rsid w:val="003868E3"/>
    <w:rsid w:val="003869D4"/>
    <w:rsid w:val="0038744C"/>
    <w:rsid w:val="00390535"/>
    <w:rsid w:val="00390F57"/>
    <w:rsid w:val="0039150E"/>
    <w:rsid w:val="00391855"/>
    <w:rsid w:val="00391DF2"/>
    <w:rsid w:val="003923D4"/>
    <w:rsid w:val="0039276F"/>
    <w:rsid w:val="003941E6"/>
    <w:rsid w:val="00394302"/>
    <w:rsid w:val="0039440B"/>
    <w:rsid w:val="00394797"/>
    <w:rsid w:val="00394CA8"/>
    <w:rsid w:val="00394CB8"/>
    <w:rsid w:val="003951CE"/>
    <w:rsid w:val="003962F3"/>
    <w:rsid w:val="00396F68"/>
    <w:rsid w:val="003971C2"/>
    <w:rsid w:val="00397ABF"/>
    <w:rsid w:val="003A1255"/>
    <w:rsid w:val="003A1EEA"/>
    <w:rsid w:val="003A2219"/>
    <w:rsid w:val="003A2D58"/>
    <w:rsid w:val="003A36E1"/>
    <w:rsid w:val="003A37E8"/>
    <w:rsid w:val="003A56C1"/>
    <w:rsid w:val="003A5F97"/>
    <w:rsid w:val="003A6224"/>
    <w:rsid w:val="003A6762"/>
    <w:rsid w:val="003A682F"/>
    <w:rsid w:val="003A7375"/>
    <w:rsid w:val="003A75E1"/>
    <w:rsid w:val="003B047D"/>
    <w:rsid w:val="003B0961"/>
    <w:rsid w:val="003B0D34"/>
    <w:rsid w:val="003B1AC2"/>
    <w:rsid w:val="003B2C16"/>
    <w:rsid w:val="003B2E8C"/>
    <w:rsid w:val="003B3FC3"/>
    <w:rsid w:val="003B44A2"/>
    <w:rsid w:val="003B4AC6"/>
    <w:rsid w:val="003B6D2F"/>
    <w:rsid w:val="003B7D6A"/>
    <w:rsid w:val="003C0195"/>
    <w:rsid w:val="003C08E6"/>
    <w:rsid w:val="003C10EC"/>
    <w:rsid w:val="003C2552"/>
    <w:rsid w:val="003C2773"/>
    <w:rsid w:val="003C2FC0"/>
    <w:rsid w:val="003C3458"/>
    <w:rsid w:val="003C366C"/>
    <w:rsid w:val="003C3E81"/>
    <w:rsid w:val="003C50AF"/>
    <w:rsid w:val="003C525A"/>
    <w:rsid w:val="003C7421"/>
    <w:rsid w:val="003C75DA"/>
    <w:rsid w:val="003C7773"/>
    <w:rsid w:val="003C7AC9"/>
    <w:rsid w:val="003D0160"/>
    <w:rsid w:val="003D05D0"/>
    <w:rsid w:val="003D0C43"/>
    <w:rsid w:val="003D0F3C"/>
    <w:rsid w:val="003D104C"/>
    <w:rsid w:val="003D1286"/>
    <w:rsid w:val="003D23EA"/>
    <w:rsid w:val="003D2471"/>
    <w:rsid w:val="003D2718"/>
    <w:rsid w:val="003D278F"/>
    <w:rsid w:val="003D38D5"/>
    <w:rsid w:val="003D4003"/>
    <w:rsid w:val="003D431B"/>
    <w:rsid w:val="003D4CCB"/>
    <w:rsid w:val="003D4CEF"/>
    <w:rsid w:val="003D4FE2"/>
    <w:rsid w:val="003D569D"/>
    <w:rsid w:val="003D56FF"/>
    <w:rsid w:val="003D6A0A"/>
    <w:rsid w:val="003D6E50"/>
    <w:rsid w:val="003D711C"/>
    <w:rsid w:val="003D7385"/>
    <w:rsid w:val="003D7EB2"/>
    <w:rsid w:val="003E03F5"/>
    <w:rsid w:val="003E1319"/>
    <w:rsid w:val="003E2171"/>
    <w:rsid w:val="003E26F6"/>
    <w:rsid w:val="003E27B1"/>
    <w:rsid w:val="003E27D3"/>
    <w:rsid w:val="003E2862"/>
    <w:rsid w:val="003E2935"/>
    <w:rsid w:val="003E2AFF"/>
    <w:rsid w:val="003E2B62"/>
    <w:rsid w:val="003E3A61"/>
    <w:rsid w:val="003E4952"/>
    <w:rsid w:val="003E4C4F"/>
    <w:rsid w:val="003E4F0C"/>
    <w:rsid w:val="003E52D1"/>
    <w:rsid w:val="003E570D"/>
    <w:rsid w:val="003E587B"/>
    <w:rsid w:val="003E5D0A"/>
    <w:rsid w:val="003E673A"/>
    <w:rsid w:val="003E6FA5"/>
    <w:rsid w:val="003E78DF"/>
    <w:rsid w:val="003F0560"/>
    <w:rsid w:val="003F1C2A"/>
    <w:rsid w:val="003F1CBE"/>
    <w:rsid w:val="003F1E8C"/>
    <w:rsid w:val="003F250D"/>
    <w:rsid w:val="003F2AB4"/>
    <w:rsid w:val="003F3B12"/>
    <w:rsid w:val="003F3C0B"/>
    <w:rsid w:val="003F3CD5"/>
    <w:rsid w:val="003F3EDE"/>
    <w:rsid w:val="003F4325"/>
    <w:rsid w:val="003F464C"/>
    <w:rsid w:val="003F468D"/>
    <w:rsid w:val="003F5557"/>
    <w:rsid w:val="003F5BFA"/>
    <w:rsid w:val="003F5D9C"/>
    <w:rsid w:val="003F5ECF"/>
    <w:rsid w:val="003F6255"/>
    <w:rsid w:val="003F63BF"/>
    <w:rsid w:val="003F640E"/>
    <w:rsid w:val="003F6BDB"/>
    <w:rsid w:val="003F6CA2"/>
    <w:rsid w:val="003F6DB5"/>
    <w:rsid w:val="003F6E14"/>
    <w:rsid w:val="003F6E7F"/>
    <w:rsid w:val="003F715D"/>
    <w:rsid w:val="003F79A0"/>
    <w:rsid w:val="003F7B88"/>
    <w:rsid w:val="003F7C14"/>
    <w:rsid w:val="004017DA"/>
    <w:rsid w:val="00401BFA"/>
    <w:rsid w:val="00401D24"/>
    <w:rsid w:val="0040242C"/>
    <w:rsid w:val="004028A1"/>
    <w:rsid w:val="00402CA4"/>
    <w:rsid w:val="004047BE"/>
    <w:rsid w:val="00404CD1"/>
    <w:rsid w:val="004055C3"/>
    <w:rsid w:val="00405CAA"/>
    <w:rsid w:val="00405CD4"/>
    <w:rsid w:val="004062EB"/>
    <w:rsid w:val="00406C54"/>
    <w:rsid w:val="00406D70"/>
    <w:rsid w:val="004072EB"/>
    <w:rsid w:val="00407461"/>
    <w:rsid w:val="00407C25"/>
    <w:rsid w:val="0041041C"/>
    <w:rsid w:val="0041058C"/>
    <w:rsid w:val="00410F22"/>
    <w:rsid w:val="004115AF"/>
    <w:rsid w:val="004115B8"/>
    <w:rsid w:val="00411906"/>
    <w:rsid w:val="00411F7A"/>
    <w:rsid w:val="004123C5"/>
    <w:rsid w:val="00412DF3"/>
    <w:rsid w:val="004130F1"/>
    <w:rsid w:val="00413DCF"/>
    <w:rsid w:val="00413F99"/>
    <w:rsid w:val="00415EA9"/>
    <w:rsid w:val="004164D0"/>
    <w:rsid w:val="004165D3"/>
    <w:rsid w:val="00416C79"/>
    <w:rsid w:val="00416F01"/>
    <w:rsid w:val="00417C4F"/>
    <w:rsid w:val="004203BF"/>
    <w:rsid w:val="00420963"/>
    <w:rsid w:val="00420ABE"/>
    <w:rsid w:val="00420D62"/>
    <w:rsid w:val="00420F93"/>
    <w:rsid w:val="0042103E"/>
    <w:rsid w:val="0042222B"/>
    <w:rsid w:val="004235D4"/>
    <w:rsid w:val="00423C5D"/>
    <w:rsid w:val="00423CF9"/>
    <w:rsid w:val="00423FB5"/>
    <w:rsid w:val="004240EB"/>
    <w:rsid w:val="00424276"/>
    <w:rsid w:val="0042505D"/>
    <w:rsid w:val="00425998"/>
    <w:rsid w:val="00430E19"/>
    <w:rsid w:val="00430EED"/>
    <w:rsid w:val="004311E1"/>
    <w:rsid w:val="00431F8C"/>
    <w:rsid w:val="00432543"/>
    <w:rsid w:val="0043258C"/>
    <w:rsid w:val="00432A23"/>
    <w:rsid w:val="00432CC7"/>
    <w:rsid w:val="00433108"/>
    <w:rsid w:val="00435B6F"/>
    <w:rsid w:val="00437182"/>
    <w:rsid w:val="00437309"/>
    <w:rsid w:val="00437542"/>
    <w:rsid w:val="00437EB9"/>
    <w:rsid w:val="004402F8"/>
    <w:rsid w:val="004405CF"/>
    <w:rsid w:val="00440D73"/>
    <w:rsid w:val="00440F84"/>
    <w:rsid w:val="004416A2"/>
    <w:rsid w:val="004417AC"/>
    <w:rsid w:val="00441BD4"/>
    <w:rsid w:val="00441DE7"/>
    <w:rsid w:val="004427F7"/>
    <w:rsid w:val="00442C82"/>
    <w:rsid w:val="00443D9F"/>
    <w:rsid w:val="0044475B"/>
    <w:rsid w:val="00444896"/>
    <w:rsid w:val="00445060"/>
    <w:rsid w:val="00446006"/>
    <w:rsid w:val="00446C60"/>
    <w:rsid w:val="0044702D"/>
    <w:rsid w:val="0044752C"/>
    <w:rsid w:val="00450126"/>
    <w:rsid w:val="00450439"/>
    <w:rsid w:val="004505D6"/>
    <w:rsid w:val="00450D61"/>
    <w:rsid w:val="00450F32"/>
    <w:rsid w:val="00451509"/>
    <w:rsid w:val="0045193F"/>
    <w:rsid w:val="00451DA1"/>
    <w:rsid w:val="00452351"/>
    <w:rsid w:val="00452C3F"/>
    <w:rsid w:val="00452E84"/>
    <w:rsid w:val="00453056"/>
    <w:rsid w:val="004540CF"/>
    <w:rsid w:val="00454315"/>
    <w:rsid w:val="00454A16"/>
    <w:rsid w:val="00455CCA"/>
    <w:rsid w:val="00455E73"/>
    <w:rsid w:val="00456620"/>
    <w:rsid w:val="00456CDF"/>
    <w:rsid w:val="0046004D"/>
    <w:rsid w:val="004611A1"/>
    <w:rsid w:val="00462468"/>
    <w:rsid w:val="00462690"/>
    <w:rsid w:val="004628A2"/>
    <w:rsid w:val="00462E6C"/>
    <w:rsid w:val="00463362"/>
    <w:rsid w:val="004633C8"/>
    <w:rsid w:val="00463433"/>
    <w:rsid w:val="00463455"/>
    <w:rsid w:val="0046417C"/>
    <w:rsid w:val="00464428"/>
    <w:rsid w:val="00465C1A"/>
    <w:rsid w:val="004665C7"/>
    <w:rsid w:val="00467125"/>
    <w:rsid w:val="0046741F"/>
    <w:rsid w:val="00467C8E"/>
    <w:rsid w:val="004705B2"/>
    <w:rsid w:val="00470CA2"/>
    <w:rsid w:val="004711FA"/>
    <w:rsid w:val="0047221A"/>
    <w:rsid w:val="00472433"/>
    <w:rsid w:val="00472993"/>
    <w:rsid w:val="004739C3"/>
    <w:rsid w:val="00475AF7"/>
    <w:rsid w:val="00475D24"/>
    <w:rsid w:val="00476102"/>
    <w:rsid w:val="00476E53"/>
    <w:rsid w:val="00477122"/>
    <w:rsid w:val="0047723D"/>
    <w:rsid w:val="004772C7"/>
    <w:rsid w:val="0047769B"/>
    <w:rsid w:val="00477A00"/>
    <w:rsid w:val="00480400"/>
    <w:rsid w:val="00480712"/>
    <w:rsid w:val="004822FF"/>
    <w:rsid w:val="00483E94"/>
    <w:rsid w:val="00483F68"/>
    <w:rsid w:val="00485574"/>
    <w:rsid w:val="00485CB0"/>
    <w:rsid w:val="0048651B"/>
    <w:rsid w:val="004866E0"/>
    <w:rsid w:val="00486781"/>
    <w:rsid w:val="004903A2"/>
    <w:rsid w:val="00490F01"/>
    <w:rsid w:val="004910AF"/>
    <w:rsid w:val="004913D0"/>
    <w:rsid w:val="0049263E"/>
    <w:rsid w:val="00492AC8"/>
    <w:rsid w:val="00493815"/>
    <w:rsid w:val="00494266"/>
    <w:rsid w:val="00494311"/>
    <w:rsid w:val="00494583"/>
    <w:rsid w:val="004949F6"/>
    <w:rsid w:val="004952FE"/>
    <w:rsid w:val="004954A1"/>
    <w:rsid w:val="00495E05"/>
    <w:rsid w:val="0049652A"/>
    <w:rsid w:val="00497E89"/>
    <w:rsid w:val="004A0287"/>
    <w:rsid w:val="004A09E3"/>
    <w:rsid w:val="004A0C2D"/>
    <w:rsid w:val="004A0DFF"/>
    <w:rsid w:val="004A1230"/>
    <w:rsid w:val="004A2087"/>
    <w:rsid w:val="004A23B4"/>
    <w:rsid w:val="004A27C2"/>
    <w:rsid w:val="004A28DA"/>
    <w:rsid w:val="004A2E9A"/>
    <w:rsid w:val="004A2FA3"/>
    <w:rsid w:val="004A4F86"/>
    <w:rsid w:val="004A51F6"/>
    <w:rsid w:val="004A523C"/>
    <w:rsid w:val="004A5318"/>
    <w:rsid w:val="004A6B06"/>
    <w:rsid w:val="004A6CEC"/>
    <w:rsid w:val="004A71F4"/>
    <w:rsid w:val="004A738B"/>
    <w:rsid w:val="004B08D4"/>
    <w:rsid w:val="004B0A42"/>
    <w:rsid w:val="004B0DEF"/>
    <w:rsid w:val="004B41D6"/>
    <w:rsid w:val="004B45DD"/>
    <w:rsid w:val="004B45F3"/>
    <w:rsid w:val="004B461E"/>
    <w:rsid w:val="004B4B3D"/>
    <w:rsid w:val="004B5505"/>
    <w:rsid w:val="004B554D"/>
    <w:rsid w:val="004B5B19"/>
    <w:rsid w:val="004B6134"/>
    <w:rsid w:val="004B6498"/>
    <w:rsid w:val="004B71AC"/>
    <w:rsid w:val="004B78E6"/>
    <w:rsid w:val="004B7DC5"/>
    <w:rsid w:val="004B7DD3"/>
    <w:rsid w:val="004C023F"/>
    <w:rsid w:val="004C0E79"/>
    <w:rsid w:val="004C102F"/>
    <w:rsid w:val="004C1831"/>
    <w:rsid w:val="004C1BAC"/>
    <w:rsid w:val="004C3F79"/>
    <w:rsid w:val="004C4C45"/>
    <w:rsid w:val="004C5127"/>
    <w:rsid w:val="004C51DD"/>
    <w:rsid w:val="004C61E6"/>
    <w:rsid w:val="004C6F51"/>
    <w:rsid w:val="004C7FD2"/>
    <w:rsid w:val="004D0808"/>
    <w:rsid w:val="004D115B"/>
    <w:rsid w:val="004D1A9A"/>
    <w:rsid w:val="004D1EAA"/>
    <w:rsid w:val="004D2E22"/>
    <w:rsid w:val="004D3D92"/>
    <w:rsid w:val="004D3E30"/>
    <w:rsid w:val="004D4C00"/>
    <w:rsid w:val="004D5BB7"/>
    <w:rsid w:val="004D6054"/>
    <w:rsid w:val="004D6C24"/>
    <w:rsid w:val="004D6DBB"/>
    <w:rsid w:val="004D7190"/>
    <w:rsid w:val="004D7736"/>
    <w:rsid w:val="004D7FF1"/>
    <w:rsid w:val="004E0124"/>
    <w:rsid w:val="004E030A"/>
    <w:rsid w:val="004E0392"/>
    <w:rsid w:val="004E06A5"/>
    <w:rsid w:val="004E152D"/>
    <w:rsid w:val="004E2637"/>
    <w:rsid w:val="004E2A9D"/>
    <w:rsid w:val="004E310D"/>
    <w:rsid w:val="004E3196"/>
    <w:rsid w:val="004E3A78"/>
    <w:rsid w:val="004E3BD7"/>
    <w:rsid w:val="004E3D2A"/>
    <w:rsid w:val="004E4040"/>
    <w:rsid w:val="004E4503"/>
    <w:rsid w:val="004E53D5"/>
    <w:rsid w:val="004E57A8"/>
    <w:rsid w:val="004E60F0"/>
    <w:rsid w:val="004E72B3"/>
    <w:rsid w:val="004E7411"/>
    <w:rsid w:val="004F075D"/>
    <w:rsid w:val="004F07C0"/>
    <w:rsid w:val="004F123E"/>
    <w:rsid w:val="004F139D"/>
    <w:rsid w:val="004F14A6"/>
    <w:rsid w:val="004F1A44"/>
    <w:rsid w:val="004F2C7E"/>
    <w:rsid w:val="004F315D"/>
    <w:rsid w:val="004F317B"/>
    <w:rsid w:val="004F36B3"/>
    <w:rsid w:val="004F3D72"/>
    <w:rsid w:val="004F4640"/>
    <w:rsid w:val="004F4E24"/>
    <w:rsid w:val="004F54D1"/>
    <w:rsid w:val="004F5BFB"/>
    <w:rsid w:val="004F67AD"/>
    <w:rsid w:val="004F7C7A"/>
    <w:rsid w:val="005014B1"/>
    <w:rsid w:val="00502115"/>
    <w:rsid w:val="00503230"/>
    <w:rsid w:val="005032C7"/>
    <w:rsid w:val="00503DA2"/>
    <w:rsid w:val="0050594C"/>
    <w:rsid w:val="005064D5"/>
    <w:rsid w:val="00507026"/>
    <w:rsid w:val="00507032"/>
    <w:rsid w:val="0050739B"/>
    <w:rsid w:val="0050740B"/>
    <w:rsid w:val="005078D8"/>
    <w:rsid w:val="00507945"/>
    <w:rsid w:val="00510914"/>
    <w:rsid w:val="00510DD4"/>
    <w:rsid w:val="00510E5A"/>
    <w:rsid w:val="005128C9"/>
    <w:rsid w:val="00512C27"/>
    <w:rsid w:val="00512CE2"/>
    <w:rsid w:val="00512EB7"/>
    <w:rsid w:val="00513142"/>
    <w:rsid w:val="00513443"/>
    <w:rsid w:val="005138C1"/>
    <w:rsid w:val="0051396C"/>
    <w:rsid w:val="00513F90"/>
    <w:rsid w:val="00514026"/>
    <w:rsid w:val="005140C0"/>
    <w:rsid w:val="005144E3"/>
    <w:rsid w:val="00514CAE"/>
    <w:rsid w:val="00514FBE"/>
    <w:rsid w:val="00515845"/>
    <w:rsid w:val="00515D42"/>
    <w:rsid w:val="00515E29"/>
    <w:rsid w:val="00515E80"/>
    <w:rsid w:val="00515F07"/>
    <w:rsid w:val="0052012D"/>
    <w:rsid w:val="00520D0A"/>
    <w:rsid w:val="00523C50"/>
    <w:rsid w:val="00524C5A"/>
    <w:rsid w:val="00525146"/>
    <w:rsid w:val="0052528C"/>
    <w:rsid w:val="005258A4"/>
    <w:rsid w:val="00525C9F"/>
    <w:rsid w:val="005277EA"/>
    <w:rsid w:val="00527921"/>
    <w:rsid w:val="00527EB3"/>
    <w:rsid w:val="005301D1"/>
    <w:rsid w:val="00530FF4"/>
    <w:rsid w:val="005319DD"/>
    <w:rsid w:val="00533083"/>
    <w:rsid w:val="005333AE"/>
    <w:rsid w:val="00533417"/>
    <w:rsid w:val="00533DC1"/>
    <w:rsid w:val="00534000"/>
    <w:rsid w:val="005355FC"/>
    <w:rsid w:val="0053617F"/>
    <w:rsid w:val="00537354"/>
    <w:rsid w:val="00537749"/>
    <w:rsid w:val="00537D7F"/>
    <w:rsid w:val="00542451"/>
    <w:rsid w:val="00542732"/>
    <w:rsid w:val="00542973"/>
    <w:rsid w:val="00542F03"/>
    <w:rsid w:val="00543E8F"/>
    <w:rsid w:val="00544080"/>
    <w:rsid w:val="00544CD5"/>
    <w:rsid w:val="00544F7A"/>
    <w:rsid w:val="00545712"/>
    <w:rsid w:val="005466EC"/>
    <w:rsid w:val="005477DC"/>
    <w:rsid w:val="0054788F"/>
    <w:rsid w:val="00547900"/>
    <w:rsid w:val="00550C6F"/>
    <w:rsid w:val="00551C0E"/>
    <w:rsid w:val="00551C5C"/>
    <w:rsid w:val="00551F3C"/>
    <w:rsid w:val="00552183"/>
    <w:rsid w:val="005523EF"/>
    <w:rsid w:val="0055249D"/>
    <w:rsid w:val="005528C6"/>
    <w:rsid w:val="005528F2"/>
    <w:rsid w:val="00552A88"/>
    <w:rsid w:val="00552FC5"/>
    <w:rsid w:val="005533C3"/>
    <w:rsid w:val="00553723"/>
    <w:rsid w:val="00554A06"/>
    <w:rsid w:val="00554DAD"/>
    <w:rsid w:val="00554E0B"/>
    <w:rsid w:val="0055535D"/>
    <w:rsid w:val="00555F0A"/>
    <w:rsid w:val="0055668A"/>
    <w:rsid w:val="00557A26"/>
    <w:rsid w:val="00557D43"/>
    <w:rsid w:val="0056027D"/>
    <w:rsid w:val="005602CB"/>
    <w:rsid w:val="0056087E"/>
    <w:rsid w:val="00560D73"/>
    <w:rsid w:val="00561494"/>
    <w:rsid w:val="00561B52"/>
    <w:rsid w:val="0056290C"/>
    <w:rsid w:val="00562FB4"/>
    <w:rsid w:val="005632BF"/>
    <w:rsid w:val="00563CC8"/>
    <w:rsid w:val="00564AD5"/>
    <w:rsid w:val="00564E87"/>
    <w:rsid w:val="005650DE"/>
    <w:rsid w:val="00565AC8"/>
    <w:rsid w:val="00566333"/>
    <w:rsid w:val="00566AEC"/>
    <w:rsid w:val="00566C89"/>
    <w:rsid w:val="00566FA4"/>
    <w:rsid w:val="005701E2"/>
    <w:rsid w:val="005704F5"/>
    <w:rsid w:val="00570BD0"/>
    <w:rsid w:val="00570E2D"/>
    <w:rsid w:val="00571439"/>
    <w:rsid w:val="005716D8"/>
    <w:rsid w:val="00571741"/>
    <w:rsid w:val="00571999"/>
    <w:rsid w:val="00571A47"/>
    <w:rsid w:val="00572A0A"/>
    <w:rsid w:val="00573566"/>
    <w:rsid w:val="005738D7"/>
    <w:rsid w:val="00573DA2"/>
    <w:rsid w:val="00573EE5"/>
    <w:rsid w:val="00574A32"/>
    <w:rsid w:val="0057652B"/>
    <w:rsid w:val="0057668E"/>
    <w:rsid w:val="00576939"/>
    <w:rsid w:val="00576E66"/>
    <w:rsid w:val="00577496"/>
    <w:rsid w:val="00577D4D"/>
    <w:rsid w:val="00580396"/>
    <w:rsid w:val="00580F51"/>
    <w:rsid w:val="0058149B"/>
    <w:rsid w:val="00581713"/>
    <w:rsid w:val="00582071"/>
    <w:rsid w:val="005821B4"/>
    <w:rsid w:val="00582760"/>
    <w:rsid w:val="005829CA"/>
    <w:rsid w:val="00583262"/>
    <w:rsid w:val="00583349"/>
    <w:rsid w:val="00583F3B"/>
    <w:rsid w:val="00583FC7"/>
    <w:rsid w:val="00585D4D"/>
    <w:rsid w:val="00586222"/>
    <w:rsid w:val="00586283"/>
    <w:rsid w:val="00587385"/>
    <w:rsid w:val="00587617"/>
    <w:rsid w:val="005900BE"/>
    <w:rsid w:val="00590202"/>
    <w:rsid w:val="00590779"/>
    <w:rsid w:val="00590C9D"/>
    <w:rsid w:val="005918FE"/>
    <w:rsid w:val="00592E4B"/>
    <w:rsid w:val="00593609"/>
    <w:rsid w:val="00593FAB"/>
    <w:rsid w:val="00594191"/>
    <w:rsid w:val="00594A91"/>
    <w:rsid w:val="00594AD5"/>
    <w:rsid w:val="00594CB5"/>
    <w:rsid w:val="0059637A"/>
    <w:rsid w:val="0059660B"/>
    <w:rsid w:val="00597906"/>
    <w:rsid w:val="00597FA0"/>
    <w:rsid w:val="005A01A6"/>
    <w:rsid w:val="005A05F0"/>
    <w:rsid w:val="005A085E"/>
    <w:rsid w:val="005A11C0"/>
    <w:rsid w:val="005A1460"/>
    <w:rsid w:val="005A2C0D"/>
    <w:rsid w:val="005A3F0A"/>
    <w:rsid w:val="005A400D"/>
    <w:rsid w:val="005A4394"/>
    <w:rsid w:val="005A46E9"/>
    <w:rsid w:val="005A4DE0"/>
    <w:rsid w:val="005A52E3"/>
    <w:rsid w:val="005A5729"/>
    <w:rsid w:val="005A61BF"/>
    <w:rsid w:val="005A6776"/>
    <w:rsid w:val="005A6C5C"/>
    <w:rsid w:val="005B19BC"/>
    <w:rsid w:val="005B3518"/>
    <w:rsid w:val="005B39CE"/>
    <w:rsid w:val="005B3A8B"/>
    <w:rsid w:val="005B410E"/>
    <w:rsid w:val="005B4562"/>
    <w:rsid w:val="005B4B82"/>
    <w:rsid w:val="005B5B09"/>
    <w:rsid w:val="005B5F70"/>
    <w:rsid w:val="005B6AC3"/>
    <w:rsid w:val="005B6D34"/>
    <w:rsid w:val="005B6E7A"/>
    <w:rsid w:val="005C1921"/>
    <w:rsid w:val="005C1C0F"/>
    <w:rsid w:val="005C2425"/>
    <w:rsid w:val="005C26A9"/>
    <w:rsid w:val="005C422A"/>
    <w:rsid w:val="005C4B9C"/>
    <w:rsid w:val="005C4E0A"/>
    <w:rsid w:val="005C5725"/>
    <w:rsid w:val="005C5DF2"/>
    <w:rsid w:val="005C60F8"/>
    <w:rsid w:val="005C6171"/>
    <w:rsid w:val="005C7AB2"/>
    <w:rsid w:val="005C7C6A"/>
    <w:rsid w:val="005C7F9B"/>
    <w:rsid w:val="005D02F6"/>
    <w:rsid w:val="005D0474"/>
    <w:rsid w:val="005D1033"/>
    <w:rsid w:val="005D1623"/>
    <w:rsid w:val="005D1A6A"/>
    <w:rsid w:val="005D1AFF"/>
    <w:rsid w:val="005D1F7B"/>
    <w:rsid w:val="005D2049"/>
    <w:rsid w:val="005D25F6"/>
    <w:rsid w:val="005D2664"/>
    <w:rsid w:val="005D28E8"/>
    <w:rsid w:val="005D2EAE"/>
    <w:rsid w:val="005D2F30"/>
    <w:rsid w:val="005D4AE3"/>
    <w:rsid w:val="005D4B67"/>
    <w:rsid w:val="005D4E40"/>
    <w:rsid w:val="005D51B4"/>
    <w:rsid w:val="005D702E"/>
    <w:rsid w:val="005D7541"/>
    <w:rsid w:val="005D79FA"/>
    <w:rsid w:val="005D7B18"/>
    <w:rsid w:val="005D7EAA"/>
    <w:rsid w:val="005E0B85"/>
    <w:rsid w:val="005E0FE0"/>
    <w:rsid w:val="005E282E"/>
    <w:rsid w:val="005E2FD5"/>
    <w:rsid w:val="005E30DB"/>
    <w:rsid w:val="005E348F"/>
    <w:rsid w:val="005E52CD"/>
    <w:rsid w:val="005E6253"/>
    <w:rsid w:val="005E65F8"/>
    <w:rsid w:val="005E74A8"/>
    <w:rsid w:val="005E79E7"/>
    <w:rsid w:val="005E7AD5"/>
    <w:rsid w:val="005E7FC4"/>
    <w:rsid w:val="005F08F1"/>
    <w:rsid w:val="005F1840"/>
    <w:rsid w:val="005F22AE"/>
    <w:rsid w:val="005F40DD"/>
    <w:rsid w:val="005F456B"/>
    <w:rsid w:val="005F4B69"/>
    <w:rsid w:val="005F6060"/>
    <w:rsid w:val="005F6355"/>
    <w:rsid w:val="005F6B54"/>
    <w:rsid w:val="005F770D"/>
    <w:rsid w:val="005F7B4C"/>
    <w:rsid w:val="005F7C21"/>
    <w:rsid w:val="00600BA4"/>
    <w:rsid w:val="00600FEE"/>
    <w:rsid w:val="00601798"/>
    <w:rsid w:val="00601AD1"/>
    <w:rsid w:val="006028C3"/>
    <w:rsid w:val="006041B9"/>
    <w:rsid w:val="00604294"/>
    <w:rsid w:val="00604826"/>
    <w:rsid w:val="006050B6"/>
    <w:rsid w:val="00606465"/>
    <w:rsid w:val="006066D8"/>
    <w:rsid w:val="00606815"/>
    <w:rsid w:val="00606FEA"/>
    <w:rsid w:val="00607D36"/>
    <w:rsid w:val="00607E64"/>
    <w:rsid w:val="00610146"/>
    <w:rsid w:val="0061097B"/>
    <w:rsid w:val="00612266"/>
    <w:rsid w:val="006122A1"/>
    <w:rsid w:val="00612F7F"/>
    <w:rsid w:val="00613175"/>
    <w:rsid w:val="006139B1"/>
    <w:rsid w:val="00614672"/>
    <w:rsid w:val="00614E57"/>
    <w:rsid w:val="00615247"/>
    <w:rsid w:val="00615357"/>
    <w:rsid w:val="0061598D"/>
    <w:rsid w:val="006169D9"/>
    <w:rsid w:val="00616C5D"/>
    <w:rsid w:val="0061757D"/>
    <w:rsid w:val="00617892"/>
    <w:rsid w:val="0061798A"/>
    <w:rsid w:val="0062023B"/>
    <w:rsid w:val="00620B79"/>
    <w:rsid w:val="006212F0"/>
    <w:rsid w:val="0062180D"/>
    <w:rsid w:val="00621F5A"/>
    <w:rsid w:val="006220F7"/>
    <w:rsid w:val="006234C8"/>
    <w:rsid w:val="00623C2C"/>
    <w:rsid w:val="00623C99"/>
    <w:rsid w:val="006241DE"/>
    <w:rsid w:val="006244D1"/>
    <w:rsid w:val="00624857"/>
    <w:rsid w:val="006248C1"/>
    <w:rsid w:val="00626130"/>
    <w:rsid w:val="00627570"/>
    <w:rsid w:val="00630138"/>
    <w:rsid w:val="00630458"/>
    <w:rsid w:val="00631021"/>
    <w:rsid w:val="006310FB"/>
    <w:rsid w:val="00631133"/>
    <w:rsid w:val="0063173D"/>
    <w:rsid w:val="0063195B"/>
    <w:rsid w:val="00631B41"/>
    <w:rsid w:val="00631E1B"/>
    <w:rsid w:val="006321C2"/>
    <w:rsid w:val="006323FC"/>
    <w:rsid w:val="0063245D"/>
    <w:rsid w:val="00632C9F"/>
    <w:rsid w:val="006345BA"/>
    <w:rsid w:val="0063474B"/>
    <w:rsid w:val="006347CE"/>
    <w:rsid w:val="00634F91"/>
    <w:rsid w:val="006351B4"/>
    <w:rsid w:val="0063618E"/>
    <w:rsid w:val="0063697F"/>
    <w:rsid w:val="00636A25"/>
    <w:rsid w:val="00636CD1"/>
    <w:rsid w:val="00636FBB"/>
    <w:rsid w:val="006371C1"/>
    <w:rsid w:val="006376DF"/>
    <w:rsid w:val="0064079E"/>
    <w:rsid w:val="00640840"/>
    <w:rsid w:val="00640FA1"/>
    <w:rsid w:val="00641286"/>
    <w:rsid w:val="0064292C"/>
    <w:rsid w:val="006429F1"/>
    <w:rsid w:val="00642F72"/>
    <w:rsid w:val="00644719"/>
    <w:rsid w:val="006448D1"/>
    <w:rsid w:val="00644F90"/>
    <w:rsid w:val="00645270"/>
    <w:rsid w:val="006470ED"/>
    <w:rsid w:val="00647517"/>
    <w:rsid w:val="00650C7D"/>
    <w:rsid w:val="00650FF3"/>
    <w:rsid w:val="006526CE"/>
    <w:rsid w:val="00652DED"/>
    <w:rsid w:val="00652E3E"/>
    <w:rsid w:val="006537A5"/>
    <w:rsid w:val="00653A80"/>
    <w:rsid w:val="00654BBB"/>
    <w:rsid w:val="00655325"/>
    <w:rsid w:val="00655429"/>
    <w:rsid w:val="006555DE"/>
    <w:rsid w:val="0065570A"/>
    <w:rsid w:val="0065602B"/>
    <w:rsid w:val="00656B30"/>
    <w:rsid w:val="00656CCF"/>
    <w:rsid w:val="00656F1C"/>
    <w:rsid w:val="0065711E"/>
    <w:rsid w:val="00657914"/>
    <w:rsid w:val="00657CBF"/>
    <w:rsid w:val="00657FBC"/>
    <w:rsid w:val="0066014F"/>
    <w:rsid w:val="00660820"/>
    <w:rsid w:val="0066213E"/>
    <w:rsid w:val="006623BC"/>
    <w:rsid w:val="00662E58"/>
    <w:rsid w:val="0066322E"/>
    <w:rsid w:val="0066333A"/>
    <w:rsid w:val="00664149"/>
    <w:rsid w:val="006642BF"/>
    <w:rsid w:val="006642EC"/>
    <w:rsid w:val="00664713"/>
    <w:rsid w:val="00664980"/>
    <w:rsid w:val="00665109"/>
    <w:rsid w:val="006655CD"/>
    <w:rsid w:val="00665A1E"/>
    <w:rsid w:val="0066651C"/>
    <w:rsid w:val="006666CF"/>
    <w:rsid w:val="00667393"/>
    <w:rsid w:val="00667FB6"/>
    <w:rsid w:val="0067060B"/>
    <w:rsid w:val="00670654"/>
    <w:rsid w:val="00670F8C"/>
    <w:rsid w:val="0067187D"/>
    <w:rsid w:val="00672B4C"/>
    <w:rsid w:val="00673504"/>
    <w:rsid w:val="0067438E"/>
    <w:rsid w:val="0067455C"/>
    <w:rsid w:val="00674651"/>
    <w:rsid w:val="00674CC3"/>
    <w:rsid w:val="0067581B"/>
    <w:rsid w:val="00675A7B"/>
    <w:rsid w:val="00675B1B"/>
    <w:rsid w:val="00675BC2"/>
    <w:rsid w:val="00675C8F"/>
    <w:rsid w:val="006767B5"/>
    <w:rsid w:val="006772E3"/>
    <w:rsid w:val="00677F77"/>
    <w:rsid w:val="00680F2C"/>
    <w:rsid w:val="00680F50"/>
    <w:rsid w:val="00680F65"/>
    <w:rsid w:val="00681681"/>
    <w:rsid w:val="00681B06"/>
    <w:rsid w:val="0068272C"/>
    <w:rsid w:val="0068367D"/>
    <w:rsid w:val="0068419F"/>
    <w:rsid w:val="00684770"/>
    <w:rsid w:val="00684979"/>
    <w:rsid w:val="00684A43"/>
    <w:rsid w:val="00684B30"/>
    <w:rsid w:val="0068511C"/>
    <w:rsid w:val="0068726F"/>
    <w:rsid w:val="0068757E"/>
    <w:rsid w:val="006878BD"/>
    <w:rsid w:val="006917AB"/>
    <w:rsid w:val="00691A00"/>
    <w:rsid w:val="00691E95"/>
    <w:rsid w:val="00692693"/>
    <w:rsid w:val="00692D4B"/>
    <w:rsid w:val="006932FA"/>
    <w:rsid w:val="00693BD3"/>
    <w:rsid w:val="00693F12"/>
    <w:rsid w:val="006945C1"/>
    <w:rsid w:val="00694D4D"/>
    <w:rsid w:val="0069766F"/>
    <w:rsid w:val="006979DF"/>
    <w:rsid w:val="00697D77"/>
    <w:rsid w:val="006A0106"/>
    <w:rsid w:val="006A0655"/>
    <w:rsid w:val="006A09C4"/>
    <w:rsid w:val="006A113C"/>
    <w:rsid w:val="006A1F8C"/>
    <w:rsid w:val="006A20AE"/>
    <w:rsid w:val="006A3CE3"/>
    <w:rsid w:val="006A41F8"/>
    <w:rsid w:val="006A4296"/>
    <w:rsid w:val="006A46C9"/>
    <w:rsid w:val="006A4A7A"/>
    <w:rsid w:val="006A4D82"/>
    <w:rsid w:val="006A4D9A"/>
    <w:rsid w:val="006A548D"/>
    <w:rsid w:val="006A57A9"/>
    <w:rsid w:val="006A5956"/>
    <w:rsid w:val="006A59FF"/>
    <w:rsid w:val="006A5A94"/>
    <w:rsid w:val="006A5CEB"/>
    <w:rsid w:val="006A61D6"/>
    <w:rsid w:val="006A6274"/>
    <w:rsid w:val="006A66D5"/>
    <w:rsid w:val="006A6C48"/>
    <w:rsid w:val="006A6FB5"/>
    <w:rsid w:val="006A730F"/>
    <w:rsid w:val="006A772E"/>
    <w:rsid w:val="006B04AD"/>
    <w:rsid w:val="006B1610"/>
    <w:rsid w:val="006B1675"/>
    <w:rsid w:val="006B170E"/>
    <w:rsid w:val="006B182E"/>
    <w:rsid w:val="006B202E"/>
    <w:rsid w:val="006B226E"/>
    <w:rsid w:val="006B2603"/>
    <w:rsid w:val="006B2E86"/>
    <w:rsid w:val="006B30AD"/>
    <w:rsid w:val="006B3D39"/>
    <w:rsid w:val="006B4653"/>
    <w:rsid w:val="006B4AE1"/>
    <w:rsid w:val="006B4F77"/>
    <w:rsid w:val="006B53B0"/>
    <w:rsid w:val="006B5AD6"/>
    <w:rsid w:val="006B5F01"/>
    <w:rsid w:val="006B6320"/>
    <w:rsid w:val="006B6448"/>
    <w:rsid w:val="006B6A12"/>
    <w:rsid w:val="006B6D80"/>
    <w:rsid w:val="006B7155"/>
    <w:rsid w:val="006C0099"/>
    <w:rsid w:val="006C0EB0"/>
    <w:rsid w:val="006C127B"/>
    <w:rsid w:val="006C1302"/>
    <w:rsid w:val="006C1662"/>
    <w:rsid w:val="006C1B8B"/>
    <w:rsid w:val="006C206E"/>
    <w:rsid w:val="006C224A"/>
    <w:rsid w:val="006C22FE"/>
    <w:rsid w:val="006C28A2"/>
    <w:rsid w:val="006C3530"/>
    <w:rsid w:val="006C3740"/>
    <w:rsid w:val="006C3B0A"/>
    <w:rsid w:val="006C3B60"/>
    <w:rsid w:val="006C3D57"/>
    <w:rsid w:val="006C4414"/>
    <w:rsid w:val="006C4D90"/>
    <w:rsid w:val="006C50CA"/>
    <w:rsid w:val="006C5423"/>
    <w:rsid w:val="006C5715"/>
    <w:rsid w:val="006C57CF"/>
    <w:rsid w:val="006C6324"/>
    <w:rsid w:val="006C6D60"/>
    <w:rsid w:val="006C6DB8"/>
    <w:rsid w:val="006C7569"/>
    <w:rsid w:val="006D0311"/>
    <w:rsid w:val="006D0CED"/>
    <w:rsid w:val="006D1023"/>
    <w:rsid w:val="006D2449"/>
    <w:rsid w:val="006D2969"/>
    <w:rsid w:val="006D29A2"/>
    <w:rsid w:val="006D2A3E"/>
    <w:rsid w:val="006D2C89"/>
    <w:rsid w:val="006D2F87"/>
    <w:rsid w:val="006D35F5"/>
    <w:rsid w:val="006D4274"/>
    <w:rsid w:val="006D4900"/>
    <w:rsid w:val="006D4CB1"/>
    <w:rsid w:val="006D4EB4"/>
    <w:rsid w:val="006D5C7F"/>
    <w:rsid w:val="006D70A9"/>
    <w:rsid w:val="006D73D7"/>
    <w:rsid w:val="006D7424"/>
    <w:rsid w:val="006D757E"/>
    <w:rsid w:val="006D79C5"/>
    <w:rsid w:val="006E0404"/>
    <w:rsid w:val="006E04C6"/>
    <w:rsid w:val="006E0815"/>
    <w:rsid w:val="006E2081"/>
    <w:rsid w:val="006E2232"/>
    <w:rsid w:val="006E24E9"/>
    <w:rsid w:val="006E2A03"/>
    <w:rsid w:val="006E2D2E"/>
    <w:rsid w:val="006E30C2"/>
    <w:rsid w:val="006E3259"/>
    <w:rsid w:val="006E39BB"/>
    <w:rsid w:val="006E3DA2"/>
    <w:rsid w:val="006E429D"/>
    <w:rsid w:val="006E51E0"/>
    <w:rsid w:val="006E578C"/>
    <w:rsid w:val="006E588C"/>
    <w:rsid w:val="006E5FC2"/>
    <w:rsid w:val="006E6E60"/>
    <w:rsid w:val="006E75DD"/>
    <w:rsid w:val="006E7D01"/>
    <w:rsid w:val="006F0686"/>
    <w:rsid w:val="006F06F8"/>
    <w:rsid w:val="006F09A0"/>
    <w:rsid w:val="006F0CC8"/>
    <w:rsid w:val="006F20AB"/>
    <w:rsid w:val="006F21DB"/>
    <w:rsid w:val="006F3027"/>
    <w:rsid w:val="006F303C"/>
    <w:rsid w:val="006F3138"/>
    <w:rsid w:val="006F35A0"/>
    <w:rsid w:val="006F36A4"/>
    <w:rsid w:val="006F3AF5"/>
    <w:rsid w:val="006F4238"/>
    <w:rsid w:val="006F4DF3"/>
    <w:rsid w:val="006F573A"/>
    <w:rsid w:val="006F5C58"/>
    <w:rsid w:val="006F5C80"/>
    <w:rsid w:val="006F613D"/>
    <w:rsid w:val="006F693D"/>
    <w:rsid w:val="006F6C7C"/>
    <w:rsid w:val="006F7176"/>
    <w:rsid w:val="006F7740"/>
    <w:rsid w:val="00701053"/>
    <w:rsid w:val="0070190B"/>
    <w:rsid w:val="00701AEC"/>
    <w:rsid w:val="0070220B"/>
    <w:rsid w:val="0070264D"/>
    <w:rsid w:val="00702854"/>
    <w:rsid w:val="0070285B"/>
    <w:rsid w:val="007028F1"/>
    <w:rsid w:val="0070290A"/>
    <w:rsid w:val="00703E3A"/>
    <w:rsid w:val="00704206"/>
    <w:rsid w:val="00705202"/>
    <w:rsid w:val="007068FF"/>
    <w:rsid w:val="00706ADF"/>
    <w:rsid w:val="007070AF"/>
    <w:rsid w:val="007070F1"/>
    <w:rsid w:val="0070733C"/>
    <w:rsid w:val="007104B3"/>
    <w:rsid w:val="00710EFA"/>
    <w:rsid w:val="00711131"/>
    <w:rsid w:val="0071169B"/>
    <w:rsid w:val="00711E43"/>
    <w:rsid w:val="007125EB"/>
    <w:rsid w:val="0071302A"/>
    <w:rsid w:val="00713395"/>
    <w:rsid w:val="00713A41"/>
    <w:rsid w:val="00713AAD"/>
    <w:rsid w:val="00713EFA"/>
    <w:rsid w:val="007168C1"/>
    <w:rsid w:val="00716A07"/>
    <w:rsid w:val="00716CC6"/>
    <w:rsid w:val="00716D28"/>
    <w:rsid w:val="00717A02"/>
    <w:rsid w:val="00720133"/>
    <w:rsid w:val="007204E9"/>
    <w:rsid w:val="00720C1D"/>
    <w:rsid w:val="00720D61"/>
    <w:rsid w:val="00720F08"/>
    <w:rsid w:val="00721579"/>
    <w:rsid w:val="00721FB5"/>
    <w:rsid w:val="007230FE"/>
    <w:rsid w:val="00723476"/>
    <w:rsid w:val="007238BE"/>
    <w:rsid w:val="00723B38"/>
    <w:rsid w:val="00727566"/>
    <w:rsid w:val="00727946"/>
    <w:rsid w:val="007279AA"/>
    <w:rsid w:val="00727B4B"/>
    <w:rsid w:val="0073102F"/>
    <w:rsid w:val="00731204"/>
    <w:rsid w:val="00732965"/>
    <w:rsid w:val="00732C49"/>
    <w:rsid w:val="00732D6C"/>
    <w:rsid w:val="00732F59"/>
    <w:rsid w:val="007333C2"/>
    <w:rsid w:val="00733665"/>
    <w:rsid w:val="00733B1D"/>
    <w:rsid w:val="00734171"/>
    <w:rsid w:val="00734598"/>
    <w:rsid w:val="007346A7"/>
    <w:rsid w:val="007346DA"/>
    <w:rsid w:val="0073497D"/>
    <w:rsid w:val="00734A5E"/>
    <w:rsid w:val="00734BF8"/>
    <w:rsid w:val="00734ECE"/>
    <w:rsid w:val="00735037"/>
    <w:rsid w:val="0073597D"/>
    <w:rsid w:val="00735E8F"/>
    <w:rsid w:val="00737434"/>
    <w:rsid w:val="00737FCA"/>
    <w:rsid w:val="007400DB"/>
    <w:rsid w:val="00740817"/>
    <w:rsid w:val="00740E43"/>
    <w:rsid w:val="00741699"/>
    <w:rsid w:val="00742D74"/>
    <w:rsid w:val="00742DF6"/>
    <w:rsid w:val="00743F1B"/>
    <w:rsid w:val="00744535"/>
    <w:rsid w:val="007449B8"/>
    <w:rsid w:val="00744CD9"/>
    <w:rsid w:val="007450A4"/>
    <w:rsid w:val="007451EF"/>
    <w:rsid w:val="00745554"/>
    <w:rsid w:val="007456EA"/>
    <w:rsid w:val="00745BD5"/>
    <w:rsid w:val="007465E3"/>
    <w:rsid w:val="00747B96"/>
    <w:rsid w:val="00747BE7"/>
    <w:rsid w:val="007510AA"/>
    <w:rsid w:val="0075126F"/>
    <w:rsid w:val="00751C5A"/>
    <w:rsid w:val="00752059"/>
    <w:rsid w:val="00752251"/>
    <w:rsid w:val="0075456F"/>
    <w:rsid w:val="0075484F"/>
    <w:rsid w:val="00754CE1"/>
    <w:rsid w:val="00754EAF"/>
    <w:rsid w:val="00755DEC"/>
    <w:rsid w:val="00756C57"/>
    <w:rsid w:val="00756FE7"/>
    <w:rsid w:val="0075759E"/>
    <w:rsid w:val="00757BE6"/>
    <w:rsid w:val="00757FBE"/>
    <w:rsid w:val="00761ADD"/>
    <w:rsid w:val="00762452"/>
    <w:rsid w:val="00762996"/>
    <w:rsid w:val="0076311F"/>
    <w:rsid w:val="00764ED0"/>
    <w:rsid w:val="00765744"/>
    <w:rsid w:val="007657EC"/>
    <w:rsid w:val="00765FFD"/>
    <w:rsid w:val="00766DF3"/>
    <w:rsid w:val="0076705C"/>
    <w:rsid w:val="00767179"/>
    <w:rsid w:val="00767458"/>
    <w:rsid w:val="0077035A"/>
    <w:rsid w:val="00770703"/>
    <w:rsid w:val="007711E9"/>
    <w:rsid w:val="007712E5"/>
    <w:rsid w:val="00771551"/>
    <w:rsid w:val="00771F6B"/>
    <w:rsid w:val="007721C5"/>
    <w:rsid w:val="0077295C"/>
    <w:rsid w:val="00772D96"/>
    <w:rsid w:val="007733A8"/>
    <w:rsid w:val="007736CD"/>
    <w:rsid w:val="00773E6E"/>
    <w:rsid w:val="00774635"/>
    <w:rsid w:val="00774648"/>
    <w:rsid w:val="00774790"/>
    <w:rsid w:val="00775399"/>
    <w:rsid w:val="00775BD9"/>
    <w:rsid w:val="00776B34"/>
    <w:rsid w:val="00776BEB"/>
    <w:rsid w:val="00777BA9"/>
    <w:rsid w:val="007811BA"/>
    <w:rsid w:val="00781631"/>
    <w:rsid w:val="007819F8"/>
    <w:rsid w:val="00781D8F"/>
    <w:rsid w:val="00781F65"/>
    <w:rsid w:val="00781FB2"/>
    <w:rsid w:val="007829DC"/>
    <w:rsid w:val="00782A79"/>
    <w:rsid w:val="00784063"/>
    <w:rsid w:val="00784691"/>
    <w:rsid w:val="007847C1"/>
    <w:rsid w:val="007850E7"/>
    <w:rsid w:val="0078524B"/>
    <w:rsid w:val="007858E0"/>
    <w:rsid w:val="0078594C"/>
    <w:rsid w:val="00785E20"/>
    <w:rsid w:val="00786E60"/>
    <w:rsid w:val="0078723D"/>
    <w:rsid w:val="0079044B"/>
    <w:rsid w:val="007904BB"/>
    <w:rsid w:val="0079056B"/>
    <w:rsid w:val="0079098A"/>
    <w:rsid w:val="007918C9"/>
    <w:rsid w:val="00791BDD"/>
    <w:rsid w:val="00791CAF"/>
    <w:rsid w:val="00792C49"/>
    <w:rsid w:val="00792C82"/>
    <w:rsid w:val="00793938"/>
    <w:rsid w:val="007946EA"/>
    <w:rsid w:val="00794DFE"/>
    <w:rsid w:val="00795301"/>
    <w:rsid w:val="007958A4"/>
    <w:rsid w:val="00797026"/>
    <w:rsid w:val="00797353"/>
    <w:rsid w:val="007A0630"/>
    <w:rsid w:val="007A0F21"/>
    <w:rsid w:val="007A1355"/>
    <w:rsid w:val="007A179C"/>
    <w:rsid w:val="007A1CA8"/>
    <w:rsid w:val="007A2E5E"/>
    <w:rsid w:val="007A308C"/>
    <w:rsid w:val="007A3628"/>
    <w:rsid w:val="007A36C8"/>
    <w:rsid w:val="007A3ADC"/>
    <w:rsid w:val="007A3E68"/>
    <w:rsid w:val="007A3FCA"/>
    <w:rsid w:val="007A4289"/>
    <w:rsid w:val="007A49A9"/>
    <w:rsid w:val="007A4BE6"/>
    <w:rsid w:val="007A54DA"/>
    <w:rsid w:val="007A5C13"/>
    <w:rsid w:val="007A671C"/>
    <w:rsid w:val="007A6861"/>
    <w:rsid w:val="007A6E9C"/>
    <w:rsid w:val="007A738C"/>
    <w:rsid w:val="007A7B68"/>
    <w:rsid w:val="007A7D51"/>
    <w:rsid w:val="007A7FE0"/>
    <w:rsid w:val="007B02A5"/>
    <w:rsid w:val="007B06B2"/>
    <w:rsid w:val="007B07BB"/>
    <w:rsid w:val="007B0EDE"/>
    <w:rsid w:val="007B190E"/>
    <w:rsid w:val="007B1CF3"/>
    <w:rsid w:val="007B2E56"/>
    <w:rsid w:val="007B2EC7"/>
    <w:rsid w:val="007B3653"/>
    <w:rsid w:val="007B40D9"/>
    <w:rsid w:val="007B4A4A"/>
    <w:rsid w:val="007B5AB5"/>
    <w:rsid w:val="007B682B"/>
    <w:rsid w:val="007B68B1"/>
    <w:rsid w:val="007B7680"/>
    <w:rsid w:val="007B7872"/>
    <w:rsid w:val="007C02D0"/>
    <w:rsid w:val="007C0B0F"/>
    <w:rsid w:val="007C1AE9"/>
    <w:rsid w:val="007C267E"/>
    <w:rsid w:val="007C4525"/>
    <w:rsid w:val="007C5D85"/>
    <w:rsid w:val="007C64AB"/>
    <w:rsid w:val="007C6D77"/>
    <w:rsid w:val="007C72B0"/>
    <w:rsid w:val="007C739B"/>
    <w:rsid w:val="007C73A6"/>
    <w:rsid w:val="007D1258"/>
    <w:rsid w:val="007D1740"/>
    <w:rsid w:val="007D1A9A"/>
    <w:rsid w:val="007D1E75"/>
    <w:rsid w:val="007D29A7"/>
    <w:rsid w:val="007D2DB6"/>
    <w:rsid w:val="007D31AA"/>
    <w:rsid w:val="007D3372"/>
    <w:rsid w:val="007D3532"/>
    <w:rsid w:val="007D3DFB"/>
    <w:rsid w:val="007D3EE6"/>
    <w:rsid w:val="007D555D"/>
    <w:rsid w:val="007D60C4"/>
    <w:rsid w:val="007D6C19"/>
    <w:rsid w:val="007D7469"/>
    <w:rsid w:val="007E0629"/>
    <w:rsid w:val="007E1868"/>
    <w:rsid w:val="007E1998"/>
    <w:rsid w:val="007E334F"/>
    <w:rsid w:val="007E3383"/>
    <w:rsid w:val="007E3544"/>
    <w:rsid w:val="007E389F"/>
    <w:rsid w:val="007E3DA9"/>
    <w:rsid w:val="007E4E64"/>
    <w:rsid w:val="007E555A"/>
    <w:rsid w:val="007E5616"/>
    <w:rsid w:val="007E57BC"/>
    <w:rsid w:val="007E5FD7"/>
    <w:rsid w:val="007E6293"/>
    <w:rsid w:val="007E674F"/>
    <w:rsid w:val="007E6D71"/>
    <w:rsid w:val="007E6DFF"/>
    <w:rsid w:val="007E6E0A"/>
    <w:rsid w:val="007E6FBB"/>
    <w:rsid w:val="007E744A"/>
    <w:rsid w:val="007F017A"/>
    <w:rsid w:val="007F0549"/>
    <w:rsid w:val="007F0B54"/>
    <w:rsid w:val="007F0C6D"/>
    <w:rsid w:val="007F0EF5"/>
    <w:rsid w:val="007F1BF5"/>
    <w:rsid w:val="007F2D69"/>
    <w:rsid w:val="007F2D86"/>
    <w:rsid w:val="007F41C2"/>
    <w:rsid w:val="007F4474"/>
    <w:rsid w:val="007F4C20"/>
    <w:rsid w:val="007F518F"/>
    <w:rsid w:val="007F5443"/>
    <w:rsid w:val="007F6078"/>
    <w:rsid w:val="007F668C"/>
    <w:rsid w:val="007F6734"/>
    <w:rsid w:val="007F6AE7"/>
    <w:rsid w:val="007F7930"/>
    <w:rsid w:val="008011EC"/>
    <w:rsid w:val="00802093"/>
    <w:rsid w:val="00802EDD"/>
    <w:rsid w:val="00803780"/>
    <w:rsid w:val="00803A43"/>
    <w:rsid w:val="00803D0C"/>
    <w:rsid w:val="00803DBE"/>
    <w:rsid w:val="0080454E"/>
    <w:rsid w:val="00804D66"/>
    <w:rsid w:val="00804DD2"/>
    <w:rsid w:val="008052BD"/>
    <w:rsid w:val="0080605E"/>
    <w:rsid w:val="0080633A"/>
    <w:rsid w:val="0080633C"/>
    <w:rsid w:val="00806578"/>
    <w:rsid w:val="00806908"/>
    <w:rsid w:val="00806DD9"/>
    <w:rsid w:val="008070E2"/>
    <w:rsid w:val="008074F9"/>
    <w:rsid w:val="0080758F"/>
    <w:rsid w:val="0081093C"/>
    <w:rsid w:val="00810CEA"/>
    <w:rsid w:val="00810D4E"/>
    <w:rsid w:val="00810FF0"/>
    <w:rsid w:val="00811DB6"/>
    <w:rsid w:val="00812CFB"/>
    <w:rsid w:val="00812E5A"/>
    <w:rsid w:val="00813B20"/>
    <w:rsid w:val="008141D9"/>
    <w:rsid w:val="00814C3F"/>
    <w:rsid w:val="008154B2"/>
    <w:rsid w:val="008157C9"/>
    <w:rsid w:val="008157CC"/>
    <w:rsid w:val="0081590B"/>
    <w:rsid w:val="00815DEF"/>
    <w:rsid w:val="008174D1"/>
    <w:rsid w:val="008177FA"/>
    <w:rsid w:val="00820085"/>
    <w:rsid w:val="0082017D"/>
    <w:rsid w:val="0082065E"/>
    <w:rsid w:val="00821130"/>
    <w:rsid w:val="0082121F"/>
    <w:rsid w:val="00821465"/>
    <w:rsid w:val="00821D75"/>
    <w:rsid w:val="008229BE"/>
    <w:rsid w:val="008239B6"/>
    <w:rsid w:val="00823FA6"/>
    <w:rsid w:val="0082483C"/>
    <w:rsid w:val="008264F5"/>
    <w:rsid w:val="00826661"/>
    <w:rsid w:val="0082666B"/>
    <w:rsid w:val="00827B54"/>
    <w:rsid w:val="00830308"/>
    <w:rsid w:val="00830F98"/>
    <w:rsid w:val="00831641"/>
    <w:rsid w:val="00831A18"/>
    <w:rsid w:val="0083213C"/>
    <w:rsid w:val="00832788"/>
    <w:rsid w:val="008331A5"/>
    <w:rsid w:val="0083341A"/>
    <w:rsid w:val="0083349E"/>
    <w:rsid w:val="00833BC6"/>
    <w:rsid w:val="00833D32"/>
    <w:rsid w:val="00833DEA"/>
    <w:rsid w:val="00833F54"/>
    <w:rsid w:val="008342D7"/>
    <w:rsid w:val="0083486D"/>
    <w:rsid w:val="00835162"/>
    <w:rsid w:val="00836098"/>
    <w:rsid w:val="008365E0"/>
    <w:rsid w:val="00836C47"/>
    <w:rsid w:val="008377E0"/>
    <w:rsid w:val="00840A0C"/>
    <w:rsid w:val="0084160F"/>
    <w:rsid w:val="00841BE9"/>
    <w:rsid w:val="00842526"/>
    <w:rsid w:val="00842B15"/>
    <w:rsid w:val="00842B38"/>
    <w:rsid w:val="00843538"/>
    <w:rsid w:val="00843A2B"/>
    <w:rsid w:val="00844B96"/>
    <w:rsid w:val="00845554"/>
    <w:rsid w:val="00845F2B"/>
    <w:rsid w:val="00845FF6"/>
    <w:rsid w:val="00847325"/>
    <w:rsid w:val="008478CD"/>
    <w:rsid w:val="00850699"/>
    <w:rsid w:val="00850A13"/>
    <w:rsid w:val="00851683"/>
    <w:rsid w:val="00851E2A"/>
    <w:rsid w:val="00852971"/>
    <w:rsid w:val="0085353D"/>
    <w:rsid w:val="008536A5"/>
    <w:rsid w:val="00853758"/>
    <w:rsid w:val="00853F9A"/>
    <w:rsid w:val="00853FE4"/>
    <w:rsid w:val="008542A1"/>
    <w:rsid w:val="00854427"/>
    <w:rsid w:val="00854B48"/>
    <w:rsid w:val="00854C6E"/>
    <w:rsid w:val="00854EA8"/>
    <w:rsid w:val="00856107"/>
    <w:rsid w:val="00856553"/>
    <w:rsid w:val="0085663B"/>
    <w:rsid w:val="0085728F"/>
    <w:rsid w:val="008573BA"/>
    <w:rsid w:val="008573CD"/>
    <w:rsid w:val="00857B64"/>
    <w:rsid w:val="00857B7F"/>
    <w:rsid w:val="008601CB"/>
    <w:rsid w:val="008610A0"/>
    <w:rsid w:val="00861270"/>
    <w:rsid w:val="00861331"/>
    <w:rsid w:val="008613A3"/>
    <w:rsid w:val="00862B4A"/>
    <w:rsid w:val="00862FB8"/>
    <w:rsid w:val="008631FC"/>
    <w:rsid w:val="0086324E"/>
    <w:rsid w:val="00863AB0"/>
    <w:rsid w:val="00864AF1"/>
    <w:rsid w:val="00865172"/>
    <w:rsid w:val="00866409"/>
    <w:rsid w:val="0086694B"/>
    <w:rsid w:val="008679FC"/>
    <w:rsid w:val="00870846"/>
    <w:rsid w:val="0087093A"/>
    <w:rsid w:val="00871340"/>
    <w:rsid w:val="0087450D"/>
    <w:rsid w:val="00875292"/>
    <w:rsid w:val="0087539E"/>
    <w:rsid w:val="0087622F"/>
    <w:rsid w:val="00876302"/>
    <w:rsid w:val="00876A62"/>
    <w:rsid w:val="00876BD0"/>
    <w:rsid w:val="008777E6"/>
    <w:rsid w:val="00880A62"/>
    <w:rsid w:val="00880E1A"/>
    <w:rsid w:val="00880F25"/>
    <w:rsid w:val="00881151"/>
    <w:rsid w:val="0088161E"/>
    <w:rsid w:val="0088197C"/>
    <w:rsid w:val="00881A73"/>
    <w:rsid w:val="00882AF1"/>
    <w:rsid w:val="0088310D"/>
    <w:rsid w:val="008831B3"/>
    <w:rsid w:val="008844B4"/>
    <w:rsid w:val="00884DD1"/>
    <w:rsid w:val="00884EBD"/>
    <w:rsid w:val="00884F33"/>
    <w:rsid w:val="00886A26"/>
    <w:rsid w:val="00886AED"/>
    <w:rsid w:val="0089054A"/>
    <w:rsid w:val="00891366"/>
    <w:rsid w:val="00891ED6"/>
    <w:rsid w:val="008921F2"/>
    <w:rsid w:val="00892F70"/>
    <w:rsid w:val="00893214"/>
    <w:rsid w:val="00893354"/>
    <w:rsid w:val="00893CEF"/>
    <w:rsid w:val="008944B7"/>
    <w:rsid w:val="00894CFD"/>
    <w:rsid w:val="0089548F"/>
    <w:rsid w:val="00895B55"/>
    <w:rsid w:val="00896095"/>
    <w:rsid w:val="008960D4"/>
    <w:rsid w:val="008A0750"/>
    <w:rsid w:val="008A0762"/>
    <w:rsid w:val="008A0B64"/>
    <w:rsid w:val="008A0B8B"/>
    <w:rsid w:val="008A0C3C"/>
    <w:rsid w:val="008A0EFE"/>
    <w:rsid w:val="008A1D97"/>
    <w:rsid w:val="008A343A"/>
    <w:rsid w:val="008A486A"/>
    <w:rsid w:val="008A5DA3"/>
    <w:rsid w:val="008A74F0"/>
    <w:rsid w:val="008A7541"/>
    <w:rsid w:val="008A7D09"/>
    <w:rsid w:val="008B038D"/>
    <w:rsid w:val="008B0799"/>
    <w:rsid w:val="008B08C2"/>
    <w:rsid w:val="008B0D92"/>
    <w:rsid w:val="008B2525"/>
    <w:rsid w:val="008B35BA"/>
    <w:rsid w:val="008B3ABA"/>
    <w:rsid w:val="008B3EF0"/>
    <w:rsid w:val="008B431A"/>
    <w:rsid w:val="008B52E6"/>
    <w:rsid w:val="008B5672"/>
    <w:rsid w:val="008B5731"/>
    <w:rsid w:val="008B6397"/>
    <w:rsid w:val="008B6B33"/>
    <w:rsid w:val="008B7711"/>
    <w:rsid w:val="008C10F8"/>
    <w:rsid w:val="008C18E2"/>
    <w:rsid w:val="008C1AAF"/>
    <w:rsid w:val="008C2652"/>
    <w:rsid w:val="008C3512"/>
    <w:rsid w:val="008C3C94"/>
    <w:rsid w:val="008C3EEC"/>
    <w:rsid w:val="008C4098"/>
    <w:rsid w:val="008C4408"/>
    <w:rsid w:val="008C48CC"/>
    <w:rsid w:val="008C66CF"/>
    <w:rsid w:val="008C66D3"/>
    <w:rsid w:val="008C6829"/>
    <w:rsid w:val="008C6ACD"/>
    <w:rsid w:val="008C71EA"/>
    <w:rsid w:val="008C7295"/>
    <w:rsid w:val="008C7687"/>
    <w:rsid w:val="008D043D"/>
    <w:rsid w:val="008D06CE"/>
    <w:rsid w:val="008D0F24"/>
    <w:rsid w:val="008D196C"/>
    <w:rsid w:val="008D1CBF"/>
    <w:rsid w:val="008D24BE"/>
    <w:rsid w:val="008D25CD"/>
    <w:rsid w:val="008D2B7B"/>
    <w:rsid w:val="008D2BAF"/>
    <w:rsid w:val="008D4345"/>
    <w:rsid w:val="008D57C3"/>
    <w:rsid w:val="008D5FDE"/>
    <w:rsid w:val="008D60DD"/>
    <w:rsid w:val="008D6CDB"/>
    <w:rsid w:val="008D77E1"/>
    <w:rsid w:val="008D7EE9"/>
    <w:rsid w:val="008E0495"/>
    <w:rsid w:val="008E0EA7"/>
    <w:rsid w:val="008E1023"/>
    <w:rsid w:val="008E15D1"/>
    <w:rsid w:val="008E278E"/>
    <w:rsid w:val="008E2FB7"/>
    <w:rsid w:val="008E312F"/>
    <w:rsid w:val="008E329B"/>
    <w:rsid w:val="008E3F4D"/>
    <w:rsid w:val="008E46A3"/>
    <w:rsid w:val="008E4B7A"/>
    <w:rsid w:val="008E5351"/>
    <w:rsid w:val="008E583D"/>
    <w:rsid w:val="008E60D1"/>
    <w:rsid w:val="008F0B29"/>
    <w:rsid w:val="008F0C04"/>
    <w:rsid w:val="008F1273"/>
    <w:rsid w:val="008F235A"/>
    <w:rsid w:val="008F34A7"/>
    <w:rsid w:val="008F5061"/>
    <w:rsid w:val="008F53C3"/>
    <w:rsid w:val="008F58CD"/>
    <w:rsid w:val="008F6D0C"/>
    <w:rsid w:val="008F6F64"/>
    <w:rsid w:val="008F6FAB"/>
    <w:rsid w:val="008F79AA"/>
    <w:rsid w:val="008F7A28"/>
    <w:rsid w:val="008F7B14"/>
    <w:rsid w:val="008F7EDA"/>
    <w:rsid w:val="00900468"/>
    <w:rsid w:val="009010A7"/>
    <w:rsid w:val="00901888"/>
    <w:rsid w:val="00903476"/>
    <w:rsid w:val="00904274"/>
    <w:rsid w:val="00904AB5"/>
    <w:rsid w:val="009068C9"/>
    <w:rsid w:val="00907C2F"/>
    <w:rsid w:val="00911277"/>
    <w:rsid w:val="0091206F"/>
    <w:rsid w:val="009121EC"/>
    <w:rsid w:val="0091230B"/>
    <w:rsid w:val="009124D5"/>
    <w:rsid w:val="009125C9"/>
    <w:rsid w:val="009129C0"/>
    <w:rsid w:val="00912E41"/>
    <w:rsid w:val="009134AB"/>
    <w:rsid w:val="00913583"/>
    <w:rsid w:val="00914C81"/>
    <w:rsid w:val="00915352"/>
    <w:rsid w:val="009158B9"/>
    <w:rsid w:val="009158FD"/>
    <w:rsid w:val="00915FD2"/>
    <w:rsid w:val="0091620E"/>
    <w:rsid w:val="0091702B"/>
    <w:rsid w:val="0091779E"/>
    <w:rsid w:val="00917C0F"/>
    <w:rsid w:val="00920A2C"/>
    <w:rsid w:val="00920EF3"/>
    <w:rsid w:val="009210CF"/>
    <w:rsid w:val="009226FC"/>
    <w:rsid w:val="009239D2"/>
    <w:rsid w:val="00925616"/>
    <w:rsid w:val="00926346"/>
    <w:rsid w:val="009266F9"/>
    <w:rsid w:val="00926F8E"/>
    <w:rsid w:val="009273C5"/>
    <w:rsid w:val="00930EF2"/>
    <w:rsid w:val="00931534"/>
    <w:rsid w:val="00932EA3"/>
    <w:rsid w:val="00933B5F"/>
    <w:rsid w:val="0093430F"/>
    <w:rsid w:val="00934B8B"/>
    <w:rsid w:val="009353EB"/>
    <w:rsid w:val="00935A24"/>
    <w:rsid w:val="0093630A"/>
    <w:rsid w:val="00936364"/>
    <w:rsid w:val="00936878"/>
    <w:rsid w:val="00936953"/>
    <w:rsid w:val="00936EC5"/>
    <w:rsid w:val="00937C09"/>
    <w:rsid w:val="0094025D"/>
    <w:rsid w:val="00940E88"/>
    <w:rsid w:val="009413DE"/>
    <w:rsid w:val="00941EED"/>
    <w:rsid w:val="009423C9"/>
    <w:rsid w:val="00942756"/>
    <w:rsid w:val="00942A91"/>
    <w:rsid w:val="00944CF6"/>
    <w:rsid w:val="00945E36"/>
    <w:rsid w:val="009504B5"/>
    <w:rsid w:val="00950872"/>
    <w:rsid w:val="00951164"/>
    <w:rsid w:val="009511F8"/>
    <w:rsid w:val="0095169D"/>
    <w:rsid w:val="00952DA8"/>
    <w:rsid w:val="0095325D"/>
    <w:rsid w:val="00954042"/>
    <w:rsid w:val="009544C5"/>
    <w:rsid w:val="00954B6E"/>
    <w:rsid w:val="009551DF"/>
    <w:rsid w:val="00955626"/>
    <w:rsid w:val="009556E7"/>
    <w:rsid w:val="00956472"/>
    <w:rsid w:val="00956E3C"/>
    <w:rsid w:val="009577AF"/>
    <w:rsid w:val="0095788E"/>
    <w:rsid w:val="00957DB1"/>
    <w:rsid w:val="0096047B"/>
    <w:rsid w:val="0096073E"/>
    <w:rsid w:val="0096291F"/>
    <w:rsid w:val="009637A1"/>
    <w:rsid w:val="00964BC6"/>
    <w:rsid w:val="00964BCF"/>
    <w:rsid w:val="00964C1E"/>
    <w:rsid w:val="00965318"/>
    <w:rsid w:val="009655FD"/>
    <w:rsid w:val="00966C3D"/>
    <w:rsid w:val="00967058"/>
    <w:rsid w:val="0096709D"/>
    <w:rsid w:val="00967A0B"/>
    <w:rsid w:val="009703B2"/>
    <w:rsid w:val="00971000"/>
    <w:rsid w:val="00971555"/>
    <w:rsid w:val="00971CBC"/>
    <w:rsid w:val="00972A58"/>
    <w:rsid w:val="00973520"/>
    <w:rsid w:val="0097367C"/>
    <w:rsid w:val="00974FE3"/>
    <w:rsid w:val="009755AD"/>
    <w:rsid w:val="00976791"/>
    <w:rsid w:val="009767A9"/>
    <w:rsid w:val="009767B3"/>
    <w:rsid w:val="00976BA8"/>
    <w:rsid w:val="00976D3A"/>
    <w:rsid w:val="009775F1"/>
    <w:rsid w:val="00980154"/>
    <w:rsid w:val="009806A4"/>
    <w:rsid w:val="00980755"/>
    <w:rsid w:val="009807CC"/>
    <w:rsid w:val="00980834"/>
    <w:rsid w:val="0098103E"/>
    <w:rsid w:val="00981B06"/>
    <w:rsid w:val="00982C6F"/>
    <w:rsid w:val="00983309"/>
    <w:rsid w:val="00983BB5"/>
    <w:rsid w:val="00983E8C"/>
    <w:rsid w:val="009857FE"/>
    <w:rsid w:val="00985D32"/>
    <w:rsid w:val="00987A09"/>
    <w:rsid w:val="00987B5E"/>
    <w:rsid w:val="00990559"/>
    <w:rsid w:val="00990A5D"/>
    <w:rsid w:val="00990BE3"/>
    <w:rsid w:val="00992092"/>
    <w:rsid w:val="00992393"/>
    <w:rsid w:val="009923CD"/>
    <w:rsid w:val="009925EC"/>
    <w:rsid w:val="00992C2C"/>
    <w:rsid w:val="00992E10"/>
    <w:rsid w:val="009932E3"/>
    <w:rsid w:val="0099474A"/>
    <w:rsid w:val="009947E0"/>
    <w:rsid w:val="00994D7F"/>
    <w:rsid w:val="009951C7"/>
    <w:rsid w:val="00995661"/>
    <w:rsid w:val="00996045"/>
    <w:rsid w:val="009970BD"/>
    <w:rsid w:val="009A06DA"/>
    <w:rsid w:val="009A09B2"/>
    <w:rsid w:val="009A11AF"/>
    <w:rsid w:val="009A3EEF"/>
    <w:rsid w:val="009A473E"/>
    <w:rsid w:val="009A55AB"/>
    <w:rsid w:val="009A6842"/>
    <w:rsid w:val="009A697F"/>
    <w:rsid w:val="009A6C2B"/>
    <w:rsid w:val="009A6E85"/>
    <w:rsid w:val="009A742D"/>
    <w:rsid w:val="009A7F70"/>
    <w:rsid w:val="009B16C9"/>
    <w:rsid w:val="009B267D"/>
    <w:rsid w:val="009B3426"/>
    <w:rsid w:val="009B3EF0"/>
    <w:rsid w:val="009B454E"/>
    <w:rsid w:val="009B4F53"/>
    <w:rsid w:val="009B5BAD"/>
    <w:rsid w:val="009B5E1D"/>
    <w:rsid w:val="009B5E6A"/>
    <w:rsid w:val="009B60D1"/>
    <w:rsid w:val="009B6478"/>
    <w:rsid w:val="009B692F"/>
    <w:rsid w:val="009B6E3A"/>
    <w:rsid w:val="009B7C86"/>
    <w:rsid w:val="009C0357"/>
    <w:rsid w:val="009C0358"/>
    <w:rsid w:val="009C0A92"/>
    <w:rsid w:val="009C0DE0"/>
    <w:rsid w:val="009C2441"/>
    <w:rsid w:val="009C2A90"/>
    <w:rsid w:val="009C367C"/>
    <w:rsid w:val="009C37BF"/>
    <w:rsid w:val="009C3E42"/>
    <w:rsid w:val="009C3E82"/>
    <w:rsid w:val="009C3F9B"/>
    <w:rsid w:val="009C451D"/>
    <w:rsid w:val="009C482A"/>
    <w:rsid w:val="009C4B9D"/>
    <w:rsid w:val="009C55AF"/>
    <w:rsid w:val="009C6235"/>
    <w:rsid w:val="009C7188"/>
    <w:rsid w:val="009C7726"/>
    <w:rsid w:val="009C7C80"/>
    <w:rsid w:val="009C7E07"/>
    <w:rsid w:val="009D0BD7"/>
    <w:rsid w:val="009D0E78"/>
    <w:rsid w:val="009D1610"/>
    <w:rsid w:val="009D2834"/>
    <w:rsid w:val="009D2861"/>
    <w:rsid w:val="009D2F30"/>
    <w:rsid w:val="009D3228"/>
    <w:rsid w:val="009D42FD"/>
    <w:rsid w:val="009D53C7"/>
    <w:rsid w:val="009D5CBC"/>
    <w:rsid w:val="009D66C1"/>
    <w:rsid w:val="009D66CC"/>
    <w:rsid w:val="009D753A"/>
    <w:rsid w:val="009D771E"/>
    <w:rsid w:val="009D77E9"/>
    <w:rsid w:val="009D7956"/>
    <w:rsid w:val="009E0626"/>
    <w:rsid w:val="009E066A"/>
    <w:rsid w:val="009E0C18"/>
    <w:rsid w:val="009E1935"/>
    <w:rsid w:val="009E2773"/>
    <w:rsid w:val="009E2927"/>
    <w:rsid w:val="009E2B9B"/>
    <w:rsid w:val="009E3748"/>
    <w:rsid w:val="009E3F09"/>
    <w:rsid w:val="009E4DE2"/>
    <w:rsid w:val="009E5784"/>
    <w:rsid w:val="009E57C5"/>
    <w:rsid w:val="009E603D"/>
    <w:rsid w:val="009E60F7"/>
    <w:rsid w:val="009E6B92"/>
    <w:rsid w:val="009E7B54"/>
    <w:rsid w:val="009F04E4"/>
    <w:rsid w:val="009F0547"/>
    <w:rsid w:val="009F17B1"/>
    <w:rsid w:val="009F185E"/>
    <w:rsid w:val="009F2213"/>
    <w:rsid w:val="009F275B"/>
    <w:rsid w:val="009F2E33"/>
    <w:rsid w:val="009F438C"/>
    <w:rsid w:val="009F5515"/>
    <w:rsid w:val="009F55F9"/>
    <w:rsid w:val="009F5F22"/>
    <w:rsid w:val="009F6F31"/>
    <w:rsid w:val="009F720C"/>
    <w:rsid w:val="009F7CAC"/>
    <w:rsid w:val="009F7ECF"/>
    <w:rsid w:val="00A0036D"/>
    <w:rsid w:val="00A0086B"/>
    <w:rsid w:val="00A00AAF"/>
    <w:rsid w:val="00A00BC0"/>
    <w:rsid w:val="00A0111D"/>
    <w:rsid w:val="00A01530"/>
    <w:rsid w:val="00A019A7"/>
    <w:rsid w:val="00A02293"/>
    <w:rsid w:val="00A02EE0"/>
    <w:rsid w:val="00A03600"/>
    <w:rsid w:val="00A0471A"/>
    <w:rsid w:val="00A0542C"/>
    <w:rsid w:val="00A056E1"/>
    <w:rsid w:val="00A06511"/>
    <w:rsid w:val="00A068B2"/>
    <w:rsid w:val="00A07477"/>
    <w:rsid w:val="00A074BB"/>
    <w:rsid w:val="00A0767A"/>
    <w:rsid w:val="00A07AD9"/>
    <w:rsid w:val="00A07BBC"/>
    <w:rsid w:val="00A11383"/>
    <w:rsid w:val="00A116AD"/>
    <w:rsid w:val="00A11DC7"/>
    <w:rsid w:val="00A1313B"/>
    <w:rsid w:val="00A144BD"/>
    <w:rsid w:val="00A14655"/>
    <w:rsid w:val="00A15BC8"/>
    <w:rsid w:val="00A1658B"/>
    <w:rsid w:val="00A1691A"/>
    <w:rsid w:val="00A16FC6"/>
    <w:rsid w:val="00A17956"/>
    <w:rsid w:val="00A211C3"/>
    <w:rsid w:val="00A215F1"/>
    <w:rsid w:val="00A22585"/>
    <w:rsid w:val="00A22A16"/>
    <w:rsid w:val="00A233A9"/>
    <w:rsid w:val="00A23E32"/>
    <w:rsid w:val="00A2437E"/>
    <w:rsid w:val="00A245C3"/>
    <w:rsid w:val="00A25938"/>
    <w:rsid w:val="00A25D80"/>
    <w:rsid w:val="00A26C9D"/>
    <w:rsid w:val="00A26CFA"/>
    <w:rsid w:val="00A26ED5"/>
    <w:rsid w:val="00A26FD9"/>
    <w:rsid w:val="00A279BA"/>
    <w:rsid w:val="00A27BED"/>
    <w:rsid w:val="00A30615"/>
    <w:rsid w:val="00A30744"/>
    <w:rsid w:val="00A307BF"/>
    <w:rsid w:val="00A30C14"/>
    <w:rsid w:val="00A30CAA"/>
    <w:rsid w:val="00A3185C"/>
    <w:rsid w:val="00A31CA8"/>
    <w:rsid w:val="00A31F55"/>
    <w:rsid w:val="00A32702"/>
    <w:rsid w:val="00A3306F"/>
    <w:rsid w:val="00A34045"/>
    <w:rsid w:val="00A342F2"/>
    <w:rsid w:val="00A35D79"/>
    <w:rsid w:val="00A361D2"/>
    <w:rsid w:val="00A3624C"/>
    <w:rsid w:val="00A367ED"/>
    <w:rsid w:val="00A36A21"/>
    <w:rsid w:val="00A40602"/>
    <w:rsid w:val="00A40851"/>
    <w:rsid w:val="00A40F4D"/>
    <w:rsid w:val="00A41378"/>
    <w:rsid w:val="00A4164C"/>
    <w:rsid w:val="00A41763"/>
    <w:rsid w:val="00A41D91"/>
    <w:rsid w:val="00A437F7"/>
    <w:rsid w:val="00A439F8"/>
    <w:rsid w:val="00A43BF0"/>
    <w:rsid w:val="00A43F58"/>
    <w:rsid w:val="00A44D5A"/>
    <w:rsid w:val="00A45059"/>
    <w:rsid w:val="00A451A2"/>
    <w:rsid w:val="00A459F3"/>
    <w:rsid w:val="00A45C0B"/>
    <w:rsid w:val="00A464EF"/>
    <w:rsid w:val="00A4654C"/>
    <w:rsid w:val="00A46940"/>
    <w:rsid w:val="00A46A25"/>
    <w:rsid w:val="00A479E9"/>
    <w:rsid w:val="00A50054"/>
    <w:rsid w:val="00A503CE"/>
    <w:rsid w:val="00A50F8C"/>
    <w:rsid w:val="00A51647"/>
    <w:rsid w:val="00A51CF6"/>
    <w:rsid w:val="00A52313"/>
    <w:rsid w:val="00A52454"/>
    <w:rsid w:val="00A524EE"/>
    <w:rsid w:val="00A53ADB"/>
    <w:rsid w:val="00A53C54"/>
    <w:rsid w:val="00A541D6"/>
    <w:rsid w:val="00A542AD"/>
    <w:rsid w:val="00A549B4"/>
    <w:rsid w:val="00A557B3"/>
    <w:rsid w:val="00A56428"/>
    <w:rsid w:val="00A574D6"/>
    <w:rsid w:val="00A57934"/>
    <w:rsid w:val="00A57ADA"/>
    <w:rsid w:val="00A60523"/>
    <w:rsid w:val="00A60553"/>
    <w:rsid w:val="00A607A4"/>
    <w:rsid w:val="00A609BA"/>
    <w:rsid w:val="00A62C6B"/>
    <w:rsid w:val="00A64325"/>
    <w:rsid w:val="00A646D4"/>
    <w:rsid w:val="00A6517F"/>
    <w:rsid w:val="00A6563C"/>
    <w:rsid w:val="00A65C77"/>
    <w:rsid w:val="00A65F2A"/>
    <w:rsid w:val="00A67231"/>
    <w:rsid w:val="00A67B8F"/>
    <w:rsid w:val="00A7002C"/>
    <w:rsid w:val="00A71431"/>
    <w:rsid w:val="00A72D8B"/>
    <w:rsid w:val="00A72F41"/>
    <w:rsid w:val="00A73361"/>
    <w:rsid w:val="00A735F3"/>
    <w:rsid w:val="00A73961"/>
    <w:rsid w:val="00A73AE6"/>
    <w:rsid w:val="00A73D35"/>
    <w:rsid w:val="00A7541B"/>
    <w:rsid w:val="00A754E6"/>
    <w:rsid w:val="00A75930"/>
    <w:rsid w:val="00A77027"/>
    <w:rsid w:val="00A770F0"/>
    <w:rsid w:val="00A779F5"/>
    <w:rsid w:val="00A80161"/>
    <w:rsid w:val="00A80360"/>
    <w:rsid w:val="00A8116B"/>
    <w:rsid w:val="00A818F1"/>
    <w:rsid w:val="00A81D10"/>
    <w:rsid w:val="00A82ADF"/>
    <w:rsid w:val="00A82E91"/>
    <w:rsid w:val="00A8397F"/>
    <w:rsid w:val="00A83D5A"/>
    <w:rsid w:val="00A84142"/>
    <w:rsid w:val="00A8466F"/>
    <w:rsid w:val="00A849B1"/>
    <w:rsid w:val="00A84C9A"/>
    <w:rsid w:val="00A84D35"/>
    <w:rsid w:val="00A851DF"/>
    <w:rsid w:val="00A85942"/>
    <w:rsid w:val="00A8699A"/>
    <w:rsid w:val="00A871B1"/>
    <w:rsid w:val="00A8738E"/>
    <w:rsid w:val="00A8760F"/>
    <w:rsid w:val="00A8762E"/>
    <w:rsid w:val="00A87D3E"/>
    <w:rsid w:val="00A87EF4"/>
    <w:rsid w:val="00A90901"/>
    <w:rsid w:val="00A90997"/>
    <w:rsid w:val="00A90D51"/>
    <w:rsid w:val="00A90E10"/>
    <w:rsid w:val="00A92386"/>
    <w:rsid w:val="00A92A3A"/>
    <w:rsid w:val="00A92D58"/>
    <w:rsid w:val="00A92E69"/>
    <w:rsid w:val="00A932B7"/>
    <w:rsid w:val="00A937BF"/>
    <w:rsid w:val="00A9400C"/>
    <w:rsid w:val="00A94ABA"/>
    <w:rsid w:val="00A94EBF"/>
    <w:rsid w:val="00A95A7C"/>
    <w:rsid w:val="00A95E0C"/>
    <w:rsid w:val="00A9614F"/>
    <w:rsid w:val="00A96953"/>
    <w:rsid w:val="00A96CB2"/>
    <w:rsid w:val="00A96D8B"/>
    <w:rsid w:val="00A96DBD"/>
    <w:rsid w:val="00A979A7"/>
    <w:rsid w:val="00A97DCA"/>
    <w:rsid w:val="00AA0768"/>
    <w:rsid w:val="00AA1BAE"/>
    <w:rsid w:val="00AA1CBE"/>
    <w:rsid w:val="00AA1E34"/>
    <w:rsid w:val="00AA26F6"/>
    <w:rsid w:val="00AA2EC0"/>
    <w:rsid w:val="00AA352B"/>
    <w:rsid w:val="00AA4672"/>
    <w:rsid w:val="00AA5088"/>
    <w:rsid w:val="00AA5E8C"/>
    <w:rsid w:val="00AA63B2"/>
    <w:rsid w:val="00AA768E"/>
    <w:rsid w:val="00AA7EC8"/>
    <w:rsid w:val="00AA7EC9"/>
    <w:rsid w:val="00AB0874"/>
    <w:rsid w:val="00AB0889"/>
    <w:rsid w:val="00AB09A8"/>
    <w:rsid w:val="00AB146A"/>
    <w:rsid w:val="00AB16D7"/>
    <w:rsid w:val="00AB1C9D"/>
    <w:rsid w:val="00AB2070"/>
    <w:rsid w:val="00AB223C"/>
    <w:rsid w:val="00AB23D8"/>
    <w:rsid w:val="00AB284B"/>
    <w:rsid w:val="00AB3749"/>
    <w:rsid w:val="00AB4676"/>
    <w:rsid w:val="00AB49C7"/>
    <w:rsid w:val="00AB50D0"/>
    <w:rsid w:val="00AB5741"/>
    <w:rsid w:val="00AB5CA0"/>
    <w:rsid w:val="00AB60A0"/>
    <w:rsid w:val="00AB7161"/>
    <w:rsid w:val="00AB73D6"/>
    <w:rsid w:val="00AB799A"/>
    <w:rsid w:val="00AC0134"/>
    <w:rsid w:val="00AC02CA"/>
    <w:rsid w:val="00AC0CB7"/>
    <w:rsid w:val="00AC1060"/>
    <w:rsid w:val="00AC142B"/>
    <w:rsid w:val="00AC2517"/>
    <w:rsid w:val="00AC325E"/>
    <w:rsid w:val="00AC3295"/>
    <w:rsid w:val="00AC3676"/>
    <w:rsid w:val="00AC392D"/>
    <w:rsid w:val="00AC3AED"/>
    <w:rsid w:val="00AC40A0"/>
    <w:rsid w:val="00AC46F2"/>
    <w:rsid w:val="00AC55F0"/>
    <w:rsid w:val="00AC5B91"/>
    <w:rsid w:val="00AC639F"/>
    <w:rsid w:val="00AC66F0"/>
    <w:rsid w:val="00AC73FD"/>
    <w:rsid w:val="00AC795C"/>
    <w:rsid w:val="00AD0A8C"/>
    <w:rsid w:val="00AD153D"/>
    <w:rsid w:val="00AD298D"/>
    <w:rsid w:val="00AD3BF8"/>
    <w:rsid w:val="00AD43A3"/>
    <w:rsid w:val="00AD483D"/>
    <w:rsid w:val="00AD520A"/>
    <w:rsid w:val="00AD580A"/>
    <w:rsid w:val="00AD5E56"/>
    <w:rsid w:val="00AD715A"/>
    <w:rsid w:val="00AD7950"/>
    <w:rsid w:val="00AD7C2F"/>
    <w:rsid w:val="00AD7D44"/>
    <w:rsid w:val="00AE06DF"/>
    <w:rsid w:val="00AE1925"/>
    <w:rsid w:val="00AE224C"/>
    <w:rsid w:val="00AE25B2"/>
    <w:rsid w:val="00AE2CBB"/>
    <w:rsid w:val="00AE2E11"/>
    <w:rsid w:val="00AE33BB"/>
    <w:rsid w:val="00AE37F3"/>
    <w:rsid w:val="00AE3F0B"/>
    <w:rsid w:val="00AE4448"/>
    <w:rsid w:val="00AE4D21"/>
    <w:rsid w:val="00AE5022"/>
    <w:rsid w:val="00AE5A73"/>
    <w:rsid w:val="00AE5D31"/>
    <w:rsid w:val="00AE5E89"/>
    <w:rsid w:val="00AE62C5"/>
    <w:rsid w:val="00AE6BAC"/>
    <w:rsid w:val="00AE7857"/>
    <w:rsid w:val="00AF1858"/>
    <w:rsid w:val="00AF19C1"/>
    <w:rsid w:val="00AF216E"/>
    <w:rsid w:val="00AF2622"/>
    <w:rsid w:val="00AF2AE8"/>
    <w:rsid w:val="00AF2C5F"/>
    <w:rsid w:val="00AF2CC8"/>
    <w:rsid w:val="00AF2F4C"/>
    <w:rsid w:val="00AF5771"/>
    <w:rsid w:val="00AF5AE6"/>
    <w:rsid w:val="00AF5F44"/>
    <w:rsid w:val="00AF6851"/>
    <w:rsid w:val="00AF6C9E"/>
    <w:rsid w:val="00AF6D9B"/>
    <w:rsid w:val="00AF713C"/>
    <w:rsid w:val="00AF7570"/>
    <w:rsid w:val="00B00918"/>
    <w:rsid w:val="00B0135C"/>
    <w:rsid w:val="00B03DC6"/>
    <w:rsid w:val="00B03E19"/>
    <w:rsid w:val="00B048BE"/>
    <w:rsid w:val="00B04943"/>
    <w:rsid w:val="00B05462"/>
    <w:rsid w:val="00B05A8B"/>
    <w:rsid w:val="00B05FC6"/>
    <w:rsid w:val="00B06005"/>
    <w:rsid w:val="00B06190"/>
    <w:rsid w:val="00B061D9"/>
    <w:rsid w:val="00B0642B"/>
    <w:rsid w:val="00B06849"/>
    <w:rsid w:val="00B06EE8"/>
    <w:rsid w:val="00B070A6"/>
    <w:rsid w:val="00B0746A"/>
    <w:rsid w:val="00B10F82"/>
    <w:rsid w:val="00B11764"/>
    <w:rsid w:val="00B12CE2"/>
    <w:rsid w:val="00B14EBE"/>
    <w:rsid w:val="00B153EF"/>
    <w:rsid w:val="00B16600"/>
    <w:rsid w:val="00B169AF"/>
    <w:rsid w:val="00B16C12"/>
    <w:rsid w:val="00B17BB9"/>
    <w:rsid w:val="00B2060F"/>
    <w:rsid w:val="00B20BBA"/>
    <w:rsid w:val="00B2140C"/>
    <w:rsid w:val="00B22359"/>
    <w:rsid w:val="00B22843"/>
    <w:rsid w:val="00B22C03"/>
    <w:rsid w:val="00B23044"/>
    <w:rsid w:val="00B233E1"/>
    <w:rsid w:val="00B234E6"/>
    <w:rsid w:val="00B23591"/>
    <w:rsid w:val="00B23C2C"/>
    <w:rsid w:val="00B23F40"/>
    <w:rsid w:val="00B241CB"/>
    <w:rsid w:val="00B2448C"/>
    <w:rsid w:val="00B244E1"/>
    <w:rsid w:val="00B249C8"/>
    <w:rsid w:val="00B24F62"/>
    <w:rsid w:val="00B2521E"/>
    <w:rsid w:val="00B25970"/>
    <w:rsid w:val="00B25C21"/>
    <w:rsid w:val="00B263FE"/>
    <w:rsid w:val="00B269C6"/>
    <w:rsid w:val="00B26B36"/>
    <w:rsid w:val="00B26F32"/>
    <w:rsid w:val="00B2783C"/>
    <w:rsid w:val="00B3061C"/>
    <w:rsid w:val="00B30736"/>
    <w:rsid w:val="00B3077E"/>
    <w:rsid w:val="00B315B2"/>
    <w:rsid w:val="00B31733"/>
    <w:rsid w:val="00B31E80"/>
    <w:rsid w:val="00B31FF8"/>
    <w:rsid w:val="00B32489"/>
    <w:rsid w:val="00B329AE"/>
    <w:rsid w:val="00B3340B"/>
    <w:rsid w:val="00B335EE"/>
    <w:rsid w:val="00B340D5"/>
    <w:rsid w:val="00B34848"/>
    <w:rsid w:val="00B34C1E"/>
    <w:rsid w:val="00B35F26"/>
    <w:rsid w:val="00B36434"/>
    <w:rsid w:val="00B3666D"/>
    <w:rsid w:val="00B37555"/>
    <w:rsid w:val="00B400E1"/>
    <w:rsid w:val="00B407B4"/>
    <w:rsid w:val="00B410C2"/>
    <w:rsid w:val="00B42182"/>
    <w:rsid w:val="00B42C00"/>
    <w:rsid w:val="00B42FC7"/>
    <w:rsid w:val="00B438B1"/>
    <w:rsid w:val="00B44515"/>
    <w:rsid w:val="00B44CD6"/>
    <w:rsid w:val="00B45C7C"/>
    <w:rsid w:val="00B463B1"/>
    <w:rsid w:val="00B464E1"/>
    <w:rsid w:val="00B46C69"/>
    <w:rsid w:val="00B46CA0"/>
    <w:rsid w:val="00B4714D"/>
    <w:rsid w:val="00B472BC"/>
    <w:rsid w:val="00B50C35"/>
    <w:rsid w:val="00B5278E"/>
    <w:rsid w:val="00B53359"/>
    <w:rsid w:val="00B533FB"/>
    <w:rsid w:val="00B53D27"/>
    <w:rsid w:val="00B53E8B"/>
    <w:rsid w:val="00B53F0E"/>
    <w:rsid w:val="00B5427B"/>
    <w:rsid w:val="00B54D6C"/>
    <w:rsid w:val="00B54FF9"/>
    <w:rsid w:val="00B55332"/>
    <w:rsid w:val="00B55543"/>
    <w:rsid w:val="00B55804"/>
    <w:rsid w:val="00B5702F"/>
    <w:rsid w:val="00B576B6"/>
    <w:rsid w:val="00B578A2"/>
    <w:rsid w:val="00B57B9A"/>
    <w:rsid w:val="00B60295"/>
    <w:rsid w:val="00B60C68"/>
    <w:rsid w:val="00B61D84"/>
    <w:rsid w:val="00B62116"/>
    <w:rsid w:val="00B621AF"/>
    <w:rsid w:val="00B622AE"/>
    <w:rsid w:val="00B62DE6"/>
    <w:rsid w:val="00B63064"/>
    <w:rsid w:val="00B632B9"/>
    <w:rsid w:val="00B63AD1"/>
    <w:rsid w:val="00B63B94"/>
    <w:rsid w:val="00B640C2"/>
    <w:rsid w:val="00B642EF"/>
    <w:rsid w:val="00B64595"/>
    <w:rsid w:val="00B64DFB"/>
    <w:rsid w:val="00B65193"/>
    <w:rsid w:val="00B6533D"/>
    <w:rsid w:val="00B65394"/>
    <w:rsid w:val="00B656B3"/>
    <w:rsid w:val="00B663F4"/>
    <w:rsid w:val="00B677E5"/>
    <w:rsid w:val="00B70C3A"/>
    <w:rsid w:val="00B71C18"/>
    <w:rsid w:val="00B71D1C"/>
    <w:rsid w:val="00B72B52"/>
    <w:rsid w:val="00B72BC0"/>
    <w:rsid w:val="00B73482"/>
    <w:rsid w:val="00B73C48"/>
    <w:rsid w:val="00B74FB4"/>
    <w:rsid w:val="00B7574F"/>
    <w:rsid w:val="00B76D04"/>
    <w:rsid w:val="00B76D33"/>
    <w:rsid w:val="00B80294"/>
    <w:rsid w:val="00B803FC"/>
    <w:rsid w:val="00B80C3D"/>
    <w:rsid w:val="00B8149C"/>
    <w:rsid w:val="00B81C61"/>
    <w:rsid w:val="00B82417"/>
    <w:rsid w:val="00B831E5"/>
    <w:rsid w:val="00B835E7"/>
    <w:rsid w:val="00B837A2"/>
    <w:rsid w:val="00B84035"/>
    <w:rsid w:val="00B84145"/>
    <w:rsid w:val="00B8437C"/>
    <w:rsid w:val="00B843DD"/>
    <w:rsid w:val="00B84661"/>
    <w:rsid w:val="00B84E82"/>
    <w:rsid w:val="00B853E3"/>
    <w:rsid w:val="00B85EE7"/>
    <w:rsid w:val="00B8619D"/>
    <w:rsid w:val="00B867B4"/>
    <w:rsid w:val="00B86B9E"/>
    <w:rsid w:val="00B876FF"/>
    <w:rsid w:val="00B87F94"/>
    <w:rsid w:val="00B90327"/>
    <w:rsid w:val="00B9056B"/>
    <w:rsid w:val="00B916A9"/>
    <w:rsid w:val="00B92409"/>
    <w:rsid w:val="00B9278F"/>
    <w:rsid w:val="00B92849"/>
    <w:rsid w:val="00B92B39"/>
    <w:rsid w:val="00B92C78"/>
    <w:rsid w:val="00B93798"/>
    <w:rsid w:val="00B93E20"/>
    <w:rsid w:val="00B94392"/>
    <w:rsid w:val="00B94C9C"/>
    <w:rsid w:val="00B9501E"/>
    <w:rsid w:val="00B95259"/>
    <w:rsid w:val="00BA0749"/>
    <w:rsid w:val="00BA0876"/>
    <w:rsid w:val="00BA0DBE"/>
    <w:rsid w:val="00BA16F2"/>
    <w:rsid w:val="00BA3860"/>
    <w:rsid w:val="00BA3C68"/>
    <w:rsid w:val="00BA3F07"/>
    <w:rsid w:val="00BA45B4"/>
    <w:rsid w:val="00BA4A2C"/>
    <w:rsid w:val="00BA5F53"/>
    <w:rsid w:val="00BA646F"/>
    <w:rsid w:val="00BA6885"/>
    <w:rsid w:val="00BA6CC1"/>
    <w:rsid w:val="00BA7876"/>
    <w:rsid w:val="00BA7CE0"/>
    <w:rsid w:val="00BA7EB3"/>
    <w:rsid w:val="00BB0560"/>
    <w:rsid w:val="00BB0C29"/>
    <w:rsid w:val="00BB1330"/>
    <w:rsid w:val="00BB1A00"/>
    <w:rsid w:val="00BB2CB7"/>
    <w:rsid w:val="00BB30E5"/>
    <w:rsid w:val="00BB3532"/>
    <w:rsid w:val="00BB3567"/>
    <w:rsid w:val="00BB4141"/>
    <w:rsid w:val="00BB4771"/>
    <w:rsid w:val="00BB6076"/>
    <w:rsid w:val="00BB6671"/>
    <w:rsid w:val="00BB66B3"/>
    <w:rsid w:val="00BB7FD3"/>
    <w:rsid w:val="00BC003C"/>
    <w:rsid w:val="00BC08DD"/>
    <w:rsid w:val="00BC0C27"/>
    <w:rsid w:val="00BC12CC"/>
    <w:rsid w:val="00BC1E28"/>
    <w:rsid w:val="00BC2071"/>
    <w:rsid w:val="00BC2AB8"/>
    <w:rsid w:val="00BC2B21"/>
    <w:rsid w:val="00BC2F7E"/>
    <w:rsid w:val="00BC49C6"/>
    <w:rsid w:val="00BC5A07"/>
    <w:rsid w:val="00BC5CDC"/>
    <w:rsid w:val="00BC6BB3"/>
    <w:rsid w:val="00BC6F16"/>
    <w:rsid w:val="00BC7AAB"/>
    <w:rsid w:val="00BC7BCD"/>
    <w:rsid w:val="00BD138F"/>
    <w:rsid w:val="00BD32F8"/>
    <w:rsid w:val="00BD3EC1"/>
    <w:rsid w:val="00BD41BB"/>
    <w:rsid w:val="00BD4319"/>
    <w:rsid w:val="00BD437C"/>
    <w:rsid w:val="00BD477B"/>
    <w:rsid w:val="00BD4AC4"/>
    <w:rsid w:val="00BD5EF7"/>
    <w:rsid w:val="00BD630E"/>
    <w:rsid w:val="00BD66F5"/>
    <w:rsid w:val="00BD6BDA"/>
    <w:rsid w:val="00BD74DF"/>
    <w:rsid w:val="00BD78C9"/>
    <w:rsid w:val="00BD7CDF"/>
    <w:rsid w:val="00BE0310"/>
    <w:rsid w:val="00BE0EC4"/>
    <w:rsid w:val="00BE1503"/>
    <w:rsid w:val="00BE1763"/>
    <w:rsid w:val="00BE17BE"/>
    <w:rsid w:val="00BE2063"/>
    <w:rsid w:val="00BE218D"/>
    <w:rsid w:val="00BE2308"/>
    <w:rsid w:val="00BE26E8"/>
    <w:rsid w:val="00BE335A"/>
    <w:rsid w:val="00BE3D77"/>
    <w:rsid w:val="00BE43A1"/>
    <w:rsid w:val="00BE460A"/>
    <w:rsid w:val="00BE4A0D"/>
    <w:rsid w:val="00BE533D"/>
    <w:rsid w:val="00BE5980"/>
    <w:rsid w:val="00BE5D7B"/>
    <w:rsid w:val="00BE6ED3"/>
    <w:rsid w:val="00BE75CC"/>
    <w:rsid w:val="00BE7608"/>
    <w:rsid w:val="00BE7814"/>
    <w:rsid w:val="00BF035C"/>
    <w:rsid w:val="00BF0B36"/>
    <w:rsid w:val="00BF0CB9"/>
    <w:rsid w:val="00BF0F33"/>
    <w:rsid w:val="00BF10CD"/>
    <w:rsid w:val="00BF1BC2"/>
    <w:rsid w:val="00BF2281"/>
    <w:rsid w:val="00BF3384"/>
    <w:rsid w:val="00BF36F8"/>
    <w:rsid w:val="00BF4B07"/>
    <w:rsid w:val="00BF4B17"/>
    <w:rsid w:val="00BF4C4E"/>
    <w:rsid w:val="00BF6188"/>
    <w:rsid w:val="00BF62AC"/>
    <w:rsid w:val="00BF657E"/>
    <w:rsid w:val="00BF7051"/>
    <w:rsid w:val="00BF751B"/>
    <w:rsid w:val="00BF7A76"/>
    <w:rsid w:val="00C004F9"/>
    <w:rsid w:val="00C00D64"/>
    <w:rsid w:val="00C01147"/>
    <w:rsid w:val="00C01961"/>
    <w:rsid w:val="00C024F3"/>
    <w:rsid w:val="00C027A9"/>
    <w:rsid w:val="00C027D4"/>
    <w:rsid w:val="00C02E04"/>
    <w:rsid w:val="00C02E09"/>
    <w:rsid w:val="00C02F4E"/>
    <w:rsid w:val="00C0329A"/>
    <w:rsid w:val="00C035C1"/>
    <w:rsid w:val="00C0398B"/>
    <w:rsid w:val="00C03CF4"/>
    <w:rsid w:val="00C043CE"/>
    <w:rsid w:val="00C04ECD"/>
    <w:rsid w:val="00C0516B"/>
    <w:rsid w:val="00C058FE"/>
    <w:rsid w:val="00C05A1E"/>
    <w:rsid w:val="00C06A0C"/>
    <w:rsid w:val="00C078BA"/>
    <w:rsid w:val="00C07AE9"/>
    <w:rsid w:val="00C10424"/>
    <w:rsid w:val="00C104F8"/>
    <w:rsid w:val="00C10534"/>
    <w:rsid w:val="00C1087D"/>
    <w:rsid w:val="00C113F5"/>
    <w:rsid w:val="00C1149E"/>
    <w:rsid w:val="00C124EF"/>
    <w:rsid w:val="00C13515"/>
    <w:rsid w:val="00C1466E"/>
    <w:rsid w:val="00C14697"/>
    <w:rsid w:val="00C1504E"/>
    <w:rsid w:val="00C157B3"/>
    <w:rsid w:val="00C162CF"/>
    <w:rsid w:val="00C1706D"/>
    <w:rsid w:val="00C174F8"/>
    <w:rsid w:val="00C17FE4"/>
    <w:rsid w:val="00C2056D"/>
    <w:rsid w:val="00C20740"/>
    <w:rsid w:val="00C207FA"/>
    <w:rsid w:val="00C218A5"/>
    <w:rsid w:val="00C21C29"/>
    <w:rsid w:val="00C21F1C"/>
    <w:rsid w:val="00C2293F"/>
    <w:rsid w:val="00C23108"/>
    <w:rsid w:val="00C23E57"/>
    <w:rsid w:val="00C242A3"/>
    <w:rsid w:val="00C25AC7"/>
    <w:rsid w:val="00C26839"/>
    <w:rsid w:val="00C276D3"/>
    <w:rsid w:val="00C27D9E"/>
    <w:rsid w:val="00C27E5A"/>
    <w:rsid w:val="00C3000F"/>
    <w:rsid w:val="00C301C6"/>
    <w:rsid w:val="00C314E6"/>
    <w:rsid w:val="00C31FB1"/>
    <w:rsid w:val="00C332FC"/>
    <w:rsid w:val="00C33796"/>
    <w:rsid w:val="00C33A5C"/>
    <w:rsid w:val="00C34725"/>
    <w:rsid w:val="00C34D29"/>
    <w:rsid w:val="00C356DF"/>
    <w:rsid w:val="00C358C0"/>
    <w:rsid w:val="00C359CF"/>
    <w:rsid w:val="00C37074"/>
    <w:rsid w:val="00C409E5"/>
    <w:rsid w:val="00C40FC7"/>
    <w:rsid w:val="00C412CF"/>
    <w:rsid w:val="00C421B7"/>
    <w:rsid w:val="00C425C1"/>
    <w:rsid w:val="00C426F4"/>
    <w:rsid w:val="00C427A1"/>
    <w:rsid w:val="00C42C82"/>
    <w:rsid w:val="00C434A7"/>
    <w:rsid w:val="00C443F9"/>
    <w:rsid w:val="00C468FF"/>
    <w:rsid w:val="00C46EF1"/>
    <w:rsid w:val="00C46F86"/>
    <w:rsid w:val="00C470EA"/>
    <w:rsid w:val="00C477CF"/>
    <w:rsid w:val="00C47CE7"/>
    <w:rsid w:val="00C50058"/>
    <w:rsid w:val="00C50A9C"/>
    <w:rsid w:val="00C50B7C"/>
    <w:rsid w:val="00C50DDA"/>
    <w:rsid w:val="00C51B2A"/>
    <w:rsid w:val="00C51F40"/>
    <w:rsid w:val="00C52015"/>
    <w:rsid w:val="00C5313B"/>
    <w:rsid w:val="00C53654"/>
    <w:rsid w:val="00C53AB2"/>
    <w:rsid w:val="00C5416D"/>
    <w:rsid w:val="00C54D8E"/>
    <w:rsid w:val="00C553FA"/>
    <w:rsid w:val="00C55CEC"/>
    <w:rsid w:val="00C561EB"/>
    <w:rsid w:val="00C5644C"/>
    <w:rsid w:val="00C56457"/>
    <w:rsid w:val="00C5770B"/>
    <w:rsid w:val="00C57A95"/>
    <w:rsid w:val="00C57BFA"/>
    <w:rsid w:val="00C57E0A"/>
    <w:rsid w:val="00C60767"/>
    <w:rsid w:val="00C608A6"/>
    <w:rsid w:val="00C60CD2"/>
    <w:rsid w:val="00C613C8"/>
    <w:rsid w:val="00C6157A"/>
    <w:rsid w:val="00C6158F"/>
    <w:rsid w:val="00C61EB8"/>
    <w:rsid w:val="00C62D2D"/>
    <w:rsid w:val="00C63068"/>
    <w:rsid w:val="00C631C0"/>
    <w:rsid w:val="00C63ED0"/>
    <w:rsid w:val="00C65DE5"/>
    <w:rsid w:val="00C662E9"/>
    <w:rsid w:val="00C66522"/>
    <w:rsid w:val="00C671DC"/>
    <w:rsid w:val="00C673D9"/>
    <w:rsid w:val="00C6754F"/>
    <w:rsid w:val="00C67B6F"/>
    <w:rsid w:val="00C706A9"/>
    <w:rsid w:val="00C7077C"/>
    <w:rsid w:val="00C70EB8"/>
    <w:rsid w:val="00C71044"/>
    <w:rsid w:val="00C71327"/>
    <w:rsid w:val="00C71E53"/>
    <w:rsid w:val="00C72037"/>
    <w:rsid w:val="00C721B3"/>
    <w:rsid w:val="00C72B3A"/>
    <w:rsid w:val="00C739B1"/>
    <w:rsid w:val="00C73E2F"/>
    <w:rsid w:val="00C74E2C"/>
    <w:rsid w:val="00C74FE0"/>
    <w:rsid w:val="00C759D4"/>
    <w:rsid w:val="00C759EB"/>
    <w:rsid w:val="00C75BE3"/>
    <w:rsid w:val="00C75CBF"/>
    <w:rsid w:val="00C76C92"/>
    <w:rsid w:val="00C76E6A"/>
    <w:rsid w:val="00C7720A"/>
    <w:rsid w:val="00C77A35"/>
    <w:rsid w:val="00C77B6F"/>
    <w:rsid w:val="00C77C4C"/>
    <w:rsid w:val="00C816F5"/>
    <w:rsid w:val="00C81C90"/>
    <w:rsid w:val="00C81FCB"/>
    <w:rsid w:val="00C82284"/>
    <w:rsid w:val="00C8274F"/>
    <w:rsid w:val="00C827B5"/>
    <w:rsid w:val="00C828C2"/>
    <w:rsid w:val="00C84DBB"/>
    <w:rsid w:val="00C8546A"/>
    <w:rsid w:val="00C854D7"/>
    <w:rsid w:val="00C85A56"/>
    <w:rsid w:val="00C85DAE"/>
    <w:rsid w:val="00C861D7"/>
    <w:rsid w:val="00C863C5"/>
    <w:rsid w:val="00C87784"/>
    <w:rsid w:val="00C8783E"/>
    <w:rsid w:val="00C878DA"/>
    <w:rsid w:val="00C902D6"/>
    <w:rsid w:val="00C91DF5"/>
    <w:rsid w:val="00C92AD4"/>
    <w:rsid w:val="00C92C13"/>
    <w:rsid w:val="00C92C63"/>
    <w:rsid w:val="00C937D3"/>
    <w:rsid w:val="00C958A5"/>
    <w:rsid w:val="00C9591C"/>
    <w:rsid w:val="00C9635E"/>
    <w:rsid w:val="00C9646A"/>
    <w:rsid w:val="00C96542"/>
    <w:rsid w:val="00C9696D"/>
    <w:rsid w:val="00C9744A"/>
    <w:rsid w:val="00C97981"/>
    <w:rsid w:val="00C97D1E"/>
    <w:rsid w:val="00CA0342"/>
    <w:rsid w:val="00CA06C4"/>
    <w:rsid w:val="00CA0B3F"/>
    <w:rsid w:val="00CA0BA3"/>
    <w:rsid w:val="00CA0EBB"/>
    <w:rsid w:val="00CA21AB"/>
    <w:rsid w:val="00CA2883"/>
    <w:rsid w:val="00CA2976"/>
    <w:rsid w:val="00CA2BED"/>
    <w:rsid w:val="00CA2E09"/>
    <w:rsid w:val="00CA39D4"/>
    <w:rsid w:val="00CA47F1"/>
    <w:rsid w:val="00CA5EF8"/>
    <w:rsid w:val="00CA6194"/>
    <w:rsid w:val="00CA72B6"/>
    <w:rsid w:val="00CA7733"/>
    <w:rsid w:val="00CB0074"/>
    <w:rsid w:val="00CB1CC2"/>
    <w:rsid w:val="00CB2617"/>
    <w:rsid w:val="00CB26D3"/>
    <w:rsid w:val="00CB31F4"/>
    <w:rsid w:val="00CB38CD"/>
    <w:rsid w:val="00CB3AAE"/>
    <w:rsid w:val="00CB45C7"/>
    <w:rsid w:val="00CB4BD6"/>
    <w:rsid w:val="00CB6648"/>
    <w:rsid w:val="00CB69F0"/>
    <w:rsid w:val="00CB6ACE"/>
    <w:rsid w:val="00CB7097"/>
    <w:rsid w:val="00CB7112"/>
    <w:rsid w:val="00CB779D"/>
    <w:rsid w:val="00CC006F"/>
    <w:rsid w:val="00CC00F7"/>
    <w:rsid w:val="00CC013B"/>
    <w:rsid w:val="00CC0155"/>
    <w:rsid w:val="00CC0326"/>
    <w:rsid w:val="00CC0792"/>
    <w:rsid w:val="00CC092D"/>
    <w:rsid w:val="00CC12F4"/>
    <w:rsid w:val="00CC227E"/>
    <w:rsid w:val="00CC298B"/>
    <w:rsid w:val="00CC32E0"/>
    <w:rsid w:val="00CC60A0"/>
    <w:rsid w:val="00CC7348"/>
    <w:rsid w:val="00CC7805"/>
    <w:rsid w:val="00CD0396"/>
    <w:rsid w:val="00CD04D0"/>
    <w:rsid w:val="00CD0F09"/>
    <w:rsid w:val="00CD13EA"/>
    <w:rsid w:val="00CD1446"/>
    <w:rsid w:val="00CD18C4"/>
    <w:rsid w:val="00CD2F3C"/>
    <w:rsid w:val="00CD3119"/>
    <w:rsid w:val="00CD37CF"/>
    <w:rsid w:val="00CD3893"/>
    <w:rsid w:val="00CD3B44"/>
    <w:rsid w:val="00CD4372"/>
    <w:rsid w:val="00CD53F0"/>
    <w:rsid w:val="00CD54F0"/>
    <w:rsid w:val="00CD5533"/>
    <w:rsid w:val="00CD6016"/>
    <w:rsid w:val="00CD60E7"/>
    <w:rsid w:val="00CD61AD"/>
    <w:rsid w:val="00CD65CE"/>
    <w:rsid w:val="00CD6EDC"/>
    <w:rsid w:val="00CD7260"/>
    <w:rsid w:val="00CD753F"/>
    <w:rsid w:val="00CD7C75"/>
    <w:rsid w:val="00CE0106"/>
    <w:rsid w:val="00CE03D2"/>
    <w:rsid w:val="00CE1AF6"/>
    <w:rsid w:val="00CE204B"/>
    <w:rsid w:val="00CE2F15"/>
    <w:rsid w:val="00CE4480"/>
    <w:rsid w:val="00CE5A07"/>
    <w:rsid w:val="00CE5C70"/>
    <w:rsid w:val="00CE637B"/>
    <w:rsid w:val="00CE76D7"/>
    <w:rsid w:val="00CF0A88"/>
    <w:rsid w:val="00CF0F3E"/>
    <w:rsid w:val="00CF1A98"/>
    <w:rsid w:val="00CF353A"/>
    <w:rsid w:val="00CF35E4"/>
    <w:rsid w:val="00CF3E54"/>
    <w:rsid w:val="00CF41A9"/>
    <w:rsid w:val="00CF5634"/>
    <w:rsid w:val="00CF5F68"/>
    <w:rsid w:val="00CF627E"/>
    <w:rsid w:val="00CF653E"/>
    <w:rsid w:val="00CF6840"/>
    <w:rsid w:val="00CF6A7C"/>
    <w:rsid w:val="00CF7181"/>
    <w:rsid w:val="00CF74B8"/>
    <w:rsid w:val="00CF7FA8"/>
    <w:rsid w:val="00D00DE8"/>
    <w:rsid w:val="00D012F4"/>
    <w:rsid w:val="00D0152A"/>
    <w:rsid w:val="00D01710"/>
    <w:rsid w:val="00D01740"/>
    <w:rsid w:val="00D01B00"/>
    <w:rsid w:val="00D01D60"/>
    <w:rsid w:val="00D024BD"/>
    <w:rsid w:val="00D038BE"/>
    <w:rsid w:val="00D0404E"/>
    <w:rsid w:val="00D04CC2"/>
    <w:rsid w:val="00D054AA"/>
    <w:rsid w:val="00D05A61"/>
    <w:rsid w:val="00D06592"/>
    <w:rsid w:val="00D0663A"/>
    <w:rsid w:val="00D06F52"/>
    <w:rsid w:val="00D06FDC"/>
    <w:rsid w:val="00D07AA8"/>
    <w:rsid w:val="00D10ADA"/>
    <w:rsid w:val="00D10F6C"/>
    <w:rsid w:val="00D10F99"/>
    <w:rsid w:val="00D11170"/>
    <w:rsid w:val="00D119D6"/>
    <w:rsid w:val="00D12892"/>
    <w:rsid w:val="00D131D0"/>
    <w:rsid w:val="00D1493F"/>
    <w:rsid w:val="00D14AEE"/>
    <w:rsid w:val="00D15034"/>
    <w:rsid w:val="00D16A71"/>
    <w:rsid w:val="00D170EA"/>
    <w:rsid w:val="00D1737C"/>
    <w:rsid w:val="00D17469"/>
    <w:rsid w:val="00D17F16"/>
    <w:rsid w:val="00D207AA"/>
    <w:rsid w:val="00D22251"/>
    <w:rsid w:val="00D22513"/>
    <w:rsid w:val="00D23B29"/>
    <w:rsid w:val="00D2411B"/>
    <w:rsid w:val="00D2450B"/>
    <w:rsid w:val="00D24804"/>
    <w:rsid w:val="00D25258"/>
    <w:rsid w:val="00D254F9"/>
    <w:rsid w:val="00D25590"/>
    <w:rsid w:val="00D259E5"/>
    <w:rsid w:val="00D266FF"/>
    <w:rsid w:val="00D26D8E"/>
    <w:rsid w:val="00D273EE"/>
    <w:rsid w:val="00D27426"/>
    <w:rsid w:val="00D27E9C"/>
    <w:rsid w:val="00D31746"/>
    <w:rsid w:val="00D324C7"/>
    <w:rsid w:val="00D32661"/>
    <w:rsid w:val="00D3290D"/>
    <w:rsid w:val="00D3298F"/>
    <w:rsid w:val="00D330D3"/>
    <w:rsid w:val="00D330D6"/>
    <w:rsid w:val="00D336A5"/>
    <w:rsid w:val="00D338A6"/>
    <w:rsid w:val="00D33C81"/>
    <w:rsid w:val="00D3471D"/>
    <w:rsid w:val="00D350CB"/>
    <w:rsid w:val="00D365C4"/>
    <w:rsid w:val="00D36D95"/>
    <w:rsid w:val="00D36F16"/>
    <w:rsid w:val="00D374B8"/>
    <w:rsid w:val="00D37BE4"/>
    <w:rsid w:val="00D40EAC"/>
    <w:rsid w:val="00D41089"/>
    <w:rsid w:val="00D420BF"/>
    <w:rsid w:val="00D43521"/>
    <w:rsid w:val="00D4356D"/>
    <w:rsid w:val="00D439BD"/>
    <w:rsid w:val="00D43F50"/>
    <w:rsid w:val="00D4475D"/>
    <w:rsid w:val="00D44AF8"/>
    <w:rsid w:val="00D44F86"/>
    <w:rsid w:val="00D45133"/>
    <w:rsid w:val="00D45911"/>
    <w:rsid w:val="00D46175"/>
    <w:rsid w:val="00D4622A"/>
    <w:rsid w:val="00D46BDE"/>
    <w:rsid w:val="00D50360"/>
    <w:rsid w:val="00D509CC"/>
    <w:rsid w:val="00D50AB3"/>
    <w:rsid w:val="00D50DD8"/>
    <w:rsid w:val="00D5109A"/>
    <w:rsid w:val="00D5120A"/>
    <w:rsid w:val="00D51B04"/>
    <w:rsid w:val="00D51D70"/>
    <w:rsid w:val="00D52D09"/>
    <w:rsid w:val="00D53038"/>
    <w:rsid w:val="00D53D2E"/>
    <w:rsid w:val="00D545CD"/>
    <w:rsid w:val="00D54935"/>
    <w:rsid w:val="00D549D3"/>
    <w:rsid w:val="00D54BC7"/>
    <w:rsid w:val="00D54BFA"/>
    <w:rsid w:val="00D551ED"/>
    <w:rsid w:val="00D60551"/>
    <w:rsid w:val="00D60F80"/>
    <w:rsid w:val="00D61585"/>
    <w:rsid w:val="00D61824"/>
    <w:rsid w:val="00D61A56"/>
    <w:rsid w:val="00D62EB1"/>
    <w:rsid w:val="00D631F4"/>
    <w:rsid w:val="00D63AD4"/>
    <w:rsid w:val="00D642F9"/>
    <w:rsid w:val="00D6500C"/>
    <w:rsid w:val="00D65114"/>
    <w:rsid w:val="00D654BA"/>
    <w:rsid w:val="00D66F72"/>
    <w:rsid w:val="00D67396"/>
    <w:rsid w:val="00D67F12"/>
    <w:rsid w:val="00D716A8"/>
    <w:rsid w:val="00D72032"/>
    <w:rsid w:val="00D7215C"/>
    <w:rsid w:val="00D7249E"/>
    <w:rsid w:val="00D72BA0"/>
    <w:rsid w:val="00D73C15"/>
    <w:rsid w:val="00D73DFD"/>
    <w:rsid w:val="00D73E2E"/>
    <w:rsid w:val="00D74323"/>
    <w:rsid w:val="00D7473F"/>
    <w:rsid w:val="00D74EFF"/>
    <w:rsid w:val="00D750C8"/>
    <w:rsid w:val="00D75899"/>
    <w:rsid w:val="00D76087"/>
    <w:rsid w:val="00D76812"/>
    <w:rsid w:val="00D769BB"/>
    <w:rsid w:val="00D76B63"/>
    <w:rsid w:val="00D77184"/>
    <w:rsid w:val="00D77253"/>
    <w:rsid w:val="00D77E8F"/>
    <w:rsid w:val="00D80323"/>
    <w:rsid w:val="00D8085F"/>
    <w:rsid w:val="00D80B75"/>
    <w:rsid w:val="00D838A6"/>
    <w:rsid w:val="00D84AB9"/>
    <w:rsid w:val="00D84D7E"/>
    <w:rsid w:val="00D85480"/>
    <w:rsid w:val="00D854BE"/>
    <w:rsid w:val="00D85B72"/>
    <w:rsid w:val="00D874D0"/>
    <w:rsid w:val="00D87782"/>
    <w:rsid w:val="00D9011D"/>
    <w:rsid w:val="00D90143"/>
    <w:rsid w:val="00D90212"/>
    <w:rsid w:val="00D90A94"/>
    <w:rsid w:val="00D91D40"/>
    <w:rsid w:val="00D925D1"/>
    <w:rsid w:val="00D92769"/>
    <w:rsid w:val="00D932CF"/>
    <w:rsid w:val="00D9394A"/>
    <w:rsid w:val="00D93BA6"/>
    <w:rsid w:val="00D945A0"/>
    <w:rsid w:val="00D94D61"/>
    <w:rsid w:val="00D950D8"/>
    <w:rsid w:val="00D955A7"/>
    <w:rsid w:val="00D95832"/>
    <w:rsid w:val="00D95865"/>
    <w:rsid w:val="00D95CE6"/>
    <w:rsid w:val="00D95E0D"/>
    <w:rsid w:val="00D95E14"/>
    <w:rsid w:val="00D96122"/>
    <w:rsid w:val="00D96A16"/>
    <w:rsid w:val="00D96BD7"/>
    <w:rsid w:val="00D977C1"/>
    <w:rsid w:val="00DA016E"/>
    <w:rsid w:val="00DA061C"/>
    <w:rsid w:val="00DA0C05"/>
    <w:rsid w:val="00DA10F4"/>
    <w:rsid w:val="00DA129F"/>
    <w:rsid w:val="00DA18F0"/>
    <w:rsid w:val="00DA2579"/>
    <w:rsid w:val="00DA3D4F"/>
    <w:rsid w:val="00DA3DC9"/>
    <w:rsid w:val="00DA4370"/>
    <w:rsid w:val="00DA4630"/>
    <w:rsid w:val="00DA49B9"/>
    <w:rsid w:val="00DA4B6B"/>
    <w:rsid w:val="00DA525A"/>
    <w:rsid w:val="00DA5913"/>
    <w:rsid w:val="00DA6C62"/>
    <w:rsid w:val="00DA6F26"/>
    <w:rsid w:val="00DA71A0"/>
    <w:rsid w:val="00DA7607"/>
    <w:rsid w:val="00DB00FE"/>
    <w:rsid w:val="00DB054B"/>
    <w:rsid w:val="00DB0C1A"/>
    <w:rsid w:val="00DB0D1F"/>
    <w:rsid w:val="00DB1097"/>
    <w:rsid w:val="00DB24F6"/>
    <w:rsid w:val="00DB28FC"/>
    <w:rsid w:val="00DB2E5F"/>
    <w:rsid w:val="00DB32C1"/>
    <w:rsid w:val="00DB34AB"/>
    <w:rsid w:val="00DB375F"/>
    <w:rsid w:val="00DB379F"/>
    <w:rsid w:val="00DB48B0"/>
    <w:rsid w:val="00DB494D"/>
    <w:rsid w:val="00DB5F00"/>
    <w:rsid w:val="00DB64D9"/>
    <w:rsid w:val="00DB655E"/>
    <w:rsid w:val="00DB6D5F"/>
    <w:rsid w:val="00DB6DAF"/>
    <w:rsid w:val="00DB6F31"/>
    <w:rsid w:val="00DB7198"/>
    <w:rsid w:val="00DB7EB6"/>
    <w:rsid w:val="00DC0332"/>
    <w:rsid w:val="00DC1456"/>
    <w:rsid w:val="00DC14C1"/>
    <w:rsid w:val="00DC1F0B"/>
    <w:rsid w:val="00DC29E7"/>
    <w:rsid w:val="00DC3364"/>
    <w:rsid w:val="00DC33AE"/>
    <w:rsid w:val="00DC3537"/>
    <w:rsid w:val="00DC415B"/>
    <w:rsid w:val="00DC4297"/>
    <w:rsid w:val="00DC450D"/>
    <w:rsid w:val="00DC5694"/>
    <w:rsid w:val="00DC6065"/>
    <w:rsid w:val="00DC783F"/>
    <w:rsid w:val="00DC7866"/>
    <w:rsid w:val="00DD0195"/>
    <w:rsid w:val="00DD03CC"/>
    <w:rsid w:val="00DD0604"/>
    <w:rsid w:val="00DD0652"/>
    <w:rsid w:val="00DD0A7B"/>
    <w:rsid w:val="00DD0D76"/>
    <w:rsid w:val="00DD115C"/>
    <w:rsid w:val="00DD223F"/>
    <w:rsid w:val="00DD28B0"/>
    <w:rsid w:val="00DD3B52"/>
    <w:rsid w:val="00DD3BD7"/>
    <w:rsid w:val="00DD484E"/>
    <w:rsid w:val="00DD4958"/>
    <w:rsid w:val="00DD4BC2"/>
    <w:rsid w:val="00DD4CD3"/>
    <w:rsid w:val="00DD5A89"/>
    <w:rsid w:val="00DD6782"/>
    <w:rsid w:val="00DD7466"/>
    <w:rsid w:val="00DE002E"/>
    <w:rsid w:val="00DE0266"/>
    <w:rsid w:val="00DE0C2B"/>
    <w:rsid w:val="00DE0C99"/>
    <w:rsid w:val="00DE0FCD"/>
    <w:rsid w:val="00DE11D7"/>
    <w:rsid w:val="00DE1933"/>
    <w:rsid w:val="00DE1FE1"/>
    <w:rsid w:val="00DE2176"/>
    <w:rsid w:val="00DE2276"/>
    <w:rsid w:val="00DE244D"/>
    <w:rsid w:val="00DE30B6"/>
    <w:rsid w:val="00DE3247"/>
    <w:rsid w:val="00DE3AAB"/>
    <w:rsid w:val="00DE3E50"/>
    <w:rsid w:val="00DE4320"/>
    <w:rsid w:val="00DE44EA"/>
    <w:rsid w:val="00DE48E9"/>
    <w:rsid w:val="00DE5269"/>
    <w:rsid w:val="00DE53AF"/>
    <w:rsid w:val="00DE5CE9"/>
    <w:rsid w:val="00DE67A0"/>
    <w:rsid w:val="00DE69B1"/>
    <w:rsid w:val="00DE6A40"/>
    <w:rsid w:val="00DE6ACB"/>
    <w:rsid w:val="00DE6D10"/>
    <w:rsid w:val="00DE76D4"/>
    <w:rsid w:val="00DE787D"/>
    <w:rsid w:val="00DF0BA6"/>
    <w:rsid w:val="00DF0C8F"/>
    <w:rsid w:val="00DF1119"/>
    <w:rsid w:val="00DF17CD"/>
    <w:rsid w:val="00DF225E"/>
    <w:rsid w:val="00DF2ED6"/>
    <w:rsid w:val="00DF2FC1"/>
    <w:rsid w:val="00DF3287"/>
    <w:rsid w:val="00DF43BC"/>
    <w:rsid w:val="00DF43E3"/>
    <w:rsid w:val="00DF4752"/>
    <w:rsid w:val="00DF51E5"/>
    <w:rsid w:val="00DF525D"/>
    <w:rsid w:val="00DF57EC"/>
    <w:rsid w:val="00DF58EE"/>
    <w:rsid w:val="00DF5FFA"/>
    <w:rsid w:val="00DF6FC2"/>
    <w:rsid w:val="00DF7468"/>
    <w:rsid w:val="00DF76FE"/>
    <w:rsid w:val="00DF7743"/>
    <w:rsid w:val="00DF775F"/>
    <w:rsid w:val="00DF7EA2"/>
    <w:rsid w:val="00E00225"/>
    <w:rsid w:val="00E00BB0"/>
    <w:rsid w:val="00E00BB5"/>
    <w:rsid w:val="00E01255"/>
    <w:rsid w:val="00E014BD"/>
    <w:rsid w:val="00E01FCB"/>
    <w:rsid w:val="00E0262B"/>
    <w:rsid w:val="00E03B8F"/>
    <w:rsid w:val="00E03D55"/>
    <w:rsid w:val="00E03E89"/>
    <w:rsid w:val="00E0426B"/>
    <w:rsid w:val="00E042B6"/>
    <w:rsid w:val="00E049D5"/>
    <w:rsid w:val="00E05A3B"/>
    <w:rsid w:val="00E05B80"/>
    <w:rsid w:val="00E06AEF"/>
    <w:rsid w:val="00E06C0E"/>
    <w:rsid w:val="00E06D30"/>
    <w:rsid w:val="00E0770E"/>
    <w:rsid w:val="00E101EA"/>
    <w:rsid w:val="00E105C2"/>
    <w:rsid w:val="00E11D87"/>
    <w:rsid w:val="00E11E00"/>
    <w:rsid w:val="00E120FE"/>
    <w:rsid w:val="00E14217"/>
    <w:rsid w:val="00E1437B"/>
    <w:rsid w:val="00E1507B"/>
    <w:rsid w:val="00E15A7F"/>
    <w:rsid w:val="00E1615B"/>
    <w:rsid w:val="00E16ADB"/>
    <w:rsid w:val="00E16D31"/>
    <w:rsid w:val="00E20085"/>
    <w:rsid w:val="00E20227"/>
    <w:rsid w:val="00E20CF4"/>
    <w:rsid w:val="00E20FE4"/>
    <w:rsid w:val="00E21362"/>
    <w:rsid w:val="00E2144B"/>
    <w:rsid w:val="00E21BF3"/>
    <w:rsid w:val="00E21F6C"/>
    <w:rsid w:val="00E22B62"/>
    <w:rsid w:val="00E23031"/>
    <w:rsid w:val="00E2382F"/>
    <w:rsid w:val="00E2385A"/>
    <w:rsid w:val="00E253AC"/>
    <w:rsid w:val="00E256A7"/>
    <w:rsid w:val="00E25A2E"/>
    <w:rsid w:val="00E26044"/>
    <w:rsid w:val="00E262F3"/>
    <w:rsid w:val="00E266F8"/>
    <w:rsid w:val="00E26FBF"/>
    <w:rsid w:val="00E275AB"/>
    <w:rsid w:val="00E3007F"/>
    <w:rsid w:val="00E300A7"/>
    <w:rsid w:val="00E301C1"/>
    <w:rsid w:val="00E302AD"/>
    <w:rsid w:val="00E31034"/>
    <w:rsid w:val="00E31624"/>
    <w:rsid w:val="00E31FF0"/>
    <w:rsid w:val="00E32275"/>
    <w:rsid w:val="00E324F2"/>
    <w:rsid w:val="00E32A90"/>
    <w:rsid w:val="00E33190"/>
    <w:rsid w:val="00E33275"/>
    <w:rsid w:val="00E33F33"/>
    <w:rsid w:val="00E34D3A"/>
    <w:rsid w:val="00E34E16"/>
    <w:rsid w:val="00E35127"/>
    <w:rsid w:val="00E35585"/>
    <w:rsid w:val="00E36112"/>
    <w:rsid w:val="00E36BFF"/>
    <w:rsid w:val="00E37330"/>
    <w:rsid w:val="00E37C1E"/>
    <w:rsid w:val="00E40EC3"/>
    <w:rsid w:val="00E411BC"/>
    <w:rsid w:val="00E41838"/>
    <w:rsid w:val="00E41E76"/>
    <w:rsid w:val="00E434C6"/>
    <w:rsid w:val="00E44E60"/>
    <w:rsid w:val="00E4600D"/>
    <w:rsid w:val="00E46C22"/>
    <w:rsid w:val="00E47D4E"/>
    <w:rsid w:val="00E5075A"/>
    <w:rsid w:val="00E5161B"/>
    <w:rsid w:val="00E518F5"/>
    <w:rsid w:val="00E5244C"/>
    <w:rsid w:val="00E528B9"/>
    <w:rsid w:val="00E52B51"/>
    <w:rsid w:val="00E53247"/>
    <w:rsid w:val="00E5344C"/>
    <w:rsid w:val="00E53520"/>
    <w:rsid w:val="00E53D9F"/>
    <w:rsid w:val="00E54AE5"/>
    <w:rsid w:val="00E557D7"/>
    <w:rsid w:val="00E559A8"/>
    <w:rsid w:val="00E55ED1"/>
    <w:rsid w:val="00E56309"/>
    <w:rsid w:val="00E5634E"/>
    <w:rsid w:val="00E57ABA"/>
    <w:rsid w:val="00E600CB"/>
    <w:rsid w:val="00E60D58"/>
    <w:rsid w:val="00E61824"/>
    <w:rsid w:val="00E61D30"/>
    <w:rsid w:val="00E621DB"/>
    <w:rsid w:val="00E62501"/>
    <w:rsid w:val="00E6256E"/>
    <w:rsid w:val="00E626BA"/>
    <w:rsid w:val="00E62B63"/>
    <w:rsid w:val="00E62FB1"/>
    <w:rsid w:val="00E63060"/>
    <w:rsid w:val="00E64D38"/>
    <w:rsid w:val="00E65964"/>
    <w:rsid w:val="00E66AD3"/>
    <w:rsid w:val="00E66F83"/>
    <w:rsid w:val="00E67488"/>
    <w:rsid w:val="00E675C2"/>
    <w:rsid w:val="00E70CD6"/>
    <w:rsid w:val="00E71909"/>
    <w:rsid w:val="00E71A24"/>
    <w:rsid w:val="00E71C15"/>
    <w:rsid w:val="00E71D3B"/>
    <w:rsid w:val="00E71EA9"/>
    <w:rsid w:val="00E722D1"/>
    <w:rsid w:val="00E728BA"/>
    <w:rsid w:val="00E72A18"/>
    <w:rsid w:val="00E72BD0"/>
    <w:rsid w:val="00E73087"/>
    <w:rsid w:val="00E73982"/>
    <w:rsid w:val="00E74533"/>
    <w:rsid w:val="00E747BD"/>
    <w:rsid w:val="00E7497B"/>
    <w:rsid w:val="00E74D2E"/>
    <w:rsid w:val="00E750E6"/>
    <w:rsid w:val="00E75BD9"/>
    <w:rsid w:val="00E75EF3"/>
    <w:rsid w:val="00E760CB"/>
    <w:rsid w:val="00E76F5C"/>
    <w:rsid w:val="00E7714B"/>
    <w:rsid w:val="00E80FBD"/>
    <w:rsid w:val="00E817B4"/>
    <w:rsid w:val="00E81976"/>
    <w:rsid w:val="00E81AF9"/>
    <w:rsid w:val="00E81CD9"/>
    <w:rsid w:val="00E81E08"/>
    <w:rsid w:val="00E82D44"/>
    <w:rsid w:val="00E82E89"/>
    <w:rsid w:val="00E8329C"/>
    <w:rsid w:val="00E852B9"/>
    <w:rsid w:val="00E8631D"/>
    <w:rsid w:val="00E86561"/>
    <w:rsid w:val="00E869CD"/>
    <w:rsid w:val="00E86C17"/>
    <w:rsid w:val="00E86E63"/>
    <w:rsid w:val="00E871A4"/>
    <w:rsid w:val="00E87756"/>
    <w:rsid w:val="00E87AFB"/>
    <w:rsid w:val="00E904AF"/>
    <w:rsid w:val="00E9282C"/>
    <w:rsid w:val="00E93360"/>
    <w:rsid w:val="00E95C21"/>
    <w:rsid w:val="00E95D38"/>
    <w:rsid w:val="00E96B4F"/>
    <w:rsid w:val="00E96C5E"/>
    <w:rsid w:val="00E96D4A"/>
    <w:rsid w:val="00E97404"/>
    <w:rsid w:val="00E9759B"/>
    <w:rsid w:val="00EA01B8"/>
    <w:rsid w:val="00EA18C2"/>
    <w:rsid w:val="00EA1BC9"/>
    <w:rsid w:val="00EA1CD6"/>
    <w:rsid w:val="00EA22B3"/>
    <w:rsid w:val="00EA27C1"/>
    <w:rsid w:val="00EA2B8E"/>
    <w:rsid w:val="00EA2E9E"/>
    <w:rsid w:val="00EA31B3"/>
    <w:rsid w:val="00EA3333"/>
    <w:rsid w:val="00EA3ADD"/>
    <w:rsid w:val="00EA40A4"/>
    <w:rsid w:val="00EA4122"/>
    <w:rsid w:val="00EA47BD"/>
    <w:rsid w:val="00EA53CB"/>
    <w:rsid w:val="00EA56BA"/>
    <w:rsid w:val="00EA581B"/>
    <w:rsid w:val="00EA5FC1"/>
    <w:rsid w:val="00EA7055"/>
    <w:rsid w:val="00EB01F2"/>
    <w:rsid w:val="00EB06BC"/>
    <w:rsid w:val="00EB0D3A"/>
    <w:rsid w:val="00EB1186"/>
    <w:rsid w:val="00EB1245"/>
    <w:rsid w:val="00EB1506"/>
    <w:rsid w:val="00EB1953"/>
    <w:rsid w:val="00EB1CAB"/>
    <w:rsid w:val="00EB2311"/>
    <w:rsid w:val="00EB31B8"/>
    <w:rsid w:val="00EB4486"/>
    <w:rsid w:val="00EB44FE"/>
    <w:rsid w:val="00EB4C1C"/>
    <w:rsid w:val="00EB4E0C"/>
    <w:rsid w:val="00EB4FAD"/>
    <w:rsid w:val="00EB536B"/>
    <w:rsid w:val="00EB5A0B"/>
    <w:rsid w:val="00EB636E"/>
    <w:rsid w:val="00EB64FF"/>
    <w:rsid w:val="00EB6F0C"/>
    <w:rsid w:val="00EB70BB"/>
    <w:rsid w:val="00EB7C78"/>
    <w:rsid w:val="00EC004D"/>
    <w:rsid w:val="00EC0D19"/>
    <w:rsid w:val="00EC0E34"/>
    <w:rsid w:val="00EC0FBC"/>
    <w:rsid w:val="00EC15FB"/>
    <w:rsid w:val="00EC31F0"/>
    <w:rsid w:val="00EC385D"/>
    <w:rsid w:val="00EC446B"/>
    <w:rsid w:val="00EC44A7"/>
    <w:rsid w:val="00EC5377"/>
    <w:rsid w:val="00EC553B"/>
    <w:rsid w:val="00EC5BF9"/>
    <w:rsid w:val="00EC63A7"/>
    <w:rsid w:val="00EC6462"/>
    <w:rsid w:val="00EC6A56"/>
    <w:rsid w:val="00EC6C6C"/>
    <w:rsid w:val="00EC7170"/>
    <w:rsid w:val="00EC7533"/>
    <w:rsid w:val="00ED0486"/>
    <w:rsid w:val="00ED1566"/>
    <w:rsid w:val="00ED1C1F"/>
    <w:rsid w:val="00ED251F"/>
    <w:rsid w:val="00ED3222"/>
    <w:rsid w:val="00ED3AF7"/>
    <w:rsid w:val="00ED492B"/>
    <w:rsid w:val="00ED78CF"/>
    <w:rsid w:val="00ED78E8"/>
    <w:rsid w:val="00ED7B52"/>
    <w:rsid w:val="00ED7DA3"/>
    <w:rsid w:val="00EE0F67"/>
    <w:rsid w:val="00EE2A58"/>
    <w:rsid w:val="00EE2C34"/>
    <w:rsid w:val="00EE396E"/>
    <w:rsid w:val="00EE3DB2"/>
    <w:rsid w:val="00EE3DC4"/>
    <w:rsid w:val="00EE44E5"/>
    <w:rsid w:val="00EE45A7"/>
    <w:rsid w:val="00EE49E3"/>
    <w:rsid w:val="00EE5088"/>
    <w:rsid w:val="00EE527B"/>
    <w:rsid w:val="00EE5DC5"/>
    <w:rsid w:val="00EE6104"/>
    <w:rsid w:val="00EE611B"/>
    <w:rsid w:val="00EE7320"/>
    <w:rsid w:val="00EF0D82"/>
    <w:rsid w:val="00EF0E4D"/>
    <w:rsid w:val="00EF1435"/>
    <w:rsid w:val="00EF1640"/>
    <w:rsid w:val="00EF24C1"/>
    <w:rsid w:val="00EF2748"/>
    <w:rsid w:val="00EF3153"/>
    <w:rsid w:val="00EF45A5"/>
    <w:rsid w:val="00EF4DF3"/>
    <w:rsid w:val="00EF5063"/>
    <w:rsid w:val="00EF5230"/>
    <w:rsid w:val="00EF5667"/>
    <w:rsid w:val="00EF5B7B"/>
    <w:rsid w:val="00EF5D00"/>
    <w:rsid w:val="00EF6488"/>
    <w:rsid w:val="00EF69D1"/>
    <w:rsid w:val="00EF749C"/>
    <w:rsid w:val="00EF74AB"/>
    <w:rsid w:val="00EF7679"/>
    <w:rsid w:val="00EF77F7"/>
    <w:rsid w:val="00F0062B"/>
    <w:rsid w:val="00F007C8"/>
    <w:rsid w:val="00F007F2"/>
    <w:rsid w:val="00F00BD7"/>
    <w:rsid w:val="00F02BC5"/>
    <w:rsid w:val="00F02CFF"/>
    <w:rsid w:val="00F0381A"/>
    <w:rsid w:val="00F03F40"/>
    <w:rsid w:val="00F041F2"/>
    <w:rsid w:val="00F0450B"/>
    <w:rsid w:val="00F059F5"/>
    <w:rsid w:val="00F06648"/>
    <w:rsid w:val="00F06AC5"/>
    <w:rsid w:val="00F06BCC"/>
    <w:rsid w:val="00F06F8B"/>
    <w:rsid w:val="00F07A74"/>
    <w:rsid w:val="00F07AD1"/>
    <w:rsid w:val="00F1082D"/>
    <w:rsid w:val="00F1091E"/>
    <w:rsid w:val="00F121E7"/>
    <w:rsid w:val="00F12C53"/>
    <w:rsid w:val="00F12D25"/>
    <w:rsid w:val="00F131C4"/>
    <w:rsid w:val="00F13623"/>
    <w:rsid w:val="00F13B6E"/>
    <w:rsid w:val="00F13DDC"/>
    <w:rsid w:val="00F140CF"/>
    <w:rsid w:val="00F1469E"/>
    <w:rsid w:val="00F14D68"/>
    <w:rsid w:val="00F150B3"/>
    <w:rsid w:val="00F15116"/>
    <w:rsid w:val="00F1512F"/>
    <w:rsid w:val="00F151EB"/>
    <w:rsid w:val="00F153F6"/>
    <w:rsid w:val="00F15AFE"/>
    <w:rsid w:val="00F16339"/>
    <w:rsid w:val="00F16370"/>
    <w:rsid w:val="00F16D66"/>
    <w:rsid w:val="00F176AD"/>
    <w:rsid w:val="00F17906"/>
    <w:rsid w:val="00F17CFB"/>
    <w:rsid w:val="00F200E3"/>
    <w:rsid w:val="00F20319"/>
    <w:rsid w:val="00F20962"/>
    <w:rsid w:val="00F21C53"/>
    <w:rsid w:val="00F2217F"/>
    <w:rsid w:val="00F222BE"/>
    <w:rsid w:val="00F22C10"/>
    <w:rsid w:val="00F22E9F"/>
    <w:rsid w:val="00F23535"/>
    <w:rsid w:val="00F23993"/>
    <w:rsid w:val="00F23F7B"/>
    <w:rsid w:val="00F244C4"/>
    <w:rsid w:val="00F245C7"/>
    <w:rsid w:val="00F24D01"/>
    <w:rsid w:val="00F254E7"/>
    <w:rsid w:val="00F259B3"/>
    <w:rsid w:val="00F25F62"/>
    <w:rsid w:val="00F2616D"/>
    <w:rsid w:val="00F262E6"/>
    <w:rsid w:val="00F26D54"/>
    <w:rsid w:val="00F27447"/>
    <w:rsid w:val="00F30F16"/>
    <w:rsid w:val="00F3103C"/>
    <w:rsid w:val="00F3198E"/>
    <w:rsid w:val="00F31A26"/>
    <w:rsid w:val="00F31CFE"/>
    <w:rsid w:val="00F328D6"/>
    <w:rsid w:val="00F32E6A"/>
    <w:rsid w:val="00F3443B"/>
    <w:rsid w:val="00F3450E"/>
    <w:rsid w:val="00F34C35"/>
    <w:rsid w:val="00F34C80"/>
    <w:rsid w:val="00F3506C"/>
    <w:rsid w:val="00F362C6"/>
    <w:rsid w:val="00F36545"/>
    <w:rsid w:val="00F36547"/>
    <w:rsid w:val="00F4054F"/>
    <w:rsid w:val="00F40E1C"/>
    <w:rsid w:val="00F4108C"/>
    <w:rsid w:val="00F41303"/>
    <w:rsid w:val="00F41DCD"/>
    <w:rsid w:val="00F41F0D"/>
    <w:rsid w:val="00F429B9"/>
    <w:rsid w:val="00F433AB"/>
    <w:rsid w:val="00F43C3D"/>
    <w:rsid w:val="00F43E35"/>
    <w:rsid w:val="00F44496"/>
    <w:rsid w:val="00F4481E"/>
    <w:rsid w:val="00F44CFF"/>
    <w:rsid w:val="00F44E34"/>
    <w:rsid w:val="00F44F0C"/>
    <w:rsid w:val="00F4539A"/>
    <w:rsid w:val="00F45E12"/>
    <w:rsid w:val="00F46382"/>
    <w:rsid w:val="00F47A73"/>
    <w:rsid w:val="00F50688"/>
    <w:rsid w:val="00F5085C"/>
    <w:rsid w:val="00F5095D"/>
    <w:rsid w:val="00F50A1E"/>
    <w:rsid w:val="00F51330"/>
    <w:rsid w:val="00F52663"/>
    <w:rsid w:val="00F526A4"/>
    <w:rsid w:val="00F52790"/>
    <w:rsid w:val="00F53797"/>
    <w:rsid w:val="00F53DF5"/>
    <w:rsid w:val="00F542F9"/>
    <w:rsid w:val="00F544D7"/>
    <w:rsid w:val="00F55010"/>
    <w:rsid w:val="00F55145"/>
    <w:rsid w:val="00F555F7"/>
    <w:rsid w:val="00F56744"/>
    <w:rsid w:val="00F573E0"/>
    <w:rsid w:val="00F57D04"/>
    <w:rsid w:val="00F61305"/>
    <w:rsid w:val="00F6252D"/>
    <w:rsid w:val="00F643EB"/>
    <w:rsid w:val="00F64F21"/>
    <w:rsid w:val="00F657D0"/>
    <w:rsid w:val="00F65C49"/>
    <w:rsid w:val="00F66BF3"/>
    <w:rsid w:val="00F676FC"/>
    <w:rsid w:val="00F67EB8"/>
    <w:rsid w:val="00F70677"/>
    <w:rsid w:val="00F706BD"/>
    <w:rsid w:val="00F71658"/>
    <w:rsid w:val="00F71FBF"/>
    <w:rsid w:val="00F72ACC"/>
    <w:rsid w:val="00F72F84"/>
    <w:rsid w:val="00F73A6D"/>
    <w:rsid w:val="00F73F37"/>
    <w:rsid w:val="00F740C0"/>
    <w:rsid w:val="00F74571"/>
    <w:rsid w:val="00F74943"/>
    <w:rsid w:val="00F74D7F"/>
    <w:rsid w:val="00F74FD3"/>
    <w:rsid w:val="00F75354"/>
    <w:rsid w:val="00F75795"/>
    <w:rsid w:val="00F75902"/>
    <w:rsid w:val="00F7603E"/>
    <w:rsid w:val="00F760D9"/>
    <w:rsid w:val="00F7645F"/>
    <w:rsid w:val="00F768FC"/>
    <w:rsid w:val="00F80617"/>
    <w:rsid w:val="00F80E19"/>
    <w:rsid w:val="00F81011"/>
    <w:rsid w:val="00F8117B"/>
    <w:rsid w:val="00F81A67"/>
    <w:rsid w:val="00F822EE"/>
    <w:rsid w:val="00F83021"/>
    <w:rsid w:val="00F83569"/>
    <w:rsid w:val="00F83D4D"/>
    <w:rsid w:val="00F8492A"/>
    <w:rsid w:val="00F84F1E"/>
    <w:rsid w:val="00F860A3"/>
    <w:rsid w:val="00F8615F"/>
    <w:rsid w:val="00F8632C"/>
    <w:rsid w:val="00F86808"/>
    <w:rsid w:val="00F86EE4"/>
    <w:rsid w:val="00F87633"/>
    <w:rsid w:val="00F87A08"/>
    <w:rsid w:val="00F87BCA"/>
    <w:rsid w:val="00F87D7C"/>
    <w:rsid w:val="00F87F5B"/>
    <w:rsid w:val="00F90BBE"/>
    <w:rsid w:val="00F9114A"/>
    <w:rsid w:val="00F9161B"/>
    <w:rsid w:val="00F91D75"/>
    <w:rsid w:val="00F921E8"/>
    <w:rsid w:val="00F92C17"/>
    <w:rsid w:val="00F92DA4"/>
    <w:rsid w:val="00F92E4E"/>
    <w:rsid w:val="00F93A6A"/>
    <w:rsid w:val="00F94A7C"/>
    <w:rsid w:val="00F95262"/>
    <w:rsid w:val="00F955B5"/>
    <w:rsid w:val="00F959A0"/>
    <w:rsid w:val="00F95E4C"/>
    <w:rsid w:val="00F9661C"/>
    <w:rsid w:val="00F96873"/>
    <w:rsid w:val="00FA00E8"/>
    <w:rsid w:val="00FA03B3"/>
    <w:rsid w:val="00FA0471"/>
    <w:rsid w:val="00FA0CD4"/>
    <w:rsid w:val="00FA196E"/>
    <w:rsid w:val="00FA1C1B"/>
    <w:rsid w:val="00FA22E4"/>
    <w:rsid w:val="00FA32F8"/>
    <w:rsid w:val="00FA3D84"/>
    <w:rsid w:val="00FA46C1"/>
    <w:rsid w:val="00FA500A"/>
    <w:rsid w:val="00FA639B"/>
    <w:rsid w:val="00FA6462"/>
    <w:rsid w:val="00FA6B88"/>
    <w:rsid w:val="00FA7AE9"/>
    <w:rsid w:val="00FA7B0E"/>
    <w:rsid w:val="00FA7FE0"/>
    <w:rsid w:val="00FB0348"/>
    <w:rsid w:val="00FB0BD9"/>
    <w:rsid w:val="00FB0CBD"/>
    <w:rsid w:val="00FB1471"/>
    <w:rsid w:val="00FB198C"/>
    <w:rsid w:val="00FB4421"/>
    <w:rsid w:val="00FB55CB"/>
    <w:rsid w:val="00FB6A74"/>
    <w:rsid w:val="00FB716F"/>
    <w:rsid w:val="00FB7790"/>
    <w:rsid w:val="00FC0234"/>
    <w:rsid w:val="00FC08AF"/>
    <w:rsid w:val="00FC0ABB"/>
    <w:rsid w:val="00FC1080"/>
    <w:rsid w:val="00FC1166"/>
    <w:rsid w:val="00FC138F"/>
    <w:rsid w:val="00FC1969"/>
    <w:rsid w:val="00FC2002"/>
    <w:rsid w:val="00FC2107"/>
    <w:rsid w:val="00FC2800"/>
    <w:rsid w:val="00FC2A6D"/>
    <w:rsid w:val="00FC3006"/>
    <w:rsid w:val="00FC3C2C"/>
    <w:rsid w:val="00FC41D8"/>
    <w:rsid w:val="00FC42B1"/>
    <w:rsid w:val="00FC455D"/>
    <w:rsid w:val="00FC46F7"/>
    <w:rsid w:val="00FC4816"/>
    <w:rsid w:val="00FC5AA5"/>
    <w:rsid w:val="00FC72F9"/>
    <w:rsid w:val="00FD01B9"/>
    <w:rsid w:val="00FD0301"/>
    <w:rsid w:val="00FD0937"/>
    <w:rsid w:val="00FD1F98"/>
    <w:rsid w:val="00FD26AE"/>
    <w:rsid w:val="00FD32AD"/>
    <w:rsid w:val="00FD41EC"/>
    <w:rsid w:val="00FD4809"/>
    <w:rsid w:val="00FD4F5A"/>
    <w:rsid w:val="00FD5380"/>
    <w:rsid w:val="00FD5781"/>
    <w:rsid w:val="00FD61F8"/>
    <w:rsid w:val="00FD6779"/>
    <w:rsid w:val="00FD685C"/>
    <w:rsid w:val="00FD6A1D"/>
    <w:rsid w:val="00FD74F6"/>
    <w:rsid w:val="00FD7596"/>
    <w:rsid w:val="00FD7833"/>
    <w:rsid w:val="00FD7D5F"/>
    <w:rsid w:val="00FD7E4C"/>
    <w:rsid w:val="00FE047A"/>
    <w:rsid w:val="00FE0742"/>
    <w:rsid w:val="00FE093D"/>
    <w:rsid w:val="00FE0A6E"/>
    <w:rsid w:val="00FE0F92"/>
    <w:rsid w:val="00FE1077"/>
    <w:rsid w:val="00FE17FA"/>
    <w:rsid w:val="00FE1DB1"/>
    <w:rsid w:val="00FE23C2"/>
    <w:rsid w:val="00FE26B8"/>
    <w:rsid w:val="00FE29D9"/>
    <w:rsid w:val="00FE2B13"/>
    <w:rsid w:val="00FE2F48"/>
    <w:rsid w:val="00FE3490"/>
    <w:rsid w:val="00FE34CF"/>
    <w:rsid w:val="00FE376B"/>
    <w:rsid w:val="00FE49F9"/>
    <w:rsid w:val="00FE4B18"/>
    <w:rsid w:val="00FE5646"/>
    <w:rsid w:val="00FE5B0A"/>
    <w:rsid w:val="00FE5EE8"/>
    <w:rsid w:val="00FE5F40"/>
    <w:rsid w:val="00FE61C6"/>
    <w:rsid w:val="00FE6360"/>
    <w:rsid w:val="00FE6CFA"/>
    <w:rsid w:val="00FF04B2"/>
    <w:rsid w:val="00FF0BD2"/>
    <w:rsid w:val="00FF0F7A"/>
    <w:rsid w:val="00FF13B2"/>
    <w:rsid w:val="00FF1556"/>
    <w:rsid w:val="00FF20BF"/>
    <w:rsid w:val="00FF363C"/>
    <w:rsid w:val="00FF3EEC"/>
    <w:rsid w:val="00FF47D1"/>
    <w:rsid w:val="00FF5250"/>
    <w:rsid w:val="00FF5C0A"/>
    <w:rsid w:val="00FF6173"/>
    <w:rsid w:val="00FF6469"/>
    <w:rsid w:val="00FF6C72"/>
    <w:rsid w:val="00FF6EEC"/>
    <w:rsid w:val="00FF784A"/>
    <w:rsid w:val="00FF79A0"/>
    <w:rsid w:val="00FF7BFF"/>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862CF"/>
  <w15:docId w15:val="{C65B9BD0-AD15-42AB-8709-595AC9AF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86"/>
    <w:pPr>
      <w:spacing w:line="360" w:lineRule="auto"/>
      <w:ind w:firstLine="1440"/>
    </w:pPr>
    <w:rPr>
      <w:rFonts w:ascii="Times New Roman" w:hAnsi="Times New Roman"/>
      <w:sz w:val="26"/>
      <w:szCs w:val="22"/>
    </w:rPr>
  </w:style>
  <w:style w:type="paragraph" w:styleId="Heading1">
    <w:name w:val="heading 1"/>
    <w:basedOn w:val="Normal"/>
    <w:next w:val="Normal"/>
    <w:link w:val="Heading1Char"/>
    <w:uiPriority w:val="9"/>
    <w:qFormat/>
    <w:rsid w:val="008844B4"/>
    <w:pPr>
      <w:keepNext/>
      <w:spacing w:line="240" w:lineRule="auto"/>
      <w:ind w:firstLine="0"/>
      <w:jc w:val="center"/>
      <w:outlineLvl w:val="0"/>
    </w:pPr>
    <w:rPr>
      <w:b/>
      <w:szCs w:val="26"/>
    </w:rPr>
  </w:style>
  <w:style w:type="paragraph" w:styleId="Heading2">
    <w:name w:val="heading 2"/>
    <w:basedOn w:val="Normal"/>
    <w:next w:val="Normal"/>
    <w:link w:val="Heading2Char"/>
    <w:uiPriority w:val="9"/>
    <w:unhideWhenUsed/>
    <w:qFormat/>
    <w:rsid w:val="00055D48"/>
    <w:pPr>
      <w:keepNext/>
      <w:numPr>
        <w:numId w:val="1"/>
      </w:numPr>
      <w:spacing w:line="240" w:lineRule="auto"/>
      <w:ind w:left="720" w:hanging="720"/>
      <w:outlineLvl w:val="1"/>
    </w:pPr>
    <w:rPr>
      <w:b/>
      <w:sz w:val="24"/>
      <w:szCs w:val="24"/>
    </w:rPr>
  </w:style>
  <w:style w:type="paragraph" w:styleId="Heading3">
    <w:name w:val="heading 3"/>
    <w:basedOn w:val="Normal"/>
    <w:next w:val="Normal"/>
    <w:link w:val="Heading3Char"/>
    <w:uiPriority w:val="9"/>
    <w:unhideWhenUsed/>
    <w:qFormat/>
    <w:rsid w:val="003B2E8C"/>
    <w:pPr>
      <w:keepNext/>
      <w:numPr>
        <w:numId w:val="2"/>
      </w:numPr>
      <w:spacing w:line="240" w:lineRule="auto"/>
      <w:ind w:left="1440" w:hanging="720"/>
      <w:outlineLvl w:val="2"/>
    </w:pPr>
    <w:rPr>
      <w:rFonts w:eastAsia="Times New Roman"/>
      <w:b/>
      <w:bCs/>
      <w:color w:val="333333"/>
      <w:szCs w:val="26"/>
    </w:rPr>
  </w:style>
  <w:style w:type="paragraph" w:styleId="Heading4">
    <w:name w:val="heading 4"/>
    <w:basedOn w:val="Normal"/>
    <w:next w:val="Normal"/>
    <w:link w:val="Heading4Char"/>
    <w:uiPriority w:val="9"/>
    <w:unhideWhenUsed/>
    <w:qFormat/>
    <w:rsid w:val="003B2E8C"/>
    <w:pPr>
      <w:keepNext/>
      <w:numPr>
        <w:numId w:val="19"/>
      </w:numPr>
      <w:spacing w:line="240" w:lineRule="auto"/>
      <w:ind w:left="2160" w:hanging="720"/>
      <w:outlineLvl w:val="3"/>
    </w:pPr>
    <w:rPr>
      <w:rFonts w:eastAsia="Times New Roman"/>
      <w:b/>
      <w:color w:val="333333"/>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44B4"/>
    <w:rPr>
      <w:rFonts w:ascii="Times New Roman" w:hAnsi="Times New Roman"/>
      <w:b/>
      <w:sz w:val="26"/>
      <w:szCs w:val="26"/>
    </w:rPr>
  </w:style>
  <w:style w:type="character" w:customStyle="1" w:styleId="Heading2Char">
    <w:name w:val="Heading 2 Char"/>
    <w:link w:val="Heading2"/>
    <w:uiPriority w:val="9"/>
    <w:rsid w:val="00055D48"/>
    <w:rPr>
      <w:rFonts w:ascii="Times New Roman" w:hAnsi="Times New Roman"/>
      <w:b/>
      <w:sz w:val="24"/>
      <w:szCs w:val="24"/>
    </w:rPr>
  </w:style>
  <w:style w:type="character" w:customStyle="1" w:styleId="Heading3Char">
    <w:name w:val="Heading 3 Char"/>
    <w:link w:val="Heading3"/>
    <w:uiPriority w:val="9"/>
    <w:rsid w:val="003B2E8C"/>
    <w:rPr>
      <w:rFonts w:ascii="Times New Roman" w:eastAsia="Times New Roman" w:hAnsi="Times New Roman"/>
      <w:b/>
      <w:bCs/>
      <w:color w:val="333333"/>
      <w:sz w:val="26"/>
      <w:szCs w:val="26"/>
    </w:rPr>
  </w:style>
  <w:style w:type="character" w:customStyle="1" w:styleId="Heading4Char">
    <w:name w:val="Heading 4 Char"/>
    <w:link w:val="Heading4"/>
    <w:uiPriority w:val="9"/>
    <w:rsid w:val="003B2E8C"/>
    <w:rPr>
      <w:rFonts w:ascii="Times New Roman" w:eastAsia="Times New Roman" w:hAnsi="Times New Roman"/>
      <w:b/>
      <w:color w:val="333333"/>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line="240" w:lineRule="auto"/>
      <w:ind w:left="720"/>
    </w:pPr>
    <w:rPr>
      <w:rFonts w:eastAsia="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Car,fn,ft"/>
    <w:basedOn w:val="Normal"/>
    <w:link w:val="FootnoteTextChar"/>
    <w:uiPriority w:val="99"/>
    <w:unhideWhenUsed/>
    <w:qFormat/>
    <w:rsid w:val="00B22843"/>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link w:val="FootnoteText"/>
    <w:uiPriority w:val="99"/>
    <w:rsid w:val="00B22843"/>
    <w:rPr>
      <w:sz w:val="20"/>
      <w:szCs w:val="20"/>
    </w:rPr>
  </w:style>
  <w:style w:type="character" w:styleId="FootnoteReference">
    <w:name w:val="footnote reference"/>
    <w:aliases w:val="o,fr,Style 6,Style 20,Appel note de bas de p,Style 8,Style 7,Style 3,Style 17,Style 19"/>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eastAsia="Times New Roman"/>
      <w:sz w:val="24"/>
      <w:szCs w:val="20"/>
    </w:rPr>
  </w:style>
  <w:style w:type="paragraph" w:customStyle="1" w:styleId="Normal2">
    <w:name w:val="Normal 2"/>
    <w:basedOn w:val="Normal"/>
    <w:rsid w:val="0047221A"/>
    <w:pPr>
      <w:spacing w:after="240" w:line="240" w:lineRule="auto"/>
      <w:ind w:left="1440" w:firstLine="720"/>
    </w:pPr>
    <w:rPr>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line="480" w:lineRule="auto"/>
      <w:ind w:firstLine="720"/>
    </w:pPr>
    <w:rPr>
      <w:rFonts w:eastAsia="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eastAsia="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rPr>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paragraph" w:styleId="BodyText3">
    <w:name w:val="Body Text 3"/>
    <w:basedOn w:val="Normal"/>
    <w:link w:val="BodyText3Char"/>
    <w:uiPriority w:val="99"/>
    <w:unhideWhenUsed/>
    <w:rsid w:val="006E3DA2"/>
    <w:rPr>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line="240" w:lineRule="auto"/>
    </w:pPr>
    <w:rPr>
      <w:rFonts w:eastAsia="Times New Roman"/>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
      </w:numPr>
      <w:spacing w:line="480" w:lineRule="auto"/>
      <w:ind w:left="0" w:firstLine="720"/>
    </w:pPr>
    <w:rPr>
      <w:rFonts w:eastAsia="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 w:type="character" w:styleId="Emphasis">
    <w:name w:val="Emphasis"/>
    <w:basedOn w:val="DefaultParagraphFont"/>
    <w:uiPriority w:val="20"/>
    <w:qFormat/>
    <w:rsid w:val="004A23B4"/>
    <w:rPr>
      <w:i/>
      <w:iCs/>
    </w:rPr>
  </w:style>
  <w:style w:type="paragraph" w:customStyle="1" w:styleId="p2">
    <w:name w:val="p2"/>
    <w:basedOn w:val="Normal"/>
    <w:rsid w:val="00C51F40"/>
    <w:pPr>
      <w:widowControl w:val="0"/>
      <w:tabs>
        <w:tab w:val="left" w:pos="1445"/>
      </w:tabs>
      <w:autoSpaceDE w:val="0"/>
      <w:autoSpaceDN w:val="0"/>
      <w:adjustRightInd w:val="0"/>
      <w:spacing w:line="240" w:lineRule="auto"/>
      <w:ind w:firstLine="1445"/>
    </w:pPr>
    <w:rPr>
      <w:rFonts w:eastAsia="Times New Roman"/>
      <w:sz w:val="24"/>
      <w:szCs w:val="24"/>
    </w:rPr>
  </w:style>
  <w:style w:type="paragraph" w:customStyle="1" w:styleId="c1">
    <w:name w:val="c1"/>
    <w:basedOn w:val="Normal"/>
    <w:rsid w:val="00692693"/>
    <w:pPr>
      <w:widowControl w:val="0"/>
      <w:autoSpaceDE w:val="0"/>
      <w:autoSpaceDN w:val="0"/>
      <w:adjustRightInd w:val="0"/>
      <w:spacing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FC138F"/>
    <w:pPr>
      <w:spacing w:after="120"/>
      <w:ind w:left="360"/>
    </w:pPr>
    <w:rPr>
      <w:rFonts w:ascii="CG Times" w:eastAsia="Times New Roman" w:hAnsi="CG Times"/>
      <w:sz w:val="24"/>
      <w:szCs w:val="20"/>
    </w:rPr>
  </w:style>
  <w:style w:type="character" w:customStyle="1" w:styleId="BodyTextIndentChar">
    <w:name w:val="Body Text Indent Char"/>
    <w:basedOn w:val="DefaultParagraphFont"/>
    <w:link w:val="BodyTextIndent"/>
    <w:uiPriority w:val="99"/>
    <w:semiHidden/>
    <w:rsid w:val="00FC138F"/>
    <w:rPr>
      <w:rFonts w:ascii="CG Times" w:eastAsia="Times New Roman" w:hAnsi="CG Times"/>
      <w:sz w:val="24"/>
    </w:rPr>
  </w:style>
  <w:style w:type="paragraph" w:styleId="Subtitle">
    <w:name w:val="Subtitle"/>
    <w:basedOn w:val="Normal"/>
    <w:link w:val="SubtitleChar"/>
    <w:qFormat/>
    <w:rsid w:val="00D01D60"/>
    <w:pPr>
      <w:spacing w:line="240" w:lineRule="auto"/>
      <w:jc w:val="center"/>
    </w:pPr>
    <w:rPr>
      <w:rFonts w:ascii="CG Times" w:eastAsia="Times New Roman" w:hAnsi="CG Times"/>
      <w:b/>
      <w:sz w:val="24"/>
      <w:szCs w:val="20"/>
    </w:rPr>
  </w:style>
  <w:style w:type="character" w:customStyle="1" w:styleId="SubtitleChar">
    <w:name w:val="Subtitle Char"/>
    <w:basedOn w:val="DefaultParagraphFont"/>
    <w:link w:val="Subtitle"/>
    <w:rsid w:val="00D01D60"/>
    <w:rPr>
      <w:rFonts w:ascii="CG Times" w:eastAsia="Times New Roman" w:hAnsi="CG Times"/>
      <w:b/>
      <w:sz w:val="24"/>
    </w:rPr>
  </w:style>
  <w:style w:type="character" w:customStyle="1" w:styleId="EndnoteTextChar">
    <w:name w:val="Endnote Text Char"/>
    <w:basedOn w:val="DefaultParagraphFont"/>
    <w:link w:val="EndnoteText"/>
    <w:uiPriority w:val="99"/>
    <w:semiHidden/>
    <w:rsid w:val="00D01D60"/>
    <w:rPr>
      <w:rFonts w:ascii="CG Times" w:eastAsia="Times New Roman" w:hAnsi="CG Times"/>
    </w:rPr>
  </w:style>
  <w:style w:type="paragraph" w:styleId="EndnoteText">
    <w:name w:val="endnote text"/>
    <w:basedOn w:val="Normal"/>
    <w:link w:val="EndnoteTextChar"/>
    <w:uiPriority w:val="99"/>
    <w:semiHidden/>
    <w:unhideWhenUsed/>
    <w:rsid w:val="00D01D60"/>
    <w:pPr>
      <w:spacing w:line="240" w:lineRule="auto"/>
    </w:pPr>
    <w:rPr>
      <w:rFonts w:ascii="CG Times" w:eastAsia="Times New Roman" w:hAnsi="CG Times"/>
      <w:sz w:val="20"/>
      <w:szCs w:val="20"/>
    </w:rPr>
  </w:style>
  <w:style w:type="table" w:styleId="TableGrid">
    <w:name w:val="Table Grid"/>
    <w:basedOn w:val="TableNormal"/>
    <w:uiPriority w:val="59"/>
    <w:rsid w:val="003C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E673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B0D92"/>
    <w:pPr>
      <w:tabs>
        <w:tab w:val="left" w:pos="1812"/>
        <w:tab w:val="right" w:leader="dot" w:pos="9350"/>
      </w:tabs>
      <w:spacing w:after="100"/>
      <w:ind w:firstLine="0"/>
    </w:pPr>
  </w:style>
  <w:style w:type="paragraph" w:styleId="TOC2">
    <w:name w:val="toc 2"/>
    <w:basedOn w:val="Normal"/>
    <w:next w:val="Normal"/>
    <w:autoRedefine/>
    <w:uiPriority w:val="39"/>
    <w:unhideWhenUsed/>
    <w:rsid w:val="003E673A"/>
    <w:pPr>
      <w:spacing w:after="100"/>
      <w:ind w:left="260"/>
    </w:pPr>
  </w:style>
  <w:style w:type="paragraph" w:styleId="TOC3">
    <w:name w:val="toc 3"/>
    <w:basedOn w:val="Normal"/>
    <w:next w:val="Normal"/>
    <w:autoRedefine/>
    <w:uiPriority w:val="39"/>
    <w:unhideWhenUsed/>
    <w:rsid w:val="003E673A"/>
    <w:pPr>
      <w:spacing w:after="100"/>
      <w:ind w:left="520"/>
    </w:pPr>
  </w:style>
  <w:style w:type="paragraph" w:customStyle="1" w:styleId="Default">
    <w:name w:val="Default"/>
    <w:rsid w:val="00C5644C"/>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B10F82"/>
    <w:pPr>
      <w:spacing w:line="240" w:lineRule="auto"/>
      <w:ind w:firstLine="0"/>
    </w:pPr>
    <w:rPr>
      <w:rFonts w:eastAsia="Times New Roman"/>
      <w:sz w:val="24"/>
      <w:szCs w:val="24"/>
    </w:rPr>
  </w:style>
  <w:style w:type="character" w:customStyle="1" w:styleId="cosearchterm">
    <w:name w:val="co_searchterm"/>
    <w:basedOn w:val="DefaultParagraphFont"/>
    <w:rsid w:val="0003786D"/>
  </w:style>
  <w:style w:type="character" w:customStyle="1" w:styleId="UnresolvedMention1">
    <w:name w:val="Unresolved Mention1"/>
    <w:basedOn w:val="DefaultParagraphFont"/>
    <w:uiPriority w:val="99"/>
    <w:semiHidden/>
    <w:unhideWhenUsed/>
    <w:rsid w:val="008D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8262">
      <w:bodyDiv w:val="1"/>
      <w:marLeft w:val="0"/>
      <w:marRight w:val="0"/>
      <w:marTop w:val="0"/>
      <w:marBottom w:val="0"/>
      <w:divBdr>
        <w:top w:val="none" w:sz="0" w:space="0" w:color="auto"/>
        <w:left w:val="none" w:sz="0" w:space="0" w:color="auto"/>
        <w:bottom w:val="none" w:sz="0" w:space="0" w:color="auto"/>
        <w:right w:val="none" w:sz="0" w:space="0" w:color="auto"/>
      </w:divBdr>
      <w:divsChild>
        <w:div w:id="808473056">
          <w:marLeft w:val="0"/>
          <w:marRight w:val="0"/>
          <w:marTop w:val="0"/>
          <w:marBottom w:val="0"/>
          <w:divBdr>
            <w:top w:val="none" w:sz="0" w:space="0" w:color="auto"/>
            <w:left w:val="single" w:sz="6" w:space="0" w:color="BBBBBB"/>
            <w:bottom w:val="single" w:sz="6" w:space="0" w:color="BBBBBB"/>
            <w:right w:val="single" w:sz="6" w:space="0" w:color="BBBBBB"/>
          </w:divBdr>
          <w:divsChild>
            <w:div w:id="2017225607">
              <w:marLeft w:val="0"/>
              <w:marRight w:val="0"/>
              <w:marTop w:val="0"/>
              <w:marBottom w:val="0"/>
              <w:divBdr>
                <w:top w:val="none" w:sz="0" w:space="0" w:color="auto"/>
                <w:left w:val="none" w:sz="0" w:space="0" w:color="auto"/>
                <w:bottom w:val="none" w:sz="0" w:space="0" w:color="auto"/>
                <w:right w:val="none" w:sz="0" w:space="0" w:color="auto"/>
              </w:divBdr>
              <w:divsChild>
                <w:div w:id="1860702546">
                  <w:marLeft w:val="0"/>
                  <w:marRight w:val="0"/>
                  <w:marTop w:val="75"/>
                  <w:marBottom w:val="0"/>
                  <w:divBdr>
                    <w:top w:val="none" w:sz="0" w:space="0" w:color="auto"/>
                    <w:left w:val="none" w:sz="0" w:space="0" w:color="auto"/>
                    <w:bottom w:val="none" w:sz="0" w:space="0" w:color="auto"/>
                    <w:right w:val="none" w:sz="0" w:space="0" w:color="auto"/>
                  </w:divBdr>
                  <w:divsChild>
                    <w:div w:id="1061709924">
                      <w:marLeft w:val="0"/>
                      <w:marRight w:val="0"/>
                      <w:marTop w:val="0"/>
                      <w:marBottom w:val="0"/>
                      <w:divBdr>
                        <w:top w:val="none" w:sz="0" w:space="0" w:color="auto"/>
                        <w:left w:val="none" w:sz="0" w:space="0" w:color="auto"/>
                        <w:bottom w:val="none" w:sz="0" w:space="0" w:color="auto"/>
                        <w:right w:val="none" w:sz="0" w:space="0" w:color="auto"/>
                      </w:divBdr>
                      <w:divsChild>
                        <w:div w:id="1040057896">
                          <w:marLeft w:val="0"/>
                          <w:marRight w:val="0"/>
                          <w:marTop w:val="0"/>
                          <w:marBottom w:val="0"/>
                          <w:divBdr>
                            <w:top w:val="none" w:sz="0" w:space="0" w:color="auto"/>
                            <w:left w:val="none" w:sz="0" w:space="0" w:color="auto"/>
                            <w:bottom w:val="none" w:sz="0" w:space="0" w:color="auto"/>
                            <w:right w:val="none" w:sz="0" w:space="0" w:color="auto"/>
                          </w:divBdr>
                          <w:divsChild>
                            <w:div w:id="1684283269">
                              <w:marLeft w:val="0"/>
                              <w:marRight w:val="0"/>
                              <w:marTop w:val="0"/>
                              <w:marBottom w:val="0"/>
                              <w:divBdr>
                                <w:top w:val="none" w:sz="0" w:space="0" w:color="auto"/>
                                <w:left w:val="none" w:sz="0" w:space="0" w:color="auto"/>
                                <w:bottom w:val="none" w:sz="0" w:space="0" w:color="auto"/>
                                <w:right w:val="none" w:sz="0" w:space="0" w:color="auto"/>
                              </w:divBdr>
                              <w:divsChild>
                                <w:div w:id="1501846297">
                                  <w:marLeft w:val="0"/>
                                  <w:marRight w:val="0"/>
                                  <w:marTop w:val="0"/>
                                  <w:marBottom w:val="0"/>
                                  <w:divBdr>
                                    <w:top w:val="none" w:sz="0" w:space="0" w:color="auto"/>
                                    <w:left w:val="none" w:sz="0" w:space="0" w:color="auto"/>
                                    <w:bottom w:val="none" w:sz="0" w:space="0" w:color="auto"/>
                                    <w:right w:val="none" w:sz="0" w:space="0" w:color="auto"/>
                                  </w:divBdr>
                                  <w:divsChild>
                                    <w:div w:id="836262390">
                                      <w:marLeft w:val="0"/>
                                      <w:marRight w:val="0"/>
                                      <w:marTop w:val="0"/>
                                      <w:marBottom w:val="0"/>
                                      <w:divBdr>
                                        <w:top w:val="none" w:sz="0" w:space="0" w:color="auto"/>
                                        <w:left w:val="none" w:sz="0" w:space="0" w:color="auto"/>
                                        <w:bottom w:val="none" w:sz="0" w:space="0" w:color="auto"/>
                                        <w:right w:val="none" w:sz="0" w:space="0" w:color="auto"/>
                                      </w:divBdr>
                                      <w:divsChild>
                                        <w:div w:id="723869097">
                                          <w:marLeft w:val="0"/>
                                          <w:marRight w:val="0"/>
                                          <w:marTop w:val="0"/>
                                          <w:marBottom w:val="0"/>
                                          <w:divBdr>
                                            <w:top w:val="none" w:sz="0" w:space="0" w:color="auto"/>
                                            <w:left w:val="none" w:sz="0" w:space="0" w:color="auto"/>
                                            <w:bottom w:val="none" w:sz="0" w:space="0" w:color="auto"/>
                                            <w:right w:val="none" w:sz="0" w:space="0" w:color="auto"/>
                                          </w:divBdr>
                                          <w:divsChild>
                                            <w:div w:id="1271936825">
                                              <w:marLeft w:val="0"/>
                                              <w:marRight w:val="0"/>
                                              <w:marTop w:val="0"/>
                                              <w:marBottom w:val="0"/>
                                              <w:divBdr>
                                                <w:top w:val="none" w:sz="0" w:space="0" w:color="auto"/>
                                                <w:left w:val="none" w:sz="0" w:space="0" w:color="auto"/>
                                                <w:bottom w:val="none" w:sz="0" w:space="0" w:color="auto"/>
                                                <w:right w:val="none" w:sz="0" w:space="0" w:color="auto"/>
                                              </w:divBdr>
                                              <w:divsChild>
                                                <w:div w:id="1198662750">
                                                  <w:marLeft w:val="0"/>
                                                  <w:marRight w:val="0"/>
                                                  <w:marTop w:val="0"/>
                                                  <w:marBottom w:val="0"/>
                                                  <w:divBdr>
                                                    <w:top w:val="none" w:sz="0" w:space="0" w:color="auto"/>
                                                    <w:left w:val="none" w:sz="0" w:space="0" w:color="auto"/>
                                                    <w:bottom w:val="none" w:sz="0" w:space="0" w:color="auto"/>
                                                    <w:right w:val="none" w:sz="0" w:space="0" w:color="auto"/>
                                                  </w:divBdr>
                                                  <w:divsChild>
                                                    <w:div w:id="1572228980">
                                                      <w:marLeft w:val="750"/>
                                                      <w:marRight w:val="0"/>
                                                      <w:marTop w:val="0"/>
                                                      <w:marBottom w:val="0"/>
                                                      <w:divBdr>
                                                        <w:top w:val="none" w:sz="0" w:space="0" w:color="auto"/>
                                                        <w:left w:val="none" w:sz="0" w:space="0" w:color="auto"/>
                                                        <w:bottom w:val="none" w:sz="0" w:space="0" w:color="auto"/>
                                                        <w:right w:val="none" w:sz="0" w:space="0" w:color="auto"/>
                                                      </w:divBdr>
                                                      <w:divsChild>
                                                        <w:div w:id="18583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1488217">
      <w:bodyDiv w:val="1"/>
      <w:marLeft w:val="0"/>
      <w:marRight w:val="0"/>
      <w:marTop w:val="0"/>
      <w:marBottom w:val="0"/>
      <w:divBdr>
        <w:top w:val="none" w:sz="0" w:space="0" w:color="auto"/>
        <w:left w:val="none" w:sz="0" w:space="0" w:color="auto"/>
        <w:bottom w:val="none" w:sz="0" w:space="0" w:color="auto"/>
        <w:right w:val="none" w:sz="0" w:space="0" w:color="auto"/>
      </w:divBdr>
      <w:divsChild>
        <w:div w:id="1640111514">
          <w:marLeft w:val="0"/>
          <w:marRight w:val="0"/>
          <w:marTop w:val="0"/>
          <w:marBottom w:val="0"/>
          <w:divBdr>
            <w:top w:val="none" w:sz="0" w:space="0" w:color="auto"/>
            <w:left w:val="single" w:sz="6" w:space="0" w:color="BBBBBB"/>
            <w:bottom w:val="single" w:sz="6" w:space="0" w:color="BBBBBB"/>
            <w:right w:val="single" w:sz="6" w:space="0" w:color="BBBBBB"/>
          </w:divBdr>
          <w:divsChild>
            <w:div w:id="275987172">
              <w:marLeft w:val="0"/>
              <w:marRight w:val="0"/>
              <w:marTop w:val="0"/>
              <w:marBottom w:val="0"/>
              <w:divBdr>
                <w:top w:val="none" w:sz="0" w:space="0" w:color="auto"/>
                <w:left w:val="none" w:sz="0" w:space="0" w:color="auto"/>
                <w:bottom w:val="none" w:sz="0" w:space="0" w:color="auto"/>
                <w:right w:val="none" w:sz="0" w:space="0" w:color="auto"/>
              </w:divBdr>
              <w:divsChild>
                <w:div w:id="1595557116">
                  <w:marLeft w:val="0"/>
                  <w:marRight w:val="0"/>
                  <w:marTop w:val="75"/>
                  <w:marBottom w:val="0"/>
                  <w:divBdr>
                    <w:top w:val="none" w:sz="0" w:space="0" w:color="auto"/>
                    <w:left w:val="none" w:sz="0" w:space="0" w:color="auto"/>
                    <w:bottom w:val="none" w:sz="0" w:space="0" w:color="auto"/>
                    <w:right w:val="none" w:sz="0" w:space="0" w:color="auto"/>
                  </w:divBdr>
                  <w:divsChild>
                    <w:div w:id="2058357553">
                      <w:marLeft w:val="0"/>
                      <w:marRight w:val="0"/>
                      <w:marTop w:val="0"/>
                      <w:marBottom w:val="0"/>
                      <w:divBdr>
                        <w:top w:val="none" w:sz="0" w:space="0" w:color="auto"/>
                        <w:left w:val="none" w:sz="0" w:space="0" w:color="auto"/>
                        <w:bottom w:val="none" w:sz="0" w:space="0" w:color="auto"/>
                        <w:right w:val="none" w:sz="0" w:space="0" w:color="auto"/>
                      </w:divBdr>
                      <w:divsChild>
                        <w:div w:id="1076509283">
                          <w:marLeft w:val="0"/>
                          <w:marRight w:val="0"/>
                          <w:marTop w:val="0"/>
                          <w:marBottom w:val="0"/>
                          <w:divBdr>
                            <w:top w:val="none" w:sz="0" w:space="0" w:color="auto"/>
                            <w:left w:val="none" w:sz="0" w:space="0" w:color="auto"/>
                            <w:bottom w:val="none" w:sz="0" w:space="0" w:color="auto"/>
                            <w:right w:val="none" w:sz="0" w:space="0" w:color="auto"/>
                          </w:divBdr>
                          <w:divsChild>
                            <w:div w:id="614557308">
                              <w:marLeft w:val="0"/>
                              <w:marRight w:val="0"/>
                              <w:marTop w:val="0"/>
                              <w:marBottom w:val="0"/>
                              <w:divBdr>
                                <w:top w:val="none" w:sz="0" w:space="0" w:color="auto"/>
                                <w:left w:val="none" w:sz="0" w:space="0" w:color="auto"/>
                                <w:bottom w:val="none" w:sz="0" w:space="0" w:color="auto"/>
                                <w:right w:val="none" w:sz="0" w:space="0" w:color="auto"/>
                              </w:divBdr>
                              <w:divsChild>
                                <w:div w:id="30690961">
                                  <w:marLeft w:val="0"/>
                                  <w:marRight w:val="0"/>
                                  <w:marTop w:val="0"/>
                                  <w:marBottom w:val="0"/>
                                  <w:divBdr>
                                    <w:top w:val="none" w:sz="0" w:space="0" w:color="auto"/>
                                    <w:left w:val="none" w:sz="0" w:space="0" w:color="auto"/>
                                    <w:bottom w:val="none" w:sz="0" w:space="0" w:color="auto"/>
                                    <w:right w:val="none" w:sz="0" w:space="0" w:color="auto"/>
                                  </w:divBdr>
                                  <w:divsChild>
                                    <w:div w:id="1127356858">
                                      <w:marLeft w:val="0"/>
                                      <w:marRight w:val="0"/>
                                      <w:marTop w:val="0"/>
                                      <w:marBottom w:val="0"/>
                                      <w:divBdr>
                                        <w:top w:val="none" w:sz="0" w:space="0" w:color="auto"/>
                                        <w:left w:val="none" w:sz="0" w:space="0" w:color="auto"/>
                                        <w:bottom w:val="none" w:sz="0" w:space="0" w:color="auto"/>
                                        <w:right w:val="none" w:sz="0" w:space="0" w:color="auto"/>
                                      </w:divBdr>
                                      <w:divsChild>
                                        <w:div w:id="472914304">
                                          <w:marLeft w:val="1200"/>
                                          <w:marRight w:val="1200"/>
                                          <w:marTop w:val="0"/>
                                          <w:marBottom w:val="0"/>
                                          <w:divBdr>
                                            <w:top w:val="none" w:sz="0" w:space="0" w:color="auto"/>
                                            <w:left w:val="none" w:sz="0" w:space="0" w:color="auto"/>
                                            <w:bottom w:val="none" w:sz="0" w:space="0" w:color="auto"/>
                                            <w:right w:val="none" w:sz="0" w:space="0" w:color="auto"/>
                                          </w:divBdr>
                                          <w:divsChild>
                                            <w:div w:id="913321364">
                                              <w:marLeft w:val="0"/>
                                              <w:marRight w:val="0"/>
                                              <w:marTop w:val="0"/>
                                              <w:marBottom w:val="0"/>
                                              <w:divBdr>
                                                <w:top w:val="none" w:sz="0" w:space="0" w:color="auto"/>
                                                <w:left w:val="none" w:sz="0" w:space="0" w:color="auto"/>
                                                <w:bottom w:val="none" w:sz="0" w:space="0" w:color="auto"/>
                                                <w:right w:val="none" w:sz="0" w:space="0" w:color="auto"/>
                                              </w:divBdr>
                                              <w:divsChild>
                                                <w:div w:id="821042756">
                                                  <w:marLeft w:val="0"/>
                                                  <w:marRight w:val="0"/>
                                                  <w:marTop w:val="0"/>
                                                  <w:marBottom w:val="0"/>
                                                  <w:divBdr>
                                                    <w:top w:val="none" w:sz="0" w:space="0" w:color="auto"/>
                                                    <w:left w:val="none" w:sz="0" w:space="0" w:color="auto"/>
                                                    <w:bottom w:val="none" w:sz="0" w:space="0" w:color="auto"/>
                                                    <w:right w:val="none" w:sz="0" w:space="0" w:color="auto"/>
                                                  </w:divBdr>
                                                </w:div>
                                                <w:div w:id="109865299">
                                                  <w:marLeft w:val="0"/>
                                                  <w:marRight w:val="0"/>
                                                  <w:marTop w:val="0"/>
                                                  <w:marBottom w:val="0"/>
                                                  <w:divBdr>
                                                    <w:top w:val="none" w:sz="0" w:space="0" w:color="auto"/>
                                                    <w:left w:val="none" w:sz="0" w:space="0" w:color="auto"/>
                                                    <w:bottom w:val="none" w:sz="0" w:space="0" w:color="auto"/>
                                                    <w:right w:val="none" w:sz="0" w:space="0" w:color="auto"/>
                                                  </w:divBdr>
                                                  <w:divsChild>
                                                    <w:div w:id="671027515">
                                                      <w:marLeft w:val="0"/>
                                                      <w:marRight w:val="0"/>
                                                      <w:marTop w:val="0"/>
                                                      <w:marBottom w:val="0"/>
                                                      <w:divBdr>
                                                        <w:top w:val="none" w:sz="0" w:space="0" w:color="auto"/>
                                                        <w:left w:val="none" w:sz="0" w:space="0" w:color="auto"/>
                                                        <w:bottom w:val="none" w:sz="0" w:space="0" w:color="auto"/>
                                                        <w:right w:val="none" w:sz="0" w:space="0" w:color="auto"/>
                                                      </w:divBdr>
                                                    </w:div>
                                                  </w:divsChild>
                                                </w:div>
                                                <w:div w:id="1317148922">
                                                  <w:marLeft w:val="0"/>
                                                  <w:marRight w:val="0"/>
                                                  <w:marTop w:val="0"/>
                                                  <w:marBottom w:val="0"/>
                                                  <w:divBdr>
                                                    <w:top w:val="none" w:sz="0" w:space="0" w:color="auto"/>
                                                    <w:left w:val="none" w:sz="0" w:space="0" w:color="auto"/>
                                                    <w:bottom w:val="none" w:sz="0" w:space="0" w:color="auto"/>
                                                    <w:right w:val="none" w:sz="0" w:space="0" w:color="auto"/>
                                                  </w:divBdr>
                                                  <w:divsChild>
                                                    <w:div w:id="1095125366">
                                                      <w:marLeft w:val="0"/>
                                                      <w:marRight w:val="0"/>
                                                      <w:marTop w:val="0"/>
                                                      <w:marBottom w:val="0"/>
                                                      <w:divBdr>
                                                        <w:top w:val="none" w:sz="0" w:space="0" w:color="auto"/>
                                                        <w:left w:val="none" w:sz="0" w:space="0" w:color="auto"/>
                                                        <w:bottom w:val="none" w:sz="0" w:space="0" w:color="auto"/>
                                                        <w:right w:val="none" w:sz="0" w:space="0" w:color="auto"/>
                                                      </w:divBdr>
                                                      <w:divsChild>
                                                        <w:div w:id="1168209259">
                                                          <w:marLeft w:val="0"/>
                                                          <w:marRight w:val="0"/>
                                                          <w:marTop w:val="0"/>
                                                          <w:marBottom w:val="0"/>
                                                          <w:divBdr>
                                                            <w:top w:val="none" w:sz="0" w:space="0" w:color="auto"/>
                                                            <w:left w:val="none" w:sz="0" w:space="0" w:color="auto"/>
                                                            <w:bottom w:val="none" w:sz="0" w:space="0" w:color="auto"/>
                                                            <w:right w:val="none" w:sz="0" w:space="0" w:color="auto"/>
                                                          </w:divBdr>
                                                        </w:div>
                                                        <w:div w:id="821703411">
                                                          <w:marLeft w:val="0"/>
                                                          <w:marRight w:val="0"/>
                                                          <w:marTop w:val="0"/>
                                                          <w:marBottom w:val="0"/>
                                                          <w:divBdr>
                                                            <w:top w:val="none" w:sz="0" w:space="0" w:color="auto"/>
                                                            <w:left w:val="none" w:sz="0" w:space="0" w:color="auto"/>
                                                            <w:bottom w:val="none" w:sz="0" w:space="0" w:color="auto"/>
                                                            <w:right w:val="none" w:sz="0" w:space="0" w:color="auto"/>
                                                          </w:divBdr>
                                                        </w:div>
                                                        <w:div w:id="1024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4253">
                                                  <w:marLeft w:val="0"/>
                                                  <w:marRight w:val="0"/>
                                                  <w:marTop w:val="0"/>
                                                  <w:marBottom w:val="0"/>
                                                  <w:divBdr>
                                                    <w:top w:val="none" w:sz="0" w:space="0" w:color="auto"/>
                                                    <w:left w:val="none" w:sz="0" w:space="0" w:color="auto"/>
                                                    <w:bottom w:val="none" w:sz="0" w:space="0" w:color="auto"/>
                                                    <w:right w:val="none" w:sz="0" w:space="0" w:color="auto"/>
                                                  </w:divBdr>
                                                  <w:divsChild>
                                                    <w:div w:id="889459140">
                                                      <w:marLeft w:val="0"/>
                                                      <w:marRight w:val="0"/>
                                                      <w:marTop w:val="0"/>
                                                      <w:marBottom w:val="0"/>
                                                      <w:divBdr>
                                                        <w:top w:val="none" w:sz="0" w:space="0" w:color="auto"/>
                                                        <w:left w:val="none" w:sz="0" w:space="0" w:color="auto"/>
                                                        <w:bottom w:val="none" w:sz="0" w:space="0" w:color="auto"/>
                                                        <w:right w:val="none" w:sz="0" w:space="0" w:color="auto"/>
                                                      </w:divBdr>
                                                    </w:div>
                                                  </w:divsChild>
                                                </w:div>
                                                <w:div w:id="1269891914">
                                                  <w:marLeft w:val="0"/>
                                                  <w:marRight w:val="0"/>
                                                  <w:marTop w:val="0"/>
                                                  <w:marBottom w:val="0"/>
                                                  <w:divBdr>
                                                    <w:top w:val="none" w:sz="0" w:space="0" w:color="auto"/>
                                                    <w:left w:val="none" w:sz="0" w:space="0" w:color="auto"/>
                                                    <w:bottom w:val="none" w:sz="0" w:space="0" w:color="auto"/>
                                                    <w:right w:val="none" w:sz="0" w:space="0" w:color="auto"/>
                                                  </w:divBdr>
                                                  <w:divsChild>
                                                    <w:div w:id="1718579196">
                                                      <w:marLeft w:val="0"/>
                                                      <w:marRight w:val="0"/>
                                                      <w:marTop w:val="0"/>
                                                      <w:marBottom w:val="0"/>
                                                      <w:divBdr>
                                                        <w:top w:val="none" w:sz="0" w:space="0" w:color="auto"/>
                                                        <w:left w:val="none" w:sz="0" w:space="0" w:color="auto"/>
                                                        <w:bottom w:val="none" w:sz="0" w:space="0" w:color="auto"/>
                                                        <w:right w:val="none" w:sz="0" w:space="0" w:color="auto"/>
                                                      </w:divBdr>
                                                      <w:divsChild>
                                                        <w:div w:id="477306871">
                                                          <w:marLeft w:val="0"/>
                                                          <w:marRight w:val="0"/>
                                                          <w:marTop w:val="0"/>
                                                          <w:marBottom w:val="0"/>
                                                          <w:divBdr>
                                                            <w:top w:val="none" w:sz="0" w:space="0" w:color="auto"/>
                                                            <w:left w:val="none" w:sz="0" w:space="0" w:color="auto"/>
                                                            <w:bottom w:val="none" w:sz="0" w:space="0" w:color="auto"/>
                                                            <w:right w:val="none" w:sz="0" w:space="0" w:color="auto"/>
                                                          </w:divBdr>
                                                          <w:divsChild>
                                                            <w:div w:id="146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672100510">
      <w:bodyDiv w:val="1"/>
      <w:marLeft w:val="0"/>
      <w:marRight w:val="0"/>
      <w:marTop w:val="0"/>
      <w:marBottom w:val="0"/>
      <w:divBdr>
        <w:top w:val="none" w:sz="0" w:space="0" w:color="auto"/>
        <w:left w:val="none" w:sz="0" w:space="0" w:color="auto"/>
        <w:bottom w:val="none" w:sz="0" w:space="0" w:color="auto"/>
        <w:right w:val="none" w:sz="0" w:space="0" w:color="auto"/>
      </w:divBdr>
      <w:divsChild>
        <w:div w:id="703596719">
          <w:marLeft w:val="0"/>
          <w:marRight w:val="0"/>
          <w:marTop w:val="0"/>
          <w:marBottom w:val="0"/>
          <w:divBdr>
            <w:top w:val="none" w:sz="0" w:space="0" w:color="auto"/>
            <w:left w:val="single" w:sz="6" w:space="0" w:color="BBBBBB"/>
            <w:bottom w:val="single" w:sz="6" w:space="0" w:color="BBBBBB"/>
            <w:right w:val="single" w:sz="6" w:space="0" w:color="BBBBBB"/>
          </w:divBdr>
          <w:divsChild>
            <w:div w:id="1291857787">
              <w:marLeft w:val="0"/>
              <w:marRight w:val="0"/>
              <w:marTop w:val="0"/>
              <w:marBottom w:val="0"/>
              <w:divBdr>
                <w:top w:val="none" w:sz="0" w:space="0" w:color="auto"/>
                <w:left w:val="none" w:sz="0" w:space="0" w:color="auto"/>
                <w:bottom w:val="none" w:sz="0" w:space="0" w:color="auto"/>
                <w:right w:val="none" w:sz="0" w:space="0" w:color="auto"/>
              </w:divBdr>
              <w:divsChild>
                <w:div w:id="2103449313">
                  <w:marLeft w:val="0"/>
                  <w:marRight w:val="0"/>
                  <w:marTop w:val="75"/>
                  <w:marBottom w:val="0"/>
                  <w:divBdr>
                    <w:top w:val="none" w:sz="0" w:space="0" w:color="auto"/>
                    <w:left w:val="none" w:sz="0" w:space="0" w:color="auto"/>
                    <w:bottom w:val="none" w:sz="0" w:space="0" w:color="auto"/>
                    <w:right w:val="none" w:sz="0" w:space="0" w:color="auto"/>
                  </w:divBdr>
                  <w:divsChild>
                    <w:div w:id="1123112736">
                      <w:marLeft w:val="0"/>
                      <w:marRight w:val="0"/>
                      <w:marTop w:val="0"/>
                      <w:marBottom w:val="0"/>
                      <w:divBdr>
                        <w:top w:val="none" w:sz="0" w:space="0" w:color="auto"/>
                        <w:left w:val="none" w:sz="0" w:space="0" w:color="auto"/>
                        <w:bottom w:val="none" w:sz="0" w:space="0" w:color="auto"/>
                        <w:right w:val="none" w:sz="0" w:space="0" w:color="auto"/>
                      </w:divBdr>
                      <w:divsChild>
                        <w:div w:id="1665039464">
                          <w:marLeft w:val="0"/>
                          <w:marRight w:val="0"/>
                          <w:marTop w:val="0"/>
                          <w:marBottom w:val="0"/>
                          <w:divBdr>
                            <w:top w:val="none" w:sz="0" w:space="0" w:color="auto"/>
                            <w:left w:val="none" w:sz="0" w:space="0" w:color="auto"/>
                            <w:bottom w:val="none" w:sz="0" w:space="0" w:color="auto"/>
                            <w:right w:val="none" w:sz="0" w:space="0" w:color="auto"/>
                          </w:divBdr>
                          <w:divsChild>
                            <w:div w:id="1429041516">
                              <w:marLeft w:val="0"/>
                              <w:marRight w:val="0"/>
                              <w:marTop w:val="0"/>
                              <w:marBottom w:val="0"/>
                              <w:divBdr>
                                <w:top w:val="none" w:sz="0" w:space="0" w:color="auto"/>
                                <w:left w:val="none" w:sz="0" w:space="0" w:color="auto"/>
                                <w:bottom w:val="none" w:sz="0" w:space="0" w:color="auto"/>
                                <w:right w:val="none" w:sz="0" w:space="0" w:color="auto"/>
                              </w:divBdr>
                              <w:divsChild>
                                <w:div w:id="460731528">
                                  <w:marLeft w:val="0"/>
                                  <w:marRight w:val="0"/>
                                  <w:marTop w:val="0"/>
                                  <w:marBottom w:val="0"/>
                                  <w:divBdr>
                                    <w:top w:val="none" w:sz="0" w:space="0" w:color="auto"/>
                                    <w:left w:val="none" w:sz="0" w:space="0" w:color="auto"/>
                                    <w:bottom w:val="none" w:sz="0" w:space="0" w:color="auto"/>
                                    <w:right w:val="none" w:sz="0" w:space="0" w:color="auto"/>
                                  </w:divBdr>
                                  <w:divsChild>
                                    <w:div w:id="477768421">
                                      <w:marLeft w:val="0"/>
                                      <w:marRight w:val="0"/>
                                      <w:marTop w:val="0"/>
                                      <w:marBottom w:val="0"/>
                                      <w:divBdr>
                                        <w:top w:val="none" w:sz="0" w:space="0" w:color="auto"/>
                                        <w:left w:val="none" w:sz="0" w:space="0" w:color="auto"/>
                                        <w:bottom w:val="none" w:sz="0" w:space="0" w:color="auto"/>
                                        <w:right w:val="none" w:sz="0" w:space="0" w:color="auto"/>
                                      </w:divBdr>
                                      <w:divsChild>
                                        <w:div w:id="1854106108">
                                          <w:marLeft w:val="0"/>
                                          <w:marRight w:val="0"/>
                                          <w:marTop w:val="0"/>
                                          <w:marBottom w:val="0"/>
                                          <w:divBdr>
                                            <w:top w:val="none" w:sz="0" w:space="0" w:color="auto"/>
                                            <w:left w:val="none" w:sz="0" w:space="0" w:color="auto"/>
                                            <w:bottom w:val="none" w:sz="0" w:space="0" w:color="auto"/>
                                            <w:right w:val="none" w:sz="0" w:space="0" w:color="auto"/>
                                          </w:divBdr>
                                          <w:divsChild>
                                            <w:div w:id="821385705">
                                              <w:marLeft w:val="0"/>
                                              <w:marRight w:val="0"/>
                                              <w:marTop w:val="0"/>
                                              <w:marBottom w:val="0"/>
                                              <w:divBdr>
                                                <w:top w:val="none" w:sz="0" w:space="0" w:color="auto"/>
                                                <w:left w:val="none" w:sz="0" w:space="0" w:color="auto"/>
                                                <w:bottom w:val="none" w:sz="0" w:space="0" w:color="auto"/>
                                                <w:right w:val="none" w:sz="0" w:space="0" w:color="auto"/>
                                              </w:divBdr>
                                              <w:divsChild>
                                                <w:div w:id="1216239146">
                                                  <w:marLeft w:val="0"/>
                                                  <w:marRight w:val="0"/>
                                                  <w:marTop w:val="0"/>
                                                  <w:marBottom w:val="0"/>
                                                  <w:divBdr>
                                                    <w:top w:val="none" w:sz="0" w:space="0" w:color="auto"/>
                                                    <w:left w:val="none" w:sz="0" w:space="0" w:color="auto"/>
                                                    <w:bottom w:val="none" w:sz="0" w:space="0" w:color="auto"/>
                                                    <w:right w:val="none" w:sz="0" w:space="0" w:color="auto"/>
                                                  </w:divBdr>
                                                  <w:divsChild>
                                                    <w:div w:id="1825580827">
                                                      <w:marLeft w:val="750"/>
                                                      <w:marRight w:val="0"/>
                                                      <w:marTop w:val="0"/>
                                                      <w:marBottom w:val="0"/>
                                                      <w:divBdr>
                                                        <w:top w:val="none" w:sz="0" w:space="0" w:color="auto"/>
                                                        <w:left w:val="none" w:sz="0" w:space="0" w:color="auto"/>
                                                        <w:bottom w:val="none" w:sz="0" w:space="0" w:color="auto"/>
                                                        <w:right w:val="none" w:sz="0" w:space="0" w:color="auto"/>
                                                      </w:divBdr>
                                                      <w:divsChild>
                                                        <w:div w:id="4748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830219912">
      <w:bodyDiv w:val="1"/>
      <w:marLeft w:val="0"/>
      <w:marRight w:val="0"/>
      <w:marTop w:val="0"/>
      <w:marBottom w:val="0"/>
      <w:divBdr>
        <w:top w:val="none" w:sz="0" w:space="0" w:color="auto"/>
        <w:left w:val="none" w:sz="0" w:space="0" w:color="auto"/>
        <w:bottom w:val="none" w:sz="0" w:space="0" w:color="auto"/>
        <w:right w:val="none" w:sz="0" w:space="0" w:color="auto"/>
      </w:divBdr>
      <w:divsChild>
        <w:div w:id="1966963231">
          <w:marLeft w:val="150"/>
          <w:marRight w:val="150"/>
          <w:marTop w:val="150"/>
          <w:marBottom w:val="150"/>
          <w:divBdr>
            <w:top w:val="none" w:sz="0" w:space="0" w:color="auto"/>
            <w:left w:val="none" w:sz="0" w:space="0" w:color="auto"/>
            <w:bottom w:val="none" w:sz="0" w:space="0" w:color="auto"/>
            <w:right w:val="none" w:sz="0" w:space="0" w:color="auto"/>
          </w:divBdr>
          <w:divsChild>
            <w:div w:id="1278565596">
              <w:marLeft w:val="0"/>
              <w:marRight w:val="0"/>
              <w:marTop w:val="0"/>
              <w:marBottom w:val="0"/>
              <w:divBdr>
                <w:top w:val="none" w:sz="0" w:space="0" w:color="auto"/>
                <w:left w:val="none" w:sz="0" w:space="0" w:color="auto"/>
                <w:bottom w:val="none" w:sz="0" w:space="0" w:color="auto"/>
                <w:right w:val="none" w:sz="0" w:space="0" w:color="auto"/>
              </w:divBdr>
              <w:divsChild>
                <w:div w:id="330642277">
                  <w:marLeft w:val="0"/>
                  <w:marRight w:val="0"/>
                  <w:marTop w:val="0"/>
                  <w:marBottom w:val="0"/>
                  <w:divBdr>
                    <w:top w:val="none" w:sz="0" w:space="0" w:color="auto"/>
                    <w:left w:val="none" w:sz="0" w:space="0" w:color="auto"/>
                    <w:bottom w:val="none" w:sz="0" w:space="0" w:color="auto"/>
                    <w:right w:val="none" w:sz="0" w:space="0" w:color="auto"/>
                  </w:divBdr>
                  <w:divsChild>
                    <w:div w:id="1223718190">
                      <w:marLeft w:val="0"/>
                      <w:marRight w:val="0"/>
                      <w:marTop w:val="0"/>
                      <w:marBottom w:val="0"/>
                      <w:divBdr>
                        <w:top w:val="none" w:sz="0" w:space="0" w:color="auto"/>
                        <w:left w:val="none" w:sz="0" w:space="0" w:color="auto"/>
                        <w:bottom w:val="none" w:sz="0" w:space="0" w:color="auto"/>
                        <w:right w:val="none" w:sz="0" w:space="0" w:color="auto"/>
                      </w:divBdr>
                    </w:div>
                    <w:div w:id="441148423">
                      <w:marLeft w:val="180"/>
                      <w:marRight w:val="0"/>
                      <w:marTop w:val="0"/>
                      <w:marBottom w:val="0"/>
                      <w:divBdr>
                        <w:top w:val="none" w:sz="0" w:space="0" w:color="auto"/>
                        <w:left w:val="none" w:sz="0" w:space="0" w:color="auto"/>
                        <w:bottom w:val="none" w:sz="0" w:space="0" w:color="auto"/>
                        <w:right w:val="none" w:sz="0" w:space="0" w:color="auto"/>
                      </w:divBdr>
                    </w:div>
                    <w:div w:id="392508616">
                      <w:marLeft w:val="360"/>
                      <w:marRight w:val="0"/>
                      <w:marTop w:val="0"/>
                      <w:marBottom w:val="0"/>
                      <w:divBdr>
                        <w:top w:val="none" w:sz="0" w:space="0" w:color="auto"/>
                        <w:left w:val="none" w:sz="0" w:space="0" w:color="auto"/>
                        <w:bottom w:val="none" w:sz="0" w:space="0" w:color="auto"/>
                        <w:right w:val="none" w:sz="0" w:space="0" w:color="auto"/>
                      </w:divBdr>
                    </w:div>
                    <w:div w:id="1730109843">
                      <w:marLeft w:val="360"/>
                      <w:marRight w:val="0"/>
                      <w:marTop w:val="0"/>
                      <w:marBottom w:val="0"/>
                      <w:divBdr>
                        <w:top w:val="none" w:sz="0" w:space="0" w:color="auto"/>
                        <w:left w:val="none" w:sz="0" w:space="0" w:color="auto"/>
                        <w:bottom w:val="none" w:sz="0" w:space="0" w:color="auto"/>
                        <w:right w:val="none" w:sz="0" w:space="0" w:color="auto"/>
                      </w:divBdr>
                    </w:div>
                    <w:div w:id="2002081172">
                      <w:marLeft w:val="180"/>
                      <w:marRight w:val="0"/>
                      <w:marTop w:val="0"/>
                      <w:marBottom w:val="0"/>
                      <w:divBdr>
                        <w:top w:val="none" w:sz="0" w:space="0" w:color="auto"/>
                        <w:left w:val="none" w:sz="0" w:space="0" w:color="auto"/>
                        <w:bottom w:val="none" w:sz="0" w:space="0" w:color="auto"/>
                        <w:right w:val="none" w:sz="0" w:space="0" w:color="auto"/>
                      </w:divBdr>
                    </w:div>
                    <w:div w:id="849490837">
                      <w:marLeft w:val="180"/>
                      <w:marRight w:val="0"/>
                      <w:marTop w:val="0"/>
                      <w:marBottom w:val="0"/>
                      <w:divBdr>
                        <w:top w:val="none" w:sz="0" w:space="0" w:color="auto"/>
                        <w:left w:val="none" w:sz="0" w:space="0" w:color="auto"/>
                        <w:bottom w:val="none" w:sz="0" w:space="0" w:color="auto"/>
                        <w:right w:val="none" w:sz="0" w:space="0" w:color="auto"/>
                      </w:divBdr>
                    </w:div>
                    <w:div w:id="1664897096">
                      <w:marLeft w:val="0"/>
                      <w:marRight w:val="0"/>
                      <w:marTop w:val="0"/>
                      <w:marBottom w:val="0"/>
                      <w:divBdr>
                        <w:top w:val="none" w:sz="0" w:space="0" w:color="auto"/>
                        <w:left w:val="none" w:sz="0" w:space="0" w:color="auto"/>
                        <w:bottom w:val="none" w:sz="0" w:space="0" w:color="auto"/>
                        <w:right w:val="none" w:sz="0" w:space="0" w:color="auto"/>
                      </w:divBdr>
                    </w:div>
                    <w:div w:id="1832019019">
                      <w:marLeft w:val="180"/>
                      <w:marRight w:val="0"/>
                      <w:marTop w:val="0"/>
                      <w:marBottom w:val="0"/>
                      <w:divBdr>
                        <w:top w:val="none" w:sz="0" w:space="0" w:color="auto"/>
                        <w:left w:val="none" w:sz="0" w:space="0" w:color="auto"/>
                        <w:bottom w:val="none" w:sz="0" w:space="0" w:color="auto"/>
                        <w:right w:val="none" w:sz="0" w:space="0" w:color="auto"/>
                      </w:divBdr>
                    </w:div>
                    <w:div w:id="824392278">
                      <w:marLeft w:val="180"/>
                      <w:marRight w:val="0"/>
                      <w:marTop w:val="0"/>
                      <w:marBottom w:val="0"/>
                      <w:divBdr>
                        <w:top w:val="none" w:sz="0" w:space="0" w:color="auto"/>
                        <w:left w:val="none" w:sz="0" w:space="0" w:color="auto"/>
                        <w:bottom w:val="none" w:sz="0" w:space="0" w:color="auto"/>
                        <w:right w:val="none" w:sz="0" w:space="0" w:color="auto"/>
                      </w:divBdr>
                    </w:div>
                    <w:div w:id="95836073">
                      <w:marLeft w:val="180"/>
                      <w:marRight w:val="0"/>
                      <w:marTop w:val="0"/>
                      <w:marBottom w:val="0"/>
                      <w:divBdr>
                        <w:top w:val="none" w:sz="0" w:space="0" w:color="auto"/>
                        <w:left w:val="none" w:sz="0" w:space="0" w:color="auto"/>
                        <w:bottom w:val="none" w:sz="0" w:space="0" w:color="auto"/>
                        <w:right w:val="none" w:sz="0" w:space="0" w:color="auto"/>
                      </w:divBdr>
                    </w:div>
                    <w:div w:id="92437717">
                      <w:marLeft w:val="0"/>
                      <w:marRight w:val="0"/>
                      <w:marTop w:val="0"/>
                      <w:marBottom w:val="0"/>
                      <w:divBdr>
                        <w:top w:val="none" w:sz="0" w:space="0" w:color="auto"/>
                        <w:left w:val="none" w:sz="0" w:space="0" w:color="auto"/>
                        <w:bottom w:val="none" w:sz="0" w:space="0" w:color="auto"/>
                        <w:right w:val="none" w:sz="0" w:space="0" w:color="auto"/>
                      </w:divBdr>
                    </w:div>
                    <w:div w:id="596444056">
                      <w:marLeft w:val="0"/>
                      <w:marRight w:val="0"/>
                      <w:marTop w:val="0"/>
                      <w:marBottom w:val="0"/>
                      <w:divBdr>
                        <w:top w:val="none" w:sz="0" w:space="0" w:color="auto"/>
                        <w:left w:val="none" w:sz="0" w:space="0" w:color="auto"/>
                        <w:bottom w:val="none" w:sz="0" w:space="0" w:color="auto"/>
                        <w:right w:val="none" w:sz="0" w:space="0" w:color="auto"/>
                      </w:divBdr>
                    </w:div>
                    <w:div w:id="1771584365">
                      <w:marLeft w:val="180"/>
                      <w:marRight w:val="0"/>
                      <w:marTop w:val="0"/>
                      <w:marBottom w:val="0"/>
                      <w:divBdr>
                        <w:top w:val="none" w:sz="0" w:space="0" w:color="auto"/>
                        <w:left w:val="none" w:sz="0" w:space="0" w:color="auto"/>
                        <w:bottom w:val="none" w:sz="0" w:space="0" w:color="auto"/>
                        <w:right w:val="none" w:sz="0" w:space="0" w:color="auto"/>
                      </w:divBdr>
                    </w:div>
                    <w:div w:id="1321883715">
                      <w:marLeft w:val="180"/>
                      <w:marRight w:val="0"/>
                      <w:marTop w:val="0"/>
                      <w:marBottom w:val="0"/>
                      <w:divBdr>
                        <w:top w:val="none" w:sz="0" w:space="0" w:color="auto"/>
                        <w:left w:val="none" w:sz="0" w:space="0" w:color="auto"/>
                        <w:bottom w:val="none" w:sz="0" w:space="0" w:color="auto"/>
                        <w:right w:val="none" w:sz="0" w:space="0" w:color="auto"/>
                      </w:divBdr>
                    </w:div>
                    <w:div w:id="5649220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03854">
      <w:bodyDiv w:val="1"/>
      <w:marLeft w:val="0"/>
      <w:marRight w:val="0"/>
      <w:marTop w:val="0"/>
      <w:marBottom w:val="0"/>
      <w:divBdr>
        <w:top w:val="none" w:sz="0" w:space="0" w:color="auto"/>
        <w:left w:val="none" w:sz="0" w:space="0" w:color="auto"/>
        <w:bottom w:val="none" w:sz="0" w:space="0" w:color="auto"/>
        <w:right w:val="none" w:sz="0" w:space="0" w:color="auto"/>
      </w:divBdr>
      <w:divsChild>
        <w:div w:id="2018344764">
          <w:marLeft w:val="0"/>
          <w:marRight w:val="0"/>
          <w:marTop w:val="0"/>
          <w:marBottom w:val="0"/>
          <w:divBdr>
            <w:top w:val="none" w:sz="0" w:space="0" w:color="auto"/>
            <w:left w:val="single" w:sz="6" w:space="0" w:color="BBBBBB"/>
            <w:bottom w:val="single" w:sz="6" w:space="0" w:color="BBBBBB"/>
            <w:right w:val="single" w:sz="6" w:space="0" w:color="BBBBBB"/>
          </w:divBdr>
          <w:divsChild>
            <w:div w:id="700860484">
              <w:marLeft w:val="0"/>
              <w:marRight w:val="0"/>
              <w:marTop w:val="0"/>
              <w:marBottom w:val="0"/>
              <w:divBdr>
                <w:top w:val="none" w:sz="0" w:space="0" w:color="auto"/>
                <w:left w:val="none" w:sz="0" w:space="0" w:color="auto"/>
                <w:bottom w:val="none" w:sz="0" w:space="0" w:color="auto"/>
                <w:right w:val="none" w:sz="0" w:space="0" w:color="auto"/>
              </w:divBdr>
              <w:divsChild>
                <w:div w:id="1246307458">
                  <w:marLeft w:val="0"/>
                  <w:marRight w:val="0"/>
                  <w:marTop w:val="75"/>
                  <w:marBottom w:val="0"/>
                  <w:divBdr>
                    <w:top w:val="none" w:sz="0" w:space="0" w:color="auto"/>
                    <w:left w:val="none" w:sz="0" w:space="0" w:color="auto"/>
                    <w:bottom w:val="none" w:sz="0" w:space="0" w:color="auto"/>
                    <w:right w:val="none" w:sz="0" w:space="0" w:color="auto"/>
                  </w:divBdr>
                  <w:divsChild>
                    <w:div w:id="538274558">
                      <w:marLeft w:val="0"/>
                      <w:marRight w:val="0"/>
                      <w:marTop w:val="0"/>
                      <w:marBottom w:val="0"/>
                      <w:divBdr>
                        <w:top w:val="none" w:sz="0" w:space="0" w:color="auto"/>
                        <w:left w:val="none" w:sz="0" w:space="0" w:color="auto"/>
                        <w:bottom w:val="none" w:sz="0" w:space="0" w:color="auto"/>
                        <w:right w:val="none" w:sz="0" w:space="0" w:color="auto"/>
                      </w:divBdr>
                      <w:divsChild>
                        <w:div w:id="1315837217">
                          <w:marLeft w:val="0"/>
                          <w:marRight w:val="0"/>
                          <w:marTop w:val="0"/>
                          <w:marBottom w:val="0"/>
                          <w:divBdr>
                            <w:top w:val="none" w:sz="0" w:space="0" w:color="auto"/>
                            <w:left w:val="none" w:sz="0" w:space="0" w:color="auto"/>
                            <w:bottom w:val="none" w:sz="0" w:space="0" w:color="auto"/>
                            <w:right w:val="none" w:sz="0" w:space="0" w:color="auto"/>
                          </w:divBdr>
                          <w:divsChild>
                            <w:div w:id="1852600937">
                              <w:marLeft w:val="0"/>
                              <w:marRight w:val="0"/>
                              <w:marTop w:val="0"/>
                              <w:marBottom w:val="0"/>
                              <w:divBdr>
                                <w:top w:val="none" w:sz="0" w:space="0" w:color="auto"/>
                                <w:left w:val="none" w:sz="0" w:space="0" w:color="auto"/>
                                <w:bottom w:val="none" w:sz="0" w:space="0" w:color="auto"/>
                                <w:right w:val="none" w:sz="0" w:space="0" w:color="auto"/>
                              </w:divBdr>
                              <w:divsChild>
                                <w:div w:id="572350287">
                                  <w:marLeft w:val="0"/>
                                  <w:marRight w:val="0"/>
                                  <w:marTop w:val="0"/>
                                  <w:marBottom w:val="0"/>
                                  <w:divBdr>
                                    <w:top w:val="none" w:sz="0" w:space="0" w:color="auto"/>
                                    <w:left w:val="none" w:sz="0" w:space="0" w:color="auto"/>
                                    <w:bottom w:val="none" w:sz="0" w:space="0" w:color="auto"/>
                                    <w:right w:val="none" w:sz="0" w:space="0" w:color="auto"/>
                                  </w:divBdr>
                                  <w:divsChild>
                                    <w:div w:id="684986019">
                                      <w:marLeft w:val="0"/>
                                      <w:marRight w:val="0"/>
                                      <w:marTop w:val="0"/>
                                      <w:marBottom w:val="0"/>
                                      <w:divBdr>
                                        <w:top w:val="none" w:sz="0" w:space="0" w:color="auto"/>
                                        <w:left w:val="none" w:sz="0" w:space="0" w:color="auto"/>
                                        <w:bottom w:val="none" w:sz="0" w:space="0" w:color="auto"/>
                                        <w:right w:val="none" w:sz="0" w:space="0" w:color="auto"/>
                                      </w:divBdr>
                                      <w:divsChild>
                                        <w:div w:id="1196389235">
                                          <w:marLeft w:val="1200"/>
                                          <w:marRight w:val="1200"/>
                                          <w:marTop w:val="0"/>
                                          <w:marBottom w:val="0"/>
                                          <w:divBdr>
                                            <w:top w:val="none" w:sz="0" w:space="0" w:color="auto"/>
                                            <w:left w:val="none" w:sz="0" w:space="0" w:color="auto"/>
                                            <w:bottom w:val="none" w:sz="0" w:space="0" w:color="auto"/>
                                            <w:right w:val="none" w:sz="0" w:space="0" w:color="auto"/>
                                          </w:divBdr>
                                          <w:divsChild>
                                            <w:div w:id="393163474">
                                              <w:marLeft w:val="0"/>
                                              <w:marRight w:val="0"/>
                                              <w:marTop w:val="0"/>
                                              <w:marBottom w:val="0"/>
                                              <w:divBdr>
                                                <w:top w:val="none" w:sz="0" w:space="0" w:color="auto"/>
                                                <w:left w:val="none" w:sz="0" w:space="0" w:color="auto"/>
                                                <w:bottom w:val="none" w:sz="0" w:space="0" w:color="auto"/>
                                                <w:right w:val="none" w:sz="0" w:space="0" w:color="auto"/>
                                              </w:divBdr>
                                              <w:divsChild>
                                                <w:div w:id="709300439">
                                                  <w:marLeft w:val="0"/>
                                                  <w:marRight w:val="0"/>
                                                  <w:marTop w:val="0"/>
                                                  <w:marBottom w:val="0"/>
                                                  <w:divBdr>
                                                    <w:top w:val="none" w:sz="0" w:space="0" w:color="auto"/>
                                                    <w:left w:val="none" w:sz="0" w:space="0" w:color="auto"/>
                                                    <w:bottom w:val="none" w:sz="0" w:space="0" w:color="auto"/>
                                                    <w:right w:val="none" w:sz="0" w:space="0" w:color="auto"/>
                                                  </w:divBdr>
                                                  <w:divsChild>
                                                    <w:div w:id="846022431">
                                                      <w:marLeft w:val="0"/>
                                                      <w:marRight w:val="0"/>
                                                      <w:marTop w:val="0"/>
                                                      <w:marBottom w:val="0"/>
                                                      <w:divBdr>
                                                        <w:top w:val="none" w:sz="0" w:space="0" w:color="auto"/>
                                                        <w:left w:val="none" w:sz="0" w:space="0" w:color="auto"/>
                                                        <w:bottom w:val="none" w:sz="0" w:space="0" w:color="auto"/>
                                                        <w:right w:val="none" w:sz="0" w:space="0" w:color="auto"/>
                                                      </w:divBdr>
                                                      <w:divsChild>
                                                        <w:div w:id="1641812331">
                                                          <w:marLeft w:val="0"/>
                                                          <w:marRight w:val="0"/>
                                                          <w:marTop w:val="0"/>
                                                          <w:marBottom w:val="0"/>
                                                          <w:divBdr>
                                                            <w:top w:val="none" w:sz="0" w:space="0" w:color="auto"/>
                                                            <w:left w:val="none" w:sz="0" w:space="0" w:color="auto"/>
                                                            <w:bottom w:val="none" w:sz="0" w:space="0" w:color="auto"/>
                                                            <w:right w:val="none" w:sz="0" w:space="0" w:color="auto"/>
                                                          </w:divBdr>
                                                        </w:div>
                                                      </w:divsChild>
                                                    </w:div>
                                                    <w:div w:id="2135125808">
                                                      <w:marLeft w:val="0"/>
                                                      <w:marRight w:val="0"/>
                                                      <w:marTop w:val="0"/>
                                                      <w:marBottom w:val="0"/>
                                                      <w:divBdr>
                                                        <w:top w:val="none" w:sz="0" w:space="0" w:color="auto"/>
                                                        <w:left w:val="none" w:sz="0" w:space="0" w:color="auto"/>
                                                        <w:bottom w:val="none" w:sz="0" w:space="0" w:color="auto"/>
                                                        <w:right w:val="none" w:sz="0" w:space="0" w:color="auto"/>
                                                      </w:divBdr>
                                                      <w:divsChild>
                                                        <w:div w:id="2068525702">
                                                          <w:marLeft w:val="0"/>
                                                          <w:marRight w:val="0"/>
                                                          <w:marTop w:val="0"/>
                                                          <w:marBottom w:val="0"/>
                                                          <w:divBdr>
                                                            <w:top w:val="none" w:sz="0" w:space="0" w:color="auto"/>
                                                            <w:left w:val="none" w:sz="0" w:space="0" w:color="auto"/>
                                                            <w:bottom w:val="none" w:sz="0" w:space="0" w:color="auto"/>
                                                            <w:right w:val="none" w:sz="0" w:space="0" w:color="auto"/>
                                                          </w:divBdr>
                                                        </w:div>
                                                        <w:div w:id="14087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8721334">
      <w:bodyDiv w:val="1"/>
      <w:marLeft w:val="0"/>
      <w:marRight w:val="0"/>
      <w:marTop w:val="0"/>
      <w:marBottom w:val="0"/>
      <w:divBdr>
        <w:top w:val="none" w:sz="0" w:space="0" w:color="auto"/>
        <w:left w:val="none" w:sz="0" w:space="0" w:color="auto"/>
        <w:bottom w:val="none" w:sz="0" w:space="0" w:color="auto"/>
        <w:right w:val="none" w:sz="0" w:space="0" w:color="auto"/>
      </w:divBdr>
      <w:divsChild>
        <w:div w:id="806436624">
          <w:marLeft w:val="0"/>
          <w:marRight w:val="0"/>
          <w:marTop w:val="0"/>
          <w:marBottom w:val="0"/>
          <w:divBdr>
            <w:top w:val="none" w:sz="0" w:space="0" w:color="auto"/>
            <w:left w:val="none" w:sz="0" w:space="0" w:color="auto"/>
            <w:bottom w:val="none" w:sz="0" w:space="0" w:color="auto"/>
            <w:right w:val="none" w:sz="0" w:space="0" w:color="auto"/>
          </w:divBdr>
        </w:div>
      </w:divsChild>
    </w:div>
    <w:div w:id="1682470228">
      <w:bodyDiv w:val="1"/>
      <w:marLeft w:val="0"/>
      <w:marRight w:val="0"/>
      <w:marTop w:val="0"/>
      <w:marBottom w:val="0"/>
      <w:divBdr>
        <w:top w:val="none" w:sz="0" w:space="0" w:color="auto"/>
        <w:left w:val="none" w:sz="0" w:space="0" w:color="auto"/>
        <w:bottom w:val="none" w:sz="0" w:space="0" w:color="auto"/>
        <w:right w:val="none" w:sz="0" w:space="0" w:color="auto"/>
      </w:divBdr>
      <w:divsChild>
        <w:div w:id="53704124">
          <w:marLeft w:val="150"/>
          <w:marRight w:val="150"/>
          <w:marTop w:val="150"/>
          <w:marBottom w:val="150"/>
          <w:divBdr>
            <w:top w:val="none" w:sz="0" w:space="0" w:color="auto"/>
            <w:left w:val="none" w:sz="0" w:space="0" w:color="auto"/>
            <w:bottom w:val="none" w:sz="0" w:space="0" w:color="auto"/>
            <w:right w:val="none" w:sz="0" w:space="0" w:color="auto"/>
          </w:divBdr>
          <w:divsChild>
            <w:div w:id="970935471">
              <w:marLeft w:val="0"/>
              <w:marRight w:val="0"/>
              <w:marTop w:val="0"/>
              <w:marBottom w:val="0"/>
              <w:divBdr>
                <w:top w:val="none" w:sz="0" w:space="0" w:color="auto"/>
                <w:left w:val="none" w:sz="0" w:space="0" w:color="auto"/>
                <w:bottom w:val="none" w:sz="0" w:space="0" w:color="auto"/>
                <w:right w:val="none" w:sz="0" w:space="0" w:color="auto"/>
              </w:divBdr>
              <w:divsChild>
                <w:div w:id="424613147">
                  <w:marLeft w:val="0"/>
                  <w:marRight w:val="0"/>
                  <w:marTop w:val="0"/>
                  <w:marBottom w:val="0"/>
                  <w:divBdr>
                    <w:top w:val="none" w:sz="0" w:space="0" w:color="auto"/>
                    <w:left w:val="none" w:sz="0" w:space="0" w:color="auto"/>
                    <w:bottom w:val="none" w:sz="0" w:space="0" w:color="auto"/>
                    <w:right w:val="none" w:sz="0" w:space="0" w:color="auto"/>
                  </w:divBdr>
                  <w:divsChild>
                    <w:div w:id="1205605048">
                      <w:marLeft w:val="0"/>
                      <w:marRight w:val="0"/>
                      <w:marTop w:val="0"/>
                      <w:marBottom w:val="0"/>
                      <w:divBdr>
                        <w:top w:val="none" w:sz="0" w:space="0" w:color="auto"/>
                        <w:left w:val="none" w:sz="0" w:space="0" w:color="auto"/>
                        <w:bottom w:val="none" w:sz="0" w:space="0" w:color="auto"/>
                        <w:right w:val="none" w:sz="0" w:space="0" w:color="auto"/>
                      </w:divBdr>
                      <w:divsChild>
                        <w:div w:id="6346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171470">
      <w:bodyDiv w:val="1"/>
      <w:marLeft w:val="0"/>
      <w:marRight w:val="0"/>
      <w:marTop w:val="0"/>
      <w:marBottom w:val="0"/>
      <w:divBdr>
        <w:top w:val="none" w:sz="0" w:space="0" w:color="auto"/>
        <w:left w:val="none" w:sz="0" w:space="0" w:color="auto"/>
        <w:bottom w:val="none" w:sz="0" w:space="0" w:color="auto"/>
        <w:right w:val="none" w:sz="0" w:space="0" w:color="auto"/>
      </w:divBdr>
      <w:divsChild>
        <w:div w:id="230896162">
          <w:marLeft w:val="150"/>
          <w:marRight w:val="150"/>
          <w:marTop w:val="150"/>
          <w:marBottom w:val="150"/>
          <w:divBdr>
            <w:top w:val="none" w:sz="0" w:space="0" w:color="auto"/>
            <w:left w:val="none" w:sz="0" w:space="0" w:color="auto"/>
            <w:bottom w:val="none" w:sz="0" w:space="0" w:color="auto"/>
            <w:right w:val="none" w:sz="0" w:space="0" w:color="auto"/>
          </w:divBdr>
          <w:divsChild>
            <w:div w:id="2012760103">
              <w:marLeft w:val="0"/>
              <w:marRight w:val="0"/>
              <w:marTop w:val="0"/>
              <w:marBottom w:val="0"/>
              <w:divBdr>
                <w:top w:val="none" w:sz="0" w:space="0" w:color="auto"/>
                <w:left w:val="none" w:sz="0" w:space="0" w:color="auto"/>
                <w:bottom w:val="none" w:sz="0" w:space="0" w:color="auto"/>
                <w:right w:val="none" w:sz="0" w:space="0" w:color="auto"/>
              </w:divBdr>
              <w:divsChild>
                <w:div w:id="1618485583">
                  <w:marLeft w:val="0"/>
                  <w:marRight w:val="0"/>
                  <w:marTop w:val="0"/>
                  <w:marBottom w:val="0"/>
                  <w:divBdr>
                    <w:top w:val="none" w:sz="0" w:space="0" w:color="auto"/>
                    <w:left w:val="none" w:sz="0" w:space="0" w:color="auto"/>
                    <w:bottom w:val="none" w:sz="0" w:space="0" w:color="auto"/>
                    <w:right w:val="none" w:sz="0" w:space="0" w:color="auto"/>
                  </w:divBdr>
                  <w:divsChild>
                    <w:div w:id="42561854">
                      <w:marLeft w:val="0"/>
                      <w:marRight w:val="0"/>
                      <w:marTop w:val="0"/>
                      <w:marBottom w:val="0"/>
                      <w:divBdr>
                        <w:top w:val="none" w:sz="0" w:space="0" w:color="auto"/>
                        <w:left w:val="none" w:sz="0" w:space="0" w:color="auto"/>
                        <w:bottom w:val="none" w:sz="0" w:space="0" w:color="auto"/>
                        <w:right w:val="none" w:sz="0" w:space="0" w:color="auto"/>
                      </w:divBdr>
                    </w:div>
                    <w:div w:id="1920671347">
                      <w:marLeft w:val="180"/>
                      <w:marRight w:val="0"/>
                      <w:marTop w:val="0"/>
                      <w:marBottom w:val="0"/>
                      <w:divBdr>
                        <w:top w:val="none" w:sz="0" w:space="0" w:color="auto"/>
                        <w:left w:val="none" w:sz="0" w:space="0" w:color="auto"/>
                        <w:bottom w:val="none" w:sz="0" w:space="0" w:color="auto"/>
                        <w:right w:val="none" w:sz="0" w:space="0" w:color="auto"/>
                      </w:divBdr>
                    </w:div>
                    <w:div w:id="911164765">
                      <w:marLeft w:val="360"/>
                      <w:marRight w:val="0"/>
                      <w:marTop w:val="0"/>
                      <w:marBottom w:val="0"/>
                      <w:divBdr>
                        <w:top w:val="none" w:sz="0" w:space="0" w:color="auto"/>
                        <w:left w:val="none" w:sz="0" w:space="0" w:color="auto"/>
                        <w:bottom w:val="none" w:sz="0" w:space="0" w:color="auto"/>
                        <w:right w:val="none" w:sz="0" w:space="0" w:color="auto"/>
                      </w:divBdr>
                    </w:div>
                    <w:div w:id="233392974">
                      <w:marLeft w:val="360"/>
                      <w:marRight w:val="0"/>
                      <w:marTop w:val="0"/>
                      <w:marBottom w:val="0"/>
                      <w:divBdr>
                        <w:top w:val="none" w:sz="0" w:space="0" w:color="auto"/>
                        <w:left w:val="none" w:sz="0" w:space="0" w:color="auto"/>
                        <w:bottom w:val="none" w:sz="0" w:space="0" w:color="auto"/>
                        <w:right w:val="none" w:sz="0" w:space="0" w:color="auto"/>
                      </w:divBdr>
                    </w:div>
                    <w:div w:id="2140761405">
                      <w:marLeft w:val="360"/>
                      <w:marRight w:val="0"/>
                      <w:marTop w:val="0"/>
                      <w:marBottom w:val="0"/>
                      <w:divBdr>
                        <w:top w:val="none" w:sz="0" w:space="0" w:color="auto"/>
                        <w:left w:val="none" w:sz="0" w:space="0" w:color="auto"/>
                        <w:bottom w:val="none" w:sz="0" w:space="0" w:color="auto"/>
                        <w:right w:val="none" w:sz="0" w:space="0" w:color="auto"/>
                      </w:divBdr>
                    </w:div>
                    <w:div w:id="1550876163">
                      <w:marLeft w:val="360"/>
                      <w:marRight w:val="0"/>
                      <w:marTop w:val="0"/>
                      <w:marBottom w:val="0"/>
                      <w:divBdr>
                        <w:top w:val="none" w:sz="0" w:space="0" w:color="auto"/>
                        <w:left w:val="none" w:sz="0" w:space="0" w:color="auto"/>
                        <w:bottom w:val="none" w:sz="0" w:space="0" w:color="auto"/>
                        <w:right w:val="none" w:sz="0" w:space="0" w:color="auto"/>
                      </w:divBdr>
                    </w:div>
                    <w:div w:id="1414427750">
                      <w:marLeft w:val="360"/>
                      <w:marRight w:val="0"/>
                      <w:marTop w:val="0"/>
                      <w:marBottom w:val="0"/>
                      <w:divBdr>
                        <w:top w:val="none" w:sz="0" w:space="0" w:color="auto"/>
                        <w:left w:val="none" w:sz="0" w:space="0" w:color="auto"/>
                        <w:bottom w:val="none" w:sz="0" w:space="0" w:color="auto"/>
                        <w:right w:val="none" w:sz="0" w:space="0" w:color="auto"/>
                      </w:divBdr>
                    </w:div>
                    <w:div w:id="510145963">
                      <w:marLeft w:val="180"/>
                      <w:marRight w:val="0"/>
                      <w:marTop w:val="0"/>
                      <w:marBottom w:val="0"/>
                      <w:divBdr>
                        <w:top w:val="none" w:sz="0" w:space="0" w:color="auto"/>
                        <w:left w:val="none" w:sz="0" w:space="0" w:color="auto"/>
                        <w:bottom w:val="none" w:sz="0" w:space="0" w:color="auto"/>
                        <w:right w:val="none" w:sz="0" w:space="0" w:color="auto"/>
                      </w:divBdr>
                    </w:div>
                    <w:div w:id="28342499">
                      <w:marLeft w:val="360"/>
                      <w:marRight w:val="0"/>
                      <w:marTop w:val="0"/>
                      <w:marBottom w:val="0"/>
                      <w:divBdr>
                        <w:top w:val="none" w:sz="0" w:space="0" w:color="auto"/>
                        <w:left w:val="none" w:sz="0" w:space="0" w:color="auto"/>
                        <w:bottom w:val="none" w:sz="0" w:space="0" w:color="auto"/>
                        <w:right w:val="none" w:sz="0" w:space="0" w:color="auto"/>
                      </w:divBdr>
                    </w:div>
                    <w:div w:id="1029380027">
                      <w:marLeft w:val="360"/>
                      <w:marRight w:val="0"/>
                      <w:marTop w:val="0"/>
                      <w:marBottom w:val="0"/>
                      <w:divBdr>
                        <w:top w:val="none" w:sz="0" w:space="0" w:color="auto"/>
                        <w:left w:val="none" w:sz="0" w:space="0" w:color="auto"/>
                        <w:bottom w:val="none" w:sz="0" w:space="0" w:color="auto"/>
                        <w:right w:val="none" w:sz="0" w:space="0" w:color="auto"/>
                      </w:divBdr>
                    </w:div>
                    <w:div w:id="2097748676">
                      <w:marLeft w:val="360"/>
                      <w:marRight w:val="0"/>
                      <w:marTop w:val="0"/>
                      <w:marBottom w:val="0"/>
                      <w:divBdr>
                        <w:top w:val="none" w:sz="0" w:space="0" w:color="auto"/>
                        <w:left w:val="none" w:sz="0" w:space="0" w:color="auto"/>
                        <w:bottom w:val="none" w:sz="0" w:space="0" w:color="auto"/>
                        <w:right w:val="none" w:sz="0" w:space="0" w:color="auto"/>
                      </w:divBdr>
                    </w:div>
                    <w:div w:id="1610626278">
                      <w:marLeft w:val="360"/>
                      <w:marRight w:val="0"/>
                      <w:marTop w:val="0"/>
                      <w:marBottom w:val="0"/>
                      <w:divBdr>
                        <w:top w:val="none" w:sz="0" w:space="0" w:color="auto"/>
                        <w:left w:val="none" w:sz="0" w:space="0" w:color="auto"/>
                        <w:bottom w:val="none" w:sz="0" w:space="0" w:color="auto"/>
                        <w:right w:val="none" w:sz="0" w:space="0" w:color="auto"/>
                      </w:divBdr>
                    </w:div>
                    <w:div w:id="2123377083">
                      <w:marLeft w:val="360"/>
                      <w:marRight w:val="0"/>
                      <w:marTop w:val="0"/>
                      <w:marBottom w:val="0"/>
                      <w:divBdr>
                        <w:top w:val="none" w:sz="0" w:space="0" w:color="auto"/>
                        <w:left w:val="none" w:sz="0" w:space="0" w:color="auto"/>
                        <w:bottom w:val="none" w:sz="0" w:space="0" w:color="auto"/>
                        <w:right w:val="none" w:sz="0" w:space="0" w:color="auto"/>
                      </w:divBdr>
                    </w:div>
                    <w:div w:id="38862987">
                      <w:marLeft w:val="360"/>
                      <w:marRight w:val="0"/>
                      <w:marTop w:val="0"/>
                      <w:marBottom w:val="0"/>
                      <w:divBdr>
                        <w:top w:val="none" w:sz="0" w:space="0" w:color="auto"/>
                        <w:left w:val="none" w:sz="0" w:space="0" w:color="auto"/>
                        <w:bottom w:val="none" w:sz="0" w:space="0" w:color="auto"/>
                        <w:right w:val="none" w:sz="0" w:space="0" w:color="auto"/>
                      </w:divBdr>
                    </w:div>
                    <w:div w:id="18453912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0097">
      <w:bodyDiv w:val="1"/>
      <w:marLeft w:val="0"/>
      <w:marRight w:val="0"/>
      <w:marTop w:val="0"/>
      <w:marBottom w:val="0"/>
      <w:divBdr>
        <w:top w:val="none" w:sz="0" w:space="0" w:color="auto"/>
        <w:left w:val="none" w:sz="0" w:space="0" w:color="auto"/>
        <w:bottom w:val="none" w:sz="0" w:space="0" w:color="auto"/>
        <w:right w:val="none" w:sz="0" w:space="0" w:color="auto"/>
      </w:divBdr>
      <w:divsChild>
        <w:div w:id="2039504335">
          <w:marLeft w:val="0"/>
          <w:marRight w:val="0"/>
          <w:marTop w:val="180"/>
          <w:marBottom w:val="0"/>
          <w:divBdr>
            <w:top w:val="none" w:sz="0" w:space="0" w:color="auto"/>
            <w:left w:val="none" w:sz="0" w:space="0" w:color="auto"/>
            <w:bottom w:val="none" w:sz="0" w:space="0" w:color="auto"/>
            <w:right w:val="none" w:sz="0" w:space="0" w:color="auto"/>
          </w:divBdr>
          <w:divsChild>
            <w:div w:id="833574167">
              <w:marLeft w:val="3330"/>
              <w:marRight w:val="180"/>
              <w:marTop w:val="0"/>
              <w:marBottom w:val="0"/>
              <w:divBdr>
                <w:top w:val="none" w:sz="0" w:space="0" w:color="auto"/>
                <w:left w:val="none" w:sz="0" w:space="0" w:color="auto"/>
                <w:bottom w:val="none" w:sz="0" w:space="0" w:color="auto"/>
                <w:right w:val="none" w:sz="0" w:space="0" w:color="auto"/>
              </w:divBdr>
              <w:divsChild>
                <w:div w:id="1271662737">
                  <w:marLeft w:val="0"/>
                  <w:marRight w:val="0"/>
                  <w:marTop w:val="0"/>
                  <w:marBottom w:val="0"/>
                  <w:divBdr>
                    <w:top w:val="none" w:sz="0" w:space="0" w:color="auto"/>
                    <w:left w:val="none" w:sz="0" w:space="0" w:color="auto"/>
                    <w:bottom w:val="none" w:sz="0" w:space="0" w:color="auto"/>
                    <w:right w:val="none" w:sz="0" w:space="0" w:color="auto"/>
                  </w:divBdr>
                  <w:divsChild>
                    <w:div w:id="72169328">
                      <w:marLeft w:val="0"/>
                      <w:marRight w:val="0"/>
                      <w:marTop w:val="0"/>
                      <w:marBottom w:val="0"/>
                      <w:divBdr>
                        <w:top w:val="none" w:sz="0" w:space="0" w:color="auto"/>
                        <w:left w:val="none" w:sz="0" w:space="0" w:color="auto"/>
                        <w:bottom w:val="none" w:sz="0" w:space="0" w:color="auto"/>
                        <w:right w:val="none" w:sz="0" w:space="0" w:color="auto"/>
                      </w:divBdr>
                      <w:divsChild>
                        <w:div w:id="777673978">
                          <w:marLeft w:val="0"/>
                          <w:marRight w:val="0"/>
                          <w:marTop w:val="0"/>
                          <w:marBottom w:val="0"/>
                          <w:divBdr>
                            <w:top w:val="single" w:sz="6" w:space="0" w:color="AAAAAA"/>
                            <w:left w:val="single" w:sz="6" w:space="0" w:color="AAAAAA"/>
                            <w:bottom w:val="single" w:sz="6" w:space="0" w:color="AAAAAA"/>
                            <w:right w:val="single" w:sz="6" w:space="0" w:color="AAAAAA"/>
                          </w:divBdr>
                          <w:divsChild>
                            <w:div w:id="1211574860">
                              <w:marLeft w:val="0"/>
                              <w:marRight w:val="0"/>
                              <w:marTop w:val="0"/>
                              <w:marBottom w:val="0"/>
                              <w:divBdr>
                                <w:top w:val="none" w:sz="0" w:space="0" w:color="auto"/>
                                <w:left w:val="none" w:sz="0" w:space="0" w:color="auto"/>
                                <w:bottom w:val="none" w:sz="0" w:space="0" w:color="auto"/>
                                <w:right w:val="none" w:sz="0" w:space="0" w:color="auto"/>
                              </w:divBdr>
                              <w:divsChild>
                                <w:div w:id="2128549404">
                                  <w:marLeft w:val="0"/>
                                  <w:marRight w:val="0"/>
                                  <w:marTop w:val="0"/>
                                  <w:marBottom w:val="0"/>
                                  <w:divBdr>
                                    <w:top w:val="none" w:sz="0" w:space="0" w:color="auto"/>
                                    <w:left w:val="none" w:sz="0" w:space="0" w:color="auto"/>
                                    <w:bottom w:val="none" w:sz="0" w:space="0" w:color="auto"/>
                                    <w:right w:val="none" w:sz="0" w:space="0" w:color="auto"/>
                                  </w:divBdr>
                                  <w:divsChild>
                                    <w:div w:id="1320812961">
                                      <w:marLeft w:val="0"/>
                                      <w:marRight w:val="0"/>
                                      <w:marTop w:val="0"/>
                                      <w:marBottom w:val="0"/>
                                      <w:divBdr>
                                        <w:top w:val="none" w:sz="0" w:space="0" w:color="auto"/>
                                        <w:left w:val="none" w:sz="0" w:space="0" w:color="auto"/>
                                        <w:bottom w:val="none" w:sz="0" w:space="0" w:color="auto"/>
                                        <w:right w:val="none" w:sz="0" w:space="0" w:color="auto"/>
                                      </w:divBdr>
                                      <w:divsChild>
                                        <w:div w:id="356467645">
                                          <w:marLeft w:val="0"/>
                                          <w:marRight w:val="0"/>
                                          <w:marTop w:val="0"/>
                                          <w:marBottom w:val="180"/>
                                          <w:divBdr>
                                            <w:top w:val="single" w:sz="6" w:space="0" w:color="CCCCCC"/>
                                            <w:left w:val="single" w:sz="6" w:space="0" w:color="CCCCCC"/>
                                            <w:bottom w:val="single" w:sz="6" w:space="0" w:color="CCCCCC"/>
                                            <w:right w:val="single" w:sz="6" w:space="0" w:color="CCCCCC"/>
                                          </w:divBdr>
                                          <w:divsChild>
                                            <w:div w:id="1068455509">
                                              <w:marLeft w:val="0"/>
                                              <w:marRight w:val="0"/>
                                              <w:marTop w:val="0"/>
                                              <w:marBottom w:val="0"/>
                                              <w:divBdr>
                                                <w:top w:val="single" w:sz="6" w:space="12" w:color="CCCCCC"/>
                                                <w:left w:val="single" w:sz="6" w:space="0" w:color="CCCCCC"/>
                                                <w:bottom w:val="single" w:sz="6" w:space="12" w:color="CCCCCC"/>
                                                <w:right w:val="single" w:sz="2" w:space="14" w:color="CCCCCC"/>
                                              </w:divBdr>
                                              <w:divsChild>
                                                <w:div w:id="936910962">
                                                  <w:marLeft w:val="0"/>
                                                  <w:marRight w:val="0"/>
                                                  <w:marTop w:val="0"/>
                                                  <w:marBottom w:val="0"/>
                                                  <w:divBdr>
                                                    <w:top w:val="none" w:sz="0" w:space="0" w:color="auto"/>
                                                    <w:left w:val="none" w:sz="0" w:space="0" w:color="auto"/>
                                                    <w:bottom w:val="none" w:sz="0" w:space="0" w:color="auto"/>
                                                    <w:right w:val="none" w:sz="0" w:space="0" w:color="auto"/>
                                                  </w:divBdr>
                                                  <w:divsChild>
                                                    <w:div w:id="564678556">
                                                      <w:marLeft w:val="1800"/>
                                                      <w:marRight w:val="0"/>
                                                      <w:marTop w:val="0"/>
                                                      <w:marBottom w:val="0"/>
                                                      <w:divBdr>
                                                        <w:top w:val="none" w:sz="0" w:space="0" w:color="auto"/>
                                                        <w:left w:val="none" w:sz="0" w:space="0" w:color="auto"/>
                                                        <w:bottom w:val="none" w:sz="0" w:space="0" w:color="auto"/>
                                                        <w:right w:val="none" w:sz="0" w:space="0" w:color="auto"/>
                                                      </w:divBdr>
                                                      <w:divsChild>
                                                        <w:div w:id="81609880">
                                                          <w:marLeft w:val="0"/>
                                                          <w:marRight w:val="0"/>
                                                          <w:marTop w:val="0"/>
                                                          <w:marBottom w:val="0"/>
                                                          <w:divBdr>
                                                            <w:top w:val="none" w:sz="0" w:space="0" w:color="auto"/>
                                                            <w:left w:val="none" w:sz="0" w:space="0" w:color="auto"/>
                                                            <w:bottom w:val="none" w:sz="0" w:space="0" w:color="auto"/>
                                                            <w:right w:val="none" w:sz="0" w:space="0" w:color="auto"/>
                                                          </w:divBdr>
                                                          <w:divsChild>
                                                            <w:div w:id="139908641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7648939">
                                                                  <w:marLeft w:val="0"/>
                                                                  <w:marRight w:val="0"/>
                                                                  <w:marTop w:val="0"/>
                                                                  <w:marBottom w:val="0"/>
                                                                  <w:divBdr>
                                                                    <w:top w:val="none" w:sz="0" w:space="0" w:color="auto"/>
                                                                    <w:left w:val="none" w:sz="0" w:space="0" w:color="auto"/>
                                                                    <w:bottom w:val="none" w:sz="0" w:space="0" w:color="auto"/>
                                                                    <w:right w:val="none" w:sz="0" w:space="0" w:color="auto"/>
                                                                  </w:divBdr>
                                                                  <w:divsChild>
                                                                    <w:div w:id="1614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pubNum=930&amp;cite=56PAPUC553&amp;originatingDoc=Ia8a233977f1411dfbe8a8e1700ec828b&amp;refType=RP&amp;originationContext=document&amp;transitionType=DocumentItem&amp;contextData=(sc.Search)" TargetMode="External"/><Relationship Id="rId18" Type="http://schemas.openxmlformats.org/officeDocument/2006/relationships/hyperlink" Target="https://1.next.westlaw.com/Document/I18e31d4696b111e0b63e897ab6fa6920/View/FullText.html?listSource=Search&amp;navigationPath=Search%2fv1%2fresults%2fnavigation%2fi0ad62aef0000016c4416c372bbe79750%3fNav%3dCASE%26fragmentIdentifier%3dI18e31d4696b111e0b63e897ab6fa6920%26parentRank%3d0%26startIndex%3d1%26contextData%3d%2528sc.Search%2529%26transitionType%3dSearchItem&amp;list=CASE&amp;rank=6&amp;listPageSource=eac868b952eaf798f033c07120da9c1d&amp;originationContext=docHeader&amp;contextData=(sc.Search)&amp;transitionType=Document&amp;needToInjectTerms=False&amp;enableBestPortion=True&amp;docSource=94f21611b3e6488cabb5fc12a0ccd909"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572&amp;originatingDoc=Ia8a233977f1411dfbe8a8e1700ec828b&amp;refType=LQ&amp;originationContext=document&amp;transitionType=DocumentItem&amp;contextData=(sc.Search)" TargetMode="External"/><Relationship Id="rId17"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0" Type="http://schemas.openxmlformats.org/officeDocument/2006/relationships/hyperlink" Target="https://1.next.westlaw.com/Link/Document/FullText?findType=Y&amp;serNum=2001500880&amp;pubNum=0000162&amp;originatingDoc=I18e31d4696b111e0b63e897ab6fa6920&amp;refType=RP&amp;fi=co_pp_sp_162_794&amp;originationContext=document&amp;transitionType=DocumentItem&amp;contextData=(sc.History*oc.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262&amp;cite=PA66S703&amp;originatingDoc=Ia8a233977f1411dfbe8a8e1700ec828b&amp;refType=LQ&amp;originationContext=document&amp;transitionType=DocumentItem&amp;contextData=(sc.Sea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1.next.westlaw.com/Link/Document/FullText?findType=Y&amp;serNum=1990025518&amp;pubNum=0000162&amp;originatingDoc=Ia8a233977f1411dfbe8a8e1700ec828b&amp;refType=RP&amp;originationContext=document&amp;transitionType=DocumentItem&amp;contextData=(sc.Search)"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35115540&amp;pubNum=0000161&amp;originatingDoc=I12a4b756355411d98b61a35269fc5f88&amp;refType=RP&amp;originationContext=document&amp;transitionType=DocumentItem&amp;contextData=(sc.Keycit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2034343073&amp;pubNum=0004031&amp;originatingDoc=I7ac34c41804c11e9bbbcd57aa014637b&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F563-E661-4202-9FD8-434773FC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5B079-117A-43C3-B4B9-7BDD6412B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EBDBC-E412-4F68-A62D-6DD1FA9F2628}">
  <ds:schemaRefs>
    <ds:schemaRef ds:uri="http://schemas.microsoft.com/sharepoint/v3/contenttype/forms"/>
  </ds:schemaRefs>
</ds:datastoreItem>
</file>

<file path=customXml/itemProps4.xml><?xml version="1.0" encoding="utf-8"?>
<ds:datastoreItem xmlns:ds="http://schemas.openxmlformats.org/officeDocument/2006/customXml" ds:itemID="{1511ECA7-F2F1-4A21-BACA-69E8FF7C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Heep, Darlene</dc:creator>
  <cp:lastModifiedBy>Sheffer, Ryan</cp:lastModifiedBy>
  <cp:revision>3</cp:revision>
  <cp:lastPrinted>2015-04-09T15:19:00Z</cp:lastPrinted>
  <dcterms:created xsi:type="dcterms:W3CDTF">2020-01-27T18:32:00Z</dcterms:created>
  <dcterms:modified xsi:type="dcterms:W3CDTF">2020-02-06T12:18:00Z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