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4F4BE2" w14:paraId="0FE8E827" w14:textId="77777777">
        <w:tc>
          <w:tcPr>
            <w:tcW w:w="2448" w:type="dxa"/>
          </w:tcPr>
          <w:p w14:paraId="47C82DB6" w14:textId="77777777" w:rsidR="00D850D4" w:rsidRPr="004F4BE2" w:rsidRDefault="00D850D4" w:rsidP="004F4BE2">
            <w:pPr>
              <w:pStyle w:val="Heading3"/>
              <w:spacing w:line="360" w:lineRule="auto"/>
              <w:rPr>
                <w:rFonts w:ascii="Times New Roman" w:hAnsi="Times New Roman" w:cs="Times New Roman"/>
              </w:rPr>
            </w:pPr>
          </w:p>
        </w:tc>
        <w:tc>
          <w:tcPr>
            <w:tcW w:w="5130" w:type="dxa"/>
          </w:tcPr>
          <w:p w14:paraId="658E7523" w14:textId="77777777" w:rsidR="00D850D4" w:rsidRPr="004F4BE2" w:rsidRDefault="00D850D4" w:rsidP="00907D15">
            <w:pPr>
              <w:jc w:val="center"/>
              <w:rPr>
                <w:b/>
                <w:sz w:val="26"/>
                <w:szCs w:val="26"/>
              </w:rPr>
            </w:pPr>
            <w:r w:rsidRPr="004F4BE2">
              <w:rPr>
                <w:b/>
                <w:sz w:val="26"/>
                <w:szCs w:val="26"/>
              </w:rPr>
              <w:t>PENNSYLVANIA</w:t>
            </w:r>
          </w:p>
          <w:p w14:paraId="25309E47" w14:textId="77777777" w:rsidR="00D850D4" w:rsidRPr="004F4BE2" w:rsidRDefault="00D850D4" w:rsidP="00907D15">
            <w:pPr>
              <w:jc w:val="center"/>
              <w:rPr>
                <w:b/>
                <w:sz w:val="26"/>
                <w:szCs w:val="26"/>
              </w:rPr>
            </w:pPr>
            <w:r w:rsidRPr="004F4BE2">
              <w:rPr>
                <w:b/>
                <w:sz w:val="26"/>
                <w:szCs w:val="26"/>
              </w:rPr>
              <w:t>PUBLIC UTILITY COMMISSION</w:t>
            </w:r>
          </w:p>
          <w:p w14:paraId="5534C61C" w14:textId="77777777" w:rsidR="00D850D4" w:rsidRPr="004F4BE2" w:rsidRDefault="00D850D4" w:rsidP="00907D15">
            <w:pPr>
              <w:pStyle w:val="StyleCentered"/>
              <w:rPr>
                <w:b/>
                <w:sz w:val="26"/>
                <w:szCs w:val="26"/>
              </w:rPr>
            </w:pPr>
            <w:r w:rsidRPr="004F4BE2">
              <w:rPr>
                <w:b/>
                <w:sz w:val="26"/>
                <w:szCs w:val="26"/>
              </w:rPr>
              <w:t>Harrisburg</w:t>
            </w:r>
            <w:r w:rsidR="006048E2" w:rsidRPr="004F4BE2">
              <w:rPr>
                <w:b/>
                <w:sz w:val="26"/>
                <w:szCs w:val="26"/>
              </w:rPr>
              <w:t>, PA</w:t>
            </w:r>
            <w:r w:rsidRPr="004F4BE2">
              <w:rPr>
                <w:b/>
                <w:sz w:val="26"/>
                <w:szCs w:val="26"/>
              </w:rPr>
              <w:t xml:space="preserve">  17105-3265</w:t>
            </w:r>
          </w:p>
        </w:tc>
        <w:tc>
          <w:tcPr>
            <w:tcW w:w="2700" w:type="dxa"/>
          </w:tcPr>
          <w:p w14:paraId="64A1027A" w14:textId="77777777" w:rsidR="00D850D4" w:rsidRPr="004F4BE2" w:rsidRDefault="00D850D4" w:rsidP="004F4BE2">
            <w:pPr>
              <w:spacing w:line="360" w:lineRule="auto"/>
              <w:rPr>
                <w:sz w:val="26"/>
                <w:szCs w:val="26"/>
              </w:rPr>
            </w:pPr>
          </w:p>
        </w:tc>
      </w:tr>
    </w:tbl>
    <w:p w14:paraId="751ECDDF" w14:textId="77777777" w:rsidR="00D850D4" w:rsidRPr="004F4BE2" w:rsidRDefault="00D850D4" w:rsidP="004F4BE2">
      <w:pPr>
        <w:spacing w:line="360" w:lineRule="auto"/>
        <w:rPr>
          <w:sz w:val="26"/>
          <w:szCs w:val="26"/>
        </w:rPr>
      </w:pPr>
    </w:p>
    <w:tbl>
      <w:tblPr>
        <w:tblW w:w="0" w:type="auto"/>
        <w:tblLayout w:type="fixed"/>
        <w:tblLook w:val="0000" w:firstRow="0" w:lastRow="0" w:firstColumn="0" w:lastColumn="0" w:noHBand="0" w:noVBand="0"/>
      </w:tblPr>
      <w:tblGrid>
        <w:gridCol w:w="5148"/>
        <w:gridCol w:w="5148"/>
      </w:tblGrid>
      <w:tr w:rsidR="00D850D4" w:rsidRPr="004F4BE2" w14:paraId="642E0614" w14:textId="77777777">
        <w:tc>
          <w:tcPr>
            <w:tcW w:w="5148" w:type="dxa"/>
          </w:tcPr>
          <w:p w14:paraId="39CCDC92" w14:textId="77777777" w:rsidR="00D850D4" w:rsidRPr="004F4BE2" w:rsidRDefault="00D850D4" w:rsidP="00907D15">
            <w:pPr>
              <w:rPr>
                <w:sz w:val="26"/>
                <w:szCs w:val="26"/>
              </w:rPr>
            </w:pPr>
          </w:p>
        </w:tc>
        <w:tc>
          <w:tcPr>
            <w:tcW w:w="5148" w:type="dxa"/>
          </w:tcPr>
          <w:p w14:paraId="0336B0EC" w14:textId="6ABDFB05" w:rsidR="00D850D4" w:rsidRPr="004F4BE2" w:rsidRDefault="00D850D4" w:rsidP="00907D15">
            <w:pPr>
              <w:ind w:firstLine="612"/>
              <w:rPr>
                <w:sz w:val="26"/>
                <w:szCs w:val="26"/>
              </w:rPr>
            </w:pPr>
            <w:r w:rsidRPr="004F4BE2">
              <w:rPr>
                <w:sz w:val="26"/>
                <w:szCs w:val="26"/>
              </w:rPr>
              <w:t xml:space="preserve">Public Meeting held </w:t>
            </w:r>
            <w:r w:rsidR="0099022E" w:rsidRPr="004F4BE2">
              <w:rPr>
                <w:sz w:val="26"/>
                <w:szCs w:val="26"/>
              </w:rPr>
              <w:t>February 6, 2020</w:t>
            </w:r>
          </w:p>
        </w:tc>
      </w:tr>
      <w:tr w:rsidR="00D850D4" w:rsidRPr="004F4BE2" w14:paraId="1D5A4722" w14:textId="77777777">
        <w:tc>
          <w:tcPr>
            <w:tcW w:w="5148" w:type="dxa"/>
          </w:tcPr>
          <w:p w14:paraId="54AC1DE2" w14:textId="77777777" w:rsidR="00D850D4" w:rsidRPr="004F4BE2" w:rsidRDefault="00D850D4" w:rsidP="004F4BE2">
            <w:pPr>
              <w:spacing w:line="360" w:lineRule="auto"/>
              <w:rPr>
                <w:sz w:val="26"/>
                <w:szCs w:val="26"/>
              </w:rPr>
            </w:pPr>
            <w:r w:rsidRPr="004F4BE2">
              <w:rPr>
                <w:sz w:val="26"/>
                <w:szCs w:val="26"/>
              </w:rPr>
              <w:t>Commissioners Present:</w:t>
            </w:r>
          </w:p>
        </w:tc>
        <w:tc>
          <w:tcPr>
            <w:tcW w:w="5148" w:type="dxa"/>
          </w:tcPr>
          <w:p w14:paraId="6A03582B" w14:textId="77777777" w:rsidR="00D850D4" w:rsidRPr="004F4BE2" w:rsidRDefault="00D850D4" w:rsidP="004F4BE2">
            <w:pPr>
              <w:spacing w:line="360" w:lineRule="auto"/>
              <w:rPr>
                <w:sz w:val="26"/>
                <w:szCs w:val="26"/>
              </w:rPr>
            </w:pPr>
          </w:p>
        </w:tc>
      </w:tr>
    </w:tbl>
    <w:p w14:paraId="2B67B134" w14:textId="77777777" w:rsidR="00D850D4" w:rsidRPr="004F4BE2" w:rsidRDefault="00D850D4" w:rsidP="00907D15">
      <w:pPr>
        <w:rPr>
          <w:sz w:val="26"/>
          <w:szCs w:val="26"/>
        </w:rPr>
      </w:pPr>
    </w:p>
    <w:tbl>
      <w:tblPr>
        <w:tblW w:w="10278" w:type="dxa"/>
        <w:tblLayout w:type="fixed"/>
        <w:tblLook w:val="0000" w:firstRow="0" w:lastRow="0" w:firstColumn="0" w:lastColumn="0" w:noHBand="0" w:noVBand="0"/>
      </w:tblPr>
      <w:tblGrid>
        <w:gridCol w:w="5958"/>
        <w:gridCol w:w="4320"/>
      </w:tblGrid>
      <w:tr w:rsidR="004F4BE2" w:rsidRPr="004F4BE2" w14:paraId="19704C5F" w14:textId="77777777" w:rsidTr="007D41D9">
        <w:tc>
          <w:tcPr>
            <w:tcW w:w="10278" w:type="dxa"/>
            <w:gridSpan w:val="2"/>
          </w:tcPr>
          <w:p w14:paraId="748E7D78" w14:textId="188C7F1F" w:rsidR="004F4BE2" w:rsidRPr="004F4BE2" w:rsidRDefault="007D41D9" w:rsidP="007D41D9">
            <w:pPr>
              <w:rPr>
                <w:sz w:val="26"/>
                <w:szCs w:val="26"/>
              </w:rPr>
            </w:pPr>
            <w:r>
              <w:rPr>
                <w:sz w:val="26"/>
                <w:szCs w:val="26"/>
              </w:rPr>
              <w:t xml:space="preserve">           </w:t>
            </w:r>
            <w:r w:rsidR="004F4BE2">
              <w:rPr>
                <w:sz w:val="26"/>
                <w:szCs w:val="26"/>
              </w:rPr>
              <w:t xml:space="preserve">Gladys Brown </w:t>
            </w:r>
            <w:r w:rsidR="004F4BE2" w:rsidRPr="007D2A0F">
              <w:rPr>
                <w:sz w:val="26"/>
                <w:szCs w:val="26"/>
              </w:rPr>
              <w:t>Dutrieuille</w:t>
            </w:r>
            <w:r w:rsidR="004F4BE2">
              <w:rPr>
                <w:sz w:val="26"/>
                <w:szCs w:val="26"/>
              </w:rPr>
              <w:t>, Chairman</w:t>
            </w:r>
          </w:p>
        </w:tc>
      </w:tr>
      <w:tr w:rsidR="004F4BE2" w:rsidRPr="004F4BE2" w14:paraId="035ADB61" w14:textId="77777777" w:rsidTr="007D41D9">
        <w:tc>
          <w:tcPr>
            <w:tcW w:w="5958" w:type="dxa"/>
          </w:tcPr>
          <w:p w14:paraId="042EA205" w14:textId="69C62348" w:rsidR="004F4BE2" w:rsidRPr="004F4BE2" w:rsidRDefault="004F4BE2" w:rsidP="00907D15">
            <w:pPr>
              <w:ind w:right="342"/>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c>
          <w:tcPr>
            <w:tcW w:w="4320" w:type="dxa"/>
          </w:tcPr>
          <w:p w14:paraId="0C0A5490" w14:textId="77777777" w:rsidR="004F4BE2" w:rsidRPr="004F4BE2" w:rsidRDefault="004F4BE2" w:rsidP="00907D15">
            <w:pPr>
              <w:jc w:val="center"/>
              <w:rPr>
                <w:sz w:val="26"/>
                <w:szCs w:val="26"/>
              </w:rPr>
            </w:pPr>
          </w:p>
        </w:tc>
      </w:tr>
      <w:tr w:rsidR="004F4BE2" w:rsidRPr="004F4BE2" w14:paraId="73A830B8" w14:textId="77777777" w:rsidTr="007D41D9">
        <w:tc>
          <w:tcPr>
            <w:tcW w:w="5958" w:type="dxa"/>
          </w:tcPr>
          <w:p w14:paraId="4F9EBB27" w14:textId="71448327" w:rsidR="004F4BE2" w:rsidRPr="004F4BE2" w:rsidRDefault="004F4BE2" w:rsidP="00907D15">
            <w:pPr>
              <w:ind w:right="342"/>
              <w:rPr>
                <w:sz w:val="26"/>
                <w:szCs w:val="26"/>
              </w:rPr>
            </w:pPr>
            <w:r>
              <w:rPr>
                <w:sz w:val="26"/>
                <w:szCs w:val="26"/>
              </w:rPr>
              <w:tab/>
            </w:r>
            <w:r w:rsidRPr="00A13935">
              <w:rPr>
                <w:sz w:val="26"/>
                <w:szCs w:val="26"/>
              </w:rPr>
              <w:t>Andrew G. Place</w:t>
            </w:r>
          </w:p>
        </w:tc>
        <w:tc>
          <w:tcPr>
            <w:tcW w:w="4320" w:type="dxa"/>
          </w:tcPr>
          <w:p w14:paraId="177EB9BC" w14:textId="77777777" w:rsidR="004F4BE2" w:rsidRPr="004F4BE2" w:rsidRDefault="004F4BE2" w:rsidP="00907D15">
            <w:pPr>
              <w:jc w:val="center"/>
              <w:rPr>
                <w:sz w:val="26"/>
                <w:szCs w:val="26"/>
              </w:rPr>
            </w:pPr>
          </w:p>
        </w:tc>
      </w:tr>
      <w:tr w:rsidR="004F4BE2" w:rsidRPr="004F4BE2" w14:paraId="1E160EF9" w14:textId="77777777" w:rsidTr="007D41D9">
        <w:tc>
          <w:tcPr>
            <w:tcW w:w="5958" w:type="dxa"/>
          </w:tcPr>
          <w:p w14:paraId="5AD9FCAD" w14:textId="77777777" w:rsidR="00BB375E" w:rsidRDefault="004F4BE2" w:rsidP="00907D15">
            <w:pPr>
              <w:ind w:right="342"/>
              <w:rPr>
                <w:sz w:val="26"/>
                <w:szCs w:val="26"/>
              </w:rPr>
            </w:pPr>
            <w:r>
              <w:rPr>
                <w:sz w:val="26"/>
                <w:szCs w:val="26"/>
              </w:rPr>
              <w:tab/>
              <w:t>John F. Coleman</w:t>
            </w:r>
            <w:r w:rsidRPr="00C0451E">
              <w:rPr>
                <w:sz w:val="26"/>
                <w:szCs w:val="26"/>
              </w:rPr>
              <w:t xml:space="preserve">, </w:t>
            </w:r>
            <w:r>
              <w:rPr>
                <w:sz w:val="26"/>
                <w:szCs w:val="26"/>
              </w:rPr>
              <w:t>Jr</w:t>
            </w:r>
            <w:r w:rsidR="00BB375E" w:rsidRPr="00BB375E">
              <w:rPr>
                <w:sz w:val="26"/>
                <w:szCs w:val="26"/>
              </w:rPr>
              <w:t xml:space="preserve"> </w:t>
            </w:r>
          </w:p>
          <w:p w14:paraId="75BCC652" w14:textId="524B6F04" w:rsidR="00BB375E" w:rsidRDefault="00B26D95" w:rsidP="00907D15">
            <w:pPr>
              <w:ind w:right="342"/>
              <w:rPr>
                <w:sz w:val="26"/>
                <w:szCs w:val="26"/>
              </w:rPr>
            </w:pPr>
            <w:r>
              <w:rPr>
                <w:sz w:val="26"/>
                <w:szCs w:val="26"/>
              </w:rPr>
              <w:t xml:space="preserve">           </w:t>
            </w:r>
            <w:r w:rsidR="00BB375E" w:rsidRPr="00BB375E">
              <w:rPr>
                <w:sz w:val="26"/>
                <w:szCs w:val="26"/>
              </w:rPr>
              <w:t>Ralph V. Yanora</w:t>
            </w:r>
          </w:p>
          <w:p w14:paraId="1661F15E" w14:textId="22424252" w:rsidR="004F4BE2" w:rsidRPr="004F4BE2" w:rsidRDefault="004F4BE2" w:rsidP="00907D15">
            <w:pPr>
              <w:ind w:right="342"/>
              <w:rPr>
                <w:sz w:val="26"/>
                <w:szCs w:val="26"/>
              </w:rPr>
            </w:pPr>
          </w:p>
        </w:tc>
        <w:tc>
          <w:tcPr>
            <w:tcW w:w="4320" w:type="dxa"/>
          </w:tcPr>
          <w:p w14:paraId="467553A1" w14:textId="7E075921" w:rsidR="004F4BE2" w:rsidRPr="004F4BE2" w:rsidRDefault="004F4BE2" w:rsidP="00907D15">
            <w:pPr>
              <w:jc w:val="center"/>
              <w:rPr>
                <w:sz w:val="26"/>
                <w:szCs w:val="26"/>
              </w:rPr>
            </w:pPr>
          </w:p>
        </w:tc>
      </w:tr>
      <w:tr w:rsidR="00C36317" w:rsidRPr="004F4BE2" w14:paraId="410EF4FA" w14:textId="77777777" w:rsidTr="007D41D9">
        <w:tc>
          <w:tcPr>
            <w:tcW w:w="5958" w:type="dxa"/>
          </w:tcPr>
          <w:p w14:paraId="71CBF115" w14:textId="77777777" w:rsidR="00C36317" w:rsidRPr="004F4BE2" w:rsidRDefault="00C36317" w:rsidP="00907D15">
            <w:pPr>
              <w:ind w:right="342"/>
              <w:rPr>
                <w:sz w:val="26"/>
                <w:szCs w:val="26"/>
              </w:rPr>
            </w:pPr>
            <w:r>
              <w:rPr>
                <w:sz w:val="26"/>
                <w:szCs w:val="26"/>
              </w:rPr>
              <w:t>Joint Petition of Verizon Pennsylvania LLC and Verizon North LLC for Competitive Classification of All Retail Services in Certain Geographic Areas and for a Waiver of Regulations for Competitive Services</w:t>
            </w:r>
          </w:p>
          <w:p w14:paraId="466C0310" w14:textId="77777777" w:rsidR="00C36317" w:rsidRDefault="00C36317" w:rsidP="00907D15">
            <w:pPr>
              <w:ind w:right="342"/>
              <w:rPr>
                <w:sz w:val="26"/>
                <w:szCs w:val="26"/>
              </w:rPr>
            </w:pPr>
          </w:p>
          <w:p w14:paraId="1DB27D53" w14:textId="77777777" w:rsidR="00907D15" w:rsidRDefault="00907D15" w:rsidP="00907D15">
            <w:pPr>
              <w:ind w:right="342"/>
              <w:rPr>
                <w:sz w:val="26"/>
                <w:szCs w:val="26"/>
              </w:rPr>
            </w:pPr>
            <w:r>
              <w:rPr>
                <w:sz w:val="26"/>
                <w:szCs w:val="26"/>
              </w:rPr>
              <w:t>Rulemaking to Comply with the Competitive</w:t>
            </w:r>
          </w:p>
          <w:p w14:paraId="37ECB647" w14:textId="5675C18F" w:rsidR="00907D15" w:rsidRPr="004F4BE2" w:rsidRDefault="00907D15" w:rsidP="00907D15">
            <w:pPr>
              <w:ind w:right="342"/>
              <w:rPr>
                <w:sz w:val="26"/>
                <w:szCs w:val="26"/>
              </w:rPr>
            </w:pPr>
            <w:r>
              <w:rPr>
                <w:sz w:val="26"/>
                <w:szCs w:val="26"/>
              </w:rPr>
              <w:t>Classification of Telecommunication Retail Services Under 66 Pa. C.S. § 3016(a); General Review of Regulations 52 Pa. Code, Chapter 63 and Chapter 64</w:t>
            </w:r>
          </w:p>
        </w:tc>
        <w:tc>
          <w:tcPr>
            <w:tcW w:w="4320" w:type="dxa"/>
          </w:tcPr>
          <w:p w14:paraId="0F19A12E" w14:textId="77777777" w:rsidR="00C36317" w:rsidRPr="004F4BE2" w:rsidRDefault="00C36317" w:rsidP="00907D15">
            <w:pPr>
              <w:jc w:val="center"/>
              <w:rPr>
                <w:sz w:val="26"/>
                <w:szCs w:val="26"/>
              </w:rPr>
            </w:pPr>
            <w:r w:rsidRPr="004F4BE2">
              <w:rPr>
                <w:sz w:val="26"/>
                <w:szCs w:val="26"/>
              </w:rPr>
              <w:t>P-2014-2446303</w:t>
            </w:r>
          </w:p>
          <w:p w14:paraId="5D3D1503" w14:textId="77777777" w:rsidR="00C36317" w:rsidRDefault="00C36317" w:rsidP="00907D15">
            <w:pPr>
              <w:jc w:val="center"/>
              <w:rPr>
                <w:sz w:val="26"/>
                <w:szCs w:val="26"/>
              </w:rPr>
            </w:pPr>
            <w:r w:rsidRPr="004F4BE2">
              <w:rPr>
                <w:sz w:val="26"/>
                <w:szCs w:val="26"/>
              </w:rPr>
              <w:t>P-2014-2446304</w:t>
            </w:r>
          </w:p>
          <w:p w14:paraId="6244C3CD" w14:textId="77777777" w:rsidR="00907D15" w:rsidRDefault="00907D15" w:rsidP="00907D15">
            <w:pPr>
              <w:jc w:val="center"/>
              <w:rPr>
                <w:sz w:val="26"/>
                <w:szCs w:val="26"/>
              </w:rPr>
            </w:pPr>
          </w:p>
          <w:p w14:paraId="5DF6CC6B" w14:textId="77777777" w:rsidR="00907D15" w:rsidRDefault="00907D15" w:rsidP="00907D15">
            <w:pPr>
              <w:jc w:val="center"/>
              <w:rPr>
                <w:sz w:val="26"/>
                <w:szCs w:val="26"/>
              </w:rPr>
            </w:pPr>
          </w:p>
          <w:p w14:paraId="6F7D1ECE" w14:textId="77777777" w:rsidR="00907D15" w:rsidRDefault="00907D15" w:rsidP="00907D15">
            <w:pPr>
              <w:jc w:val="center"/>
              <w:rPr>
                <w:sz w:val="26"/>
                <w:szCs w:val="26"/>
              </w:rPr>
            </w:pPr>
          </w:p>
          <w:p w14:paraId="448CA435" w14:textId="77777777" w:rsidR="00907D15" w:rsidRDefault="00907D15" w:rsidP="00907D15">
            <w:pPr>
              <w:jc w:val="center"/>
              <w:rPr>
                <w:sz w:val="26"/>
                <w:szCs w:val="26"/>
              </w:rPr>
            </w:pPr>
          </w:p>
          <w:p w14:paraId="65491DF4" w14:textId="1D686C85" w:rsidR="00907D15" w:rsidRPr="004F4BE2" w:rsidRDefault="00907D15" w:rsidP="00907D15">
            <w:pPr>
              <w:jc w:val="center"/>
              <w:rPr>
                <w:sz w:val="26"/>
                <w:szCs w:val="26"/>
              </w:rPr>
            </w:pPr>
            <w:r>
              <w:rPr>
                <w:sz w:val="26"/>
                <w:szCs w:val="26"/>
              </w:rPr>
              <w:t>L-2018-3001391</w:t>
            </w:r>
          </w:p>
        </w:tc>
      </w:tr>
    </w:tbl>
    <w:p w14:paraId="4F4924DF" w14:textId="77777777" w:rsidR="00D850D4" w:rsidRPr="004F4BE2" w:rsidRDefault="00D850D4" w:rsidP="00907D15">
      <w:pPr>
        <w:jc w:val="center"/>
        <w:rPr>
          <w:b/>
          <w:sz w:val="26"/>
          <w:szCs w:val="26"/>
        </w:rPr>
      </w:pPr>
    </w:p>
    <w:p w14:paraId="45714ADA" w14:textId="77777777" w:rsidR="00217D49" w:rsidRPr="004F4BE2" w:rsidRDefault="00217D49" w:rsidP="00907D15">
      <w:pPr>
        <w:jc w:val="center"/>
        <w:rPr>
          <w:b/>
          <w:sz w:val="26"/>
          <w:szCs w:val="26"/>
        </w:rPr>
      </w:pPr>
    </w:p>
    <w:p w14:paraId="4418649D" w14:textId="4111081E" w:rsidR="0037498A" w:rsidRPr="004F4BE2" w:rsidRDefault="0099022E" w:rsidP="004F4BE2">
      <w:pPr>
        <w:spacing w:line="360" w:lineRule="auto"/>
        <w:jc w:val="center"/>
        <w:rPr>
          <w:b/>
          <w:sz w:val="26"/>
          <w:szCs w:val="26"/>
        </w:rPr>
      </w:pPr>
      <w:r w:rsidRPr="004F4BE2">
        <w:rPr>
          <w:b/>
          <w:sz w:val="26"/>
          <w:szCs w:val="26"/>
        </w:rPr>
        <w:t xml:space="preserve">TENTATIVE </w:t>
      </w:r>
      <w:r w:rsidR="0037498A" w:rsidRPr="004F4BE2">
        <w:rPr>
          <w:b/>
          <w:sz w:val="26"/>
          <w:szCs w:val="26"/>
        </w:rPr>
        <w:t>ORDER</w:t>
      </w:r>
    </w:p>
    <w:p w14:paraId="298C77D8" w14:textId="77777777" w:rsidR="00E96680" w:rsidRPr="004F4BE2" w:rsidRDefault="00E96680" w:rsidP="004F4BE2">
      <w:pPr>
        <w:spacing w:line="360" w:lineRule="auto"/>
        <w:rPr>
          <w:sz w:val="26"/>
          <w:szCs w:val="26"/>
        </w:rPr>
      </w:pPr>
    </w:p>
    <w:p w14:paraId="0CDE636D" w14:textId="5840C0D5" w:rsidR="00DF0470" w:rsidRPr="004F4BE2" w:rsidRDefault="0099022E" w:rsidP="004F4BE2">
      <w:pPr>
        <w:pStyle w:val="p3"/>
        <w:spacing w:line="360" w:lineRule="auto"/>
        <w:rPr>
          <w:b/>
          <w:sz w:val="26"/>
          <w:szCs w:val="26"/>
        </w:rPr>
      </w:pPr>
      <w:r w:rsidRPr="004F4BE2">
        <w:rPr>
          <w:b/>
          <w:sz w:val="26"/>
          <w:szCs w:val="26"/>
        </w:rPr>
        <w:t>BEFORE</w:t>
      </w:r>
      <w:r w:rsidR="00DF0470" w:rsidRPr="004F4BE2">
        <w:rPr>
          <w:b/>
          <w:sz w:val="26"/>
          <w:szCs w:val="26"/>
        </w:rPr>
        <w:t xml:space="preserve"> THE COMMISSION:</w:t>
      </w:r>
    </w:p>
    <w:p w14:paraId="09C15B87" w14:textId="60F58D1E" w:rsidR="00960981" w:rsidRDefault="00DF0470" w:rsidP="00960981">
      <w:pPr>
        <w:spacing w:line="360" w:lineRule="auto"/>
        <w:rPr>
          <w:sz w:val="26"/>
          <w:szCs w:val="26"/>
        </w:rPr>
      </w:pPr>
      <w:r w:rsidRPr="004F4BE2">
        <w:rPr>
          <w:b/>
          <w:sz w:val="26"/>
          <w:szCs w:val="26"/>
        </w:rPr>
        <w:tab/>
      </w:r>
      <w:r w:rsidR="0099022E" w:rsidRPr="004F4BE2">
        <w:rPr>
          <w:sz w:val="26"/>
          <w:szCs w:val="26"/>
        </w:rPr>
        <w:t>We issu</w:t>
      </w:r>
      <w:r w:rsidR="00134B2C">
        <w:rPr>
          <w:sz w:val="26"/>
          <w:szCs w:val="26"/>
        </w:rPr>
        <w:t>e</w:t>
      </w:r>
      <w:r w:rsidR="0099022E" w:rsidRPr="004F4BE2">
        <w:rPr>
          <w:sz w:val="26"/>
          <w:szCs w:val="26"/>
        </w:rPr>
        <w:t xml:space="preserve"> this Tentative Order to seek comments with regard to issues related to our March 4, 2015</w:t>
      </w:r>
      <w:r w:rsidR="00C05A71" w:rsidRPr="004F4BE2">
        <w:rPr>
          <w:sz w:val="26"/>
          <w:szCs w:val="26"/>
        </w:rPr>
        <w:t xml:space="preserve"> Opinion and Order at the above captioned consolidated proceeding (</w:t>
      </w:r>
      <w:r w:rsidR="00C05A71" w:rsidRPr="004F4BE2">
        <w:rPr>
          <w:i/>
          <w:iCs/>
          <w:sz w:val="26"/>
          <w:szCs w:val="26"/>
        </w:rPr>
        <w:t>Reclassification Order</w:t>
      </w:r>
      <w:r w:rsidR="00C05A71" w:rsidRPr="004F4BE2">
        <w:rPr>
          <w:sz w:val="26"/>
          <w:szCs w:val="26"/>
        </w:rPr>
        <w:t>)</w:t>
      </w:r>
      <w:r w:rsidR="00960981">
        <w:rPr>
          <w:sz w:val="26"/>
          <w:szCs w:val="26"/>
        </w:rPr>
        <w:t>.</w:t>
      </w:r>
    </w:p>
    <w:p w14:paraId="4733B554" w14:textId="77777777" w:rsidR="007D41D9" w:rsidRDefault="007D41D9" w:rsidP="00960981">
      <w:pPr>
        <w:spacing w:line="360" w:lineRule="auto"/>
        <w:rPr>
          <w:sz w:val="26"/>
          <w:szCs w:val="26"/>
        </w:rPr>
      </w:pPr>
    </w:p>
    <w:p w14:paraId="5993FD55" w14:textId="33AE7CAF" w:rsidR="007D41D9" w:rsidRDefault="00960981" w:rsidP="00960981">
      <w:pPr>
        <w:spacing w:line="360" w:lineRule="auto"/>
        <w:ind w:firstLine="720"/>
        <w:rPr>
          <w:sz w:val="26"/>
          <w:szCs w:val="26"/>
        </w:rPr>
      </w:pPr>
      <w:r>
        <w:rPr>
          <w:sz w:val="26"/>
          <w:szCs w:val="26"/>
        </w:rPr>
        <w:t xml:space="preserve">In the </w:t>
      </w:r>
      <w:r>
        <w:rPr>
          <w:i/>
          <w:iCs/>
          <w:sz w:val="26"/>
          <w:szCs w:val="26"/>
        </w:rPr>
        <w:t>Reclassification Order</w:t>
      </w:r>
      <w:r w:rsidR="00C05A71" w:rsidRPr="004F4BE2">
        <w:rPr>
          <w:sz w:val="26"/>
          <w:szCs w:val="26"/>
        </w:rPr>
        <w:t xml:space="preserve">, </w:t>
      </w:r>
      <w:r>
        <w:rPr>
          <w:sz w:val="26"/>
          <w:szCs w:val="26"/>
        </w:rPr>
        <w:t>the Commission</w:t>
      </w:r>
      <w:r w:rsidRPr="004F4BE2">
        <w:rPr>
          <w:sz w:val="26"/>
          <w:szCs w:val="26"/>
        </w:rPr>
        <w:t xml:space="preserve"> </w:t>
      </w:r>
      <w:r w:rsidR="00C05A71" w:rsidRPr="004F4BE2">
        <w:rPr>
          <w:sz w:val="26"/>
          <w:szCs w:val="26"/>
        </w:rPr>
        <w:t xml:space="preserve">granted, in part, the </w:t>
      </w:r>
      <w:r w:rsidR="00BB375E">
        <w:rPr>
          <w:sz w:val="26"/>
          <w:szCs w:val="26"/>
        </w:rPr>
        <w:t>P</w:t>
      </w:r>
      <w:r w:rsidR="00C05A71" w:rsidRPr="004F4BE2">
        <w:rPr>
          <w:sz w:val="26"/>
          <w:szCs w:val="26"/>
        </w:rPr>
        <w:t xml:space="preserve">etition of Verizon Pennsylvania LLC (Verizon PA) and Verizon North LLC (Verizon North) (collectively Verizon) </w:t>
      </w:r>
      <w:r w:rsidR="00930514">
        <w:rPr>
          <w:sz w:val="26"/>
          <w:szCs w:val="26"/>
        </w:rPr>
        <w:t xml:space="preserve">and </w:t>
      </w:r>
      <w:r w:rsidR="00930514" w:rsidRPr="004F4BE2">
        <w:rPr>
          <w:sz w:val="26"/>
          <w:szCs w:val="26"/>
        </w:rPr>
        <w:t>reclassif</w:t>
      </w:r>
      <w:r w:rsidR="00930514">
        <w:rPr>
          <w:sz w:val="26"/>
          <w:szCs w:val="26"/>
        </w:rPr>
        <w:t>ied</w:t>
      </w:r>
      <w:r w:rsidR="00930514" w:rsidRPr="004F4BE2">
        <w:rPr>
          <w:sz w:val="26"/>
          <w:szCs w:val="26"/>
        </w:rPr>
        <w:t xml:space="preserve"> </w:t>
      </w:r>
      <w:r w:rsidR="00C05A71" w:rsidRPr="004F4BE2">
        <w:rPr>
          <w:sz w:val="26"/>
          <w:szCs w:val="26"/>
        </w:rPr>
        <w:t xml:space="preserve">as competitive certain retail services in </w:t>
      </w:r>
      <w:r w:rsidR="000A5BDB">
        <w:rPr>
          <w:sz w:val="26"/>
          <w:szCs w:val="26"/>
        </w:rPr>
        <w:t xml:space="preserve">153 </w:t>
      </w:r>
      <w:r w:rsidR="00C05A71" w:rsidRPr="004F4BE2">
        <w:rPr>
          <w:sz w:val="26"/>
          <w:szCs w:val="26"/>
        </w:rPr>
        <w:t xml:space="preserve">specific </w:t>
      </w:r>
      <w:r w:rsidR="00CD2F69">
        <w:rPr>
          <w:sz w:val="26"/>
          <w:szCs w:val="26"/>
        </w:rPr>
        <w:t xml:space="preserve">wire centers </w:t>
      </w:r>
      <w:r>
        <w:rPr>
          <w:sz w:val="26"/>
          <w:szCs w:val="26"/>
        </w:rPr>
        <w:t xml:space="preserve">in Pennsylvania </w:t>
      </w:r>
      <w:r w:rsidR="00BB375E">
        <w:rPr>
          <w:sz w:val="26"/>
          <w:szCs w:val="26"/>
        </w:rPr>
        <w:t>p</w:t>
      </w:r>
      <w:r w:rsidR="00C05A71" w:rsidRPr="004F4BE2">
        <w:rPr>
          <w:sz w:val="26"/>
          <w:szCs w:val="26"/>
        </w:rPr>
        <w:t>ursuant to Section 3016(a) of the Public</w:t>
      </w:r>
      <w:r w:rsidR="00BB375E">
        <w:rPr>
          <w:sz w:val="26"/>
          <w:szCs w:val="26"/>
        </w:rPr>
        <w:t xml:space="preserve"> Utility </w:t>
      </w:r>
      <w:r w:rsidR="00BB375E">
        <w:rPr>
          <w:sz w:val="26"/>
          <w:szCs w:val="26"/>
        </w:rPr>
        <w:lastRenderedPageBreak/>
        <w:t>Cod</w:t>
      </w:r>
      <w:r w:rsidR="00CD2F69">
        <w:rPr>
          <w:sz w:val="26"/>
          <w:szCs w:val="26"/>
        </w:rPr>
        <w:t>e</w:t>
      </w:r>
      <w:r w:rsidR="00BB375E">
        <w:rPr>
          <w:sz w:val="26"/>
          <w:szCs w:val="26"/>
        </w:rPr>
        <w:t>,</w:t>
      </w:r>
      <w:r w:rsidR="00C05A71" w:rsidRPr="004F4BE2">
        <w:rPr>
          <w:sz w:val="26"/>
          <w:szCs w:val="26"/>
        </w:rPr>
        <w:t xml:space="preserve"> </w:t>
      </w:r>
      <w:r w:rsidR="00BB375E" w:rsidRPr="005022A3">
        <w:rPr>
          <w:bCs/>
          <w:sz w:val="26"/>
          <w:szCs w:val="26"/>
        </w:rPr>
        <w:t xml:space="preserve">66 Pa. C.S. § 3016(a).  </w:t>
      </w:r>
      <w:r w:rsidR="00307F3F">
        <w:rPr>
          <w:bCs/>
          <w:sz w:val="26"/>
          <w:szCs w:val="26"/>
        </w:rPr>
        <w:t xml:space="preserve">In the </w:t>
      </w:r>
      <w:r w:rsidR="00307F3F">
        <w:rPr>
          <w:bCs/>
          <w:i/>
          <w:iCs/>
          <w:sz w:val="26"/>
          <w:szCs w:val="26"/>
        </w:rPr>
        <w:t xml:space="preserve">Reclassification Order, </w:t>
      </w:r>
      <w:r>
        <w:rPr>
          <w:bCs/>
          <w:sz w:val="26"/>
          <w:szCs w:val="26"/>
        </w:rPr>
        <w:t xml:space="preserve">the Commission also granted </w:t>
      </w:r>
      <w:r w:rsidR="00C05A71" w:rsidRPr="004F4BE2">
        <w:rPr>
          <w:sz w:val="26"/>
          <w:szCs w:val="26"/>
        </w:rPr>
        <w:t xml:space="preserve">Verizon a five-year waiver </w:t>
      </w:r>
      <w:bookmarkStart w:id="0" w:name="_Hlk31700201"/>
      <w:r w:rsidR="00C05A71" w:rsidRPr="004F4BE2">
        <w:rPr>
          <w:sz w:val="26"/>
          <w:szCs w:val="26"/>
        </w:rPr>
        <w:t xml:space="preserve">of </w:t>
      </w:r>
      <w:r w:rsidR="00307F3F">
        <w:rPr>
          <w:sz w:val="26"/>
          <w:szCs w:val="26"/>
        </w:rPr>
        <w:t>specific sections</w:t>
      </w:r>
      <w:r w:rsidR="00307F3F" w:rsidRPr="004F4BE2">
        <w:rPr>
          <w:sz w:val="26"/>
          <w:szCs w:val="26"/>
        </w:rPr>
        <w:t xml:space="preserve"> </w:t>
      </w:r>
      <w:r w:rsidR="00C05A71" w:rsidRPr="004F4BE2">
        <w:rPr>
          <w:sz w:val="26"/>
          <w:szCs w:val="26"/>
        </w:rPr>
        <w:t xml:space="preserve">of Chapter 63 and Chapter 64 of our Regulations in </w:t>
      </w:r>
      <w:r w:rsidR="000A5BDB">
        <w:rPr>
          <w:sz w:val="26"/>
          <w:szCs w:val="26"/>
        </w:rPr>
        <w:t xml:space="preserve">those 153 </w:t>
      </w:r>
      <w:r w:rsidR="00C05A71" w:rsidRPr="004F4BE2">
        <w:rPr>
          <w:sz w:val="26"/>
          <w:szCs w:val="26"/>
        </w:rPr>
        <w:t>competitive</w:t>
      </w:r>
      <w:r w:rsidR="00BB375E">
        <w:rPr>
          <w:sz w:val="26"/>
          <w:szCs w:val="26"/>
        </w:rPr>
        <w:t xml:space="preserve"> wire centers, pending the collection of data assessing market conditions</w:t>
      </w:r>
      <w:r w:rsidR="00EF6FD3">
        <w:rPr>
          <w:sz w:val="26"/>
          <w:szCs w:val="26"/>
        </w:rPr>
        <w:t xml:space="preserve"> </w:t>
      </w:r>
      <w:r w:rsidR="00BB375E">
        <w:rPr>
          <w:sz w:val="26"/>
          <w:szCs w:val="26"/>
        </w:rPr>
        <w:t xml:space="preserve">and the undertaking of a </w:t>
      </w:r>
      <w:r w:rsidR="00C05A71" w:rsidRPr="004F4BE2">
        <w:rPr>
          <w:sz w:val="26"/>
          <w:szCs w:val="26"/>
        </w:rPr>
        <w:t xml:space="preserve">rulemaking to address the status of these Chapters for noncompetitive and competitive services on a permanent </w:t>
      </w:r>
      <w:r w:rsidR="000A5BDB">
        <w:rPr>
          <w:sz w:val="26"/>
          <w:szCs w:val="26"/>
        </w:rPr>
        <w:t xml:space="preserve">basis for Verizon </w:t>
      </w:r>
      <w:r w:rsidR="00C05A71" w:rsidRPr="004F4BE2">
        <w:rPr>
          <w:sz w:val="26"/>
          <w:szCs w:val="26"/>
        </w:rPr>
        <w:t xml:space="preserve">and </w:t>
      </w:r>
      <w:r w:rsidR="000A5BDB">
        <w:rPr>
          <w:sz w:val="26"/>
          <w:szCs w:val="26"/>
        </w:rPr>
        <w:t xml:space="preserve">on an </w:t>
      </w:r>
      <w:r w:rsidR="00C05A71" w:rsidRPr="004F4BE2">
        <w:rPr>
          <w:sz w:val="26"/>
          <w:szCs w:val="26"/>
        </w:rPr>
        <w:t>industry-wide basis.</w:t>
      </w:r>
      <w:bookmarkEnd w:id="0"/>
      <w:r w:rsidR="00EF6FD3">
        <w:rPr>
          <w:rStyle w:val="FootnoteReference"/>
          <w:sz w:val="26"/>
          <w:szCs w:val="26"/>
        </w:rPr>
        <w:footnoteReference w:id="1"/>
      </w:r>
      <w:r w:rsidR="00C05A71" w:rsidRPr="004F4BE2">
        <w:rPr>
          <w:sz w:val="26"/>
          <w:szCs w:val="26"/>
        </w:rPr>
        <w:t xml:space="preserve"> </w:t>
      </w:r>
      <w:r w:rsidR="00C05A71" w:rsidRPr="004F4BE2">
        <w:rPr>
          <w:i/>
          <w:iCs/>
          <w:sz w:val="26"/>
          <w:szCs w:val="26"/>
        </w:rPr>
        <w:t xml:space="preserve">See Reclassification Order </w:t>
      </w:r>
      <w:r w:rsidR="00C05A71" w:rsidRPr="00930514">
        <w:rPr>
          <w:sz w:val="26"/>
          <w:szCs w:val="26"/>
        </w:rPr>
        <w:t>at 103</w:t>
      </w:r>
      <w:r w:rsidR="00852DC5">
        <w:rPr>
          <w:sz w:val="26"/>
          <w:szCs w:val="26"/>
        </w:rPr>
        <w:t>.</w:t>
      </w:r>
    </w:p>
    <w:p w14:paraId="3A56D8BE" w14:textId="188B50FB" w:rsidR="00960981" w:rsidRDefault="00960981" w:rsidP="00960981">
      <w:pPr>
        <w:spacing w:line="360" w:lineRule="auto"/>
        <w:ind w:firstLine="720"/>
        <w:rPr>
          <w:i/>
          <w:iCs/>
          <w:sz w:val="26"/>
          <w:szCs w:val="26"/>
        </w:rPr>
      </w:pPr>
    </w:p>
    <w:p w14:paraId="3E01C0D9" w14:textId="1D6A8C9C" w:rsidR="00960981" w:rsidRDefault="00960981" w:rsidP="00960981">
      <w:pPr>
        <w:spacing w:line="360" w:lineRule="auto"/>
        <w:ind w:firstLine="720"/>
        <w:rPr>
          <w:i/>
          <w:iCs/>
          <w:sz w:val="26"/>
          <w:szCs w:val="26"/>
        </w:rPr>
      </w:pPr>
      <w:r>
        <w:rPr>
          <w:sz w:val="26"/>
          <w:szCs w:val="26"/>
        </w:rPr>
        <w:t>T</w:t>
      </w:r>
      <w:r w:rsidRPr="00960981">
        <w:rPr>
          <w:color w:val="000000"/>
          <w:sz w:val="26"/>
          <w:szCs w:val="26"/>
          <w:bdr w:val="none" w:sz="0" w:space="0" w:color="auto" w:frame="1"/>
          <w:shd w:val="clear" w:color="auto" w:fill="FFFFFF"/>
        </w:rPr>
        <w:t xml:space="preserve">he Commission </w:t>
      </w:r>
      <w:r>
        <w:rPr>
          <w:color w:val="000000"/>
          <w:sz w:val="26"/>
          <w:szCs w:val="26"/>
          <w:bdr w:val="none" w:sz="0" w:space="0" w:color="auto" w:frame="1"/>
          <w:shd w:val="clear" w:color="auto" w:fill="FFFFFF"/>
        </w:rPr>
        <w:t xml:space="preserve">subsequently </w:t>
      </w:r>
      <w:r w:rsidRPr="00960981">
        <w:rPr>
          <w:color w:val="000000"/>
          <w:sz w:val="26"/>
          <w:szCs w:val="26"/>
          <w:bdr w:val="none" w:sz="0" w:space="0" w:color="auto" w:frame="1"/>
          <w:shd w:val="clear" w:color="auto" w:fill="FFFFFF"/>
        </w:rPr>
        <w:t>issued an Advance Notice of Proposed Rulemaking (ANOPR) regarding </w:t>
      </w:r>
      <w:r w:rsidRPr="00960981">
        <w:rPr>
          <w:color w:val="201F1E"/>
          <w:sz w:val="26"/>
          <w:szCs w:val="26"/>
          <w:shd w:val="clear" w:color="auto" w:fill="FFFFFF"/>
        </w:rPr>
        <w:t xml:space="preserve">our Chapter 63 and 64 regulations at Docket L-2018-3001391.  In the ANOPR, </w:t>
      </w:r>
      <w:r w:rsidR="00D67AED">
        <w:rPr>
          <w:color w:val="201F1E"/>
          <w:sz w:val="26"/>
          <w:szCs w:val="26"/>
          <w:shd w:val="clear" w:color="auto" w:fill="FFFFFF"/>
        </w:rPr>
        <w:t>the Commission</w:t>
      </w:r>
      <w:r w:rsidRPr="00960981">
        <w:rPr>
          <w:color w:val="201F1E"/>
          <w:sz w:val="26"/>
          <w:szCs w:val="26"/>
          <w:shd w:val="clear" w:color="auto" w:fill="FFFFFF"/>
        </w:rPr>
        <w:t xml:space="preserve"> requested comment on whether to expand the waivers granted </w:t>
      </w:r>
      <w:r>
        <w:rPr>
          <w:color w:val="201F1E"/>
          <w:sz w:val="26"/>
          <w:szCs w:val="26"/>
          <w:shd w:val="clear" w:color="auto" w:fill="FFFFFF"/>
        </w:rPr>
        <w:t xml:space="preserve">in the </w:t>
      </w:r>
      <w:r>
        <w:rPr>
          <w:i/>
          <w:iCs/>
          <w:color w:val="201F1E"/>
          <w:sz w:val="26"/>
          <w:szCs w:val="26"/>
          <w:shd w:val="clear" w:color="auto" w:fill="FFFFFF"/>
        </w:rPr>
        <w:t xml:space="preserve">Reclassification Order </w:t>
      </w:r>
      <w:r w:rsidRPr="00960981">
        <w:rPr>
          <w:color w:val="201F1E"/>
          <w:sz w:val="26"/>
          <w:szCs w:val="26"/>
          <w:shd w:val="clear" w:color="auto" w:fill="FFFFFF"/>
        </w:rPr>
        <w:t xml:space="preserve">to any wire center classified as competitive, whether to rescind or amend any Chapter 63 and 64 regulations for non-competitive wire centers, and whether to create a separate chapter in our regulations to address service provided in competitive wire centers.  </w:t>
      </w:r>
      <w:r>
        <w:rPr>
          <w:color w:val="201F1E"/>
          <w:sz w:val="26"/>
          <w:szCs w:val="26"/>
          <w:shd w:val="clear" w:color="auto" w:fill="FFFFFF"/>
        </w:rPr>
        <w:t>The Commission</w:t>
      </w:r>
      <w:r w:rsidRPr="00960981">
        <w:rPr>
          <w:color w:val="201F1E"/>
          <w:sz w:val="26"/>
          <w:szCs w:val="26"/>
          <w:shd w:val="clear" w:color="auto" w:fill="FFFFFF"/>
        </w:rPr>
        <w:t xml:space="preserve"> also asked for comment on whether we should make permanent any waivers of regulations granted outside of the reclassification decision and invited any reasonable alternative proposals to our existing telephone regulations.  </w:t>
      </w:r>
      <w:r>
        <w:rPr>
          <w:color w:val="201F1E"/>
          <w:sz w:val="26"/>
          <w:szCs w:val="26"/>
          <w:shd w:val="clear" w:color="auto" w:fill="FFFFFF"/>
        </w:rPr>
        <w:t>The ANOPR remains pending</w:t>
      </w:r>
      <w:r w:rsidRPr="00960981">
        <w:rPr>
          <w:color w:val="201F1E"/>
          <w:sz w:val="26"/>
          <w:szCs w:val="26"/>
          <w:shd w:val="clear" w:color="auto" w:fill="FFFFFF"/>
        </w:rPr>
        <w:t>.</w:t>
      </w:r>
      <w:r w:rsidR="00C05A71" w:rsidRPr="00960981">
        <w:rPr>
          <w:i/>
          <w:iCs/>
          <w:sz w:val="26"/>
          <w:szCs w:val="26"/>
        </w:rPr>
        <w:t xml:space="preserve"> </w:t>
      </w:r>
    </w:p>
    <w:p w14:paraId="1BA0F146" w14:textId="77777777" w:rsidR="007D41D9" w:rsidRPr="00960981" w:rsidRDefault="007D41D9" w:rsidP="00960981">
      <w:pPr>
        <w:spacing w:line="360" w:lineRule="auto"/>
        <w:ind w:firstLine="720"/>
        <w:rPr>
          <w:sz w:val="26"/>
          <w:szCs w:val="26"/>
        </w:rPr>
      </w:pPr>
    </w:p>
    <w:p w14:paraId="45E35705" w14:textId="0854D18A" w:rsidR="00C05A71" w:rsidRDefault="00AB5048" w:rsidP="00960981">
      <w:pPr>
        <w:spacing w:line="360" w:lineRule="auto"/>
        <w:ind w:firstLine="720"/>
        <w:rPr>
          <w:sz w:val="26"/>
          <w:szCs w:val="26"/>
        </w:rPr>
      </w:pPr>
      <w:r>
        <w:rPr>
          <w:sz w:val="26"/>
          <w:szCs w:val="26"/>
        </w:rPr>
        <w:t xml:space="preserve">The </w:t>
      </w:r>
      <w:r w:rsidR="005B7048">
        <w:rPr>
          <w:sz w:val="26"/>
          <w:szCs w:val="26"/>
        </w:rPr>
        <w:t>matters</w:t>
      </w:r>
      <w:r>
        <w:rPr>
          <w:sz w:val="26"/>
          <w:szCs w:val="26"/>
        </w:rPr>
        <w:t xml:space="preserve"> to be addressed </w:t>
      </w:r>
      <w:r w:rsidR="00C3520A">
        <w:rPr>
          <w:sz w:val="26"/>
          <w:szCs w:val="26"/>
        </w:rPr>
        <w:t xml:space="preserve">in this Tentative Order </w:t>
      </w:r>
      <w:r>
        <w:rPr>
          <w:sz w:val="26"/>
          <w:szCs w:val="26"/>
        </w:rPr>
        <w:t>are</w:t>
      </w:r>
      <w:r w:rsidR="005B7048">
        <w:rPr>
          <w:sz w:val="26"/>
          <w:szCs w:val="26"/>
        </w:rPr>
        <w:t>:</w:t>
      </w:r>
      <w:r>
        <w:rPr>
          <w:sz w:val="26"/>
          <w:szCs w:val="26"/>
        </w:rPr>
        <w:t xml:space="preserve"> </w:t>
      </w:r>
      <w:r w:rsidR="005B7048">
        <w:rPr>
          <w:sz w:val="26"/>
          <w:szCs w:val="26"/>
        </w:rPr>
        <w:t xml:space="preserve">1) the </w:t>
      </w:r>
      <w:r>
        <w:rPr>
          <w:sz w:val="26"/>
          <w:szCs w:val="26"/>
        </w:rPr>
        <w:t xml:space="preserve">impending expiration of the </w:t>
      </w:r>
      <w:r w:rsidR="00960981">
        <w:rPr>
          <w:sz w:val="26"/>
          <w:szCs w:val="26"/>
        </w:rPr>
        <w:t>f</w:t>
      </w:r>
      <w:r w:rsidR="00C3520A">
        <w:rPr>
          <w:sz w:val="26"/>
          <w:szCs w:val="26"/>
        </w:rPr>
        <w:t>ive-year waiver</w:t>
      </w:r>
      <w:r>
        <w:rPr>
          <w:sz w:val="26"/>
          <w:szCs w:val="26"/>
        </w:rPr>
        <w:t xml:space="preserve"> </w:t>
      </w:r>
      <w:r w:rsidR="00C3520A">
        <w:rPr>
          <w:sz w:val="26"/>
          <w:szCs w:val="26"/>
        </w:rPr>
        <w:t xml:space="preserve">of </w:t>
      </w:r>
      <w:r w:rsidR="00307F3F">
        <w:rPr>
          <w:sz w:val="26"/>
          <w:szCs w:val="26"/>
        </w:rPr>
        <w:t xml:space="preserve">select </w:t>
      </w:r>
      <w:r w:rsidR="00C3520A">
        <w:rPr>
          <w:sz w:val="26"/>
          <w:szCs w:val="26"/>
        </w:rPr>
        <w:t>Chapter 63 and Chapter 64 Regulations</w:t>
      </w:r>
      <w:r w:rsidR="00CD2F69">
        <w:rPr>
          <w:sz w:val="26"/>
          <w:szCs w:val="26"/>
        </w:rPr>
        <w:t>;</w:t>
      </w:r>
      <w:r w:rsidR="00C3520A">
        <w:rPr>
          <w:sz w:val="26"/>
          <w:szCs w:val="26"/>
        </w:rPr>
        <w:t xml:space="preserve"> and</w:t>
      </w:r>
      <w:r w:rsidR="00CD2F69">
        <w:rPr>
          <w:sz w:val="26"/>
          <w:szCs w:val="26"/>
        </w:rPr>
        <w:t>, 2)</w:t>
      </w:r>
      <w:r w:rsidR="00C3520A">
        <w:rPr>
          <w:sz w:val="26"/>
          <w:szCs w:val="26"/>
        </w:rPr>
        <w:t xml:space="preserve"> the availability </w:t>
      </w:r>
      <w:r w:rsidR="003053A8">
        <w:rPr>
          <w:sz w:val="26"/>
          <w:szCs w:val="26"/>
        </w:rPr>
        <w:t>and</w:t>
      </w:r>
      <w:r w:rsidR="005B7048">
        <w:rPr>
          <w:sz w:val="26"/>
          <w:szCs w:val="26"/>
        </w:rPr>
        <w:t xml:space="preserve"> the opportunity for </w:t>
      </w:r>
      <w:r w:rsidR="005B7048" w:rsidRPr="00134B2C">
        <w:rPr>
          <w:sz w:val="26"/>
          <w:szCs w:val="26"/>
        </w:rPr>
        <w:t>participating parties</w:t>
      </w:r>
      <w:r w:rsidR="003053A8">
        <w:rPr>
          <w:sz w:val="26"/>
          <w:szCs w:val="26"/>
        </w:rPr>
        <w:t xml:space="preserve"> </w:t>
      </w:r>
      <w:r w:rsidR="005B7048">
        <w:rPr>
          <w:sz w:val="26"/>
          <w:szCs w:val="26"/>
        </w:rPr>
        <w:t xml:space="preserve">to </w:t>
      </w:r>
      <w:r w:rsidR="003053A8">
        <w:rPr>
          <w:sz w:val="26"/>
          <w:szCs w:val="26"/>
        </w:rPr>
        <w:t xml:space="preserve">review </w:t>
      </w:r>
      <w:r w:rsidR="00C3520A">
        <w:rPr>
          <w:sz w:val="26"/>
          <w:szCs w:val="26"/>
        </w:rPr>
        <w:t>data</w:t>
      </w:r>
      <w:r w:rsidR="000E4C2A">
        <w:rPr>
          <w:sz w:val="26"/>
          <w:szCs w:val="26"/>
        </w:rPr>
        <w:t xml:space="preserve"> </w:t>
      </w:r>
      <w:r w:rsidR="005B7048">
        <w:rPr>
          <w:sz w:val="26"/>
          <w:szCs w:val="26"/>
        </w:rPr>
        <w:t xml:space="preserve">marked proprietary or confidential by Verizon </w:t>
      </w:r>
      <w:r w:rsidR="000E4C2A">
        <w:rPr>
          <w:sz w:val="26"/>
          <w:szCs w:val="26"/>
        </w:rPr>
        <w:t xml:space="preserve">and </w:t>
      </w:r>
      <w:r w:rsidR="005B7048">
        <w:rPr>
          <w:sz w:val="26"/>
          <w:szCs w:val="26"/>
        </w:rPr>
        <w:t xml:space="preserve">file </w:t>
      </w:r>
      <w:r w:rsidR="000E4C2A">
        <w:rPr>
          <w:sz w:val="26"/>
          <w:szCs w:val="26"/>
        </w:rPr>
        <w:t>supplemental comments</w:t>
      </w:r>
      <w:r w:rsidR="00134B2C">
        <w:rPr>
          <w:sz w:val="26"/>
          <w:szCs w:val="26"/>
        </w:rPr>
        <w:t xml:space="preserve"> </w:t>
      </w:r>
      <w:r w:rsidR="00134B2C" w:rsidRPr="00134B2C">
        <w:rPr>
          <w:sz w:val="26"/>
          <w:szCs w:val="26"/>
        </w:rPr>
        <w:t xml:space="preserve">in </w:t>
      </w:r>
      <w:r w:rsidR="00CD2F69">
        <w:rPr>
          <w:sz w:val="26"/>
          <w:szCs w:val="26"/>
        </w:rPr>
        <w:t xml:space="preserve"> </w:t>
      </w:r>
      <w:r w:rsidR="00307F3F">
        <w:rPr>
          <w:sz w:val="26"/>
          <w:szCs w:val="26"/>
        </w:rPr>
        <w:t>the</w:t>
      </w:r>
      <w:r w:rsidR="00CD2F69">
        <w:rPr>
          <w:sz w:val="26"/>
          <w:szCs w:val="26"/>
        </w:rPr>
        <w:t xml:space="preserve"> related </w:t>
      </w:r>
      <w:r w:rsidR="00D67AED">
        <w:rPr>
          <w:sz w:val="26"/>
          <w:szCs w:val="26"/>
        </w:rPr>
        <w:t>ANOPR</w:t>
      </w:r>
      <w:r w:rsidR="00CD2F69">
        <w:rPr>
          <w:sz w:val="26"/>
          <w:szCs w:val="26"/>
        </w:rPr>
        <w:t xml:space="preserve"> proceeding</w:t>
      </w:r>
      <w:r w:rsidR="005B7048">
        <w:rPr>
          <w:sz w:val="26"/>
          <w:szCs w:val="26"/>
        </w:rPr>
        <w:t>.</w:t>
      </w:r>
      <w:r w:rsidR="00C3520A">
        <w:rPr>
          <w:sz w:val="26"/>
          <w:szCs w:val="26"/>
        </w:rPr>
        <w:t xml:space="preserve"> </w:t>
      </w:r>
    </w:p>
    <w:p w14:paraId="38F75D12" w14:textId="77777777" w:rsidR="007D41D9" w:rsidRPr="00960981" w:rsidRDefault="007D41D9" w:rsidP="00960981">
      <w:pPr>
        <w:spacing w:line="360" w:lineRule="auto"/>
        <w:ind w:firstLine="720"/>
        <w:rPr>
          <w:bCs/>
          <w:sz w:val="26"/>
          <w:szCs w:val="26"/>
        </w:rPr>
      </w:pPr>
    </w:p>
    <w:p w14:paraId="6A2CE711" w14:textId="126EDFAA" w:rsidR="00C05A71" w:rsidRPr="004F4BE2" w:rsidRDefault="00CB7DD7" w:rsidP="00CB7DD7">
      <w:pPr>
        <w:spacing w:line="360" w:lineRule="auto"/>
        <w:ind w:firstLine="720"/>
        <w:rPr>
          <w:sz w:val="26"/>
          <w:szCs w:val="26"/>
        </w:rPr>
      </w:pPr>
      <w:r>
        <w:rPr>
          <w:sz w:val="26"/>
          <w:szCs w:val="26"/>
        </w:rPr>
        <w:t>As previously noted, the Chapter 63 and 64</w:t>
      </w:r>
      <w:r w:rsidRPr="004F4BE2">
        <w:rPr>
          <w:sz w:val="26"/>
          <w:szCs w:val="26"/>
        </w:rPr>
        <w:t xml:space="preserve"> regulatory waivers were granted temporarily for a period of five years or </w:t>
      </w:r>
      <w:r>
        <w:rPr>
          <w:sz w:val="26"/>
          <w:szCs w:val="26"/>
        </w:rPr>
        <w:t xml:space="preserve">until </w:t>
      </w:r>
      <w:r w:rsidRPr="004F4BE2">
        <w:rPr>
          <w:sz w:val="26"/>
          <w:szCs w:val="26"/>
        </w:rPr>
        <w:t xml:space="preserve">March </w:t>
      </w:r>
      <w:r>
        <w:rPr>
          <w:sz w:val="26"/>
          <w:szCs w:val="26"/>
        </w:rPr>
        <w:t>4</w:t>
      </w:r>
      <w:r w:rsidRPr="004F4BE2">
        <w:rPr>
          <w:sz w:val="26"/>
          <w:szCs w:val="26"/>
        </w:rPr>
        <w:t xml:space="preserve">, 2020, </w:t>
      </w:r>
      <w:r>
        <w:rPr>
          <w:sz w:val="26"/>
          <w:szCs w:val="26"/>
        </w:rPr>
        <w:t xml:space="preserve">whichever came first, </w:t>
      </w:r>
      <w:r w:rsidRPr="004F4BE2">
        <w:rPr>
          <w:sz w:val="26"/>
          <w:szCs w:val="26"/>
        </w:rPr>
        <w:t xml:space="preserve">in </w:t>
      </w:r>
      <w:r w:rsidR="00D67AED">
        <w:rPr>
          <w:sz w:val="26"/>
          <w:szCs w:val="26"/>
        </w:rPr>
        <w:t xml:space="preserve">Verizon’s </w:t>
      </w:r>
      <w:r w:rsidR="000A5BDB">
        <w:rPr>
          <w:sz w:val="26"/>
          <w:szCs w:val="26"/>
        </w:rPr>
        <w:t xml:space="preserve">153 </w:t>
      </w:r>
      <w:r w:rsidRPr="004F4BE2">
        <w:rPr>
          <w:sz w:val="26"/>
          <w:szCs w:val="26"/>
        </w:rPr>
        <w:t>competitive wire centers</w:t>
      </w:r>
      <w:r>
        <w:rPr>
          <w:sz w:val="26"/>
          <w:szCs w:val="26"/>
        </w:rPr>
        <w:t xml:space="preserve"> only</w:t>
      </w:r>
      <w:r w:rsidRPr="004F4BE2">
        <w:rPr>
          <w:sz w:val="26"/>
          <w:szCs w:val="26"/>
        </w:rPr>
        <w:t xml:space="preserve">, pending the collection of data and the </w:t>
      </w:r>
      <w:r w:rsidRPr="004F4BE2">
        <w:rPr>
          <w:sz w:val="26"/>
          <w:szCs w:val="26"/>
        </w:rPr>
        <w:lastRenderedPageBreak/>
        <w:t xml:space="preserve">undertaking of a rulemaking to address </w:t>
      </w:r>
      <w:r w:rsidR="0093438F">
        <w:rPr>
          <w:sz w:val="26"/>
          <w:szCs w:val="26"/>
        </w:rPr>
        <w:t>the status of the waivers</w:t>
      </w:r>
      <w:r w:rsidRPr="004F4BE2">
        <w:rPr>
          <w:sz w:val="26"/>
          <w:szCs w:val="26"/>
        </w:rPr>
        <w:t xml:space="preserve"> on a permanent and </w:t>
      </w:r>
      <w:r w:rsidRPr="00307F3F">
        <w:rPr>
          <w:sz w:val="26"/>
          <w:szCs w:val="26"/>
        </w:rPr>
        <w:t>industry-wide basis</w:t>
      </w:r>
      <w:r w:rsidRPr="004F4BE2">
        <w:rPr>
          <w:sz w:val="26"/>
          <w:szCs w:val="26"/>
        </w:rPr>
        <w:t>.</w:t>
      </w:r>
      <w:r>
        <w:rPr>
          <w:sz w:val="26"/>
          <w:szCs w:val="26"/>
        </w:rPr>
        <w:t xml:space="preserve">  </w:t>
      </w:r>
      <w:r w:rsidR="00036AD3">
        <w:rPr>
          <w:sz w:val="26"/>
          <w:szCs w:val="26"/>
        </w:rPr>
        <w:t xml:space="preserve">Regarding the data collection, </w:t>
      </w:r>
      <w:r w:rsidR="00EF6FD3">
        <w:rPr>
          <w:sz w:val="26"/>
          <w:szCs w:val="26"/>
        </w:rPr>
        <w:t xml:space="preserve">in </w:t>
      </w:r>
      <w:r w:rsidR="00036AD3">
        <w:rPr>
          <w:sz w:val="26"/>
          <w:szCs w:val="26"/>
        </w:rPr>
        <w:t xml:space="preserve">the </w:t>
      </w:r>
      <w:r w:rsidR="00036AD3">
        <w:rPr>
          <w:i/>
          <w:iCs/>
          <w:sz w:val="26"/>
          <w:szCs w:val="26"/>
        </w:rPr>
        <w:t>Reclassification Order</w:t>
      </w:r>
      <w:r w:rsidR="00930514">
        <w:rPr>
          <w:sz w:val="26"/>
          <w:szCs w:val="26"/>
        </w:rPr>
        <w:t>,</w:t>
      </w:r>
      <w:r w:rsidR="00036AD3">
        <w:rPr>
          <w:i/>
          <w:iCs/>
          <w:sz w:val="26"/>
          <w:szCs w:val="26"/>
        </w:rPr>
        <w:t xml:space="preserve"> </w:t>
      </w:r>
      <w:r w:rsidR="00EF6FD3">
        <w:rPr>
          <w:sz w:val="26"/>
          <w:szCs w:val="26"/>
        </w:rPr>
        <w:t xml:space="preserve">the Commission </w:t>
      </w:r>
      <w:r w:rsidR="00036AD3">
        <w:rPr>
          <w:sz w:val="26"/>
          <w:szCs w:val="26"/>
        </w:rPr>
        <w:t>state</w:t>
      </w:r>
      <w:r w:rsidR="00EF6FD3">
        <w:rPr>
          <w:sz w:val="26"/>
          <w:szCs w:val="26"/>
        </w:rPr>
        <w:t>d</w:t>
      </w:r>
      <w:r w:rsidR="00036AD3">
        <w:rPr>
          <w:sz w:val="26"/>
          <w:szCs w:val="26"/>
        </w:rPr>
        <w:t xml:space="preserve"> the following:</w:t>
      </w:r>
    </w:p>
    <w:p w14:paraId="57A9555C" w14:textId="77777777" w:rsidR="00C05A71" w:rsidRPr="004F4BE2" w:rsidRDefault="00C05A71" w:rsidP="004F4BE2">
      <w:pPr>
        <w:spacing w:line="360" w:lineRule="auto"/>
        <w:rPr>
          <w:sz w:val="26"/>
          <w:szCs w:val="26"/>
        </w:rPr>
      </w:pPr>
    </w:p>
    <w:p w14:paraId="163C90A0" w14:textId="77777777" w:rsidR="00C05A71" w:rsidRPr="004F4BE2" w:rsidRDefault="00C05A71" w:rsidP="00930514">
      <w:pPr>
        <w:ind w:left="1440" w:right="720" w:hanging="720"/>
        <w:rPr>
          <w:sz w:val="26"/>
          <w:szCs w:val="26"/>
        </w:rPr>
      </w:pPr>
      <w:r w:rsidRPr="004F4BE2">
        <w:rPr>
          <w:sz w:val="26"/>
          <w:szCs w:val="26"/>
        </w:rPr>
        <w:t>15.</w:t>
      </w:r>
      <w:r w:rsidRPr="004F4BE2">
        <w:rPr>
          <w:sz w:val="26"/>
          <w:szCs w:val="26"/>
        </w:rPr>
        <w:tab/>
        <w:t>That Verizon Pennsylvania LLC and Verizon North LLC shall collect and report annually, for a period of two years, data under two categories: (1) Affordability of Basic Service; and (2) Quality of Service as further directed by the Commission.</w:t>
      </w:r>
    </w:p>
    <w:p w14:paraId="2C851AAD" w14:textId="77777777" w:rsidR="00C05A71" w:rsidRPr="004F4BE2" w:rsidRDefault="00C05A71" w:rsidP="004F4BE2">
      <w:pPr>
        <w:spacing w:line="360" w:lineRule="auto"/>
        <w:ind w:right="720"/>
        <w:rPr>
          <w:sz w:val="26"/>
          <w:szCs w:val="26"/>
        </w:rPr>
      </w:pPr>
    </w:p>
    <w:p w14:paraId="095D1C71" w14:textId="04BA4F63" w:rsidR="00C05A71" w:rsidRDefault="00C05A71" w:rsidP="004F4BE2">
      <w:pPr>
        <w:spacing w:line="360" w:lineRule="auto"/>
        <w:rPr>
          <w:sz w:val="26"/>
          <w:szCs w:val="26"/>
        </w:rPr>
      </w:pPr>
      <w:r w:rsidRPr="004F4BE2">
        <w:rPr>
          <w:i/>
          <w:sz w:val="26"/>
          <w:szCs w:val="26"/>
        </w:rPr>
        <w:t>Reclassification Order</w:t>
      </w:r>
      <w:r w:rsidRPr="004F4BE2">
        <w:rPr>
          <w:sz w:val="26"/>
          <w:szCs w:val="26"/>
        </w:rPr>
        <w:t xml:space="preserve"> at 126, Ordering Paragraph 15.  </w:t>
      </w:r>
      <w:r w:rsidR="00307F3F">
        <w:rPr>
          <w:sz w:val="26"/>
          <w:szCs w:val="26"/>
        </w:rPr>
        <w:t>In t</w:t>
      </w:r>
      <w:r w:rsidRPr="004F4BE2">
        <w:rPr>
          <w:sz w:val="26"/>
          <w:szCs w:val="26"/>
        </w:rPr>
        <w:t xml:space="preserve">he </w:t>
      </w:r>
      <w:r w:rsidRPr="004F4BE2">
        <w:rPr>
          <w:i/>
          <w:iCs/>
          <w:sz w:val="26"/>
          <w:szCs w:val="26"/>
        </w:rPr>
        <w:t>Reclassification Order</w:t>
      </w:r>
      <w:r w:rsidRPr="004F4BE2">
        <w:rPr>
          <w:sz w:val="26"/>
          <w:szCs w:val="26"/>
        </w:rPr>
        <w:t xml:space="preserve"> </w:t>
      </w:r>
      <w:r w:rsidR="00307F3F">
        <w:rPr>
          <w:sz w:val="26"/>
          <w:szCs w:val="26"/>
        </w:rPr>
        <w:t xml:space="preserve">the Commission </w:t>
      </w:r>
      <w:r w:rsidRPr="004F4BE2">
        <w:rPr>
          <w:sz w:val="26"/>
          <w:szCs w:val="26"/>
        </w:rPr>
        <w:t xml:space="preserve">also directed that “after receiving input from interested parties, the Commission’s Bureau of Technical Utility Services shall advise the Companies of the specific data to be provided, form requirements, and schedule for the reporting of this data.” </w:t>
      </w:r>
      <w:r w:rsidRPr="004F4BE2">
        <w:rPr>
          <w:i/>
          <w:sz w:val="26"/>
          <w:szCs w:val="26"/>
        </w:rPr>
        <w:t>Id</w:t>
      </w:r>
      <w:r w:rsidRPr="004F4BE2">
        <w:rPr>
          <w:sz w:val="26"/>
          <w:szCs w:val="26"/>
        </w:rPr>
        <w:t>.</w:t>
      </w:r>
      <w:r w:rsidRPr="004F4BE2">
        <w:rPr>
          <w:i/>
          <w:sz w:val="26"/>
          <w:szCs w:val="26"/>
        </w:rPr>
        <w:t xml:space="preserve"> </w:t>
      </w:r>
      <w:r w:rsidRPr="004F4BE2">
        <w:rPr>
          <w:sz w:val="26"/>
          <w:szCs w:val="26"/>
        </w:rPr>
        <w:t xml:space="preserve">at 127, Ordering Paragraph 16.  </w:t>
      </w:r>
      <w:r w:rsidR="00E17939" w:rsidRPr="004F4BE2">
        <w:rPr>
          <w:sz w:val="26"/>
          <w:szCs w:val="26"/>
        </w:rPr>
        <w:t xml:space="preserve">The purpose of this two-year data collection requirement was to help the Commission to assess the market conditions present in the 153 wire centers determined to be competitive.  </w:t>
      </w:r>
      <w:r w:rsidR="00E17939" w:rsidRPr="004F4BE2">
        <w:rPr>
          <w:i/>
          <w:iCs/>
          <w:sz w:val="26"/>
          <w:szCs w:val="26"/>
        </w:rPr>
        <w:t>See</w:t>
      </w:r>
      <w:r w:rsidR="00E17939" w:rsidRPr="004F4BE2">
        <w:rPr>
          <w:sz w:val="26"/>
          <w:szCs w:val="26"/>
        </w:rPr>
        <w:t xml:space="preserve"> </w:t>
      </w:r>
      <w:r w:rsidR="00E17939" w:rsidRPr="004F4BE2">
        <w:rPr>
          <w:i/>
          <w:sz w:val="26"/>
          <w:szCs w:val="26"/>
        </w:rPr>
        <w:t>Reclassification Order</w:t>
      </w:r>
      <w:r w:rsidR="00E17939" w:rsidRPr="004F4BE2">
        <w:rPr>
          <w:sz w:val="26"/>
          <w:szCs w:val="26"/>
        </w:rPr>
        <w:t xml:space="preserve"> at 104.</w:t>
      </w:r>
    </w:p>
    <w:p w14:paraId="7A844641" w14:textId="77777777" w:rsidR="007D41D9" w:rsidRPr="004F4BE2" w:rsidRDefault="007D41D9" w:rsidP="004F4BE2">
      <w:pPr>
        <w:spacing w:line="360" w:lineRule="auto"/>
        <w:rPr>
          <w:sz w:val="26"/>
          <w:szCs w:val="26"/>
        </w:rPr>
      </w:pPr>
    </w:p>
    <w:p w14:paraId="4A990ACA" w14:textId="3F881BC8" w:rsidR="00E96680" w:rsidRDefault="00C05A71" w:rsidP="004F4BE2">
      <w:pPr>
        <w:pStyle w:val="p3"/>
        <w:tabs>
          <w:tab w:val="clear" w:pos="204"/>
        </w:tabs>
        <w:spacing w:line="360" w:lineRule="auto"/>
        <w:rPr>
          <w:sz w:val="26"/>
          <w:szCs w:val="26"/>
        </w:rPr>
      </w:pPr>
      <w:r w:rsidRPr="004F4BE2">
        <w:rPr>
          <w:sz w:val="26"/>
          <w:szCs w:val="26"/>
        </w:rPr>
        <w:tab/>
        <w:t xml:space="preserve">On September 11, 2015, the Commission issued a </w:t>
      </w:r>
      <w:r w:rsidR="00307F3F">
        <w:rPr>
          <w:sz w:val="26"/>
          <w:szCs w:val="26"/>
        </w:rPr>
        <w:t xml:space="preserve">further </w:t>
      </w:r>
      <w:r w:rsidRPr="004F4BE2">
        <w:rPr>
          <w:sz w:val="26"/>
          <w:szCs w:val="26"/>
        </w:rPr>
        <w:t xml:space="preserve">Order </w:t>
      </w:r>
      <w:r w:rsidR="00307F3F">
        <w:rPr>
          <w:sz w:val="26"/>
          <w:szCs w:val="26"/>
        </w:rPr>
        <w:t xml:space="preserve">in the reclassification proceeding </w:t>
      </w:r>
      <w:r w:rsidRPr="004F4BE2">
        <w:rPr>
          <w:sz w:val="26"/>
          <w:szCs w:val="26"/>
        </w:rPr>
        <w:t>(</w:t>
      </w:r>
      <w:r w:rsidRPr="004F4BE2">
        <w:rPr>
          <w:i/>
          <w:iCs/>
          <w:sz w:val="26"/>
          <w:szCs w:val="26"/>
        </w:rPr>
        <w:t>Reporting Order</w:t>
      </w:r>
      <w:r w:rsidRPr="004F4BE2">
        <w:rPr>
          <w:sz w:val="26"/>
          <w:szCs w:val="26"/>
        </w:rPr>
        <w:t xml:space="preserve">) that established the specific data form and the reporting schedules required by Ordering Paragraph Nos. 15 and 16 of the </w:t>
      </w:r>
      <w:r w:rsidRPr="004F4BE2">
        <w:rPr>
          <w:i/>
          <w:iCs/>
          <w:sz w:val="26"/>
          <w:szCs w:val="26"/>
        </w:rPr>
        <w:t>Reclassification Order</w:t>
      </w:r>
      <w:r w:rsidRPr="004F4BE2">
        <w:rPr>
          <w:sz w:val="26"/>
          <w:szCs w:val="26"/>
        </w:rPr>
        <w:t xml:space="preserve">.  As we explained in the </w:t>
      </w:r>
      <w:r w:rsidRPr="004F4BE2">
        <w:rPr>
          <w:i/>
          <w:iCs/>
          <w:sz w:val="26"/>
          <w:szCs w:val="26"/>
        </w:rPr>
        <w:t>Reporting Order</w:t>
      </w:r>
      <w:r w:rsidRPr="004F4BE2">
        <w:rPr>
          <w:sz w:val="26"/>
          <w:szCs w:val="26"/>
        </w:rPr>
        <w:t>, “we expressly conditioned the grant of regulatory relief, particularly the requested regulatory waivers, on the short-term reporting of data directly related to the relief granted.</w:t>
      </w:r>
      <w:r w:rsidR="00307F3F">
        <w:rPr>
          <w:sz w:val="26"/>
          <w:szCs w:val="26"/>
        </w:rPr>
        <w:t>”</w:t>
      </w:r>
      <w:r w:rsidRPr="004F4BE2">
        <w:rPr>
          <w:i/>
          <w:iCs/>
          <w:sz w:val="26"/>
          <w:szCs w:val="26"/>
        </w:rPr>
        <w:t xml:space="preserve"> Reporting Order</w:t>
      </w:r>
      <w:r w:rsidRPr="004F4BE2">
        <w:rPr>
          <w:sz w:val="26"/>
          <w:szCs w:val="26"/>
        </w:rPr>
        <w:t xml:space="preserve"> at 8, </w:t>
      </w:r>
      <w:r w:rsidRPr="004F4BE2">
        <w:rPr>
          <w:i/>
          <w:iCs/>
          <w:sz w:val="26"/>
          <w:szCs w:val="26"/>
        </w:rPr>
        <w:t>citing</w:t>
      </w:r>
      <w:r w:rsidRPr="004F4BE2">
        <w:rPr>
          <w:sz w:val="26"/>
          <w:szCs w:val="26"/>
        </w:rPr>
        <w:t xml:space="preserve"> </w:t>
      </w:r>
      <w:r w:rsidRPr="004F4BE2">
        <w:rPr>
          <w:i/>
          <w:iCs/>
          <w:sz w:val="26"/>
          <w:szCs w:val="26"/>
        </w:rPr>
        <w:t>Reclassification Order</w:t>
      </w:r>
      <w:r w:rsidRPr="004F4BE2">
        <w:rPr>
          <w:sz w:val="26"/>
          <w:szCs w:val="26"/>
        </w:rPr>
        <w:t xml:space="preserve"> at 76, 103, 104.</w:t>
      </w:r>
    </w:p>
    <w:p w14:paraId="639E9E59" w14:textId="77777777" w:rsidR="007D41D9" w:rsidRPr="004F4BE2" w:rsidRDefault="007D41D9" w:rsidP="004F4BE2">
      <w:pPr>
        <w:pStyle w:val="p3"/>
        <w:tabs>
          <w:tab w:val="clear" w:pos="204"/>
        </w:tabs>
        <w:spacing w:line="360" w:lineRule="auto"/>
        <w:rPr>
          <w:sz w:val="26"/>
          <w:szCs w:val="26"/>
        </w:rPr>
      </w:pPr>
    </w:p>
    <w:p w14:paraId="0BCFBD2F" w14:textId="77777777" w:rsidR="007D41D9" w:rsidRDefault="00C05A71" w:rsidP="00DC7AF7">
      <w:pPr>
        <w:spacing w:line="360" w:lineRule="auto"/>
        <w:ind w:firstLine="720"/>
        <w:rPr>
          <w:i/>
          <w:iCs/>
          <w:sz w:val="26"/>
          <w:szCs w:val="26"/>
        </w:rPr>
      </w:pPr>
      <w:r w:rsidRPr="004F4BE2">
        <w:rPr>
          <w:sz w:val="26"/>
          <w:szCs w:val="26"/>
        </w:rPr>
        <w:t>Subsequently, Verizon filed the requested data covering calendar years 2015 and 2016.  This specific data has been reviewed by the Commission to help assess how the market develop</w:t>
      </w:r>
      <w:r w:rsidR="00D67AED">
        <w:rPr>
          <w:sz w:val="26"/>
          <w:szCs w:val="26"/>
        </w:rPr>
        <w:t>ed</w:t>
      </w:r>
      <w:r w:rsidRPr="004F4BE2">
        <w:rPr>
          <w:sz w:val="26"/>
          <w:szCs w:val="26"/>
        </w:rPr>
        <w:t xml:space="preserve"> in those competitive wire centers and </w:t>
      </w:r>
      <w:r w:rsidR="00036AD3">
        <w:rPr>
          <w:sz w:val="26"/>
          <w:szCs w:val="26"/>
        </w:rPr>
        <w:t xml:space="preserve">may </w:t>
      </w:r>
      <w:r w:rsidRPr="004F4BE2">
        <w:rPr>
          <w:sz w:val="26"/>
          <w:szCs w:val="26"/>
        </w:rPr>
        <w:t xml:space="preserve">provide relevant information for the rulemaking to address the </w:t>
      </w:r>
      <w:r w:rsidR="00CB7DD7">
        <w:rPr>
          <w:sz w:val="26"/>
          <w:szCs w:val="26"/>
        </w:rPr>
        <w:t xml:space="preserve">permanent </w:t>
      </w:r>
      <w:r w:rsidRPr="004F4BE2">
        <w:rPr>
          <w:sz w:val="26"/>
          <w:szCs w:val="26"/>
        </w:rPr>
        <w:t>status of Chapters 63 and 64 of our regulations</w:t>
      </w:r>
      <w:r w:rsidR="00307F3F">
        <w:rPr>
          <w:sz w:val="26"/>
          <w:szCs w:val="26"/>
        </w:rPr>
        <w:t>.</w:t>
      </w:r>
      <w:r w:rsidRPr="004F4BE2">
        <w:rPr>
          <w:sz w:val="26"/>
          <w:szCs w:val="26"/>
        </w:rPr>
        <w:t xml:space="preserve">  </w:t>
      </w:r>
      <w:bookmarkStart w:id="1" w:name="_Hlk30586151"/>
      <w:r w:rsidRPr="004F4BE2">
        <w:rPr>
          <w:i/>
          <w:iCs/>
          <w:sz w:val="26"/>
          <w:szCs w:val="26"/>
        </w:rPr>
        <w:t>See</w:t>
      </w:r>
      <w:r w:rsidRPr="004F4BE2">
        <w:rPr>
          <w:sz w:val="26"/>
          <w:szCs w:val="26"/>
        </w:rPr>
        <w:t xml:space="preserve"> </w:t>
      </w:r>
      <w:r w:rsidRPr="004F4BE2">
        <w:rPr>
          <w:i/>
          <w:iCs/>
          <w:sz w:val="26"/>
          <w:szCs w:val="26"/>
        </w:rPr>
        <w:t>Reporting Order</w:t>
      </w:r>
      <w:r w:rsidRPr="004F4BE2">
        <w:rPr>
          <w:sz w:val="26"/>
          <w:szCs w:val="26"/>
        </w:rPr>
        <w:t xml:space="preserve"> </w:t>
      </w:r>
      <w:bookmarkEnd w:id="1"/>
      <w:r w:rsidRPr="004F4BE2">
        <w:rPr>
          <w:sz w:val="26"/>
          <w:szCs w:val="26"/>
        </w:rPr>
        <w:t xml:space="preserve">at 1, 17.  </w:t>
      </w:r>
      <w:r w:rsidR="0086706B">
        <w:rPr>
          <w:sz w:val="26"/>
          <w:szCs w:val="26"/>
        </w:rPr>
        <w:t xml:space="preserve">However, </w:t>
      </w:r>
      <w:r w:rsidR="0086706B" w:rsidRPr="0086706B">
        <w:rPr>
          <w:sz w:val="26"/>
          <w:szCs w:val="26"/>
        </w:rPr>
        <w:t xml:space="preserve">the existing regulatory waivers </w:t>
      </w:r>
      <w:r w:rsidR="0086706B" w:rsidRPr="0086706B">
        <w:rPr>
          <w:sz w:val="26"/>
          <w:szCs w:val="26"/>
        </w:rPr>
        <w:lastRenderedPageBreak/>
        <w:t xml:space="preserve">are set to expire on March </w:t>
      </w:r>
      <w:r w:rsidR="00CB7DD7">
        <w:rPr>
          <w:sz w:val="26"/>
          <w:szCs w:val="26"/>
        </w:rPr>
        <w:t>4</w:t>
      </w:r>
      <w:r w:rsidR="0086706B" w:rsidRPr="0086706B">
        <w:rPr>
          <w:sz w:val="26"/>
          <w:szCs w:val="26"/>
        </w:rPr>
        <w:t xml:space="preserve">, 2020, and the </w:t>
      </w:r>
      <w:r w:rsidR="00984643">
        <w:rPr>
          <w:sz w:val="26"/>
          <w:szCs w:val="26"/>
        </w:rPr>
        <w:t>required</w:t>
      </w:r>
      <w:r w:rsidR="00984643" w:rsidRPr="0086706B">
        <w:rPr>
          <w:sz w:val="26"/>
          <w:szCs w:val="26"/>
        </w:rPr>
        <w:t xml:space="preserve"> </w:t>
      </w:r>
      <w:r w:rsidR="0086706B" w:rsidRPr="0086706B">
        <w:rPr>
          <w:sz w:val="26"/>
          <w:szCs w:val="26"/>
        </w:rPr>
        <w:t xml:space="preserve">rulemaking </w:t>
      </w:r>
      <w:r w:rsidR="00984643">
        <w:rPr>
          <w:sz w:val="26"/>
          <w:szCs w:val="26"/>
        </w:rPr>
        <w:t xml:space="preserve">process </w:t>
      </w:r>
      <w:r w:rsidR="0086706B" w:rsidRPr="0086706B">
        <w:rPr>
          <w:sz w:val="26"/>
          <w:szCs w:val="26"/>
        </w:rPr>
        <w:t xml:space="preserve">in this matter will not be completed before that date.  Consequently, the Commission </w:t>
      </w:r>
      <w:r w:rsidR="0086706B">
        <w:rPr>
          <w:sz w:val="26"/>
          <w:szCs w:val="26"/>
        </w:rPr>
        <w:t xml:space="preserve">must decide whether to allow the waivers to expire or </w:t>
      </w:r>
      <w:r w:rsidR="00984643">
        <w:rPr>
          <w:sz w:val="26"/>
          <w:szCs w:val="26"/>
        </w:rPr>
        <w:t xml:space="preserve">temporarily </w:t>
      </w:r>
      <w:r w:rsidR="0086706B">
        <w:rPr>
          <w:sz w:val="26"/>
          <w:szCs w:val="26"/>
        </w:rPr>
        <w:t xml:space="preserve">extend </w:t>
      </w:r>
      <w:r w:rsidR="0086706B" w:rsidRPr="0086706B">
        <w:rPr>
          <w:sz w:val="26"/>
          <w:szCs w:val="26"/>
        </w:rPr>
        <w:t xml:space="preserve">the regulatory waivers granted in </w:t>
      </w:r>
      <w:r w:rsidR="00984643">
        <w:rPr>
          <w:sz w:val="26"/>
          <w:szCs w:val="26"/>
        </w:rPr>
        <w:t xml:space="preserve">the </w:t>
      </w:r>
      <w:r w:rsidR="00984643" w:rsidRPr="004F4BE2">
        <w:rPr>
          <w:sz w:val="26"/>
          <w:szCs w:val="26"/>
        </w:rPr>
        <w:t>153 wire centers determined to be competitive</w:t>
      </w:r>
      <w:r w:rsidR="00984643" w:rsidRPr="0086706B" w:rsidDel="00984643">
        <w:rPr>
          <w:sz w:val="26"/>
          <w:szCs w:val="26"/>
        </w:rPr>
        <w:t xml:space="preserve"> </w:t>
      </w:r>
      <w:r w:rsidR="0086706B" w:rsidRPr="0086706B">
        <w:rPr>
          <w:sz w:val="26"/>
          <w:szCs w:val="26"/>
        </w:rPr>
        <w:t xml:space="preserve">pursuant to the </w:t>
      </w:r>
      <w:r w:rsidR="0086706B" w:rsidRPr="0086706B">
        <w:rPr>
          <w:i/>
          <w:iCs/>
          <w:sz w:val="26"/>
          <w:szCs w:val="26"/>
        </w:rPr>
        <w:t xml:space="preserve">Reclassification Order. </w:t>
      </w:r>
    </w:p>
    <w:p w14:paraId="5BD4537B" w14:textId="572D9C3D" w:rsidR="001F6BF4" w:rsidRDefault="00DC7AF7" w:rsidP="00DC7AF7">
      <w:pPr>
        <w:spacing w:line="360" w:lineRule="auto"/>
        <w:ind w:firstLine="720"/>
        <w:rPr>
          <w:i/>
          <w:iCs/>
          <w:sz w:val="26"/>
          <w:szCs w:val="26"/>
        </w:rPr>
      </w:pPr>
      <w:r>
        <w:rPr>
          <w:i/>
          <w:iCs/>
          <w:sz w:val="26"/>
          <w:szCs w:val="26"/>
        </w:rPr>
        <w:t xml:space="preserve"> </w:t>
      </w:r>
    </w:p>
    <w:p w14:paraId="08CCEAE3" w14:textId="77777777" w:rsidR="007D41D9" w:rsidRDefault="00DC7AF7" w:rsidP="00CB7DD7">
      <w:pPr>
        <w:spacing w:line="360" w:lineRule="auto"/>
        <w:ind w:firstLine="720"/>
        <w:rPr>
          <w:sz w:val="26"/>
          <w:szCs w:val="26"/>
        </w:rPr>
      </w:pPr>
      <w:r>
        <w:rPr>
          <w:sz w:val="26"/>
          <w:szCs w:val="26"/>
        </w:rPr>
        <w:t xml:space="preserve">Based on the Section 3016(a) relief that was granted to Verizon, and the intent of the </w:t>
      </w:r>
      <w:r w:rsidRPr="00DC7AF7">
        <w:rPr>
          <w:i/>
          <w:iCs/>
          <w:sz w:val="26"/>
          <w:szCs w:val="26"/>
        </w:rPr>
        <w:t>Reclassification Order</w:t>
      </w:r>
      <w:r>
        <w:rPr>
          <w:sz w:val="26"/>
          <w:szCs w:val="26"/>
        </w:rPr>
        <w:t xml:space="preserve"> to grant waivers in </w:t>
      </w:r>
      <w:r w:rsidR="00036AD3">
        <w:rPr>
          <w:sz w:val="26"/>
          <w:szCs w:val="26"/>
        </w:rPr>
        <w:t xml:space="preserve">Verizon’s </w:t>
      </w:r>
      <w:r w:rsidR="0052101F">
        <w:rPr>
          <w:sz w:val="26"/>
          <w:szCs w:val="26"/>
        </w:rPr>
        <w:t xml:space="preserve">competitive wire centers, the </w:t>
      </w:r>
      <w:r w:rsidRPr="00DC7AF7">
        <w:rPr>
          <w:sz w:val="26"/>
          <w:szCs w:val="26"/>
        </w:rPr>
        <w:t xml:space="preserve">Commission </w:t>
      </w:r>
      <w:bookmarkStart w:id="2" w:name="_Hlk31700506"/>
      <w:r w:rsidR="00D40C78">
        <w:rPr>
          <w:sz w:val="26"/>
          <w:szCs w:val="26"/>
        </w:rPr>
        <w:t>t</w:t>
      </w:r>
      <w:r w:rsidR="00CD2F69">
        <w:rPr>
          <w:sz w:val="26"/>
          <w:szCs w:val="26"/>
        </w:rPr>
        <w:t xml:space="preserve">entatively </w:t>
      </w:r>
      <w:r w:rsidR="00CB7DD7">
        <w:rPr>
          <w:sz w:val="26"/>
          <w:szCs w:val="26"/>
        </w:rPr>
        <w:t xml:space="preserve">concludes </w:t>
      </w:r>
      <w:r w:rsidR="00984643">
        <w:rPr>
          <w:sz w:val="26"/>
          <w:szCs w:val="26"/>
        </w:rPr>
        <w:t xml:space="preserve">that it will extend </w:t>
      </w:r>
      <w:r w:rsidRPr="00DC7AF7">
        <w:rPr>
          <w:sz w:val="26"/>
          <w:szCs w:val="26"/>
        </w:rPr>
        <w:t xml:space="preserve">the temporary waivers </w:t>
      </w:r>
      <w:r w:rsidR="00307F3F">
        <w:rPr>
          <w:sz w:val="26"/>
          <w:szCs w:val="26"/>
        </w:rPr>
        <w:t xml:space="preserve">granted to Verizon </w:t>
      </w:r>
      <w:r w:rsidRPr="00DC7AF7">
        <w:rPr>
          <w:sz w:val="26"/>
          <w:szCs w:val="26"/>
        </w:rPr>
        <w:t xml:space="preserve">of </w:t>
      </w:r>
      <w:r w:rsidR="00307F3F">
        <w:rPr>
          <w:sz w:val="26"/>
          <w:szCs w:val="26"/>
        </w:rPr>
        <w:t xml:space="preserve">sections of </w:t>
      </w:r>
      <w:r w:rsidRPr="00DC7AF7">
        <w:rPr>
          <w:sz w:val="26"/>
          <w:szCs w:val="26"/>
        </w:rPr>
        <w:t>Chapter</w:t>
      </w:r>
      <w:r w:rsidR="006F24F5">
        <w:rPr>
          <w:sz w:val="26"/>
          <w:szCs w:val="26"/>
        </w:rPr>
        <w:t>s</w:t>
      </w:r>
      <w:r w:rsidRPr="00DC7AF7">
        <w:rPr>
          <w:sz w:val="26"/>
          <w:szCs w:val="26"/>
        </w:rPr>
        <w:t xml:space="preserve"> 63 and 64</w:t>
      </w:r>
      <w:r w:rsidR="00307F3F">
        <w:rPr>
          <w:rStyle w:val="FootnoteReference"/>
          <w:sz w:val="26"/>
          <w:szCs w:val="26"/>
        </w:rPr>
        <w:footnoteReference w:id="2"/>
      </w:r>
      <w:r w:rsidRPr="00DC7AF7">
        <w:rPr>
          <w:sz w:val="26"/>
          <w:szCs w:val="26"/>
        </w:rPr>
        <w:t xml:space="preserve"> from March 4, 2020 to December 31, 2022, or </w:t>
      </w:r>
      <w:r w:rsidR="006F24F5">
        <w:rPr>
          <w:sz w:val="26"/>
          <w:szCs w:val="26"/>
        </w:rPr>
        <w:t xml:space="preserve">until </w:t>
      </w:r>
      <w:r w:rsidRPr="00DC7AF7">
        <w:rPr>
          <w:sz w:val="26"/>
          <w:szCs w:val="26"/>
        </w:rPr>
        <w:t xml:space="preserve">the issuance of final-form regulations in </w:t>
      </w:r>
      <w:r w:rsidR="00CD2F69">
        <w:rPr>
          <w:sz w:val="26"/>
          <w:szCs w:val="26"/>
        </w:rPr>
        <w:t xml:space="preserve">a </w:t>
      </w:r>
      <w:r w:rsidR="00984643">
        <w:rPr>
          <w:sz w:val="26"/>
          <w:szCs w:val="26"/>
        </w:rPr>
        <w:t xml:space="preserve">related </w:t>
      </w:r>
      <w:r w:rsidRPr="00DC7AF7">
        <w:rPr>
          <w:sz w:val="26"/>
          <w:szCs w:val="26"/>
        </w:rPr>
        <w:t>rulemaking</w:t>
      </w:r>
      <w:r w:rsidR="00CD2F69">
        <w:rPr>
          <w:sz w:val="26"/>
          <w:szCs w:val="26"/>
        </w:rPr>
        <w:t xml:space="preserve"> proceeding</w:t>
      </w:r>
      <w:r w:rsidRPr="00DC7AF7">
        <w:rPr>
          <w:sz w:val="26"/>
          <w:szCs w:val="26"/>
        </w:rPr>
        <w:t>, whichever is earlier.</w:t>
      </w:r>
      <w:bookmarkEnd w:id="2"/>
      <w:r w:rsidRPr="00DC7AF7">
        <w:rPr>
          <w:sz w:val="26"/>
          <w:szCs w:val="26"/>
        </w:rPr>
        <w:t xml:space="preserve"> </w:t>
      </w:r>
      <w:r w:rsidR="006F24F5">
        <w:rPr>
          <w:sz w:val="26"/>
          <w:szCs w:val="26"/>
        </w:rPr>
        <w:t xml:space="preserve"> 66 Pa. C.S. § 3016(a); </w:t>
      </w:r>
      <w:r w:rsidR="006F24F5" w:rsidRPr="006F24F5">
        <w:rPr>
          <w:i/>
          <w:iCs/>
          <w:sz w:val="26"/>
          <w:szCs w:val="26"/>
        </w:rPr>
        <w:t>Reclassification Order</w:t>
      </w:r>
      <w:r w:rsidR="006F24F5">
        <w:rPr>
          <w:sz w:val="26"/>
          <w:szCs w:val="26"/>
        </w:rPr>
        <w:t xml:space="preserve"> at 124.</w:t>
      </w:r>
      <w:r w:rsidR="00CB7DD7">
        <w:rPr>
          <w:sz w:val="26"/>
          <w:szCs w:val="26"/>
        </w:rPr>
        <w:t xml:space="preserve">  We note that by extending the temporary waiver</w:t>
      </w:r>
      <w:r w:rsidR="0093438F">
        <w:rPr>
          <w:sz w:val="26"/>
          <w:szCs w:val="26"/>
        </w:rPr>
        <w:t>s</w:t>
      </w:r>
      <w:r w:rsidR="00CB7DD7">
        <w:rPr>
          <w:sz w:val="26"/>
          <w:szCs w:val="26"/>
        </w:rPr>
        <w:t>, we are simply maintaining the status quo and providing regulatory certainty</w:t>
      </w:r>
      <w:r w:rsidR="0093438F">
        <w:rPr>
          <w:sz w:val="26"/>
          <w:szCs w:val="26"/>
        </w:rPr>
        <w:t>, pending the completion of the rulemaking</w:t>
      </w:r>
      <w:r w:rsidR="00CB7DD7">
        <w:rPr>
          <w:sz w:val="26"/>
          <w:szCs w:val="26"/>
        </w:rPr>
        <w:t>.  Thus, w</w:t>
      </w:r>
      <w:r w:rsidR="00CB7DD7" w:rsidRPr="00DC7AF7">
        <w:rPr>
          <w:sz w:val="26"/>
          <w:szCs w:val="26"/>
        </w:rPr>
        <w:t xml:space="preserve">e conclude that granting an extension of the temporary waivers is in the public interest and authorized under the Code and Commission Orders in the </w:t>
      </w:r>
      <w:r w:rsidR="00CB7DD7" w:rsidRPr="00DC7AF7">
        <w:rPr>
          <w:i/>
          <w:iCs/>
          <w:sz w:val="26"/>
          <w:szCs w:val="26"/>
        </w:rPr>
        <w:t>Reclassification Order</w:t>
      </w:r>
      <w:r w:rsidR="00CB7DD7" w:rsidRPr="00DC7AF7">
        <w:rPr>
          <w:sz w:val="26"/>
          <w:szCs w:val="26"/>
        </w:rPr>
        <w:t xml:space="preserve"> proceeding.  </w:t>
      </w:r>
      <w:r w:rsidR="00CB7DD7" w:rsidRPr="00DC7AF7">
        <w:rPr>
          <w:i/>
          <w:iCs/>
          <w:sz w:val="26"/>
          <w:szCs w:val="26"/>
        </w:rPr>
        <w:t>Reporting Order</w:t>
      </w:r>
      <w:r w:rsidR="00CB7DD7" w:rsidRPr="00DC7AF7">
        <w:rPr>
          <w:sz w:val="26"/>
          <w:szCs w:val="26"/>
        </w:rPr>
        <w:t xml:space="preserve"> at 8-9; </w:t>
      </w:r>
      <w:r w:rsidR="00CB7DD7" w:rsidRPr="00DC7AF7">
        <w:rPr>
          <w:i/>
          <w:iCs/>
          <w:sz w:val="26"/>
          <w:szCs w:val="26"/>
        </w:rPr>
        <w:t>see also</w:t>
      </w:r>
      <w:r w:rsidR="00CB7DD7" w:rsidRPr="00DC7AF7">
        <w:rPr>
          <w:sz w:val="26"/>
          <w:szCs w:val="26"/>
        </w:rPr>
        <w:t xml:space="preserve"> 66 Pa. C.S. </w:t>
      </w:r>
      <w:r w:rsidR="00D67AED" w:rsidRPr="00DC7AF7">
        <w:rPr>
          <w:sz w:val="26"/>
          <w:szCs w:val="26"/>
        </w:rPr>
        <w:t>§</w:t>
      </w:r>
      <w:r w:rsidR="00D67AED">
        <w:rPr>
          <w:sz w:val="26"/>
          <w:szCs w:val="26"/>
        </w:rPr>
        <w:t xml:space="preserve"> 703(g) and </w:t>
      </w:r>
      <w:r w:rsidR="00CB7DD7" w:rsidRPr="00DC7AF7">
        <w:rPr>
          <w:sz w:val="26"/>
          <w:szCs w:val="26"/>
        </w:rPr>
        <w:t>§§</w:t>
      </w:r>
      <w:r w:rsidR="00D67AED">
        <w:rPr>
          <w:sz w:val="26"/>
          <w:szCs w:val="26"/>
        </w:rPr>
        <w:t xml:space="preserve"> </w:t>
      </w:r>
      <w:r w:rsidR="00CB7DD7" w:rsidRPr="00DC7AF7">
        <w:rPr>
          <w:sz w:val="26"/>
          <w:szCs w:val="26"/>
        </w:rPr>
        <w:t>3015(f) and 3016(a).</w:t>
      </w:r>
      <w:r w:rsidR="00CB7DD7">
        <w:rPr>
          <w:sz w:val="26"/>
          <w:szCs w:val="26"/>
        </w:rPr>
        <w:t xml:space="preserve">  </w:t>
      </w:r>
    </w:p>
    <w:p w14:paraId="08C0F519" w14:textId="3B997291" w:rsidR="00CB7DD7" w:rsidRDefault="00DC7AF7" w:rsidP="00CB7DD7">
      <w:pPr>
        <w:spacing w:line="360" w:lineRule="auto"/>
        <w:ind w:firstLine="720"/>
        <w:rPr>
          <w:sz w:val="26"/>
          <w:szCs w:val="26"/>
        </w:rPr>
      </w:pPr>
      <w:r w:rsidRPr="00DC7AF7">
        <w:rPr>
          <w:sz w:val="26"/>
          <w:szCs w:val="26"/>
        </w:rPr>
        <w:t xml:space="preserve"> </w:t>
      </w:r>
      <w:r w:rsidR="00D2535B">
        <w:rPr>
          <w:sz w:val="26"/>
          <w:szCs w:val="26"/>
        </w:rPr>
        <w:t xml:space="preserve"> </w:t>
      </w:r>
    </w:p>
    <w:p w14:paraId="13FE1494" w14:textId="35149BD3" w:rsidR="00DC7AF7" w:rsidRPr="00DC7AF7" w:rsidRDefault="0052101F" w:rsidP="00DC7AF7">
      <w:pPr>
        <w:spacing w:line="360" w:lineRule="auto"/>
        <w:ind w:firstLine="720"/>
        <w:rPr>
          <w:sz w:val="26"/>
          <w:szCs w:val="26"/>
        </w:rPr>
      </w:pPr>
      <w:r>
        <w:rPr>
          <w:sz w:val="26"/>
          <w:szCs w:val="26"/>
        </w:rPr>
        <w:t>The Commission issue</w:t>
      </w:r>
      <w:r w:rsidR="00984643">
        <w:rPr>
          <w:sz w:val="26"/>
          <w:szCs w:val="26"/>
        </w:rPr>
        <w:t>s</w:t>
      </w:r>
      <w:r>
        <w:rPr>
          <w:sz w:val="26"/>
          <w:szCs w:val="26"/>
        </w:rPr>
        <w:t xml:space="preserve"> this Tentative Order for comments</w:t>
      </w:r>
      <w:r w:rsidR="006F24F5">
        <w:rPr>
          <w:sz w:val="26"/>
          <w:szCs w:val="26"/>
        </w:rPr>
        <w:t xml:space="preserve"> and </w:t>
      </w:r>
      <w:r w:rsidR="00984643">
        <w:rPr>
          <w:sz w:val="26"/>
          <w:szCs w:val="26"/>
        </w:rPr>
        <w:t xml:space="preserve">shall accept comments from </w:t>
      </w:r>
      <w:r w:rsidR="006F24F5">
        <w:rPr>
          <w:sz w:val="26"/>
          <w:szCs w:val="26"/>
        </w:rPr>
        <w:t xml:space="preserve">participating parties </w:t>
      </w:r>
      <w:r w:rsidR="00D40C78">
        <w:rPr>
          <w:sz w:val="26"/>
          <w:szCs w:val="26"/>
        </w:rPr>
        <w:t xml:space="preserve">on the proposed extension of the temporary waivers granted in the </w:t>
      </w:r>
      <w:r w:rsidR="00D40C78">
        <w:rPr>
          <w:i/>
          <w:iCs/>
          <w:sz w:val="26"/>
          <w:szCs w:val="26"/>
        </w:rPr>
        <w:t>Reclassification Order</w:t>
      </w:r>
      <w:r w:rsidR="00D40C78">
        <w:rPr>
          <w:sz w:val="26"/>
          <w:szCs w:val="26"/>
        </w:rPr>
        <w:t xml:space="preserve"> </w:t>
      </w:r>
      <w:r w:rsidR="006F24F5">
        <w:rPr>
          <w:sz w:val="26"/>
          <w:szCs w:val="26"/>
        </w:rPr>
        <w:t>until February 18, 2020.</w:t>
      </w:r>
      <w:r w:rsidR="001F6BF4" w:rsidRPr="001F6BF4">
        <w:rPr>
          <w:sz w:val="26"/>
          <w:szCs w:val="26"/>
        </w:rPr>
        <w:t xml:space="preserve"> </w:t>
      </w:r>
      <w:r w:rsidR="001F6BF4">
        <w:rPr>
          <w:sz w:val="26"/>
          <w:szCs w:val="26"/>
        </w:rPr>
        <w:t xml:space="preserve"> </w:t>
      </w:r>
      <w:r w:rsidR="001F6BF4" w:rsidRPr="001F6BF4">
        <w:rPr>
          <w:sz w:val="26"/>
          <w:szCs w:val="26"/>
        </w:rPr>
        <w:t>If no adverse comments are received</w:t>
      </w:r>
      <w:r w:rsidR="003053A8">
        <w:rPr>
          <w:sz w:val="26"/>
          <w:szCs w:val="26"/>
        </w:rPr>
        <w:t xml:space="preserve"> to the proposed extension</w:t>
      </w:r>
      <w:r w:rsidR="001F6BF4" w:rsidRPr="001F6BF4">
        <w:rPr>
          <w:sz w:val="26"/>
          <w:szCs w:val="26"/>
        </w:rPr>
        <w:t xml:space="preserve">, this Tentative Order shall become final </w:t>
      </w:r>
      <w:r w:rsidR="001F6BF4">
        <w:rPr>
          <w:sz w:val="26"/>
          <w:szCs w:val="26"/>
        </w:rPr>
        <w:t xml:space="preserve">by operation of law </w:t>
      </w:r>
      <w:r w:rsidR="003E27BB">
        <w:rPr>
          <w:sz w:val="26"/>
          <w:szCs w:val="26"/>
        </w:rPr>
        <w:t xml:space="preserve">and </w:t>
      </w:r>
      <w:r w:rsidR="001F6BF4" w:rsidRPr="001F6BF4">
        <w:rPr>
          <w:sz w:val="26"/>
          <w:szCs w:val="26"/>
        </w:rPr>
        <w:t>without further action by the Commission.</w:t>
      </w:r>
      <w:r w:rsidR="00CC1AC7">
        <w:rPr>
          <w:sz w:val="26"/>
          <w:szCs w:val="26"/>
        </w:rPr>
        <w:t xml:space="preserve">  If comments are received in opposition to the extension of temporary waivers, the Commission will consider such comments before issuing a Final Order on this </w:t>
      </w:r>
      <w:r w:rsidR="0093438F">
        <w:rPr>
          <w:sz w:val="26"/>
          <w:szCs w:val="26"/>
        </w:rPr>
        <w:t>issue</w:t>
      </w:r>
      <w:r w:rsidR="00CC1AC7">
        <w:rPr>
          <w:sz w:val="26"/>
          <w:szCs w:val="26"/>
        </w:rPr>
        <w:t>.</w:t>
      </w:r>
    </w:p>
    <w:p w14:paraId="7D562CAC" w14:textId="385BC182" w:rsidR="003477E3" w:rsidRDefault="00307F3F" w:rsidP="003477E3">
      <w:pPr>
        <w:spacing w:line="360" w:lineRule="auto"/>
        <w:ind w:firstLine="720"/>
        <w:rPr>
          <w:sz w:val="26"/>
          <w:szCs w:val="26"/>
        </w:rPr>
      </w:pPr>
      <w:bookmarkStart w:id="3" w:name="_Hlk31647556"/>
      <w:r>
        <w:rPr>
          <w:sz w:val="26"/>
          <w:szCs w:val="26"/>
        </w:rPr>
        <w:t xml:space="preserve">Upon entry of this Order and through </w:t>
      </w:r>
      <w:r w:rsidR="006F24F5">
        <w:rPr>
          <w:sz w:val="26"/>
          <w:szCs w:val="26"/>
        </w:rPr>
        <w:t>February 18, 2020</w:t>
      </w:r>
      <w:r w:rsidR="003477E3">
        <w:rPr>
          <w:sz w:val="26"/>
          <w:szCs w:val="26"/>
        </w:rPr>
        <w:t xml:space="preserve">, </w:t>
      </w:r>
      <w:r w:rsidR="00134B2C">
        <w:rPr>
          <w:sz w:val="26"/>
          <w:szCs w:val="26"/>
        </w:rPr>
        <w:t>we</w:t>
      </w:r>
      <w:r w:rsidR="00CC1AC7">
        <w:rPr>
          <w:sz w:val="26"/>
          <w:szCs w:val="26"/>
        </w:rPr>
        <w:t xml:space="preserve"> </w:t>
      </w:r>
      <w:r w:rsidR="00B80BA2" w:rsidRPr="00B80BA2">
        <w:rPr>
          <w:sz w:val="26"/>
          <w:szCs w:val="26"/>
        </w:rPr>
        <w:t xml:space="preserve">further </w:t>
      </w:r>
      <w:r w:rsidR="00B80BA2" w:rsidRPr="00CB1530">
        <w:rPr>
          <w:sz w:val="26"/>
          <w:szCs w:val="26"/>
        </w:rPr>
        <w:t>tentatively conclude and direct that the Verizon historic proprietary data that w</w:t>
      </w:r>
      <w:r w:rsidR="00CC1AC7">
        <w:rPr>
          <w:sz w:val="26"/>
          <w:szCs w:val="26"/>
        </w:rPr>
        <w:t>as</w:t>
      </w:r>
      <w:r w:rsidR="00B80BA2" w:rsidRPr="00CB1530">
        <w:rPr>
          <w:sz w:val="26"/>
          <w:szCs w:val="26"/>
        </w:rPr>
        <w:t xml:space="preserve"> submitted in </w:t>
      </w:r>
      <w:r w:rsidR="00B80BA2" w:rsidRPr="00CB1530">
        <w:rPr>
          <w:sz w:val="26"/>
          <w:szCs w:val="26"/>
        </w:rPr>
        <w:lastRenderedPageBreak/>
        <w:t xml:space="preserve">response to the Commission’s </w:t>
      </w:r>
      <w:r w:rsidR="00B80BA2" w:rsidRPr="00B65E95">
        <w:rPr>
          <w:i/>
          <w:iCs/>
          <w:sz w:val="26"/>
          <w:szCs w:val="26"/>
        </w:rPr>
        <w:t>Reclassification Order</w:t>
      </w:r>
      <w:r w:rsidR="00B80BA2" w:rsidRPr="00CB1530">
        <w:rPr>
          <w:sz w:val="26"/>
          <w:szCs w:val="26"/>
        </w:rPr>
        <w:t xml:space="preserve"> will be made available to </w:t>
      </w:r>
      <w:bookmarkStart w:id="4" w:name="_Hlk31707816"/>
      <w:r w:rsidR="00B80BA2" w:rsidRPr="00CB1530">
        <w:rPr>
          <w:sz w:val="26"/>
          <w:szCs w:val="26"/>
        </w:rPr>
        <w:t xml:space="preserve">the participating parties in the </w:t>
      </w:r>
      <w:bookmarkEnd w:id="4"/>
      <w:r w:rsidR="0093438F">
        <w:rPr>
          <w:sz w:val="26"/>
          <w:szCs w:val="26"/>
        </w:rPr>
        <w:t>ANOPR</w:t>
      </w:r>
      <w:r w:rsidR="003477E3">
        <w:rPr>
          <w:sz w:val="26"/>
          <w:szCs w:val="26"/>
        </w:rPr>
        <w:t xml:space="preserve"> at Docket No. </w:t>
      </w:r>
      <w:r w:rsidR="00B80BA2" w:rsidRPr="00CB1530">
        <w:rPr>
          <w:sz w:val="26"/>
          <w:szCs w:val="26"/>
        </w:rPr>
        <w:t>L-2018-3001391</w:t>
      </w:r>
      <w:r w:rsidR="00EF6FD3">
        <w:rPr>
          <w:sz w:val="26"/>
          <w:szCs w:val="26"/>
        </w:rPr>
        <w:t xml:space="preserve">.  </w:t>
      </w:r>
      <w:r w:rsidR="00EF6FD3" w:rsidRPr="003477E3">
        <w:rPr>
          <w:sz w:val="26"/>
          <w:szCs w:val="26"/>
        </w:rPr>
        <w:t xml:space="preserve">Verizon was granted a Protective Order for all relevant materials and information filed with Commission in this proceeding in October 2014.  The </w:t>
      </w:r>
      <w:r w:rsidR="00EF6FD3">
        <w:rPr>
          <w:sz w:val="26"/>
          <w:szCs w:val="26"/>
        </w:rPr>
        <w:t xml:space="preserve">Commission confirms that the </w:t>
      </w:r>
      <w:r w:rsidR="00EF6FD3" w:rsidRPr="003477E3">
        <w:rPr>
          <w:i/>
          <w:iCs/>
          <w:sz w:val="26"/>
          <w:szCs w:val="26"/>
        </w:rPr>
        <w:t>October 2014 Protective Order</w:t>
      </w:r>
      <w:r w:rsidR="00EF6FD3" w:rsidRPr="003477E3">
        <w:rPr>
          <w:sz w:val="26"/>
          <w:szCs w:val="26"/>
        </w:rPr>
        <w:t xml:space="preserve"> </w:t>
      </w:r>
      <w:r w:rsidR="00EF6FD3">
        <w:rPr>
          <w:sz w:val="26"/>
          <w:szCs w:val="26"/>
        </w:rPr>
        <w:t>remains</w:t>
      </w:r>
      <w:r w:rsidR="00EF6FD3" w:rsidRPr="003477E3">
        <w:rPr>
          <w:sz w:val="26"/>
          <w:szCs w:val="26"/>
        </w:rPr>
        <w:t xml:space="preserve"> in effect for the data collection </w:t>
      </w:r>
      <w:r w:rsidR="00EF6FD3">
        <w:rPr>
          <w:sz w:val="26"/>
          <w:szCs w:val="26"/>
        </w:rPr>
        <w:t>review</w:t>
      </w:r>
      <w:r w:rsidR="00EF6FD3" w:rsidRPr="00307F3F">
        <w:rPr>
          <w:sz w:val="26"/>
          <w:szCs w:val="26"/>
        </w:rPr>
        <w:t xml:space="preserve"> </w:t>
      </w:r>
      <w:r w:rsidR="00EF6FD3">
        <w:rPr>
          <w:sz w:val="26"/>
          <w:szCs w:val="26"/>
        </w:rPr>
        <w:t>for any party that executed the confidentiality agreement in the reclassification proceeding</w:t>
      </w:r>
      <w:r w:rsidR="00EF6FD3" w:rsidRPr="003477E3">
        <w:rPr>
          <w:sz w:val="26"/>
          <w:szCs w:val="26"/>
        </w:rPr>
        <w:t xml:space="preserve">. </w:t>
      </w:r>
      <w:r w:rsidR="00EF6FD3">
        <w:rPr>
          <w:sz w:val="26"/>
          <w:szCs w:val="26"/>
        </w:rPr>
        <w:t xml:space="preserve"> </w:t>
      </w:r>
      <w:r w:rsidR="00EF6FD3" w:rsidRPr="003477E3">
        <w:rPr>
          <w:sz w:val="26"/>
          <w:szCs w:val="26"/>
        </w:rPr>
        <w:t xml:space="preserve">Any party in this proceeding </w:t>
      </w:r>
      <w:r w:rsidR="00EF6FD3">
        <w:rPr>
          <w:sz w:val="26"/>
          <w:szCs w:val="26"/>
        </w:rPr>
        <w:t xml:space="preserve">that has </w:t>
      </w:r>
      <w:r w:rsidR="00EF6FD3" w:rsidRPr="00EF6FD3">
        <w:rPr>
          <w:i/>
          <w:iCs/>
          <w:sz w:val="26"/>
          <w:szCs w:val="26"/>
        </w:rPr>
        <w:t>not</w:t>
      </w:r>
      <w:r w:rsidR="00EF6FD3">
        <w:rPr>
          <w:sz w:val="26"/>
          <w:szCs w:val="26"/>
        </w:rPr>
        <w:t xml:space="preserve"> executed the confidentiality agreement and that is </w:t>
      </w:r>
      <w:r w:rsidR="00EF6FD3" w:rsidRPr="003477E3">
        <w:rPr>
          <w:sz w:val="26"/>
          <w:szCs w:val="26"/>
        </w:rPr>
        <w:t xml:space="preserve">seeking to review this information </w:t>
      </w:r>
      <w:r w:rsidR="00EF6FD3">
        <w:rPr>
          <w:sz w:val="26"/>
          <w:szCs w:val="26"/>
        </w:rPr>
        <w:t>must</w:t>
      </w:r>
      <w:r w:rsidR="00EF6FD3" w:rsidRPr="003477E3">
        <w:rPr>
          <w:sz w:val="26"/>
          <w:szCs w:val="26"/>
        </w:rPr>
        <w:t xml:space="preserve"> submit </w:t>
      </w:r>
      <w:r w:rsidR="00EF6FD3">
        <w:rPr>
          <w:sz w:val="26"/>
          <w:szCs w:val="26"/>
        </w:rPr>
        <w:t xml:space="preserve">to Verizon </w:t>
      </w:r>
      <w:r w:rsidR="00EF6FD3" w:rsidRPr="003477E3">
        <w:rPr>
          <w:sz w:val="26"/>
          <w:szCs w:val="26"/>
        </w:rPr>
        <w:t xml:space="preserve">an executed acknowledgment in the form attached </w:t>
      </w:r>
      <w:r w:rsidR="00EF6FD3">
        <w:rPr>
          <w:sz w:val="26"/>
          <w:szCs w:val="26"/>
        </w:rPr>
        <w:t xml:space="preserve">as Appendix A </w:t>
      </w:r>
      <w:r w:rsidR="00EF6FD3" w:rsidRPr="003477E3">
        <w:rPr>
          <w:sz w:val="26"/>
          <w:szCs w:val="26"/>
        </w:rPr>
        <w:t>to</w:t>
      </w:r>
      <w:r w:rsidR="00EF6FD3">
        <w:rPr>
          <w:sz w:val="26"/>
          <w:szCs w:val="26"/>
        </w:rPr>
        <w:t xml:space="preserve"> the</w:t>
      </w:r>
      <w:r w:rsidR="00EF6FD3" w:rsidRPr="003477E3">
        <w:rPr>
          <w:sz w:val="26"/>
          <w:szCs w:val="26"/>
        </w:rPr>
        <w:t xml:space="preserve"> </w:t>
      </w:r>
      <w:r w:rsidR="00EF6FD3" w:rsidRPr="003477E3">
        <w:rPr>
          <w:i/>
          <w:iCs/>
          <w:sz w:val="26"/>
          <w:szCs w:val="26"/>
        </w:rPr>
        <w:t>October 2014 Protective Order</w:t>
      </w:r>
      <w:r w:rsidR="00EF6FD3">
        <w:rPr>
          <w:sz w:val="26"/>
          <w:szCs w:val="26"/>
        </w:rPr>
        <w:t>, a copy of which is attached as Appendix A to this Order for expedience.</w:t>
      </w:r>
      <w:r w:rsidR="00381887">
        <w:rPr>
          <w:sz w:val="26"/>
          <w:szCs w:val="26"/>
        </w:rPr>
        <w:t xml:space="preserve"> </w:t>
      </w:r>
      <w:bookmarkStart w:id="5" w:name="_Hlk31703219"/>
    </w:p>
    <w:p w14:paraId="331B7729" w14:textId="77777777" w:rsidR="007D41D9" w:rsidRPr="003477E3" w:rsidRDefault="007D41D9" w:rsidP="003477E3">
      <w:pPr>
        <w:spacing w:line="360" w:lineRule="auto"/>
        <w:ind w:firstLine="720"/>
        <w:rPr>
          <w:sz w:val="26"/>
          <w:szCs w:val="26"/>
        </w:rPr>
      </w:pPr>
    </w:p>
    <w:bookmarkEnd w:id="3"/>
    <w:bookmarkEnd w:id="5"/>
    <w:p w14:paraId="7A68CB1E" w14:textId="09FA7AAC" w:rsidR="00FE58A2" w:rsidRDefault="003053A8" w:rsidP="00381887">
      <w:pPr>
        <w:spacing w:line="360" w:lineRule="auto"/>
        <w:ind w:firstLine="720"/>
        <w:rPr>
          <w:sz w:val="26"/>
          <w:szCs w:val="26"/>
        </w:rPr>
      </w:pPr>
      <w:r>
        <w:rPr>
          <w:sz w:val="26"/>
          <w:szCs w:val="26"/>
        </w:rPr>
        <w:t>The Commission s</w:t>
      </w:r>
      <w:r w:rsidR="00E17939">
        <w:rPr>
          <w:sz w:val="26"/>
          <w:szCs w:val="26"/>
        </w:rPr>
        <w:t xml:space="preserve">hall also </w:t>
      </w:r>
      <w:bookmarkStart w:id="6" w:name="_Hlk31704306"/>
      <w:r w:rsidR="00E17939">
        <w:rPr>
          <w:sz w:val="26"/>
          <w:szCs w:val="26"/>
        </w:rPr>
        <w:t xml:space="preserve">provide </w:t>
      </w:r>
      <w:r w:rsidRPr="003053A8">
        <w:rPr>
          <w:sz w:val="26"/>
          <w:szCs w:val="26"/>
        </w:rPr>
        <w:t xml:space="preserve">participants in the ANOPR proceeding </w:t>
      </w:r>
      <w:r w:rsidR="00E17939">
        <w:rPr>
          <w:sz w:val="26"/>
          <w:szCs w:val="26"/>
        </w:rPr>
        <w:t xml:space="preserve">the opportunity </w:t>
      </w:r>
      <w:r>
        <w:rPr>
          <w:sz w:val="26"/>
          <w:szCs w:val="26"/>
        </w:rPr>
        <w:t>t</w:t>
      </w:r>
      <w:r w:rsidR="00E17939">
        <w:rPr>
          <w:sz w:val="26"/>
          <w:szCs w:val="26"/>
        </w:rPr>
        <w:t xml:space="preserve">o </w:t>
      </w:r>
      <w:r>
        <w:rPr>
          <w:sz w:val="26"/>
          <w:szCs w:val="26"/>
        </w:rPr>
        <w:t xml:space="preserve">file </w:t>
      </w:r>
      <w:r w:rsidR="00C46CE9">
        <w:rPr>
          <w:sz w:val="26"/>
          <w:szCs w:val="26"/>
        </w:rPr>
        <w:t>s</w:t>
      </w:r>
      <w:r w:rsidR="00E17939">
        <w:rPr>
          <w:sz w:val="26"/>
          <w:szCs w:val="26"/>
        </w:rPr>
        <w:t xml:space="preserve">upplemental </w:t>
      </w:r>
      <w:r w:rsidR="00C46CE9">
        <w:rPr>
          <w:sz w:val="26"/>
          <w:szCs w:val="26"/>
        </w:rPr>
        <w:t>c</w:t>
      </w:r>
      <w:r w:rsidR="00E17939">
        <w:rPr>
          <w:sz w:val="26"/>
          <w:szCs w:val="26"/>
        </w:rPr>
        <w:t xml:space="preserve">omments </w:t>
      </w:r>
      <w:r w:rsidR="00FE58A2">
        <w:rPr>
          <w:sz w:val="26"/>
          <w:szCs w:val="26"/>
        </w:rPr>
        <w:t>and repl</w:t>
      </w:r>
      <w:r w:rsidR="00EF6FD3">
        <w:rPr>
          <w:sz w:val="26"/>
          <w:szCs w:val="26"/>
        </w:rPr>
        <w:t>ies</w:t>
      </w:r>
      <w:r w:rsidR="00FE58A2">
        <w:rPr>
          <w:sz w:val="26"/>
          <w:szCs w:val="26"/>
        </w:rPr>
        <w:t xml:space="preserve"> </w:t>
      </w:r>
      <w:r>
        <w:rPr>
          <w:sz w:val="26"/>
          <w:szCs w:val="26"/>
        </w:rPr>
        <w:t xml:space="preserve">based </w:t>
      </w:r>
      <w:r w:rsidR="00E17939">
        <w:rPr>
          <w:sz w:val="26"/>
          <w:szCs w:val="26"/>
        </w:rPr>
        <w:t>o</w:t>
      </w:r>
      <w:r w:rsidR="00124AEF">
        <w:rPr>
          <w:sz w:val="26"/>
          <w:szCs w:val="26"/>
        </w:rPr>
        <w:t xml:space="preserve">n the </w:t>
      </w:r>
      <w:r w:rsidR="00E17939">
        <w:rPr>
          <w:sz w:val="26"/>
          <w:szCs w:val="26"/>
        </w:rPr>
        <w:t>access and review</w:t>
      </w:r>
      <w:r w:rsidR="00124AEF">
        <w:rPr>
          <w:sz w:val="26"/>
          <w:szCs w:val="26"/>
        </w:rPr>
        <w:t xml:space="preserve"> of</w:t>
      </w:r>
      <w:r w:rsidR="00E17939">
        <w:rPr>
          <w:sz w:val="26"/>
          <w:szCs w:val="26"/>
        </w:rPr>
        <w:t xml:space="preserve"> the Verizon historic proprietary data</w:t>
      </w:r>
      <w:r w:rsidR="002528C0">
        <w:rPr>
          <w:sz w:val="26"/>
          <w:szCs w:val="26"/>
        </w:rPr>
        <w:t xml:space="preserve"> </w:t>
      </w:r>
      <w:r w:rsidR="00307F3F">
        <w:rPr>
          <w:sz w:val="26"/>
          <w:szCs w:val="26"/>
        </w:rPr>
        <w:t>following resolution of the waiver extension and access to confidential data</w:t>
      </w:r>
      <w:r w:rsidR="00EA5566">
        <w:rPr>
          <w:sz w:val="26"/>
          <w:szCs w:val="26"/>
        </w:rPr>
        <w:t xml:space="preserve">.  </w:t>
      </w:r>
      <w:bookmarkEnd w:id="6"/>
      <w:r w:rsidR="00EA5566">
        <w:rPr>
          <w:sz w:val="26"/>
          <w:szCs w:val="26"/>
        </w:rPr>
        <w:t>If the Commission does not receive any adverse comments to the tentative temporary extension of the Verizon waivers</w:t>
      </w:r>
      <w:r w:rsidR="003E27BB">
        <w:rPr>
          <w:sz w:val="26"/>
          <w:szCs w:val="26"/>
        </w:rPr>
        <w:t xml:space="preserve">, the Secretary </w:t>
      </w:r>
      <w:r w:rsidR="00FE58A2">
        <w:rPr>
          <w:sz w:val="26"/>
          <w:szCs w:val="26"/>
        </w:rPr>
        <w:t xml:space="preserve">shall </w:t>
      </w:r>
      <w:r w:rsidR="003E27BB">
        <w:rPr>
          <w:sz w:val="26"/>
          <w:szCs w:val="26"/>
        </w:rPr>
        <w:t>issue a Final Order recognizing that this Tentative Order has become final by operation of law</w:t>
      </w:r>
      <w:r w:rsidR="00FE58A2">
        <w:rPr>
          <w:sz w:val="26"/>
          <w:szCs w:val="26"/>
        </w:rPr>
        <w:t>.</w:t>
      </w:r>
    </w:p>
    <w:p w14:paraId="6940D074" w14:textId="77777777" w:rsidR="007D41D9" w:rsidRDefault="007D41D9" w:rsidP="00381887">
      <w:pPr>
        <w:spacing w:line="360" w:lineRule="auto"/>
        <w:ind w:firstLine="720"/>
        <w:rPr>
          <w:sz w:val="26"/>
          <w:szCs w:val="26"/>
        </w:rPr>
      </w:pPr>
    </w:p>
    <w:p w14:paraId="10E06AAF" w14:textId="70FEA72E" w:rsidR="005C6F75" w:rsidRDefault="00FE58A2" w:rsidP="00381887">
      <w:pPr>
        <w:spacing w:line="360" w:lineRule="auto"/>
        <w:ind w:firstLine="720"/>
        <w:rPr>
          <w:sz w:val="26"/>
          <w:szCs w:val="26"/>
        </w:rPr>
      </w:pPr>
      <w:r>
        <w:rPr>
          <w:sz w:val="26"/>
          <w:szCs w:val="26"/>
        </w:rPr>
        <w:t xml:space="preserve">Thereafter, </w:t>
      </w:r>
      <w:bookmarkStart w:id="7" w:name="_Hlk31647459"/>
      <w:r>
        <w:rPr>
          <w:sz w:val="26"/>
          <w:szCs w:val="26"/>
        </w:rPr>
        <w:t xml:space="preserve">the </w:t>
      </w:r>
      <w:r w:rsidR="00EA5566">
        <w:rPr>
          <w:sz w:val="26"/>
          <w:szCs w:val="26"/>
        </w:rPr>
        <w:t xml:space="preserve">participating parties in the ANOPR will have twenty (20) days </w:t>
      </w:r>
      <w:r w:rsidR="00C46CE9">
        <w:rPr>
          <w:sz w:val="26"/>
          <w:szCs w:val="26"/>
        </w:rPr>
        <w:t xml:space="preserve">after the February 18, 2020 deadline, </w:t>
      </w:r>
      <w:r w:rsidR="00EA5566">
        <w:rPr>
          <w:sz w:val="26"/>
          <w:szCs w:val="26"/>
        </w:rPr>
        <w:t>or until March 9, 2020</w:t>
      </w:r>
      <w:r w:rsidR="00124AEF">
        <w:rPr>
          <w:sz w:val="26"/>
          <w:szCs w:val="26"/>
        </w:rPr>
        <w:t>,</w:t>
      </w:r>
      <w:r w:rsidR="00EA5566">
        <w:rPr>
          <w:sz w:val="26"/>
          <w:szCs w:val="26"/>
        </w:rPr>
        <w:t xml:space="preserve"> to file </w:t>
      </w:r>
      <w:r w:rsidR="00C729F5">
        <w:rPr>
          <w:sz w:val="26"/>
          <w:szCs w:val="26"/>
        </w:rPr>
        <w:t xml:space="preserve">supplemental </w:t>
      </w:r>
      <w:r w:rsidR="00EA5566">
        <w:rPr>
          <w:sz w:val="26"/>
          <w:szCs w:val="26"/>
        </w:rPr>
        <w:t>comments after reviewing the Verizon historic proprietary data</w:t>
      </w:r>
      <w:r w:rsidR="00C46CE9">
        <w:rPr>
          <w:sz w:val="26"/>
          <w:szCs w:val="26"/>
        </w:rPr>
        <w:t xml:space="preserve">, and </w:t>
      </w:r>
      <w:r w:rsidR="0093438F">
        <w:rPr>
          <w:sz w:val="26"/>
          <w:szCs w:val="26"/>
        </w:rPr>
        <w:t xml:space="preserve">will </w:t>
      </w:r>
      <w:r w:rsidR="00C46CE9">
        <w:rPr>
          <w:sz w:val="26"/>
          <w:szCs w:val="26"/>
        </w:rPr>
        <w:t>have fifteen (15) days</w:t>
      </w:r>
      <w:r w:rsidR="00307F3F" w:rsidRPr="00307F3F">
        <w:rPr>
          <w:sz w:val="26"/>
          <w:szCs w:val="26"/>
        </w:rPr>
        <w:t xml:space="preserve"> </w:t>
      </w:r>
      <w:r w:rsidR="00307F3F">
        <w:rPr>
          <w:sz w:val="26"/>
          <w:szCs w:val="26"/>
        </w:rPr>
        <w:t>or until March 24, 2020</w:t>
      </w:r>
      <w:r w:rsidR="00C46CE9">
        <w:rPr>
          <w:sz w:val="26"/>
          <w:szCs w:val="26"/>
        </w:rPr>
        <w:t xml:space="preserve"> </w:t>
      </w:r>
      <w:r w:rsidR="00134B2C">
        <w:rPr>
          <w:sz w:val="26"/>
          <w:szCs w:val="26"/>
        </w:rPr>
        <w:t>t</w:t>
      </w:r>
      <w:r w:rsidR="00C46CE9">
        <w:rPr>
          <w:sz w:val="26"/>
          <w:szCs w:val="26"/>
        </w:rPr>
        <w:t xml:space="preserve">o </w:t>
      </w:r>
      <w:r w:rsidR="00134B2C">
        <w:rPr>
          <w:sz w:val="26"/>
          <w:szCs w:val="26"/>
        </w:rPr>
        <w:t xml:space="preserve">file </w:t>
      </w:r>
      <w:r w:rsidR="00C46CE9">
        <w:rPr>
          <w:sz w:val="26"/>
          <w:szCs w:val="26"/>
        </w:rPr>
        <w:t>repl</w:t>
      </w:r>
      <w:r w:rsidR="00307F3F">
        <w:rPr>
          <w:sz w:val="26"/>
          <w:szCs w:val="26"/>
        </w:rPr>
        <w:t>ies</w:t>
      </w:r>
      <w:r w:rsidR="00C46CE9">
        <w:rPr>
          <w:sz w:val="26"/>
          <w:szCs w:val="26"/>
        </w:rPr>
        <w:t xml:space="preserve"> </w:t>
      </w:r>
      <w:r w:rsidR="00307F3F">
        <w:rPr>
          <w:sz w:val="26"/>
          <w:szCs w:val="26"/>
        </w:rPr>
        <w:t xml:space="preserve">to </w:t>
      </w:r>
      <w:r w:rsidR="00C46CE9">
        <w:rPr>
          <w:sz w:val="26"/>
          <w:szCs w:val="26"/>
        </w:rPr>
        <w:t xml:space="preserve">comments.  </w:t>
      </w:r>
      <w:bookmarkEnd w:id="7"/>
      <w:r w:rsidR="00C46CE9">
        <w:rPr>
          <w:sz w:val="26"/>
          <w:szCs w:val="26"/>
        </w:rPr>
        <w:t>However, in the event that adverse comments are filed to the Commission’</w:t>
      </w:r>
      <w:r w:rsidR="00930514">
        <w:rPr>
          <w:sz w:val="26"/>
          <w:szCs w:val="26"/>
        </w:rPr>
        <w:t>s</w:t>
      </w:r>
      <w:r w:rsidR="00C46CE9">
        <w:rPr>
          <w:sz w:val="26"/>
          <w:szCs w:val="26"/>
        </w:rPr>
        <w:t xml:space="preserve"> tentative temporary extension of the Verizon waivers, the Commissio</w:t>
      </w:r>
      <w:r w:rsidR="000B5E46">
        <w:rPr>
          <w:sz w:val="26"/>
          <w:szCs w:val="26"/>
        </w:rPr>
        <w:t>n</w:t>
      </w:r>
      <w:r w:rsidR="00C46CE9">
        <w:rPr>
          <w:sz w:val="26"/>
          <w:szCs w:val="26"/>
        </w:rPr>
        <w:t xml:space="preserve"> will address </w:t>
      </w:r>
      <w:r w:rsidR="0093438F">
        <w:rPr>
          <w:sz w:val="26"/>
          <w:szCs w:val="26"/>
        </w:rPr>
        <w:t xml:space="preserve">both </w:t>
      </w:r>
      <w:r w:rsidR="00C46CE9">
        <w:rPr>
          <w:sz w:val="26"/>
          <w:szCs w:val="26"/>
        </w:rPr>
        <w:t xml:space="preserve">the waiver </w:t>
      </w:r>
      <w:r w:rsidR="0093438F">
        <w:rPr>
          <w:sz w:val="26"/>
          <w:szCs w:val="26"/>
        </w:rPr>
        <w:t xml:space="preserve">and data access </w:t>
      </w:r>
      <w:r w:rsidR="00C46CE9">
        <w:rPr>
          <w:sz w:val="26"/>
          <w:szCs w:val="26"/>
        </w:rPr>
        <w:t>issue</w:t>
      </w:r>
      <w:r w:rsidR="0093438F">
        <w:rPr>
          <w:sz w:val="26"/>
          <w:szCs w:val="26"/>
        </w:rPr>
        <w:t>s</w:t>
      </w:r>
      <w:r w:rsidR="00C46CE9">
        <w:rPr>
          <w:sz w:val="26"/>
          <w:szCs w:val="26"/>
        </w:rPr>
        <w:t xml:space="preserve"> at the Commission’</w:t>
      </w:r>
      <w:r w:rsidR="000B5E46">
        <w:rPr>
          <w:sz w:val="26"/>
          <w:szCs w:val="26"/>
        </w:rPr>
        <w:t>s</w:t>
      </w:r>
      <w:r w:rsidR="00C46CE9">
        <w:rPr>
          <w:sz w:val="26"/>
          <w:szCs w:val="26"/>
        </w:rPr>
        <w:t xml:space="preserve"> February 27, 2020 Public Meeting</w:t>
      </w:r>
      <w:r w:rsidR="000B5E46">
        <w:rPr>
          <w:sz w:val="26"/>
          <w:szCs w:val="26"/>
        </w:rPr>
        <w:t xml:space="preserve"> and</w:t>
      </w:r>
      <w:r w:rsidR="00C729F5">
        <w:rPr>
          <w:sz w:val="26"/>
          <w:szCs w:val="26"/>
        </w:rPr>
        <w:t xml:space="preserve"> will take further and appropriate action as it deems necessary</w:t>
      </w:r>
      <w:r w:rsidR="000B5E46">
        <w:rPr>
          <w:sz w:val="26"/>
          <w:szCs w:val="26"/>
        </w:rPr>
        <w:t>.</w:t>
      </w:r>
    </w:p>
    <w:p w14:paraId="74607AC8" w14:textId="77777777" w:rsidR="005C6F75" w:rsidRDefault="005C6F75">
      <w:pPr>
        <w:overflowPunct/>
        <w:autoSpaceDE/>
        <w:autoSpaceDN/>
        <w:adjustRightInd/>
        <w:textAlignment w:val="auto"/>
        <w:rPr>
          <w:sz w:val="26"/>
          <w:szCs w:val="26"/>
        </w:rPr>
      </w:pPr>
      <w:r>
        <w:rPr>
          <w:sz w:val="26"/>
          <w:szCs w:val="26"/>
        </w:rPr>
        <w:br w:type="page"/>
      </w:r>
    </w:p>
    <w:p w14:paraId="760D5BF6" w14:textId="10A163CE" w:rsidR="00C05A71" w:rsidRPr="004F4BE2" w:rsidRDefault="004E634B" w:rsidP="004F4BE2">
      <w:pPr>
        <w:pStyle w:val="p3"/>
        <w:tabs>
          <w:tab w:val="clear" w:pos="204"/>
        </w:tabs>
        <w:spacing w:line="360" w:lineRule="auto"/>
        <w:jc w:val="center"/>
        <w:rPr>
          <w:b/>
          <w:bCs/>
          <w:sz w:val="26"/>
          <w:szCs w:val="26"/>
        </w:rPr>
      </w:pPr>
      <w:r w:rsidRPr="004F4BE2">
        <w:rPr>
          <w:b/>
          <w:bCs/>
          <w:sz w:val="26"/>
          <w:szCs w:val="26"/>
        </w:rPr>
        <w:lastRenderedPageBreak/>
        <w:t>CONCLUSION</w:t>
      </w:r>
    </w:p>
    <w:p w14:paraId="757A5375" w14:textId="308570FF" w:rsidR="008C5652" w:rsidRPr="004F4BE2" w:rsidRDefault="008C5652" w:rsidP="004F4BE2">
      <w:pPr>
        <w:pStyle w:val="p3"/>
        <w:tabs>
          <w:tab w:val="clear" w:pos="204"/>
        </w:tabs>
        <w:spacing w:line="360" w:lineRule="auto"/>
        <w:rPr>
          <w:sz w:val="26"/>
          <w:szCs w:val="26"/>
        </w:rPr>
      </w:pPr>
      <w:r w:rsidRPr="004F4BE2">
        <w:rPr>
          <w:sz w:val="26"/>
          <w:szCs w:val="26"/>
        </w:rPr>
        <w:tab/>
        <w:t>Consistent with the for</w:t>
      </w:r>
      <w:r w:rsidR="00C729F5">
        <w:rPr>
          <w:sz w:val="26"/>
          <w:szCs w:val="26"/>
        </w:rPr>
        <w:t>e</w:t>
      </w:r>
      <w:r w:rsidRPr="004F4BE2">
        <w:rPr>
          <w:sz w:val="26"/>
          <w:szCs w:val="26"/>
        </w:rPr>
        <w:t>going, we shall issue this Tentative Order regarding a</w:t>
      </w:r>
      <w:r w:rsidR="003E27BB">
        <w:rPr>
          <w:sz w:val="26"/>
          <w:szCs w:val="26"/>
        </w:rPr>
        <w:t xml:space="preserve"> temporary </w:t>
      </w:r>
      <w:r w:rsidRPr="004F4BE2">
        <w:rPr>
          <w:sz w:val="26"/>
          <w:szCs w:val="26"/>
        </w:rPr>
        <w:t xml:space="preserve">extension of </w:t>
      </w:r>
      <w:r w:rsidR="002A5B23">
        <w:rPr>
          <w:sz w:val="26"/>
          <w:szCs w:val="26"/>
        </w:rPr>
        <w:t xml:space="preserve">Verizon’s </w:t>
      </w:r>
      <w:r w:rsidRPr="004F4BE2">
        <w:rPr>
          <w:sz w:val="26"/>
          <w:szCs w:val="26"/>
        </w:rPr>
        <w:t>waivers</w:t>
      </w:r>
      <w:r w:rsidR="00307F3F">
        <w:rPr>
          <w:sz w:val="26"/>
          <w:szCs w:val="26"/>
        </w:rPr>
        <w:t xml:space="preserve">, access to Verizon’s confidential data, execution of an appropriate confidentiality agreement, </w:t>
      </w:r>
      <w:r w:rsidRPr="004F4BE2">
        <w:rPr>
          <w:sz w:val="26"/>
          <w:szCs w:val="26"/>
        </w:rPr>
        <w:t xml:space="preserve">and the filing of </w:t>
      </w:r>
      <w:r w:rsidR="000B5E46">
        <w:rPr>
          <w:sz w:val="26"/>
          <w:szCs w:val="26"/>
        </w:rPr>
        <w:t>supplemental comments</w:t>
      </w:r>
      <w:r w:rsidR="00307F3F">
        <w:rPr>
          <w:sz w:val="26"/>
          <w:szCs w:val="26"/>
        </w:rPr>
        <w:t xml:space="preserve"> and replies</w:t>
      </w:r>
      <w:r w:rsidR="000B5E46">
        <w:rPr>
          <w:sz w:val="26"/>
          <w:szCs w:val="26"/>
        </w:rPr>
        <w:t xml:space="preserve">.  </w:t>
      </w:r>
      <w:r w:rsidR="00307F3F">
        <w:rPr>
          <w:sz w:val="26"/>
          <w:szCs w:val="26"/>
        </w:rPr>
        <w:t>Specifically, c</w:t>
      </w:r>
      <w:r w:rsidRPr="004F4BE2">
        <w:rPr>
          <w:sz w:val="26"/>
          <w:szCs w:val="26"/>
        </w:rPr>
        <w:t xml:space="preserve">omments to this </w:t>
      </w:r>
      <w:r w:rsidR="000B5E46">
        <w:rPr>
          <w:sz w:val="26"/>
          <w:szCs w:val="26"/>
        </w:rPr>
        <w:t xml:space="preserve">Tentative </w:t>
      </w:r>
      <w:r w:rsidRPr="004F4BE2">
        <w:rPr>
          <w:sz w:val="26"/>
          <w:szCs w:val="26"/>
        </w:rPr>
        <w:t xml:space="preserve">Order </w:t>
      </w:r>
      <w:r w:rsidR="00307F3F">
        <w:rPr>
          <w:sz w:val="26"/>
          <w:szCs w:val="26"/>
        </w:rPr>
        <w:t xml:space="preserve">addressing extension of the waivers and access to confidential information </w:t>
      </w:r>
      <w:r w:rsidRPr="004F4BE2">
        <w:rPr>
          <w:sz w:val="26"/>
          <w:szCs w:val="26"/>
        </w:rPr>
        <w:t xml:space="preserve">shall be due </w:t>
      </w:r>
      <w:r w:rsidR="000B5E46">
        <w:rPr>
          <w:sz w:val="26"/>
          <w:szCs w:val="26"/>
        </w:rPr>
        <w:t>no later than February 18, 2020</w:t>
      </w:r>
      <w:r w:rsidRPr="004F4BE2">
        <w:rPr>
          <w:sz w:val="26"/>
          <w:szCs w:val="26"/>
        </w:rPr>
        <w:t xml:space="preserve">. </w:t>
      </w:r>
      <w:r w:rsidR="001F6BF4">
        <w:rPr>
          <w:sz w:val="26"/>
          <w:szCs w:val="26"/>
        </w:rPr>
        <w:t xml:space="preserve"> </w:t>
      </w:r>
      <w:r w:rsidR="00307F3F">
        <w:rPr>
          <w:sz w:val="26"/>
          <w:szCs w:val="26"/>
        </w:rPr>
        <w:t>On these issues n</w:t>
      </w:r>
      <w:r w:rsidRPr="004F4BE2">
        <w:rPr>
          <w:sz w:val="26"/>
          <w:szCs w:val="26"/>
        </w:rPr>
        <w:t xml:space="preserve">o </w:t>
      </w:r>
      <w:r w:rsidR="001F6BF4">
        <w:rPr>
          <w:sz w:val="26"/>
          <w:szCs w:val="26"/>
        </w:rPr>
        <w:t>r</w:t>
      </w:r>
      <w:r w:rsidRPr="004F4BE2">
        <w:rPr>
          <w:sz w:val="26"/>
          <w:szCs w:val="26"/>
        </w:rPr>
        <w:t xml:space="preserve">eplies to </w:t>
      </w:r>
      <w:r w:rsidR="00307F3F">
        <w:rPr>
          <w:sz w:val="26"/>
          <w:szCs w:val="26"/>
        </w:rPr>
        <w:t>c</w:t>
      </w:r>
      <w:r w:rsidRPr="004F4BE2">
        <w:rPr>
          <w:sz w:val="26"/>
          <w:szCs w:val="26"/>
        </w:rPr>
        <w:t>omments shall be permitted</w:t>
      </w:r>
      <w:bookmarkStart w:id="8" w:name="_Hlk31646522"/>
      <w:r w:rsidRPr="004F4BE2">
        <w:rPr>
          <w:sz w:val="26"/>
          <w:szCs w:val="26"/>
        </w:rPr>
        <w:t xml:space="preserve">. </w:t>
      </w:r>
      <w:r w:rsidR="0093438F">
        <w:rPr>
          <w:sz w:val="26"/>
          <w:szCs w:val="26"/>
        </w:rPr>
        <w:t xml:space="preserve"> </w:t>
      </w:r>
      <w:r w:rsidRPr="004F4BE2">
        <w:rPr>
          <w:sz w:val="26"/>
          <w:szCs w:val="26"/>
        </w:rPr>
        <w:t xml:space="preserve">If no adverse </w:t>
      </w:r>
      <w:r w:rsidR="00307F3F">
        <w:rPr>
          <w:sz w:val="26"/>
          <w:szCs w:val="26"/>
        </w:rPr>
        <w:t>c</w:t>
      </w:r>
      <w:r w:rsidRPr="004F4BE2">
        <w:rPr>
          <w:sz w:val="26"/>
          <w:szCs w:val="26"/>
        </w:rPr>
        <w:t>omments are received</w:t>
      </w:r>
      <w:r w:rsidR="00307F3F">
        <w:rPr>
          <w:sz w:val="26"/>
          <w:szCs w:val="26"/>
        </w:rPr>
        <w:t xml:space="preserve"> on these issues</w:t>
      </w:r>
      <w:r w:rsidRPr="004F4BE2">
        <w:rPr>
          <w:sz w:val="26"/>
          <w:szCs w:val="26"/>
        </w:rPr>
        <w:t>, this Tentative Order shall become final without further action by the Commission</w:t>
      </w:r>
      <w:r w:rsidR="001F19F3">
        <w:rPr>
          <w:sz w:val="26"/>
          <w:szCs w:val="26"/>
        </w:rPr>
        <w:t>.  Thereafter</w:t>
      </w:r>
      <w:r w:rsidR="00134B2C">
        <w:rPr>
          <w:sz w:val="26"/>
          <w:szCs w:val="26"/>
        </w:rPr>
        <w:t xml:space="preserve">, the </w:t>
      </w:r>
      <w:r w:rsidR="00307F3F">
        <w:rPr>
          <w:sz w:val="26"/>
          <w:szCs w:val="26"/>
        </w:rPr>
        <w:t xml:space="preserve">parties participating in the ANOPR shall have the </w:t>
      </w:r>
      <w:r w:rsidR="00134B2C">
        <w:rPr>
          <w:sz w:val="26"/>
          <w:szCs w:val="26"/>
        </w:rPr>
        <w:t xml:space="preserve">opportunity to file supplemental comments </w:t>
      </w:r>
      <w:r w:rsidR="00307F3F">
        <w:rPr>
          <w:sz w:val="26"/>
          <w:szCs w:val="26"/>
        </w:rPr>
        <w:t xml:space="preserve">and replies </w:t>
      </w:r>
      <w:r w:rsidR="001F19F3">
        <w:rPr>
          <w:sz w:val="26"/>
          <w:szCs w:val="26"/>
        </w:rPr>
        <w:t>in the ANOPR.</w:t>
      </w:r>
      <w:r w:rsidRPr="004F4BE2">
        <w:rPr>
          <w:sz w:val="26"/>
          <w:szCs w:val="26"/>
        </w:rPr>
        <w:t xml:space="preserve">  </w:t>
      </w:r>
      <w:bookmarkEnd w:id="8"/>
      <w:r w:rsidR="00307F3F">
        <w:rPr>
          <w:sz w:val="26"/>
          <w:szCs w:val="26"/>
        </w:rPr>
        <w:t>Those comments and replies shall be due</w:t>
      </w:r>
      <w:r w:rsidR="0093438F">
        <w:rPr>
          <w:sz w:val="26"/>
          <w:szCs w:val="26"/>
        </w:rPr>
        <w:t xml:space="preserve"> on or before</w:t>
      </w:r>
      <w:r w:rsidR="00307F3F">
        <w:rPr>
          <w:sz w:val="26"/>
          <w:szCs w:val="26"/>
        </w:rPr>
        <w:t xml:space="preserve"> March 9 and 24, 2020, respectively. </w:t>
      </w:r>
      <w:r w:rsidR="0093438F">
        <w:rPr>
          <w:sz w:val="26"/>
          <w:szCs w:val="26"/>
        </w:rPr>
        <w:t xml:space="preserve"> </w:t>
      </w:r>
      <w:r w:rsidRPr="004F4BE2">
        <w:rPr>
          <w:sz w:val="26"/>
          <w:szCs w:val="26"/>
        </w:rPr>
        <w:t xml:space="preserve">Otherwise, we shall issue a Final Order that addresses the </w:t>
      </w:r>
      <w:r w:rsidR="00D2535B">
        <w:rPr>
          <w:sz w:val="26"/>
          <w:szCs w:val="26"/>
        </w:rPr>
        <w:t>c</w:t>
      </w:r>
      <w:r w:rsidRPr="004F4BE2">
        <w:rPr>
          <w:sz w:val="26"/>
          <w:szCs w:val="26"/>
        </w:rPr>
        <w:t>omments</w:t>
      </w:r>
      <w:r w:rsidR="00134B2C">
        <w:rPr>
          <w:sz w:val="26"/>
          <w:szCs w:val="26"/>
        </w:rPr>
        <w:t xml:space="preserve"> filed to </w:t>
      </w:r>
      <w:r w:rsidR="001F19F3">
        <w:rPr>
          <w:sz w:val="26"/>
          <w:szCs w:val="26"/>
        </w:rPr>
        <w:t xml:space="preserve">this </w:t>
      </w:r>
      <w:r w:rsidR="00134B2C">
        <w:rPr>
          <w:sz w:val="26"/>
          <w:szCs w:val="26"/>
        </w:rPr>
        <w:t>Tentative Order</w:t>
      </w:r>
      <w:r w:rsidRPr="004F4BE2">
        <w:rPr>
          <w:sz w:val="26"/>
          <w:szCs w:val="26"/>
        </w:rPr>
        <w:t>;</w:t>
      </w:r>
    </w:p>
    <w:p w14:paraId="6C3FB814" w14:textId="4E823D66" w:rsidR="00FA40BB" w:rsidRPr="004F4BE2" w:rsidRDefault="00FA40BB" w:rsidP="004F4BE2">
      <w:pPr>
        <w:pStyle w:val="p3"/>
        <w:tabs>
          <w:tab w:val="clear" w:pos="204"/>
        </w:tabs>
        <w:spacing w:line="360" w:lineRule="auto"/>
        <w:rPr>
          <w:sz w:val="26"/>
          <w:szCs w:val="26"/>
        </w:rPr>
      </w:pPr>
      <w:r w:rsidRPr="004F4BE2">
        <w:rPr>
          <w:b/>
          <w:sz w:val="26"/>
          <w:szCs w:val="26"/>
        </w:rPr>
        <w:t>THEREFORE</w:t>
      </w:r>
      <w:r w:rsidR="006B1962" w:rsidRPr="004F4BE2">
        <w:rPr>
          <w:b/>
          <w:sz w:val="26"/>
          <w:szCs w:val="26"/>
        </w:rPr>
        <w:t>,</w:t>
      </w:r>
    </w:p>
    <w:p w14:paraId="6385C928" w14:textId="77777777" w:rsidR="00622AFA" w:rsidRPr="004F4BE2" w:rsidRDefault="00622AFA" w:rsidP="004F4BE2">
      <w:pPr>
        <w:tabs>
          <w:tab w:val="left" w:pos="742"/>
        </w:tabs>
        <w:spacing w:line="360" w:lineRule="auto"/>
        <w:rPr>
          <w:sz w:val="26"/>
          <w:szCs w:val="26"/>
        </w:rPr>
      </w:pPr>
    </w:p>
    <w:p w14:paraId="1E82E0F8" w14:textId="77777777" w:rsidR="00DF0470" w:rsidRPr="004F4BE2" w:rsidRDefault="002B18E0" w:rsidP="004F4BE2">
      <w:pPr>
        <w:spacing w:line="360" w:lineRule="auto"/>
        <w:rPr>
          <w:b/>
          <w:bCs/>
          <w:sz w:val="26"/>
          <w:szCs w:val="26"/>
        </w:rPr>
      </w:pPr>
      <w:r w:rsidRPr="004F4BE2">
        <w:rPr>
          <w:b/>
          <w:bCs/>
          <w:sz w:val="26"/>
          <w:szCs w:val="26"/>
        </w:rPr>
        <w:tab/>
      </w:r>
      <w:r w:rsidR="006B1962" w:rsidRPr="004F4BE2">
        <w:rPr>
          <w:b/>
          <w:bCs/>
          <w:sz w:val="26"/>
          <w:szCs w:val="26"/>
        </w:rPr>
        <w:t>I</w:t>
      </w:r>
      <w:r w:rsidR="00DF0470" w:rsidRPr="004F4BE2">
        <w:rPr>
          <w:b/>
          <w:bCs/>
          <w:sz w:val="26"/>
          <w:szCs w:val="26"/>
        </w:rPr>
        <w:t>T IS ORDERED:</w:t>
      </w:r>
    </w:p>
    <w:p w14:paraId="050C880E" w14:textId="77777777" w:rsidR="00431430" w:rsidRDefault="00431430" w:rsidP="004F4BE2">
      <w:pPr>
        <w:tabs>
          <w:tab w:val="left" w:pos="4320"/>
        </w:tabs>
        <w:spacing w:line="360" w:lineRule="auto"/>
        <w:ind w:left="1080"/>
        <w:rPr>
          <w:sz w:val="26"/>
          <w:szCs w:val="26"/>
        </w:rPr>
      </w:pPr>
    </w:p>
    <w:p w14:paraId="029C6E4C" w14:textId="47D3821D" w:rsidR="001F19F3" w:rsidRDefault="008C5652" w:rsidP="007D41D9">
      <w:pPr>
        <w:tabs>
          <w:tab w:val="left" w:pos="4320"/>
        </w:tabs>
        <w:spacing w:line="360" w:lineRule="auto"/>
        <w:ind w:firstLine="720"/>
        <w:rPr>
          <w:sz w:val="26"/>
          <w:szCs w:val="26"/>
        </w:rPr>
      </w:pPr>
      <w:r w:rsidRPr="004F4BE2">
        <w:rPr>
          <w:sz w:val="26"/>
          <w:szCs w:val="26"/>
        </w:rPr>
        <w:t xml:space="preserve">1.        That this Tentative Order </w:t>
      </w:r>
      <w:r w:rsidR="001F19F3">
        <w:rPr>
          <w:sz w:val="26"/>
          <w:szCs w:val="26"/>
        </w:rPr>
        <w:t>grant</w:t>
      </w:r>
      <w:r w:rsidR="00EF6FD3">
        <w:rPr>
          <w:sz w:val="26"/>
          <w:szCs w:val="26"/>
        </w:rPr>
        <w:t>s</w:t>
      </w:r>
      <w:r w:rsidR="001F19F3">
        <w:rPr>
          <w:sz w:val="26"/>
          <w:szCs w:val="26"/>
        </w:rPr>
        <w:t xml:space="preserve"> </w:t>
      </w:r>
      <w:r w:rsidR="0086515A">
        <w:rPr>
          <w:sz w:val="26"/>
          <w:szCs w:val="26"/>
        </w:rPr>
        <w:t>Verizon</w:t>
      </w:r>
      <w:r w:rsidR="00307F3F">
        <w:rPr>
          <w:sz w:val="26"/>
          <w:szCs w:val="26"/>
        </w:rPr>
        <w:t xml:space="preserve"> Pennsylvania LLC and Verizon North LLC</w:t>
      </w:r>
      <w:r w:rsidR="0086515A">
        <w:rPr>
          <w:sz w:val="26"/>
          <w:szCs w:val="26"/>
        </w:rPr>
        <w:t xml:space="preserve"> a</w:t>
      </w:r>
      <w:r w:rsidR="00124AEF">
        <w:rPr>
          <w:sz w:val="26"/>
          <w:szCs w:val="26"/>
        </w:rPr>
        <w:t xml:space="preserve">n extension of the temporary </w:t>
      </w:r>
      <w:r w:rsidRPr="004F4BE2">
        <w:rPr>
          <w:sz w:val="26"/>
          <w:szCs w:val="26"/>
        </w:rPr>
        <w:t xml:space="preserve">waivers </w:t>
      </w:r>
      <w:r w:rsidR="0086515A" w:rsidRPr="0086515A">
        <w:rPr>
          <w:sz w:val="26"/>
          <w:szCs w:val="26"/>
        </w:rPr>
        <w:t xml:space="preserve">of </w:t>
      </w:r>
      <w:r w:rsidR="00307F3F">
        <w:rPr>
          <w:sz w:val="26"/>
          <w:szCs w:val="26"/>
        </w:rPr>
        <w:t>those sections</w:t>
      </w:r>
      <w:r w:rsidR="00307F3F" w:rsidRPr="00124AEF">
        <w:rPr>
          <w:sz w:val="26"/>
          <w:szCs w:val="26"/>
        </w:rPr>
        <w:t xml:space="preserve"> </w:t>
      </w:r>
      <w:r w:rsidR="0086515A" w:rsidRPr="00124AEF">
        <w:rPr>
          <w:sz w:val="26"/>
          <w:szCs w:val="26"/>
        </w:rPr>
        <w:t xml:space="preserve">of </w:t>
      </w:r>
      <w:r w:rsidR="0086515A" w:rsidRPr="0086515A">
        <w:rPr>
          <w:sz w:val="26"/>
          <w:szCs w:val="26"/>
        </w:rPr>
        <w:t xml:space="preserve">Chapters 63 and 64 </w:t>
      </w:r>
      <w:r w:rsidR="00307F3F">
        <w:rPr>
          <w:sz w:val="26"/>
          <w:szCs w:val="26"/>
        </w:rPr>
        <w:t xml:space="preserve">specified in the Commission’s </w:t>
      </w:r>
      <w:r w:rsidR="00307F3F">
        <w:rPr>
          <w:i/>
          <w:iCs/>
          <w:sz w:val="26"/>
          <w:szCs w:val="26"/>
        </w:rPr>
        <w:t xml:space="preserve">Reclassification Order </w:t>
      </w:r>
      <w:r w:rsidR="00EF6FD3">
        <w:rPr>
          <w:sz w:val="26"/>
          <w:szCs w:val="26"/>
        </w:rPr>
        <w:t xml:space="preserve">and reproduced in Appendices B and C hereto </w:t>
      </w:r>
      <w:r w:rsidR="0086515A" w:rsidRPr="0086515A">
        <w:rPr>
          <w:sz w:val="26"/>
          <w:szCs w:val="26"/>
        </w:rPr>
        <w:t xml:space="preserve">for services in the </w:t>
      </w:r>
      <w:r w:rsidR="00307F3F">
        <w:rPr>
          <w:sz w:val="26"/>
          <w:szCs w:val="26"/>
        </w:rPr>
        <w:t xml:space="preserve">153 </w:t>
      </w:r>
      <w:r w:rsidR="0086515A" w:rsidRPr="0086515A">
        <w:rPr>
          <w:sz w:val="26"/>
          <w:szCs w:val="26"/>
        </w:rPr>
        <w:t>wire centers determined to be competitive</w:t>
      </w:r>
      <w:r w:rsidR="00B643E7">
        <w:rPr>
          <w:sz w:val="26"/>
          <w:szCs w:val="26"/>
        </w:rPr>
        <w:t>,</w:t>
      </w:r>
      <w:r w:rsidR="0086515A" w:rsidRPr="0086515A">
        <w:rPr>
          <w:sz w:val="26"/>
          <w:szCs w:val="26"/>
        </w:rPr>
        <w:t xml:space="preserve"> from March 4, 2020 to December 31, 2022, or until the issuance of final-form regulations in a pending rulemaking, whichever is earlier</w:t>
      </w:r>
      <w:r w:rsidR="001F19F3">
        <w:rPr>
          <w:sz w:val="26"/>
          <w:szCs w:val="26"/>
        </w:rPr>
        <w:t>;</w:t>
      </w:r>
    </w:p>
    <w:p w14:paraId="201DCF5F" w14:textId="77777777" w:rsidR="001F19F3" w:rsidRDefault="001F19F3" w:rsidP="007D41D9">
      <w:pPr>
        <w:tabs>
          <w:tab w:val="left" w:pos="4320"/>
        </w:tabs>
        <w:spacing w:line="360" w:lineRule="auto"/>
        <w:ind w:firstLine="720"/>
        <w:rPr>
          <w:sz w:val="26"/>
          <w:szCs w:val="26"/>
        </w:rPr>
      </w:pPr>
    </w:p>
    <w:p w14:paraId="225113A5" w14:textId="079833BD" w:rsidR="00217D49" w:rsidRPr="004F4BE2" w:rsidRDefault="008C5652" w:rsidP="007D41D9">
      <w:pPr>
        <w:tabs>
          <w:tab w:val="left" w:pos="4320"/>
        </w:tabs>
        <w:spacing w:line="360" w:lineRule="auto"/>
        <w:ind w:firstLine="720"/>
        <w:rPr>
          <w:sz w:val="26"/>
          <w:szCs w:val="26"/>
        </w:rPr>
      </w:pPr>
      <w:r w:rsidRPr="004F4BE2">
        <w:rPr>
          <w:sz w:val="26"/>
          <w:szCs w:val="26"/>
        </w:rPr>
        <w:t xml:space="preserve">2.       That </w:t>
      </w:r>
      <w:r w:rsidR="00547A44">
        <w:rPr>
          <w:sz w:val="26"/>
          <w:szCs w:val="26"/>
        </w:rPr>
        <w:t>c</w:t>
      </w:r>
      <w:r w:rsidRPr="004F4BE2">
        <w:rPr>
          <w:sz w:val="26"/>
          <w:szCs w:val="26"/>
        </w:rPr>
        <w:t xml:space="preserve">omments </w:t>
      </w:r>
      <w:r w:rsidR="00291F3F">
        <w:rPr>
          <w:sz w:val="26"/>
          <w:szCs w:val="26"/>
        </w:rPr>
        <w:t xml:space="preserve">to the proposed extension of such waivers </w:t>
      </w:r>
      <w:r w:rsidR="001F19F3">
        <w:rPr>
          <w:sz w:val="26"/>
          <w:szCs w:val="26"/>
        </w:rPr>
        <w:t xml:space="preserve">and execution of the </w:t>
      </w:r>
      <w:r w:rsidR="001F19F3">
        <w:rPr>
          <w:i/>
          <w:iCs/>
          <w:sz w:val="26"/>
          <w:szCs w:val="26"/>
        </w:rPr>
        <w:t xml:space="preserve">October 2014 Proprietary Order </w:t>
      </w:r>
      <w:r w:rsidR="001F19F3">
        <w:rPr>
          <w:sz w:val="26"/>
          <w:szCs w:val="26"/>
        </w:rPr>
        <w:t xml:space="preserve">to gain </w:t>
      </w:r>
      <w:r w:rsidR="00291F3F">
        <w:rPr>
          <w:sz w:val="26"/>
          <w:szCs w:val="26"/>
        </w:rPr>
        <w:t xml:space="preserve">access to data marked confidential or proprietary </w:t>
      </w:r>
      <w:r w:rsidRPr="004F4BE2">
        <w:rPr>
          <w:sz w:val="26"/>
          <w:szCs w:val="26"/>
        </w:rPr>
        <w:t xml:space="preserve">shall be due </w:t>
      </w:r>
      <w:r w:rsidR="00547A44">
        <w:rPr>
          <w:sz w:val="26"/>
          <w:szCs w:val="26"/>
        </w:rPr>
        <w:t>no later than February 18, 2020.  N</w:t>
      </w:r>
      <w:r w:rsidR="00217D49" w:rsidRPr="004F4BE2">
        <w:rPr>
          <w:sz w:val="26"/>
          <w:szCs w:val="26"/>
        </w:rPr>
        <w:t xml:space="preserve">o </w:t>
      </w:r>
      <w:r w:rsidR="00547A44">
        <w:rPr>
          <w:sz w:val="26"/>
          <w:szCs w:val="26"/>
        </w:rPr>
        <w:t>r</w:t>
      </w:r>
      <w:r w:rsidR="00217D49" w:rsidRPr="004F4BE2">
        <w:rPr>
          <w:sz w:val="26"/>
          <w:szCs w:val="26"/>
        </w:rPr>
        <w:t xml:space="preserve">eplies to </w:t>
      </w:r>
      <w:r w:rsidR="00547A44">
        <w:rPr>
          <w:sz w:val="26"/>
          <w:szCs w:val="26"/>
        </w:rPr>
        <w:t>c</w:t>
      </w:r>
      <w:r w:rsidR="00217D49" w:rsidRPr="004F4BE2">
        <w:rPr>
          <w:sz w:val="26"/>
          <w:szCs w:val="26"/>
        </w:rPr>
        <w:t xml:space="preserve">omments </w:t>
      </w:r>
      <w:r w:rsidR="00307F3F">
        <w:rPr>
          <w:sz w:val="26"/>
          <w:szCs w:val="26"/>
        </w:rPr>
        <w:t xml:space="preserve">on these issues </w:t>
      </w:r>
      <w:r w:rsidR="00217D49" w:rsidRPr="004F4BE2">
        <w:rPr>
          <w:sz w:val="26"/>
          <w:szCs w:val="26"/>
        </w:rPr>
        <w:t>shall be permitted.</w:t>
      </w:r>
    </w:p>
    <w:p w14:paraId="5B19781E" w14:textId="7B21FEAC" w:rsidR="00217D49" w:rsidRPr="004F4BE2" w:rsidRDefault="00217D49" w:rsidP="007D41D9">
      <w:pPr>
        <w:tabs>
          <w:tab w:val="left" w:pos="4320"/>
        </w:tabs>
        <w:spacing w:line="360" w:lineRule="auto"/>
        <w:ind w:firstLine="720"/>
        <w:rPr>
          <w:sz w:val="26"/>
          <w:szCs w:val="26"/>
        </w:rPr>
      </w:pPr>
    </w:p>
    <w:p w14:paraId="6F23DD01" w14:textId="2FAAB417" w:rsidR="00217D49" w:rsidRPr="004F4BE2" w:rsidRDefault="00B643E7" w:rsidP="007D41D9">
      <w:pPr>
        <w:tabs>
          <w:tab w:val="left" w:pos="4320"/>
        </w:tabs>
        <w:spacing w:line="360" w:lineRule="auto"/>
        <w:ind w:firstLine="720"/>
        <w:rPr>
          <w:sz w:val="26"/>
          <w:szCs w:val="26"/>
        </w:rPr>
      </w:pPr>
      <w:r>
        <w:rPr>
          <w:sz w:val="26"/>
          <w:szCs w:val="26"/>
        </w:rPr>
        <w:lastRenderedPageBreak/>
        <w:t>3</w:t>
      </w:r>
      <w:r w:rsidR="00217D49" w:rsidRPr="004F4BE2">
        <w:rPr>
          <w:sz w:val="26"/>
          <w:szCs w:val="26"/>
        </w:rPr>
        <w:t xml:space="preserve">.     </w:t>
      </w:r>
      <w:r w:rsidRPr="00B643E7">
        <w:rPr>
          <w:sz w:val="26"/>
          <w:szCs w:val="26"/>
        </w:rPr>
        <w:t xml:space="preserve">  </w:t>
      </w:r>
      <w:bookmarkStart w:id="9" w:name="_Hlk31704415"/>
      <w:r w:rsidR="00CB2ACE">
        <w:rPr>
          <w:sz w:val="26"/>
          <w:szCs w:val="26"/>
        </w:rPr>
        <w:t xml:space="preserve"> </w:t>
      </w:r>
      <w:r w:rsidR="00CB2ACE" w:rsidRPr="00CB2ACE">
        <w:rPr>
          <w:sz w:val="26"/>
          <w:szCs w:val="26"/>
        </w:rPr>
        <w:t>That this Tentative Order further concludes and directs that the Verizon</w:t>
      </w:r>
      <w:r w:rsidR="00307F3F">
        <w:rPr>
          <w:sz w:val="26"/>
          <w:szCs w:val="26"/>
        </w:rPr>
        <w:t xml:space="preserve"> Pennsylvania LLC and Verizon North LLC</w:t>
      </w:r>
      <w:r w:rsidR="00CB2ACE" w:rsidRPr="00CB2ACE">
        <w:rPr>
          <w:sz w:val="26"/>
          <w:szCs w:val="26"/>
        </w:rPr>
        <w:t xml:space="preserve"> historic proprietary </w:t>
      </w:r>
      <w:r w:rsidR="00291F3F">
        <w:rPr>
          <w:sz w:val="26"/>
          <w:szCs w:val="26"/>
        </w:rPr>
        <w:t xml:space="preserve">or confidential </w:t>
      </w:r>
      <w:r w:rsidR="00CB2ACE" w:rsidRPr="00CB2ACE">
        <w:rPr>
          <w:sz w:val="26"/>
          <w:szCs w:val="26"/>
        </w:rPr>
        <w:t>data that w</w:t>
      </w:r>
      <w:r w:rsidR="00291F3F">
        <w:rPr>
          <w:sz w:val="26"/>
          <w:szCs w:val="26"/>
        </w:rPr>
        <w:t>as</w:t>
      </w:r>
      <w:r w:rsidR="00CB2ACE" w:rsidRPr="00CB2ACE">
        <w:rPr>
          <w:sz w:val="26"/>
          <w:szCs w:val="26"/>
        </w:rPr>
        <w:t xml:space="preserve"> submitted in response to the Commission’s </w:t>
      </w:r>
      <w:r w:rsidR="00CB2ACE" w:rsidRPr="00B65E95">
        <w:rPr>
          <w:i/>
          <w:iCs/>
          <w:sz w:val="26"/>
          <w:szCs w:val="26"/>
        </w:rPr>
        <w:t>Reclassification</w:t>
      </w:r>
      <w:r w:rsidR="00CB2ACE" w:rsidRPr="00CB2ACE">
        <w:rPr>
          <w:sz w:val="26"/>
          <w:szCs w:val="26"/>
        </w:rPr>
        <w:t xml:space="preserve"> </w:t>
      </w:r>
      <w:r w:rsidR="00CB2ACE" w:rsidRPr="00B65E95">
        <w:rPr>
          <w:i/>
          <w:iCs/>
          <w:sz w:val="26"/>
          <w:szCs w:val="26"/>
        </w:rPr>
        <w:t xml:space="preserve">Order </w:t>
      </w:r>
      <w:r w:rsidR="00CB2ACE" w:rsidRPr="00CB2ACE">
        <w:rPr>
          <w:sz w:val="26"/>
          <w:szCs w:val="26"/>
        </w:rPr>
        <w:t xml:space="preserve">will be made available to the participating parties in the Advance Notice of Proposed Rulemaking </w:t>
      </w:r>
      <w:r w:rsidR="00EF6FD3">
        <w:rPr>
          <w:sz w:val="26"/>
          <w:szCs w:val="26"/>
        </w:rPr>
        <w:t>proceeding</w:t>
      </w:r>
      <w:r w:rsidR="00CB2ACE" w:rsidRPr="00CB2ACE">
        <w:rPr>
          <w:sz w:val="26"/>
          <w:szCs w:val="26"/>
        </w:rPr>
        <w:t xml:space="preserve"> at Docket No. L-2018-3001391, subject to the Protective Order</w:t>
      </w:r>
      <w:r w:rsidR="00291F3F">
        <w:rPr>
          <w:sz w:val="26"/>
          <w:szCs w:val="26"/>
        </w:rPr>
        <w:t xml:space="preserve"> entered in th</w:t>
      </w:r>
      <w:r w:rsidR="000C03D0">
        <w:rPr>
          <w:sz w:val="26"/>
          <w:szCs w:val="26"/>
        </w:rPr>
        <w:t>e</w:t>
      </w:r>
      <w:r w:rsidR="00291F3F">
        <w:rPr>
          <w:sz w:val="26"/>
          <w:szCs w:val="26"/>
        </w:rPr>
        <w:t xml:space="preserve"> </w:t>
      </w:r>
      <w:r w:rsidR="000C03D0">
        <w:rPr>
          <w:i/>
          <w:iCs/>
          <w:sz w:val="26"/>
          <w:szCs w:val="26"/>
        </w:rPr>
        <w:t xml:space="preserve">Reclassification </w:t>
      </w:r>
      <w:r w:rsidR="000C03D0" w:rsidRPr="000C03D0">
        <w:rPr>
          <w:i/>
          <w:iCs/>
          <w:sz w:val="26"/>
          <w:szCs w:val="26"/>
        </w:rPr>
        <w:t>Order</w:t>
      </w:r>
      <w:r w:rsidR="000C03D0" w:rsidRPr="000C03D0">
        <w:rPr>
          <w:sz w:val="26"/>
          <w:szCs w:val="26"/>
        </w:rPr>
        <w:t xml:space="preserve"> </w:t>
      </w:r>
      <w:r w:rsidR="00291F3F" w:rsidRPr="000C03D0">
        <w:rPr>
          <w:sz w:val="26"/>
          <w:szCs w:val="26"/>
        </w:rPr>
        <w:t>proceeding</w:t>
      </w:r>
      <w:r w:rsidR="00CB2ACE" w:rsidRPr="00CB2ACE">
        <w:rPr>
          <w:sz w:val="26"/>
          <w:szCs w:val="26"/>
        </w:rPr>
        <w:t>.  Any party in th</w:t>
      </w:r>
      <w:r w:rsidR="00EF6FD3">
        <w:rPr>
          <w:sz w:val="26"/>
          <w:szCs w:val="26"/>
        </w:rPr>
        <w:t xml:space="preserve">e </w:t>
      </w:r>
      <w:r w:rsidR="00EF6FD3" w:rsidRPr="00CB2ACE">
        <w:rPr>
          <w:sz w:val="26"/>
          <w:szCs w:val="26"/>
        </w:rPr>
        <w:t>Advance Notice of Proposed Rulemaking</w:t>
      </w:r>
      <w:r w:rsidR="00CB2ACE" w:rsidRPr="00CB2ACE">
        <w:rPr>
          <w:sz w:val="26"/>
          <w:szCs w:val="26"/>
        </w:rPr>
        <w:t xml:space="preserve"> proceeding seeking to review this information </w:t>
      </w:r>
      <w:r w:rsidR="00291F3F">
        <w:rPr>
          <w:sz w:val="26"/>
          <w:szCs w:val="26"/>
        </w:rPr>
        <w:t xml:space="preserve">must </w:t>
      </w:r>
      <w:r w:rsidR="00CB2ACE" w:rsidRPr="00CB2ACE">
        <w:rPr>
          <w:sz w:val="26"/>
          <w:szCs w:val="26"/>
        </w:rPr>
        <w:t xml:space="preserve">submit an executed acknowledgment in the form attached to the </w:t>
      </w:r>
      <w:r w:rsidR="00CB2ACE" w:rsidRPr="00CB2ACE">
        <w:rPr>
          <w:i/>
          <w:iCs/>
          <w:sz w:val="26"/>
          <w:szCs w:val="26"/>
        </w:rPr>
        <w:t>October 2014 Protective Order</w:t>
      </w:r>
      <w:r w:rsidR="00CB2ACE" w:rsidRPr="00CB2ACE">
        <w:rPr>
          <w:sz w:val="26"/>
          <w:szCs w:val="26"/>
        </w:rPr>
        <w:t xml:space="preserve"> and designated as “Appendix A</w:t>
      </w:r>
      <w:r w:rsidR="00951049">
        <w:rPr>
          <w:sz w:val="26"/>
          <w:szCs w:val="26"/>
        </w:rPr>
        <w:t xml:space="preserve"> no later than February 18, 2020</w:t>
      </w:r>
      <w:r w:rsidR="00CB2ACE" w:rsidRPr="00CB2ACE">
        <w:rPr>
          <w:sz w:val="26"/>
          <w:szCs w:val="26"/>
        </w:rPr>
        <w:t>.</w:t>
      </w:r>
      <w:r w:rsidR="00307F3F">
        <w:rPr>
          <w:sz w:val="26"/>
          <w:szCs w:val="26"/>
        </w:rPr>
        <w:t>”</w:t>
      </w:r>
      <w:r w:rsidR="00CB2ACE" w:rsidRPr="00CB2ACE">
        <w:rPr>
          <w:sz w:val="26"/>
          <w:szCs w:val="26"/>
        </w:rPr>
        <w:t xml:space="preserve">  A copy of the acknowledgement designated “Appendix A” is attached to this Tentative Order. </w:t>
      </w:r>
    </w:p>
    <w:bookmarkEnd w:id="9"/>
    <w:p w14:paraId="31F595DB" w14:textId="3582B3F9" w:rsidR="00217D49" w:rsidRPr="004F4BE2" w:rsidRDefault="00217D49" w:rsidP="007D41D9">
      <w:pPr>
        <w:tabs>
          <w:tab w:val="left" w:pos="4320"/>
        </w:tabs>
        <w:spacing w:line="360" w:lineRule="auto"/>
        <w:ind w:firstLine="720"/>
        <w:rPr>
          <w:sz w:val="26"/>
          <w:szCs w:val="26"/>
        </w:rPr>
      </w:pPr>
    </w:p>
    <w:p w14:paraId="15D653A0" w14:textId="77777777" w:rsidR="00930514" w:rsidRDefault="00B643E7" w:rsidP="007D41D9">
      <w:pPr>
        <w:tabs>
          <w:tab w:val="left" w:pos="4320"/>
        </w:tabs>
        <w:spacing w:line="360" w:lineRule="auto"/>
        <w:ind w:firstLine="720"/>
        <w:rPr>
          <w:sz w:val="26"/>
          <w:szCs w:val="26"/>
        </w:rPr>
      </w:pPr>
      <w:r>
        <w:rPr>
          <w:sz w:val="26"/>
          <w:szCs w:val="26"/>
        </w:rPr>
        <w:t xml:space="preserve">4.       </w:t>
      </w:r>
      <w:r w:rsidR="00431430" w:rsidRPr="00431430">
        <w:rPr>
          <w:sz w:val="26"/>
          <w:szCs w:val="26"/>
        </w:rPr>
        <w:t>That if no adverse comments are filed, this Tentative Order shall become final without further action by the Commission and the Secretary shall issue a Final Order recognizing that this Tentative Order has become final by operation of law</w:t>
      </w:r>
      <w:r w:rsidR="00431430">
        <w:rPr>
          <w:sz w:val="26"/>
          <w:szCs w:val="26"/>
        </w:rPr>
        <w:t xml:space="preserve">.  </w:t>
      </w:r>
    </w:p>
    <w:p w14:paraId="35F81206" w14:textId="77777777" w:rsidR="00930514" w:rsidRDefault="00930514" w:rsidP="007D41D9">
      <w:pPr>
        <w:tabs>
          <w:tab w:val="left" w:pos="4320"/>
        </w:tabs>
        <w:spacing w:line="360" w:lineRule="auto"/>
        <w:ind w:firstLine="720"/>
        <w:rPr>
          <w:sz w:val="26"/>
          <w:szCs w:val="26"/>
        </w:rPr>
      </w:pPr>
    </w:p>
    <w:p w14:paraId="004E7CE7" w14:textId="416B12EF" w:rsidR="00431430" w:rsidRPr="00431430" w:rsidRDefault="00930514" w:rsidP="007D41D9">
      <w:pPr>
        <w:tabs>
          <w:tab w:val="left" w:pos="4320"/>
        </w:tabs>
        <w:spacing w:line="360" w:lineRule="auto"/>
        <w:ind w:firstLine="720"/>
        <w:rPr>
          <w:sz w:val="26"/>
          <w:szCs w:val="26"/>
        </w:rPr>
      </w:pPr>
      <w:r>
        <w:rPr>
          <w:sz w:val="26"/>
          <w:szCs w:val="26"/>
        </w:rPr>
        <w:t xml:space="preserve">5.       </w:t>
      </w:r>
      <w:r w:rsidR="00951049">
        <w:rPr>
          <w:sz w:val="26"/>
          <w:szCs w:val="26"/>
        </w:rPr>
        <w:t xml:space="preserve">Thereafter, </w:t>
      </w:r>
      <w:r w:rsidR="00431430" w:rsidRPr="00431430">
        <w:rPr>
          <w:sz w:val="26"/>
          <w:szCs w:val="26"/>
        </w:rPr>
        <w:t xml:space="preserve">the participants in the </w:t>
      </w:r>
      <w:r w:rsidR="00307F3F" w:rsidRPr="00CB2ACE">
        <w:rPr>
          <w:sz w:val="26"/>
          <w:szCs w:val="26"/>
        </w:rPr>
        <w:t xml:space="preserve">Advance Notice of Proposed Rulemaking </w:t>
      </w:r>
      <w:r w:rsidR="00431430" w:rsidRPr="00431430">
        <w:rPr>
          <w:sz w:val="26"/>
          <w:szCs w:val="26"/>
        </w:rPr>
        <w:t xml:space="preserve">proceeding </w:t>
      </w:r>
      <w:r w:rsidR="00431430">
        <w:rPr>
          <w:sz w:val="26"/>
          <w:szCs w:val="26"/>
        </w:rPr>
        <w:t xml:space="preserve">are provided </w:t>
      </w:r>
      <w:r w:rsidR="00431430" w:rsidRPr="00431430">
        <w:rPr>
          <w:sz w:val="26"/>
          <w:szCs w:val="26"/>
        </w:rPr>
        <w:t xml:space="preserve">the opportunity to file supplemental comments based on the access and review of the Verizon historic proprietary data </w:t>
      </w:r>
      <w:r w:rsidR="00431430">
        <w:rPr>
          <w:sz w:val="26"/>
          <w:szCs w:val="26"/>
        </w:rPr>
        <w:t>and</w:t>
      </w:r>
      <w:r w:rsidR="00431430" w:rsidRPr="00431430">
        <w:rPr>
          <w:sz w:val="26"/>
          <w:szCs w:val="26"/>
        </w:rPr>
        <w:t xml:space="preserve"> will have twenty (20) days after the February 18, 2020 deadline, or until March 9, 2020, to file </w:t>
      </w:r>
      <w:r w:rsidR="00431430">
        <w:rPr>
          <w:sz w:val="26"/>
          <w:szCs w:val="26"/>
        </w:rPr>
        <w:t xml:space="preserve">the </w:t>
      </w:r>
      <w:r w:rsidR="00431430" w:rsidRPr="00431430">
        <w:rPr>
          <w:sz w:val="26"/>
          <w:szCs w:val="26"/>
        </w:rPr>
        <w:t xml:space="preserve">supplemental comments, and </w:t>
      </w:r>
      <w:r w:rsidR="0093438F">
        <w:rPr>
          <w:sz w:val="26"/>
          <w:szCs w:val="26"/>
        </w:rPr>
        <w:t xml:space="preserve">will </w:t>
      </w:r>
      <w:r w:rsidR="00431430" w:rsidRPr="00431430">
        <w:rPr>
          <w:sz w:val="26"/>
          <w:szCs w:val="26"/>
        </w:rPr>
        <w:t xml:space="preserve">have fifteen (15) days </w:t>
      </w:r>
      <w:r w:rsidR="00307F3F">
        <w:rPr>
          <w:sz w:val="26"/>
          <w:szCs w:val="26"/>
        </w:rPr>
        <w:t xml:space="preserve">thereafter, </w:t>
      </w:r>
      <w:r w:rsidR="00307F3F" w:rsidRPr="00431430">
        <w:rPr>
          <w:sz w:val="26"/>
          <w:szCs w:val="26"/>
        </w:rPr>
        <w:t>or until March 24, 2020</w:t>
      </w:r>
      <w:r w:rsidR="00307F3F">
        <w:rPr>
          <w:sz w:val="26"/>
          <w:szCs w:val="26"/>
        </w:rPr>
        <w:t xml:space="preserve">, </w:t>
      </w:r>
      <w:r w:rsidR="00134B2C">
        <w:rPr>
          <w:sz w:val="26"/>
          <w:szCs w:val="26"/>
        </w:rPr>
        <w:t>t</w:t>
      </w:r>
      <w:r w:rsidR="00431430" w:rsidRPr="00431430">
        <w:rPr>
          <w:sz w:val="26"/>
          <w:szCs w:val="26"/>
        </w:rPr>
        <w:t xml:space="preserve">o </w:t>
      </w:r>
      <w:r w:rsidR="00134B2C">
        <w:rPr>
          <w:sz w:val="26"/>
          <w:szCs w:val="26"/>
        </w:rPr>
        <w:t xml:space="preserve">file </w:t>
      </w:r>
      <w:r w:rsidR="00431430" w:rsidRPr="00431430">
        <w:rPr>
          <w:sz w:val="26"/>
          <w:szCs w:val="26"/>
        </w:rPr>
        <w:t>repl</w:t>
      </w:r>
      <w:r w:rsidR="00307F3F">
        <w:rPr>
          <w:sz w:val="26"/>
          <w:szCs w:val="26"/>
        </w:rPr>
        <w:t>ies to</w:t>
      </w:r>
      <w:r w:rsidR="00431430" w:rsidRPr="00431430">
        <w:rPr>
          <w:sz w:val="26"/>
          <w:szCs w:val="26"/>
        </w:rPr>
        <w:t xml:space="preserve"> comments.</w:t>
      </w:r>
    </w:p>
    <w:p w14:paraId="30F33944" w14:textId="77777777" w:rsidR="00431430" w:rsidRDefault="00431430" w:rsidP="007D41D9">
      <w:pPr>
        <w:tabs>
          <w:tab w:val="left" w:pos="4320"/>
        </w:tabs>
        <w:spacing w:line="360" w:lineRule="auto"/>
        <w:ind w:firstLine="720"/>
        <w:rPr>
          <w:sz w:val="26"/>
          <w:szCs w:val="26"/>
        </w:rPr>
      </w:pPr>
    </w:p>
    <w:p w14:paraId="75AAD25A" w14:textId="0A033C98" w:rsidR="00724BA7" w:rsidRPr="00724BA7" w:rsidRDefault="00930514" w:rsidP="007D41D9">
      <w:pPr>
        <w:tabs>
          <w:tab w:val="left" w:pos="4320"/>
        </w:tabs>
        <w:spacing w:line="360" w:lineRule="auto"/>
        <w:ind w:firstLine="720"/>
        <w:rPr>
          <w:sz w:val="26"/>
          <w:szCs w:val="26"/>
        </w:rPr>
      </w:pPr>
      <w:r>
        <w:rPr>
          <w:sz w:val="26"/>
          <w:szCs w:val="26"/>
        </w:rPr>
        <w:t xml:space="preserve">6.       </w:t>
      </w:r>
      <w:r w:rsidR="00724BA7" w:rsidRPr="00724BA7">
        <w:rPr>
          <w:sz w:val="26"/>
          <w:szCs w:val="26"/>
        </w:rPr>
        <w:t xml:space="preserve">That if any adverse comments are timely filed in response to this Tentative Order granting Verizon </w:t>
      </w:r>
      <w:r w:rsidR="00307F3F">
        <w:rPr>
          <w:sz w:val="26"/>
          <w:szCs w:val="26"/>
        </w:rPr>
        <w:t xml:space="preserve">Pennsylvania LLC and Verizon North LLC </w:t>
      </w:r>
      <w:r w:rsidR="00724BA7" w:rsidRPr="00724BA7">
        <w:rPr>
          <w:sz w:val="26"/>
          <w:szCs w:val="26"/>
        </w:rPr>
        <w:t xml:space="preserve">an extension of the temporary waivers, the Law Bureau shall prepare a Final Opinion and Order addressing such comments for the Commission’s consideration at </w:t>
      </w:r>
      <w:r w:rsidR="00B643E7">
        <w:rPr>
          <w:sz w:val="26"/>
          <w:szCs w:val="26"/>
        </w:rPr>
        <w:t xml:space="preserve">the </w:t>
      </w:r>
      <w:r w:rsidR="00724BA7" w:rsidRPr="00724BA7">
        <w:rPr>
          <w:sz w:val="26"/>
          <w:szCs w:val="26"/>
        </w:rPr>
        <w:t xml:space="preserve">February 27, 2020 Public Meeting and </w:t>
      </w:r>
      <w:r w:rsidR="000C03D0">
        <w:rPr>
          <w:sz w:val="26"/>
          <w:szCs w:val="26"/>
        </w:rPr>
        <w:t>the Commission shall take such further action as it deems necessary</w:t>
      </w:r>
      <w:r w:rsidR="00724BA7" w:rsidRPr="00724BA7">
        <w:rPr>
          <w:sz w:val="26"/>
          <w:szCs w:val="26"/>
        </w:rPr>
        <w:t>.</w:t>
      </w:r>
    </w:p>
    <w:p w14:paraId="723F20E2" w14:textId="3554C420" w:rsidR="00217D49" w:rsidRDefault="00547A44" w:rsidP="007D41D9">
      <w:pPr>
        <w:tabs>
          <w:tab w:val="left" w:pos="4320"/>
        </w:tabs>
        <w:spacing w:line="360" w:lineRule="auto"/>
        <w:ind w:firstLine="720"/>
        <w:rPr>
          <w:sz w:val="26"/>
          <w:szCs w:val="26"/>
        </w:rPr>
      </w:pPr>
      <w:r w:rsidRPr="00547A44">
        <w:rPr>
          <w:sz w:val="26"/>
          <w:szCs w:val="26"/>
        </w:rPr>
        <w:t xml:space="preserve">  </w:t>
      </w:r>
      <w:r>
        <w:rPr>
          <w:sz w:val="26"/>
          <w:szCs w:val="26"/>
        </w:rPr>
        <w:t xml:space="preserve"> </w:t>
      </w:r>
    </w:p>
    <w:p w14:paraId="1FE1E51D" w14:textId="2C82DC26" w:rsidR="00CF600C" w:rsidRPr="004F4BE2" w:rsidRDefault="00930514" w:rsidP="007D41D9">
      <w:pPr>
        <w:tabs>
          <w:tab w:val="left" w:pos="4320"/>
        </w:tabs>
        <w:spacing w:line="360" w:lineRule="auto"/>
        <w:ind w:firstLine="720"/>
        <w:rPr>
          <w:sz w:val="26"/>
          <w:szCs w:val="26"/>
        </w:rPr>
      </w:pPr>
      <w:r>
        <w:rPr>
          <w:sz w:val="26"/>
          <w:szCs w:val="26"/>
        </w:rPr>
        <w:lastRenderedPageBreak/>
        <w:t>7.</w:t>
      </w:r>
      <w:r w:rsidR="00431430">
        <w:rPr>
          <w:sz w:val="26"/>
          <w:szCs w:val="26"/>
        </w:rPr>
        <w:t xml:space="preserve"> </w:t>
      </w:r>
      <w:r>
        <w:rPr>
          <w:sz w:val="26"/>
          <w:szCs w:val="26"/>
        </w:rPr>
        <w:t xml:space="preserve">     </w:t>
      </w:r>
      <w:r w:rsidR="00CF600C">
        <w:rPr>
          <w:sz w:val="26"/>
          <w:szCs w:val="26"/>
        </w:rPr>
        <w:t>That a copy of this Tentative Order shall be served on all parties to th</w:t>
      </w:r>
      <w:r w:rsidR="000C03D0">
        <w:rPr>
          <w:sz w:val="26"/>
          <w:szCs w:val="26"/>
        </w:rPr>
        <w:t>e</w:t>
      </w:r>
      <w:r w:rsidR="00CF600C">
        <w:rPr>
          <w:sz w:val="26"/>
          <w:szCs w:val="26"/>
        </w:rPr>
        <w:t>s</w:t>
      </w:r>
      <w:r w:rsidR="000C03D0">
        <w:rPr>
          <w:sz w:val="26"/>
          <w:szCs w:val="26"/>
        </w:rPr>
        <w:t>e</w:t>
      </w:r>
      <w:r w:rsidR="00CF600C">
        <w:rPr>
          <w:sz w:val="26"/>
          <w:szCs w:val="26"/>
        </w:rPr>
        <w:t xml:space="preserve"> proceeding</w:t>
      </w:r>
      <w:r w:rsidR="000C03D0">
        <w:rPr>
          <w:sz w:val="26"/>
          <w:szCs w:val="26"/>
        </w:rPr>
        <w:t>s.</w:t>
      </w:r>
      <w:r w:rsidR="003E4016">
        <w:rPr>
          <w:sz w:val="26"/>
          <w:szCs w:val="26"/>
        </w:rPr>
        <w:t xml:space="preserve"> </w:t>
      </w:r>
    </w:p>
    <w:p w14:paraId="1A185A38" w14:textId="042E1E77" w:rsidR="00DF0470" w:rsidRPr="004F4BE2" w:rsidRDefault="00DF0470" w:rsidP="004F4BE2">
      <w:pPr>
        <w:tabs>
          <w:tab w:val="left" w:pos="742"/>
        </w:tabs>
        <w:spacing w:line="360" w:lineRule="auto"/>
        <w:rPr>
          <w:sz w:val="26"/>
          <w:szCs w:val="26"/>
        </w:rPr>
      </w:pPr>
    </w:p>
    <w:p w14:paraId="3349D031" w14:textId="78536CD4" w:rsidR="00DF0470" w:rsidRPr="004F4BE2" w:rsidRDefault="0029002E" w:rsidP="004F4BE2">
      <w:pPr>
        <w:pStyle w:val="p17"/>
        <w:spacing w:line="360" w:lineRule="auto"/>
        <w:ind w:left="5057"/>
        <w:rPr>
          <w:b/>
          <w:bCs/>
          <w:sz w:val="26"/>
          <w:szCs w:val="26"/>
        </w:rPr>
      </w:pPr>
      <w:r>
        <w:rPr>
          <w:noProof/>
        </w:rPr>
        <w:drawing>
          <wp:anchor distT="0" distB="0" distL="114300" distR="114300" simplePos="0" relativeHeight="251659264" behindDoc="1" locked="0" layoutInCell="1" allowOverlap="1" wp14:anchorId="6677ACC0" wp14:editId="6868901A">
            <wp:simplePos x="0" y="0"/>
            <wp:positionH relativeFrom="column">
              <wp:posOffset>3181350</wp:posOffset>
            </wp:positionH>
            <wp:positionV relativeFrom="paragraph">
              <wp:posOffset>257810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4F4BE2">
        <w:rPr>
          <w:b/>
          <w:bCs/>
          <w:sz w:val="26"/>
          <w:szCs w:val="26"/>
        </w:rPr>
        <w:t>BY THE COMMISSION</w:t>
      </w:r>
    </w:p>
    <w:p w14:paraId="31C4A3F8" w14:textId="01ADA276" w:rsidR="00DF0470" w:rsidRPr="004F4BE2" w:rsidRDefault="00DF0470" w:rsidP="004F4BE2">
      <w:pPr>
        <w:tabs>
          <w:tab w:val="left" w:pos="5057"/>
        </w:tabs>
        <w:spacing w:line="360" w:lineRule="auto"/>
        <w:rPr>
          <w:bCs/>
          <w:sz w:val="26"/>
          <w:szCs w:val="26"/>
        </w:rPr>
      </w:pPr>
    </w:p>
    <w:p w14:paraId="5FD33576" w14:textId="77777777" w:rsidR="00DF0470" w:rsidRPr="004F4BE2" w:rsidRDefault="00DF0470" w:rsidP="004F4BE2">
      <w:pPr>
        <w:tabs>
          <w:tab w:val="left" w:pos="5057"/>
        </w:tabs>
        <w:spacing w:line="360" w:lineRule="auto"/>
        <w:rPr>
          <w:b/>
          <w:bCs/>
          <w:sz w:val="26"/>
          <w:szCs w:val="26"/>
        </w:rPr>
      </w:pPr>
    </w:p>
    <w:p w14:paraId="44B6DDF0" w14:textId="77777777" w:rsidR="00DF0470" w:rsidRPr="004F4BE2" w:rsidRDefault="00DF0470" w:rsidP="004F4BE2">
      <w:pPr>
        <w:tabs>
          <w:tab w:val="left" w:pos="5057"/>
        </w:tabs>
        <w:spacing w:line="360" w:lineRule="auto"/>
        <w:rPr>
          <w:b/>
          <w:bCs/>
          <w:sz w:val="26"/>
          <w:szCs w:val="26"/>
        </w:rPr>
      </w:pPr>
    </w:p>
    <w:p w14:paraId="366D1382" w14:textId="77777777" w:rsidR="0022503C" w:rsidRPr="004F4BE2" w:rsidRDefault="0022503C" w:rsidP="004F4BE2">
      <w:pPr>
        <w:pStyle w:val="p18"/>
        <w:spacing w:line="360" w:lineRule="auto"/>
        <w:ind w:left="5062"/>
        <w:rPr>
          <w:sz w:val="26"/>
          <w:szCs w:val="26"/>
        </w:rPr>
      </w:pPr>
      <w:r w:rsidRPr="004F4BE2">
        <w:rPr>
          <w:sz w:val="26"/>
          <w:szCs w:val="26"/>
        </w:rPr>
        <w:t>Rosemary Chiavetta</w:t>
      </w:r>
    </w:p>
    <w:p w14:paraId="11923B78" w14:textId="77777777" w:rsidR="00DF0470" w:rsidRPr="004F4BE2" w:rsidRDefault="00DF0470" w:rsidP="004F4BE2">
      <w:pPr>
        <w:pStyle w:val="p18"/>
        <w:spacing w:line="360" w:lineRule="auto"/>
        <w:ind w:left="5062"/>
        <w:rPr>
          <w:sz w:val="26"/>
          <w:szCs w:val="26"/>
        </w:rPr>
      </w:pPr>
      <w:r w:rsidRPr="004F4BE2">
        <w:rPr>
          <w:sz w:val="26"/>
          <w:szCs w:val="26"/>
        </w:rPr>
        <w:t>Secretary</w:t>
      </w:r>
    </w:p>
    <w:p w14:paraId="32002AE2" w14:textId="77777777" w:rsidR="00DF0470" w:rsidRPr="004F4BE2" w:rsidRDefault="00DF0470" w:rsidP="004F4BE2">
      <w:pPr>
        <w:tabs>
          <w:tab w:val="left" w:pos="5062"/>
        </w:tabs>
        <w:spacing w:line="360" w:lineRule="auto"/>
        <w:rPr>
          <w:sz w:val="26"/>
          <w:szCs w:val="26"/>
        </w:rPr>
      </w:pPr>
    </w:p>
    <w:p w14:paraId="4B79F419" w14:textId="77777777" w:rsidR="00DF0470" w:rsidRPr="004F4BE2" w:rsidRDefault="00DF0470" w:rsidP="004F4BE2">
      <w:pPr>
        <w:pStyle w:val="p14"/>
        <w:spacing w:line="360" w:lineRule="auto"/>
        <w:rPr>
          <w:sz w:val="26"/>
          <w:szCs w:val="26"/>
        </w:rPr>
      </w:pPr>
      <w:r w:rsidRPr="004F4BE2">
        <w:rPr>
          <w:sz w:val="26"/>
          <w:szCs w:val="26"/>
        </w:rPr>
        <w:t>(SEAL)</w:t>
      </w:r>
    </w:p>
    <w:p w14:paraId="20962E50" w14:textId="77777777" w:rsidR="00DF0470" w:rsidRPr="004F4BE2" w:rsidRDefault="00DF0470" w:rsidP="004F4BE2">
      <w:pPr>
        <w:tabs>
          <w:tab w:val="left" w:pos="204"/>
        </w:tabs>
        <w:spacing w:line="360" w:lineRule="auto"/>
        <w:rPr>
          <w:sz w:val="26"/>
          <w:szCs w:val="26"/>
        </w:rPr>
      </w:pPr>
    </w:p>
    <w:p w14:paraId="3C7B74A0" w14:textId="2BC986D4" w:rsidR="00DF0470" w:rsidRPr="004F4BE2" w:rsidRDefault="00DF0470" w:rsidP="007D41D9">
      <w:pPr>
        <w:pStyle w:val="p14"/>
        <w:rPr>
          <w:sz w:val="26"/>
          <w:szCs w:val="26"/>
        </w:rPr>
      </w:pPr>
      <w:r w:rsidRPr="004F4BE2">
        <w:rPr>
          <w:sz w:val="26"/>
          <w:szCs w:val="26"/>
        </w:rPr>
        <w:t xml:space="preserve">ORDER ADOPTED:  </w:t>
      </w:r>
      <w:r w:rsidR="00F5394C" w:rsidRPr="004F4BE2">
        <w:rPr>
          <w:sz w:val="26"/>
          <w:szCs w:val="26"/>
        </w:rPr>
        <w:t>February 6, 2020</w:t>
      </w:r>
    </w:p>
    <w:p w14:paraId="6735F57D" w14:textId="77777777" w:rsidR="00BE499A" w:rsidRPr="004F4BE2" w:rsidRDefault="00BE499A" w:rsidP="007D41D9">
      <w:pPr>
        <w:pStyle w:val="p14"/>
        <w:rPr>
          <w:sz w:val="26"/>
          <w:szCs w:val="26"/>
        </w:rPr>
      </w:pPr>
    </w:p>
    <w:p w14:paraId="28FC20B5" w14:textId="4BC2B6B9" w:rsidR="00C55973" w:rsidRDefault="00DF0470" w:rsidP="007D41D9">
      <w:pPr>
        <w:pStyle w:val="p14"/>
        <w:rPr>
          <w:sz w:val="26"/>
          <w:szCs w:val="26"/>
        </w:rPr>
        <w:sectPr w:rsidR="00C55973" w:rsidSect="00D83182">
          <w:footerReference w:type="even" r:id="rId11"/>
          <w:footerReference w:type="default" r:id="rId12"/>
          <w:pgSz w:w="12240" w:h="15840"/>
          <w:pgMar w:top="1440" w:right="1440" w:bottom="1440" w:left="1440" w:header="720" w:footer="720" w:gutter="0"/>
          <w:cols w:space="720"/>
          <w:titlePg/>
        </w:sectPr>
      </w:pPr>
      <w:r w:rsidRPr="004F4BE2">
        <w:rPr>
          <w:sz w:val="26"/>
          <w:szCs w:val="26"/>
        </w:rPr>
        <w:t xml:space="preserve">ORDER ENTERED:  </w:t>
      </w:r>
      <w:r w:rsidR="0029002E">
        <w:rPr>
          <w:sz w:val="26"/>
          <w:szCs w:val="26"/>
        </w:rPr>
        <w:t xml:space="preserve"> February 6, 2020</w:t>
      </w:r>
      <w:bookmarkStart w:id="10" w:name="_GoBack"/>
      <w:bookmarkEnd w:id="10"/>
    </w:p>
    <w:p w14:paraId="6E5939B4" w14:textId="77777777" w:rsidR="00C55973" w:rsidRPr="00C775D4" w:rsidRDefault="00C55973" w:rsidP="00C55973">
      <w:pPr>
        <w:autoSpaceDE/>
        <w:autoSpaceDN/>
        <w:jc w:val="right"/>
        <w:rPr>
          <w:b/>
          <w:bCs/>
          <w:snapToGrid w:val="0"/>
        </w:rPr>
      </w:pPr>
      <w:r w:rsidRPr="00C775D4">
        <w:rPr>
          <w:b/>
          <w:bCs/>
          <w:snapToGrid w:val="0"/>
        </w:rPr>
        <w:lastRenderedPageBreak/>
        <w:t>APPENDIX A</w:t>
      </w:r>
    </w:p>
    <w:p w14:paraId="70079AE2" w14:textId="77777777" w:rsidR="00C55973" w:rsidRPr="001E479B" w:rsidRDefault="00C55973" w:rsidP="00C55973">
      <w:pPr>
        <w:autoSpaceDE/>
        <w:autoSpaceDN/>
        <w:jc w:val="center"/>
      </w:pPr>
      <w:r w:rsidRPr="001E479B">
        <w:t xml:space="preserve">BEFORE THE </w:t>
      </w:r>
    </w:p>
    <w:p w14:paraId="6ECDD0E7" w14:textId="77777777" w:rsidR="00C55973" w:rsidRPr="001E479B" w:rsidRDefault="00C55973" w:rsidP="00C55973">
      <w:pPr>
        <w:autoSpaceDE/>
        <w:autoSpaceDN/>
        <w:jc w:val="center"/>
      </w:pPr>
      <w:r w:rsidRPr="001E479B">
        <w:t>PENNSYLVANIA PUBLIC UTILITY COMMISSION</w:t>
      </w:r>
    </w:p>
    <w:p w14:paraId="68D4110C" w14:textId="77777777" w:rsidR="00C55973" w:rsidRPr="001E479B" w:rsidRDefault="00C55973" w:rsidP="00C55973">
      <w:pPr>
        <w:autoSpaceDE/>
        <w:autoSpaceDN/>
      </w:pPr>
    </w:p>
    <w:p w14:paraId="2A9EDF30" w14:textId="77777777" w:rsidR="00C55973" w:rsidRPr="001E479B" w:rsidRDefault="00C55973" w:rsidP="00C55973">
      <w:pPr>
        <w:autoSpaceDE/>
        <w:autoSpaceDN/>
      </w:pPr>
      <w:r w:rsidRPr="001E479B">
        <w:t>Joint Petition of Verizon Pennsylvania LLC</w:t>
      </w:r>
      <w:r w:rsidRPr="001E479B">
        <w:tab/>
      </w:r>
      <w:r w:rsidRPr="001E479B">
        <w:tab/>
        <w:t>:</w:t>
      </w:r>
      <w:r w:rsidRPr="001E479B">
        <w:tab/>
        <w:t xml:space="preserve"> </w:t>
      </w:r>
    </w:p>
    <w:p w14:paraId="2BE50882" w14:textId="77777777" w:rsidR="00C55973" w:rsidRPr="001E479B" w:rsidRDefault="00C55973" w:rsidP="00C55973">
      <w:pPr>
        <w:autoSpaceDE/>
        <w:autoSpaceDN/>
      </w:pPr>
      <w:r w:rsidRPr="001E479B">
        <w:t xml:space="preserve">And Verizon North LLC for Competitive </w:t>
      </w:r>
      <w:r w:rsidRPr="001E479B">
        <w:tab/>
      </w:r>
      <w:r w:rsidRPr="001E479B">
        <w:tab/>
        <w:t>:      Docket No. P-2014-2446303</w:t>
      </w:r>
    </w:p>
    <w:p w14:paraId="0C84356D" w14:textId="77777777" w:rsidR="00C55973" w:rsidRPr="001E479B" w:rsidRDefault="00C55973" w:rsidP="00C55973">
      <w:pPr>
        <w:autoSpaceDE/>
        <w:autoSpaceDN/>
      </w:pPr>
      <w:r w:rsidRPr="001E479B">
        <w:t xml:space="preserve">Classification of all Retail Services in Certain </w:t>
      </w:r>
      <w:r w:rsidRPr="001E479B">
        <w:tab/>
        <w:t xml:space="preserve">:    </w:t>
      </w:r>
    </w:p>
    <w:p w14:paraId="4702540A" w14:textId="77777777" w:rsidR="00C55973" w:rsidRPr="001E479B" w:rsidRDefault="00C55973" w:rsidP="00C55973">
      <w:pPr>
        <w:autoSpaceDE/>
        <w:autoSpaceDN/>
      </w:pPr>
      <w:r w:rsidRPr="001E479B">
        <w:t xml:space="preserve">Geographic Areas, and for a Waiver of </w:t>
      </w:r>
      <w:r w:rsidRPr="001E479B">
        <w:tab/>
        <w:t xml:space="preserve"> </w:t>
      </w:r>
      <w:r w:rsidRPr="001E479B">
        <w:tab/>
        <w:t>:      Docket No. P-2014-2446304</w:t>
      </w:r>
    </w:p>
    <w:p w14:paraId="3F5EDB60" w14:textId="77777777" w:rsidR="00C55973" w:rsidRPr="001E479B" w:rsidRDefault="00C55973" w:rsidP="00C55973">
      <w:pPr>
        <w:autoSpaceDE/>
        <w:autoSpaceDN/>
      </w:pPr>
      <w:r w:rsidRPr="001E479B">
        <w:t>Regulations for Competitive Services</w:t>
      </w:r>
      <w:r w:rsidRPr="001E479B">
        <w:tab/>
      </w:r>
      <w:r w:rsidRPr="001E479B">
        <w:tab/>
        <w:t>:</w:t>
      </w:r>
    </w:p>
    <w:p w14:paraId="3512C040" w14:textId="77777777" w:rsidR="00C55973" w:rsidRPr="001E479B" w:rsidRDefault="00C55973" w:rsidP="00C55973">
      <w:pPr>
        <w:autoSpaceDE/>
        <w:autoSpaceDN/>
        <w:rPr>
          <w:rFonts w:eastAsiaTheme="minorHAnsi"/>
        </w:rPr>
      </w:pPr>
    </w:p>
    <w:p w14:paraId="2B6630F1" w14:textId="77777777" w:rsidR="00C55973" w:rsidRPr="001E479B" w:rsidRDefault="00C55973" w:rsidP="00C55973">
      <w:pPr>
        <w:autoSpaceDE/>
        <w:autoSpaceDN/>
      </w:pPr>
    </w:p>
    <w:p w14:paraId="0A70514A" w14:textId="77777777" w:rsidR="00C55973" w:rsidRPr="001E479B" w:rsidRDefault="00C55973" w:rsidP="00C55973">
      <w:pPr>
        <w:autoSpaceDE/>
        <w:autoSpaceDN/>
        <w:rPr>
          <w:rFonts w:eastAsiaTheme="minorHAnsi"/>
        </w:rPr>
      </w:pPr>
      <w:r w:rsidRPr="001E479B">
        <w:rPr>
          <w:rFonts w:eastAsiaTheme="minorHAnsi"/>
        </w:rPr>
        <w:tab/>
      </w:r>
      <w:r w:rsidRPr="001E479B">
        <w:rPr>
          <w:rFonts w:eastAsiaTheme="minorHAnsi"/>
        </w:rPr>
        <w:tab/>
      </w:r>
      <w:r w:rsidRPr="001E479B">
        <w:rPr>
          <w:rFonts w:eastAsiaTheme="minorHAnsi"/>
        </w:rPr>
        <w:tab/>
      </w:r>
    </w:p>
    <w:p w14:paraId="11EB3F27" w14:textId="77777777" w:rsidR="00C55973" w:rsidRPr="001E479B" w:rsidRDefault="00C55973" w:rsidP="00C55973">
      <w:pPr>
        <w:autoSpaceDE/>
        <w:autoSpaceDN/>
        <w:rPr>
          <w:b/>
          <w:snapToGrid w:val="0"/>
        </w:rPr>
      </w:pPr>
      <w:r w:rsidRPr="001E479B">
        <w:rPr>
          <w:b/>
          <w:snapToGrid w:val="0"/>
        </w:rPr>
        <w:t>TO WHOM IT MAY CONCERN:</w:t>
      </w:r>
    </w:p>
    <w:p w14:paraId="08E288A6" w14:textId="77777777" w:rsidR="00C55973" w:rsidRPr="001E479B" w:rsidRDefault="00C55973" w:rsidP="00C55973">
      <w:pPr>
        <w:autoSpaceDE/>
        <w:autoSpaceDN/>
        <w:rPr>
          <w:snapToGrid w:val="0"/>
        </w:rPr>
      </w:pPr>
    </w:p>
    <w:p w14:paraId="75A0F4BC" w14:textId="77777777" w:rsidR="00C55973" w:rsidRPr="001E479B" w:rsidRDefault="00C55973" w:rsidP="00C55973">
      <w:pPr>
        <w:autoSpaceDE/>
        <w:autoSpaceDN/>
        <w:rPr>
          <w:snapToGrid w:val="0"/>
        </w:rPr>
      </w:pPr>
      <w:r w:rsidRPr="001E479B">
        <w:rPr>
          <w:snapToGrid w:val="0"/>
        </w:rPr>
        <w:t xml:space="preserve">The undersigned is the ______________________________________ of  __________________________(the retaining party) and hereby acknowledges that he/she does not hold any of the following positions with any competitor or affiliate of a competitor of the producing party (an officer, board member, significant stockholder, partner, owner or an employee) who is primarily involved in the pricing, development, and/or marketing of products or services that are offered in competition with those of the producing party. </w:t>
      </w:r>
    </w:p>
    <w:p w14:paraId="3AD9C57C" w14:textId="77777777" w:rsidR="00C55973" w:rsidRPr="001E479B" w:rsidRDefault="00C55973" w:rsidP="00C55973">
      <w:pPr>
        <w:autoSpaceDE/>
        <w:autoSpaceDN/>
        <w:rPr>
          <w:snapToGrid w:val="0"/>
        </w:rPr>
      </w:pPr>
    </w:p>
    <w:p w14:paraId="4F7A032F" w14:textId="77777777" w:rsidR="00C55973" w:rsidRPr="001E479B" w:rsidRDefault="00C55973" w:rsidP="00C55973">
      <w:pPr>
        <w:autoSpaceDE/>
        <w:autoSpaceDN/>
        <w:rPr>
          <w:snapToGrid w:val="0"/>
        </w:rPr>
      </w:pPr>
      <w:r w:rsidRPr="001E479B">
        <w:rPr>
          <w:snapToGrid w:val="0"/>
        </w:rPr>
        <w:t xml:space="preserve">The undersigned has read and understands the Protective Order that deals with the treatment of Proprietary Information and Highly Confidential Information.  The undersigned agrees to be bound by, and comply with, the terms and conditions of said Order. </w:t>
      </w:r>
    </w:p>
    <w:p w14:paraId="16D8F373" w14:textId="77777777" w:rsidR="00C55973" w:rsidRPr="001E479B" w:rsidRDefault="00C55973" w:rsidP="00C55973">
      <w:pPr>
        <w:autoSpaceDE/>
        <w:autoSpaceDN/>
        <w:rPr>
          <w:snapToGrid w:val="0"/>
        </w:rPr>
      </w:pPr>
    </w:p>
    <w:p w14:paraId="1C00404C" w14:textId="77777777" w:rsidR="00C55973" w:rsidRPr="001E479B" w:rsidRDefault="00C55973" w:rsidP="00C55973">
      <w:pPr>
        <w:autoSpaceDE/>
        <w:autoSpaceDN/>
        <w:rPr>
          <w:snapToGrid w:val="0"/>
        </w:rPr>
      </w:pPr>
      <w:r w:rsidRPr="001E479B">
        <w:rPr>
          <w:snapToGrid w:val="0"/>
        </w:rPr>
        <w:t xml:space="preserve">In the case of an independent expert, the undersigned represents that he/she has complied with the provisions of numbered Paragraph 4 (a)(ii) of the Order prior to submitting this Acknowledgement. </w:t>
      </w:r>
    </w:p>
    <w:p w14:paraId="50AF5BF4" w14:textId="77777777" w:rsidR="00C55973" w:rsidRPr="001E479B" w:rsidRDefault="00C55973" w:rsidP="00C55973">
      <w:pPr>
        <w:autoSpaceDE/>
        <w:autoSpaceDN/>
        <w:rPr>
          <w:snapToGrid w:val="0"/>
        </w:rPr>
      </w:pPr>
    </w:p>
    <w:tbl>
      <w:tblPr>
        <w:tblW w:w="0" w:type="auto"/>
        <w:tblLayout w:type="fixed"/>
        <w:tblLook w:val="04A0" w:firstRow="1" w:lastRow="0" w:firstColumn="1" w:lastColumn="0" w:noHBand="0" w:noVBand="1"/>
      </w:tblPr>
      <w:tblGrid>
        <w:gridCol w:w="2448"/>
        <w:gridCol w:w="1980"/>
        <w:gridCol w:w="4428"/>
      </w:tblGrid>
      <w:tr w:rsidR="00C55973" w:rsidRPr="001E479B" w14:paraId="7AF20458" w14:textId="77777777" w:rsidTr="00DC2F48">
        <w:tc>
          <w:tcPr>
            <w:tcW w:w="2448" w:type="dxa"/>
          </w:tcPr>
          <w:p w14:paraId="72679041" w14:textId="77777777" w:rsidR="00C55973" w:rsidRPr="001E479B" w:rsidRDefault="00C55973" w:rsidP="00DC2F48">
            <w:pPr>
              <w:pBdr>
                <w:bottom w:val="single" w:sz="12" w:space="1" w:color="auto"/>
              </w:pBdr>
              <w:autoSpaceDE/>
              <w:autoSpaceDN/>
              <w:rPr>
                <w:snapToGrid w:val="0"/>
              </w:rPr>
            </w:pPr>
          </w:p>
          <w:p w14:paraId="0A160E0B" w14:textId="77777777" w:rsidR="00C55973" w:rsidRPr="001E479B" w:rsidRDefault="00C55973" w:rsidP="00DC2F48">
            <w:pPr>
              <w:pBdr>
                <w:bottom w:val="single" w:sz="12" w:space="1" w:color="auto"/>
              </w:pBdr>
              <w:autoSpaceDE/>
              <w:autoSpaceDN/>
              <w:rPr>
                <w:snapToGrid w:val="0"/>
              </w:rPr>
            </w:pPr>
          </w:p>
          <w:p w14:paraId="0B257C5D" w14:textId="77777777" w:rsidR="00C55973" w:rsidRPr="001E479B" w:rsidRDefault="00C55973" w:rsidP="00DC2F48">
            <w:pPr>
              <w:pBdr>
                <w:bottom w:val="single" w:sz="12" w:space="1" w:color="auto"/>
              </w:pBdr>
              <w:autoSpaceDE/>
              <w:autoSpaceDN/>
              <w:rPr>
                <w:snapToGrid w:val="0"/>
              </w:rPr>
            </w:pPr>
          </w:p>
          <w:p w14:paraId="3820B063" w14:textId="77777777" w:rsidR="00C55973" w:rsidRPr="001E479B" w:rsidRDefault="00C55973" w:rsidP="00DC2F48">
            <w:pPr>
              <w:pBdr>
                <w:bottom w:val="single" w:sz="12" w:space="1" w:color="auto"/>
              </w:pBdr>
              <w:autoSpaceDE/>
              <w:autoSpaceDN/>
              <w:rPr>
                <w:snapToGrid w:val="0"/>
              </w:rPr>
            </w:pPr>
          </w:p>
          <w:p w14:paraId="591B8D12" w14:textId="77777777" w:rsidR="00C55973" w:rsidRPr="001E479B" w:rsidRDefault="00C55973" w:rsidP="00DC2F48">
            <w:pPr>
              <w:pBdr>
                <w:bottom w:val="single" w:sz="12" w:space="1" w:color="auto"/>
              </w:pBdr>
              <w:autoSpaceDE/>
              <w:autoSpaceDN/>
              <w:rPr>
                <w:snapToGrid w:val="0"/>
              </w:rPr>
            </w:pPr>
          </w:p>
          <w:p w14:paraId="10FFD3D8" w14:textId="77777777" w:rsidR="00C55973" w:rsidRPr="001E479B" w:rsidRDefault="00C55973" w:rsidP="00DC2F48">
            <w:pPr>
              <w:pBdr>
                <w:bottom w:val="single" w:sz="12" w:space="1" w:color="auto"/>
              </w:pBdr>
              <w:autoSpaceDE/>
              <w:autoSpaceDN/>
              <w:rPr>
                <w:snapToGrid w:val="0"/>
              </w:rPr>
            </w:pPr>
          </w:p>
          <w:p w14:paraId="416EB2F3" w14:textId="77777777" w:rsidR="00C55973" w:rsidRPr="001E479B" w:rsidRDefault="00C55973" w:rsidP="00DC2F48">
            <w:pPr>
              <w:pBdr>
                <w:bottom w:val="single" w:sz="12" w:space="1" w:color="auto"/>
              </w:pBdr>
              <w:autoSpaceDE/>
              <w:autoSpaceDN/>
              <w:rPr>
                <w:snapToGrid w:val="0"/>
              </w:rPr>
            </w:pPr>
          </w:p>
          <w:p w14:paraId="4ED3F7EE" w14:textId="77777777" w:rsidR="00C55973" w:rsidRPr="001E479B" w:rsidRDefault="00C55973" w:rsidP="00DC2F48">
            <w:pPr>
              <w:pBdr>
                <w:bottom w:val="single" w:sz="12" w:space="1" w:color="auto"/>
              </w:pBdr>
              <w:autoSpaceDE/>
              <w:autoSpaceDN/>
              <w:rPr>
                <w:snapToGrid w:val="0"/>
              </w:rPr>
            </w:pPr>
          </w:p>
          <w:p w14:paraId="34DB55A1" w14:textId="77777777" w:rsidR="00C55973" w:rsidRPr="001E479B" w:rsidRDefault="00C55973" w:rsidP="00DC2F48">
            <w:pPr>
              <w:autoSpaceDE/>
              <w:autoSpaceDN/>
              <w:rPr>
                <w:snapToGrid w:val="0"/>
              </w:rPr>
            </w:pPr>
            <w:r w:rsidRPr="001E479B">
              <w:rPr>
                <w:snapToGrid w:val="0"/>
              </w:rPr>
              <w:t>DATE</w:t>
            </w:r>
          </w:p>
        </w:tc>
        <w:tc>
          <w:tcPr>
            <w:tcW w:w="1980" w:type="dxa"/>
          </w:tcPr>
          <w:p w14:paraId="5D70D81B" w14:textId="77777777" w:rsidR="00C55973" w:rsidRPr="001E479B" w:rsidRDefault="00C55973" w:rsidP="00DC2F48">
            <w:pPr>
              <w:autoSpaceDE/>
              <w:autoSpaceDN/>
              <w:rPr>
                <w:snapToGrid w:val="0"/>
              </w:rPr>
            </w:pPr>
          </w:p>
        </w:tc>
        <w:tc>
          <w:tcPr>
            <w:tcW w:w="4428" w:type="dxa"/>
          </w:tcPr>
          <w:p w14:paraId="4D1F5CBF" w14:textId="77777777" w:rsidR="00C55973" w:rsidRPr="001E479B" w:rsidRDefault="00C55973" w:rsidP="00DC2F48">
            <w:pPr>
              <w:pBdr>
                <w:bottom w:val="single" w:sz="12" w:space="1" w:color="auto"/>
              </w:pBdr>
              <w:autoSpaceDE/>
              <w:autoSpaceDN/>
              <w:rPr>
                <w:snapToGrid w:val="0"/>
              </w:rPr>
            </w:pPr>
          </w:p>
          <w:p w14:paraId="4735FC87" w14:textId="77777777" w:rsidR="00C55973" w:rsidRPr="001E479B" w:rsidRDefault="00C55973" w:rsidP="00DC2F48">
            <w:pPr>
              <w:autoSpaceDE/>
              <w:autoSpaceDN/>
              <w:rPr>
                <w:snapToGrid w:val="0"/>
              </w:rPr>
            </w:pPr>
            <w:r w:rsidRPr="001E479B">
              <w:rPr>
                <w:snapToGrid w:val="0"/>
              </w:rPr>
              <w:t>SIGNATURE</w:t>
            </w:r>
          </w:p>
          <w:p w14:paraId="7D25AB85" w14:textId="77777777" w:rsidR="00C55973" w:rsidRPr="001E479B" w:rsidRDefault="00C55973" w:rsidP="00DC2F48">
            <w:pPr>
              <w:pBdr>
                <w:bottom w:val="single" w:sz="12" w:space="1" w:color="auto"/>
              </w:pBdr>
              <w:autoSpaceDE/>
              <w:autoSpaceDN/>
              <w:rPr>
                <w:snapToGrid w:val="0"/>
              </w:rPr>
            </w:pPr>
          </w:p>
          <w:p w14:paraId="2931FD69" w14:textId="77777777" w:rsidR="00C55973" w:rsidRPr="001E479B" w:rsidRDefault="00C55973" w:rsidP="00DC2F48">
            <w:pPr>
              <w:pBdr>
                <w:bottom w:val="single" w:sz="12" w:space="1" w:color="auto"/>
              </w:pBdr>
              <w:autoSpaceDE/>
              <w:autoSpaceDN/>
              <w:rPr>
                <w:snapToGrid w:val="0"/>
              </w:rPr>
            </w:pPr>
          </w:p>
          <w:p w14:paraId="7DD374CA" w14:textId="77777777" w:rsidR="00C55973" w:rsidRPr="001E479B" w:rsidRDefault="00C55973" w:rsidP="00DC2F48">
            <w:pPr>
              <w:autoSpaceDE/>
              <w:autoSpaceDN/>
              <w:rPr>
                <w:snapToGrid w:val="0"/>
              </w:rPr>
            </w:pPr>
            <w:r w:rsidRPr="001E479B">
              <w:rPr>
                <w:snapToGrid w:val="0"/>
              </w:rPr>
              <w:t>PRINT NAME</w:t>
            </w:r>
          </w:p>
          <w:p w14:paraId="34346CCF" w14:textId="77777777" w:rsidR="00C55973" w:rsidRPr="001E479B" w:rsidRDefault="00C55973" w:rsidP="00DC2F48">
            <w:pPr>
              <w:pBdr>
                <w:bottom w:val="single" w:sz="12" w:space="1" w:color="auto"/>
              </w:pBdr>
              <w:autoSpaceDE/>
              <w:autoSpaceDN/>
              <w:rPr>
                <w:snapToGrid w:val="0"/>
              </w:rPr>
            </w:pPr>
          </w:p>
          <w:p w14:paraId="5A3F0BC0" w14:textId="77777777" w:rsidR="00C55973" w:rsidRPr="001E479B" w:rsidRDefault="00C55973" w:rsidP="00DC2F48">
            <w:pPr>
              <w:pBdr>
                <w:bottom w:val="single" w:sz="12" w:space="1" w:color="auto"/>
              </w:pBdr>
              <w:autoSpaceDE/>
              <w:autoSpaceDN/>
              <w:rPr>
                <w:snapToGrid w:val="0"/>
              </w:rPr>
            </w:pPr>
          </w:p>
          <w:p w14:paraId="3FB2BAB0" w14:textId="77777777" w:rsidR="00C55973" w:rsidRPr="001E479B" w:rsidRDefault="00C55973" w:rsidP="00DC2F48">
            <w:pPr>
              <w:autoSpaceDE/>
              <w:autoSpaceDN/>
              <w:rPr>
                <w:snapToGrid w:val="0"/>
              </w:rPr>
            </w:pPr>
            <w:r w:rsidRPr="001E479B">
              <w:rPr>
                <w:snapToGrid w:val="0"/>
              </w:rPr>
              <w:t>ADDRESS</w:t>
            </w:r>
          </w:p>
          <w:p w14:paraId="46B0C808" w14:textId="77777777" w:rsidR="00C55973" w:rsidRPr="001E479B" w:rsidRDefault="00C55973" w:rsidP="00DC2F48">
            <w:pPr>
              <w:pBdr>
                <w:bottom w:val="single" w:sz="12" w:space="1" w:color="auto"/>
              </w:pBdr>
              <w:autoSpaceDE/>
              <w:autoSpaceDN/>
              <w:rPr>
                <w:snapToGrid w:val="0"/>
              </w:rPr>
            </w:pPr>
          </w:p>
          <w:p w14:paraId="06F6A96F" w14:textId="77777777" w:rsidR="00C55973" w:rsidRPr="001E479B" w:rsidRDefault="00C55973" w:rsidP="00DC2F48">
            <w:pPr>
              <w:pBdr>
                <w:bottom w:val="single" w:sz="12" w:space="1" w:color="auto"/>
              </w:pBdr>
              <w:autoSpaceDE/>
              <w:autoSpaceDN/>
              <w:rPr>
                <w:snapToGrid w:val="0"/>
              </w:rPr>
            </w:pPr>
          </w:p>
          <w:p w14:paraId="3FCEC896" w14:textId="77777777" w:rsidR="00C55973" w:rsidRPr="001E479B" w:rsidRDefault="00C55973" w:rsidP="00DC2F48">
            <w:pPr>
              <w:autoSpaceDE/>
              <w:autoSpaceDN/>
              <w:rPr>
                <w:snapToGrid w:val="0"/>
              </w:rPr>
            </w:pPr>
            <w:r w:rsidRPr="001E479B">
              <w:rPr>
                <w:snapToGrid w:val="0"/>
              </w:rPr>
              <w:t>EMPLOYER</w:t>
            </w:r>
          </w:p>
        </w:tc>
      </w:tr>
    </w:tbl>
    <w:p w14:paraId="319DACB7" w14:textId="77777777" w:rsidR="00C55973" w:rsidRPr="001E479B" w:rsidRDefault="00C55973" w:rsidP="00C55973">
      <w:pPr>
        <w:autoSpaceDE/>
        <w:autoSpaceDN/>
        <w:rPr>
          <w:sz w:val="20"/>
        </w:rPr>
      </w:pPr>
    </w:p>
    <w:p w14:paraId="418142E3" w14:textId="77777777" w:rsidR="00C55973" w:rsidRDefault="00C55973" w:rsidP="007D41D9">
      <w:pPr>
        <w:pStyle w:val="p14"/>
        <w:rPr>
          <w:sz w:val="26"/>
          <w:szCs w:val="26"/>
        </w:rPr>
        <w:sectPr w:rsidR="00C55973" w:rsidSect="00D83182">
          <w:pgSz w:w="12240" w:h="15840"/>
          <w:pgMar w:top="1440" w:right="1440" w:bottom="1440" w:left="1440" w:header="720" w:footer="720" w:gutter="0"/>
          <w:cols w:space="720"/>
          <w:titlePg/>
        </w:sectPr>
      </w:pPr>
    </w:p>
    <w:p w14:paraId="78B5C0D5" w14:textId="77777777" w:rsidR="00C55973" w:rsidRPr="00387DA0" w:rsidRDefault="00C55973" w:rsidP="00C55973">
      <w:pPr>
        <w:jc w:val="center"/>
        <w:rPr>
          <w:szCs w:val="26"/>
        </w:rPr>
      </w:pPr>
      <w:r w:rsidRPr="00387DA0">
        <w:rPr>
          <w:b/>
          <w:szCs w:val="26"/>
          <w:u w:val="single"/>
        </w:rPr>
        <w:lastRenderedPageBreak/>
        <w:t xml:space="preserve">APPENDIX </w:t>
      </w:r>
      <w:r>
        <w:rPr>
          <w:b/>
          <w:szCs w:val="26"/>
          <w:u w:val="single"/>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7639"/>
      </w:tblGrid>
      <w:tr w:rsidR="00C55973" w:rsidRPr="00387DA0" w14:paraId="5934F72F" w14:textId="77777777" w:rsidTr="00DC2F48">
        <w:trPr>
          <w:tblHeader/>
        </w:trPr>
        <w:tc>
          <w:tcPr>
            <w:tcW w:w="9576" w:type="dxa"/>
            <w:gridSpan w:val="2"/>
          </w:tcPr>
          <w:p w14:paraId="6FB3A104" w14:textId="77777777" w:rsidR="00C55973" w:rsidRPr="00387DA0" w:rsidRDefault="00C55973" w:rsidP="00DC2F48">
            <w:pPr>
              <w:jc w:val="center"/>
              <w:rPr>
                <w:b/>
                <w:szCs w:val="26"/>
              </w:rPr>
            </w:pPr>
            <w:r w:rsidRPr="00387DA0">
              <w:rPr>
                <w:b/>
                <w:szCs w:val="26"/>
              </w:rPr>
              <w:t xml:space="preserve">Subsections of 52 Pa. Code Chapter 63 That Are Waived in </w:t>
            </w:r>
            <w:r w:rsidRPr="00387DA0">
              <w:rPr>
                <w:b/>
                <w:bCs/>
                <w:szCs w:val="26"/>
              </w:rPr>
              <w:t>Wire Centers in Verizon’s Petition Area That Are Granted Competitive Reclassification</w:t>
            </w:r>
          </w:p>
        </w:tc>
      </w:tr>
      <w:tr w:rsidR="00C55973" w:rsidRPr="00387DA0" w14:paraId="1F74C19D" w14:textId="77777777" w:rsidTr="00DC2F48">
        <w:trPr>
          <w:tblHeader/>
        </w:trPr>
        <w:tc>
          <w:tcPr>
            <w:tcW w:w="1728" w:type="dxa"/>
          </w:tcPr>
          <w:p w14:paraId="5FFBB318" w14:textId="77777777" w:rsidR="00C55973" w:rsidRPr="00387DA0" w:rsidRDefault="00C55973" w:rsidP="00DC2F48">
            <w:pPr>
              <w:jc w:val="center"/>
              <w:rPr>
                <w:szCs w:val="26"/>
              </w:rPr>
            </w:pPr>
            <w:r w:rsidRPr="00387DA0">
              <w:rPr>
                <w:szCs w:val="26"/>
              </w:rPr>
              <w:t>Subchapter</w:t>
            </w:r>
          </w:p>
        </w:tc>
        <w:tc>
          <w:tcPr>
            <w:tcW w:w="7848" w:type="dxa"/>
          </w:tcPr>
          <w:p w14:paraId="56128492" w14:textId="77777777" w:rsidR="00C55973" w:rsidRPr="00387DA0" w:rsidRDefault="00C55973" w:rsidP="00DC2F48">
            <w:pPr>
              <w:jc w:val="center"/>
              <w:rPr>
                <w:szCs w:val="26"/>
              </w:rPr>
            </w:pPr>
            <w:r w:rsidRPr="00387DA0">
              <w:rPr>
                <w:szCs w:val="26"/>
              </w:rPr>
              <w:t>Sections</w:t>
            </w:r>
          </w:p>
        </w:tc>
      </w:tr>
      <w:tr w:rsidR="00C55973" w:rsidRPr="00387DA0" w14:paraId="1825ED20" w14:textId="77777777" w:rsidTr="00DC2F48">
        <w:tc>
          <w:tcPr>
            <w:tcW w:w="1728" w:type="dxa"/>
          </w:tcPr>
          <w:p w14:paraId="5D345F14" w14:textId="77777777" w:rsidR="00C55973" w:rsidRPr="00387DA0" w:rsidRDefault="00C55973" w:rsidP="00DC2F48">
            <w:pPr>
              <w:spacing w:after="200"/>
              <w:jc w:val="center"/>
              <w:rPr>
                <w:szCs w:val="26"/>
              </w:rPr>
            </w:pPr>
          </w:p>
          <w:p w14:paraId="3D306133" w14:textId="77777777" w:rsidR="00C55973" w:rsidRPr="00387DA0" w:rsidRDefault="00C55973" w:rsidP="00DC2F48">
            <w:pPr>
              <w:spacing w:after="200"/>
              <w:jc w:val="center"/>
              <w:rPr>
                <w:szCs w:val="26"/>
              </w:rPr>
            </w:pPr>
            <w:r w:rsidRPr="00387DA0">
              <w:rPr>
                <w:szCs w:val="26"/>
              </w:rPr>
              <w:t xml:space="preserve">B </w:t>
            </w:r>
          </w:p>
        </w:tc>
        <w:tc>
          <w:tcPr>
            <w:tcW w:w="7848" w:type="dxa"/>
          </w:tcPr>
          <w:p w14:paraId="040DC0B1" w14:textId="77777777" w:rsidR="00C55973" w:rsidRPr="00387DA0" w:rsidRDefault="00C55973" w:rsidP="00DC2F48">
            <w:pPr>
              <w:rPr>
                <w:szCs w:val="26"/>
              </w:rPr>
            </w:pPr>
          </w:p>
          <w:p w14:paraId="1EA5EDA4" w14:textId="77777777" w:rsidR="00C55973" w:rsidRDefault="00C55973" w:rsidP="00DC2F48">
            <w:pPr>
              <w:rPr>
                <w:szCs w:val="26"/>
              </w:rPr>
            </w:pPr>
            <w:r w:rsidRPr="00387DA0">
              <w:rPr>
                <w:szCs w:val="26"/>
              </w:rPr>
              <w:t>Section 63.12 (Minimizing interference and inductive effects)</w:t>
            </w:r>
          </w:p>
          <w:p w14:paraId="5E9A6DEA" w14:textId="77777777" w:rsidR="00C55973" w:rsidRPr="00387DA0" w:rsidRDefault="00C55973" w:rsidP="00DC2F48">
            <w:pPr>
              <w:rPr>
                <w:szCs w:val="26"/>
              </w:rPr>
            </w:pPr>
            <w:r w:rsidRPr="00387DA0">
              <w:rPr>
                <w:szCs w:val="26"/>
              </w:rPr>
              <w:t>Section 63.16 (Traffic measurements)</w:t>
            </w:r>
          </w:p>
          <w:p w14:paraId="657792D5" w14:textId="77777777" w:rsidR="00C55973" w:rsidRPr="00387DA0" w:rsidRDefault="00C55973" w:rsidP="00DC2F48">
            <w:pPr>
              <w:rPr>
                <w:szCs w:val="26"/>
              </w:rPr>
            </w:pPr>
            <w:r w:rsidRPr="00387DA0">
              <w:rPr>
                <w:szCs w:val="26"/>
              </w:rPr>
              <w:t>Section 63.17[Reserved]</w:t>
            </w:r>
          </w:p>
          <w:p w14:paraId="3748D3A4" w14:textId="77777777" w:rsidR="00C55973" w:rsidRPr="00387DA0" w:rsidRDefault="00C55973" w:rsidP="00DC2F48">
            <w:pPr>
              <w:rPr>
                <w:szCs w:val="26"/>
              </w:rPr>
            </w:pPr>
            <w:r w:rsidRPr="00387DA0">
              <w:rPr>
                <w:szCs w:val="26"/>
              </w:rPr>
              <w:t>Section 63.18(Multi party line subscribers)</w:t>
            </w:r>
          </w:p>
          <w:p w14:paraId="7FEC0162" w14:textId="77777777" w:rsidR="00C55973" w:rsidRPr="00387DA0" w:rsidRDefault="00C55973" w:rsidP="00DC2F48">
            <w:pPr>
              <w:rPr>
                <w:szCs w:val="26"/>
              </w:rPr>
            </w:pPr>
            <w:r w:rsidRPr="00387DA0">
              <w:rPr>
                <w:szCs w:val="26"/>
              </w:rPr>
              <w:t>Section 63.19(Interoffice lines)</w:t>
            </w:r>
          </w:p>
          <w:p w14:paraId="1BFDFF65" w14:textId="77777777" w:rsidR="00C55973" w:rsidRPr="00387DA0" w:rsidRDefault="00C55973" w:rsidP="00DC2F48">
            <w:pPr>
              <w:rPr>
                <w:szCs w:val="26"/>
              </w:rPr>
            </w:pPr>
            <w:r w:rsidRPr="00387DA0">
              <w:rPr>
                <w:szCs w:val="26"/>
              </w:rPr>
              <w:t>Section 63.21(Directories)</w:t>
            </w:r>
          </w:p>
          <w:p w14:paraId="7A3B83A7" w14:textId="77777777" w:rsidR="00C55973" w:rsidRPr="00387DA0" w:rsidRDefault="00C55973" w:rsidP="00DC2F48">
            <w:pPr>
              <w:ind w:left="432" w:hanging="432"/>
              <w:rPr>
                <w:szCs w:val="26"/>
              </w:rPr>
            </w:pPr>
            <w:r w:rsidRPr="00387DA0">
              <w:rPr>
                <w:szCs w:val="26"/>
              </w:rPr>
              <w:t>Section 63.23(Construction and maintenance safety standards for facilities)*</w:t>
            </w:r>
          </w:p>
          <w:p w14:paraId="5836A630" w14:textId="77777777" w:rsidR="00C55973" w:rsidRPr="00387DA0" w:rsidRDefault="00C55973" w:rsidP="00DC2F48">
            <w:pPr>
              <w:rPr>
                <w:szCs w:val="26"/>
              </w:rPr>
            </w:pPr>
            <w:r w:rsidRPr="00387DA0">
              <w:rPr>
                <w:szCs w:val="26"/>
              </w:rPr>
              <w:t>Section 63.24(Service interruptions)</w:t>
            </w:r>
          </w:p>
          <w:p w14:paraId="4392577A" w14:textId="77777777" w:rsidR="00C55973" w:rsidRPr="00387DA0" w:rsidRDefault="00C55973" w:rsidP="00DC2F48">
            <w:pPr>
              <w:rPr>
                <w:szCs w:val="26"/>
              </w:rPr>
            </w:pPr>
          </w:p>
          <w:p w14:paraId="6032CD91" w14:textId="77777777" w:rsidR="00C55973" w:rsidRPr="00387DA0" w:rsidRDefault="00C55973" w:rsidP="00DC2F48">
            <w:pPr>
              <w:rPr>
                <w:szCs w:val="26"/>
              </w:rPr>
            </w:pPr>
            <w:r w:rsidRPr="00387DA0">
              <w:rPr>
                <w:szCs w:val="26"/>
              </w:rPr>
              <w:t>*Waiver is conditioned upon the requirement that Verizon shall construct and maintain its public utility equipment, facilities, and wire or cable crossings in accordance with the safety standards set forth in the current National Electrical Safety Code.</w:t>
            </w:r>
          </w:p>
          <w:p w14:paraId="1805233F" w14:textId="77777777" w:rsidR="00C55973" w:rsidRPr="00387DA0" w:rsidRDefault="00C55973" w:rsidP="00DC2F48">
            <w:pPr>
              <w:rPr>
                <w:szCs w:val="26"/>
              </w:rPr>
            </w:pPr>
          </w:p>
        </w:tc>
      </w:tr>
      <w:tr w:rsidR="00C55973" w:rsidRPr="00387DA0" w14:paraId="520760DB" w14:textId="77777777" w:rsidTr="00DC2F48">
        <w:tc>
          <w:tcPr>
            <w:tcW w:w="1728" w:type="dxa"/>
          </w:tcPr>
          <w:p w14:paraId="020691D0" w14:textId="77777777" w:rsidR="00C55973" w:rsidRPr="00387DA0" w:rsidRDefault="00C55973" w:rsidP="00DC2F48">
            <w:pPr>
              <w:spacing w:after="200"/>
              <w:jc w:val="center"/>
              <w:rPr>
                <w:szCs w:val="26"/>
              </w:rPr>
            </w:pPr>
          </w:p>
          <w:p w14:paraId="511479FB" w14:textId="77777777" w:rsidR="00C55973" w:rsidRPr="00387DA0" w:rsidRDefault="00C55973" w:rsidP="00DC2F48">
            <w:pPr>
              <w:spacing w:after="200"/>
              <w:jc w:val="center"/>
              <w:rPr>
                <w:szCs w:val="26"/>
              </w:rPr>
            </w:pPr>
            <w:r w:rsidRPr="00387DA0">
              <w:rPr>
                <w:szCs w:val="26"/>
              </w:rPr>
              <w:t xml:space="preserve">C </w:t>
            </w:r>
          </w:p>
        </w:tc>
        <w:tc>
          <w:tcPr>
            <w:tcW w:w="7848" w:type="dxa"/>
          </w:tcPr>
          <w:p w14:paraId="19986C7A" w14:textId="77777777" w:rsidR="00C55973" w:rsidRPr="00387DA0" w:rsidRDefault="00C55973" w:rsidP="00DC2F48">
            <w:pPr>
              <w:rPr>
                <w:szCs w:val="26"/>
              </w:rPr>
            </w:pPr>
          </w:p>
          <w:p w14:paraId="07864A15" w14:textId="77777777" w:rsidR="00C55973" w:rsidRPr="00387DA0" w:rsidRDefault="00C55973" w:rsidP="00DC2F48">
            <w:pPr>
              <w:rPr>
                <w:szCs w:val="26"/>
              </w:rPr>
            </w:pPr>
            <w:r w:rsidRPr="00387DA0">
              <w:rPr>
                <w:szCs w:val="26"/>
              </w:rPr>
              <w:t>Section 63.31 (Classification of public utilities)</w:t>
            </w:r>
          </w:p>
          <w:p w14:paraId="45D4BF3A" w14:textId="77777777" w:rsidR="00C55973" w:rsidRPr="00387DA0" w:rsidRDefault="00C55973" w:rsidP="00DC2F48">
            <w:pPr>
              <w:rPr>
                <w:szCs w:val="26"/>
              </w:rPr>
            </w:pPr>
            <w:r w:rsidRPr="00387DA0">
              <w:rPr>
                <w:szCs w:val="26"/>
              </w:rPr>
              <w:t>Section 63.32(System of accounts)</w:t>
            </w:r>
          </w:p>
          <w:p w14:paraId="0DB8E55F" w14:textId="77777777" w:rsidR="00C55973" w:rsidRPr="00387DA0" w:rsidRDefault="00C55973" w:rsidP="00DC2F48">
            <w:pPr>
              <w:rPr>
                <w:szCs w:val="26"/>
              </w:rPr>
            </w:pPr>
            <w:r w:rsidRPr="00387DA0">
              <w:rPr>
                <w:szCs w:val="26"/>
              </w:rPr>
              <w:t>Section 63.33(Integrity of reserve accounts to be preserved)</w:t>
            </w:r>
          </w:p>
          <w:p w14:paraId="09442410" w14:textId="77777777" w:rsidR="00C55973" w:rsidRPr="00387DA0" w:rsidRDefault="00C55973" w:rsidP="00DC2F48">
            <w:pPr>
              <w:rPr>
                <w:szCs w:val="26"/>
              </w:rPr>
            </w:pPr>
            <w:r w:rsidRPr="00387DA0">
              <w:rPr>
                <w:szCs w:val="26"/>
              </w:rPr>
              <w:t>Section 63.34(Reclassification of telephone plant to original cost)</w:t>
            </w:r>
          </w:p>
          <w:p w14:paraId="16283648" w14:textId="77777777" w:rsidR="00C55973" w:rsidRPr="00387DA0" w:rsidRDefault="00C55973" w:rsidP="00DC2F48">
            <w:pPr>
              <w:rPr>
                <w:szCs w:val="26"/>
              </w:rPr>
            </w:pPr>
            <w:r w:rsidRPr="00387DA0">
              <w:rPr>
                <w:szCs w:val="26"/>
              </w:rPr>
              <w:t>Section 63.35(Preservation of records)</w:t>
            </w:r>
          </w:p>
          <w:p w14:paraId="1FB7320A" w14:textId="77777777" w:rsidR="00C55973" w:rsidRPr="00387DA0" w:rsidRDefault="00C55973" w:rsidP="00DC2F48">
            <w:pPr>
              <w:rPr>
                <w:szCs w:val="26"/>
              </w:rPr>
            </w:pPr>
          </w:p>
        </w:tc>
      </w:tr>
      <w:tr w:rsidR="00C55973" w:rsidRPr="00387DA0" w14:paraId="786FD358" w14:textId="77777777" w:rsidTr="00DC2F48">
        <w:tc>
          <w:tcPr>
            <w:tcW w:w="1728" w:type="dxa"/>
          </w:tcPr>
          <w:p w14:paraId="001B8662" w14:textId="77777777" w:rsidR="00C55973" w:rsidRPr="00387DA0" w:rsidRDefault="00C55973" w:rsidP="00DC2F48">
            <w:pPr>
              <w:spacing w:after="200"/>
              <w:jc w:val="center"/>
              <w:rPr>
                <w:szCs w:val="26"/>
              </w:rPr>
            </w:pPr>
          </w:p>
          <w:p w14:paraId="3AFF0264" w14:textId="77777777" w:rsidR="00C55973" w:rsidRPr="00387DA0" w:rsidRDefault="00C55973" w:rsidP="00DC2F48">
            <w:pPr>
              <w:spacing w:after="200"/>
              <w:jc w:val="center"/>
              <w:rPr>
                <w:szCs w:val="26"/>
              </w:rPr>
            </w:pPr>
            <w:r w:rsidRPr="00387DA0">
              <w:rPr>
                <w:szCs w:val="26"/>
              </w:rPr>
              <w:t xml:space="preserve">E </w:t>
            </w:r>
          </w:p>
        </w:tc>
        <w:tc>
          <w:tcPr>
            <w:tcW w:w="7848" w:type="dxa"/>
          </w:tcPr>
          <w:p w14:paraId="640B9749" w14:textId="77777777" w:rsidR="00C55973" w:rsidRPr="00387DA0" w:rsidRDefault="00C55973" w:rsidP="00DC2F48">
            <w:pPr>
              <w:rPr>
                <w:szCs w:val="26"/>
              </w:rPr>
            </w:pPr>
          </w:p>
          <w:p w14:paraId="2BB7B565" w14:textId="77777777" w:rsidR="00C55973" w:rsidRPr="00387DA0" w:rsidRDefault="00C55973" w:rsidP="00DC2F48">
            <w:pPr>
              <w:rPr>
                <w:szCs w:val="26"/>
              </w:rPr>
            </w:pPr>
            <w:r w:rsidRPr="00387DA0">
              <w:rPr>
                <w:szCs w:val="26"/>
              </w:rPr>
              <w:t>Section 63.51 (Purpose)</w:t>
            </w:r>
          </w:p>
          <w:p w14:paraId="41B6B06B" w14:textId="77777777" w:rsidR="00C55973" w:rsidRPr="00387DA0" w:rsidRDefault="00C55973" w:rsidP="00DC2F48">
            <w:pPr>
              <w:rPr>
                <w:szCs w:val="26"/>
              </w:rPr>
            </w:pPr>
            <w:r w:rsidRPr="00387DA0">
              <w:rPr>
                <w:szCs w:val="26"/>
              </w:rPr>
              <w:t>Section 63.52 (Exceptions)</w:t>
            </w:r>
          </w:p>
          <w:p w14:paraId="189AD2B6" w14:textId="77777777" w:rsidR="00C55973" w:rsidRPr="00387DA0" w:rsidRDefault="00C55973" w:rsidP="00DC2F48">
            <w:pPr>
              <w:rPr>
                <w:szCs w:val="26"/>
              </w:rPr>
            </w:pPr>
            <w:r w:rsidRPr="00387DA0">
              <w:rPr>
                <w:szCs w:val="26"/>
              </w:rPr>
              <w:t>Section 63.53 (General provisions)</w:t>
            </w:r>
          </w:p>
          <w:p w14:paraId="069261CB" w14:textId="77777777" w:rsidR="00C55973" w:rsidRPr="00387DA0" w:rsidRDefault="00C55973" w:rsidP="00DC2F48">
            <w:pPr>
              <w:rPr>
                <w:szCs w:val="26"/>
              </w:rPr>
            </w:pPr>
            <w:r w:rsidRPr="00387DA0">
              <w:rPr>
                <w:szCs w:val="26"/>
              </w:rPr>
              <w:t>Section 63.54 (Record retention)</w:t>
            </w:r>
          </w:p>
          <w:p w14:paraId="38BE5BC6" w14:textId="77777777" w:rsidR="00C55973" w:rsidRPr="00387DA0" w:rsidRDefault="00C55973" w:rsidP="00DC2F48">
            <w:pPr>
              <w:rPr>
                <w:szCs w:val="26"/>
              </w:rPr>
            </w:pPr>
            <w:r w:rsidRPr="00387DA0">
              <w:rPr>
                <w:szCs w:val="26"/>
              </w:rPr>
              <w:t>Section 63.56(a)-(e)(Measurements)</w:t>
            </w:r>
          </w:p>
          <w:p w14:paraId="79D38927" w14:textId="77777777" w:rsidR="00C55973" w:rsidRPr="00387DA0" w:rsidRDefault="00C55973" w:rsidP="00DC2F48">
            <w:pPr>
              <w:rPr>
                <w:szCs w:val="26"/>
              </w:rPr>
            </w:pPr>
            <w:r w:rsidRPr="00387DA0">
              <w:rPr>
                <w:szCs w:val="26"/>
              </w:rPr>
              <w:t xml:space="preserve">Section 63.58(Installation of service)* </w:t>
            </w:r>
          </w:p>
          <w:p w14:paraId="43418F49" w14:textId="77777777" w:rsidR="00C55973" w:rsidRPr="00387DA0" w:rsidRDefault="00C55973" w:rsidP="00DC2F48">
            <w:pPr>
              <w:rPr>
                <w:szCs w:val="26"/>
              </w:rPr>
            </w:pPr>
            <w:r w:rsidRPr="00387DA0">
              <w:rPr>
                <w:szCs w:val="26"/>
              </w:rPr>
              <w:t xml:space="preserve">Section 63.59(Operator-handled calls)** </w:t>
            </w:r>
          </w:p>
          <w:p w14:paraId="4522AF92" w14:textId="77777777" w:rsidR="00C55973" w:rsidRPr="00387DA0" w:rsidRDefault="00C55973" w:rsidP="00DC2F48">
            <w:pPr>
              <w:rPr>
                <w:szCs w:val="26"/>
              </w:rPr>
            </w:pPr>
            <w:r w:rsidRPr="00387DA0">
              <w:rPr>
                <w:szCs w:val="26"/>
              </w:rPr>
              <w:t xml:space="preserve">Section 63.60(Automatic Dialing Announcing Devices (ADAD)) </w:t>
            </w:r>
          </w:p>
          <w:p w14:paraId="5EB65BE3" w14:textId="77777777" w:rsidR="00C55973" w:rsidRPr="00387DA0" w:rsidRDefault="00C55973" w:rsidP="00DC2F48">
            <w:pPr>
              <w:rPr>
                <w:szCs w:val="26"/>
              </w:rPr>
            </w:pPr>
            <w:r w:rsidRPr="00387DA0">
              <w:rPr>
                <w:szCs w:val="26"/>
              </w:rPr>
              <w:t xml:space="preserve">Section 63.61(Local dial service) </w:t>
            </w:r>
          </w:p>
          <w:p w14:paraId="14F00A3B" w14:textId="77777777" w:rsidR="00C55973" w:rsidRPr="00387DA0" w:rsidRDefault="00C55973" w:rsidP="00DC2F48">
            <w:pPr>
              <w:rPr>
                <w:szCs w:val="26"/>
              </w:rPr>
            </w:pPr>
            <w:r w:rsidRPr="00387DA0">
              <w:rPr>
                <w:szCs w:val="26"/>
              </w:rPr>
              <w:t>Section 63.62(Direct distance dial service)</w:t>
            </w:r>
          </w:p>
          <w:p w14:paraId="57C52916" w14:textId="77777777" w:rsidR="00C55973" w:rsidRPr="00387DA0" w:rsidRDefault="00C55973" w:rsidP="00DC2F48">
            <w:pPr>
              <w:rPr>
                <w:szCs w:val="26"/>
              </w:rPr>
            </w:pPr>
            <w:r w:rsidRPr="00387DA0">
              <w:rPr>
                <w:szCs w:val="26"/>
              </w:rPr>
              <w:t>Section 63.63(Transmission requirements and standards)</w:t>
            </w:r>
          </w:p>
          <w:p w14:paraId="41C61EEA" w14:textId="77777777" w:rsidR="00C55973" w:rsidRPr="00387DA0" w:rsidRDefault="00C55973" w:rsidP="00DC2F48">
            <w:pPr>
              <w:rPr>
                <w:szCs w:val="26"/>
              </w:rPr>
            </w:pPr>
            <w:r w:rsidRPr="00387DA0">
              <w:rPr>
                <w:szCs w:val="26"/>
              </w:rPr>
              <w:t xml:space="preserve">Section 63.64(Metering inspections and tests) </w:t>
            </w:r>
          </w:p>
          <w:p w14:paraId="689CBC64" w14:textId="77777777" w:rsidR="00C55973" w:rsidRPr="00387DA0" w:rsidRDefault="00C55973" w:rsidP="00DC2F48">
            <w:pPr>
              <w:rPr>
                <w:szCs w:val="26"/>
              </w:rPr>
            </w:pPr>
            <w:r w:rsidRPr="00387DA0">
              <w:rPr>
                <w:szCs w:val="26"/>
              </w:rPr>
              <w:t xml:space="preserve">Section 63.65(Safety)  </w:t>
            </w:r>
          </w:p>
          <w:p w14:paraId="5FF429CF" w14:textId="77777777" w:rsidR="00C55973" w:rsidRPr="00387DA0" w:rsidRDefault="00C55973" w:rsidP="00DC2F48">
            <w:pPr>
              <w:rPr>
                <w:szCs w:val="26"/>
              </w:rPr>
            </w:pPr>
          </w:p>
          <w:p w14:paraId="34F4D01A" w14:textId="77777777" w:rsidR="00C55973" w:rsidRPr="00387DA0" w:rsidRDefault="00C55973" w:rsidP="00DC2F48">
            <w:pPr>
              <w:rPr>
                <w:szCs w:val="26"/>
              </w:rPr>
            </w:pPr>
            <w:r w:rsidRPr="00387DA0">
              <w:rPr>
                <w:szCs w:val="26"/>
              </w:rPr>
              <w:t>*Waiver granted conditionally upon the requirement that Verizon include in its Product Guide applicable to competitive services, its rules regarding the timing of service installations and any commitments that Verizon is willing to make to customers on the subject.</w:t>
            </w:r>
          </w:p>
          <w:p w14:paraId="2EE0507C" w14:textId="77777777" w:rsidR="00C55973" w:rsidRPr="00387DA0" w:rsidRDefault="00C55973" w:rsidP="00DC2F48">
            <w:pPr>
              <w:rPr>
                <w:szCs w:val="26"/>
              </w:rPr>
            </w:pPr>
          </w:p>
          <w:p w14:paraId="6E7C731F" w14:textId="77777777" w:rsidR="00C55973" w:rsidRPr="00387DA0" w:rsidRDefault="00C55973" w:rsidP="00DC2F48">
            <w:pPr>
              <w:rPr>
                <w:szCs w:val="26"/>
              </w:rPr>
            </w:pPr>
            <w:r w:rsidRPr="00387DA0">
              <w:rPr>
                <w:szCs w:val="26"/>
              </w:rPr>
              <w:lastRenderedPageBreak/>
              <w:t xml:space="preserve">**Pursuant to a prior ruling, a waiver is already in place for Section 63.59(b) until a rulemaking is undertaken.  </w:t>
            </w:r>
            <w:r w:rsidRPr="00387DA0">
              <w:rPr>
                <w:i/>
                <w:szCs w:val="26"/>
              </w:rPr>
              <w:t>See Pa. PUC, Law Bureau Prosecutory Staff v. Verizon PA</w:t>
            </w:r>
            <w:r w:rsidRPr="00387DA0">
              <w:rPr>
                <w:szCs w:val="26"/>
              </w:rPr>
              <w:t>, Docket No. M-2008-2077881 (Order entered October 12, 2012).</w:t>
            </w:r>
          </w:p>
          <w:p w14:paraId="37595071" w14:textId="77777777" w:rsidR="00C55973" w:rsidRPr="00387DA0" w:rsidRDefault="00C55973" w:rsidP="00DC2F48">
            <w:pPr>
              <w:rPr>
                <w:b/>
                <w:szCs w:val="26"/>
              </w:rPr>
            </w:pPr>
          </w:p>
        </w:tc>
      </w:tr>
      <w:tr w:rsidR="00C55973" w:rsidRPr="00387DA0" w14:paraId="03CCFA27" w14:textId="77777777" w:rsidTr="00DC2F48">
        <w:tc>
          <w:tcPr>
            <w:tcW w:w="1728" w:type="dxa"/>
          </w:tcPr>
          <w:p w14:paraId="750BBE11" w14:textId="77777777" w:rsidR="00C55973" w:rsidRPr="00387DA0" w:rsidRDefault="00C55973" w:rsidP="00DC2F48">
            <w:pPr>
              <w:spacing w:after="200"/>
              <w:jc w:val="center"/>
              <w:rPr>
                <w:szCs w:val="26"/>
              </w:rPr>
            </w:pPr>
          </w:p>
          <w:p w14:paraId="5E878FFB" w14:textId="77777777" w:rsidR="00C55973" w:rsidRPr="00387DA0" w:rsidRDefault="00C55973" w:rsidP="00DC2F48">
            <w:pPr>
              <w:spacing w:after="200"/>
              <w:jc w:val="center"/>
              <w:rPr>
                <w:szCs w:val="26"/>
              </w:rPr>
            </w:pPr>
            <w:r w:rsidRPr="00387DA0">
              <w:rPr>
                <w:szCs w:val="26"/>
              </w:rPr>
              <w:t>F</w:t>
            </w:r>
          </w:p>
        </w:tc>
        <w:tc>
          <w:tcPr>
            <w:tcW w:w="7848" w:type="dxa"/>
          </w:tcPr>
          <w:p w14:paraId="11AB6920" w14:textId="77777777" w:rsidR="00C55973" w:rsidRPr="00387DA0" w:rsidRDefault="00C55973" w:rsidP="00DC2F48">
            <w:pPr>
              <w:rPr>
                <w:szCs w:val="26"/>
              </w:rPr>
            </w:pPr>
          </w:p>
          <w:p w14:paraId="77ECBB66" w14:textId="77777777" w:rsidR="00C55973" w:rsidRPr="00387DA0" w:rsidRDefault="00C55973" w:rsidP="00DC2F48">
            <w:pPr>
              <w:rPr>
                <w:szCs w:val="26"/>
              </w:rPr>
            </w:pPr>
            <w:r w:rsidRPr="00387DA0">
              <w:rPr>
                <w:szCs w:val="26"/>
              </w:rPr>
              <w:t xml:space="preserve">Section 63.71(Definitions) </w:t>
            </w:r>
          </w:p>
          <w:p w14:paraId="4FDE42E5" w14:textId="77777777" w:rsidR="00C55973" w:rsidRPr="00387DA0" w:rsidRDefault="00C55973" w:rsidP="00DC2F48">
            <w:pPr>
              <w:rPr>
                <w:szCs w:val="26"/>
              </w:rPr>
            </w:pPr>
            <w:r w:rsidRPr="00387DA0">
              <w:rPr>
                <w:szCs w:val="26"/>
              </w:rPr>
              <w:t>Section 63.72(Traffic usage studies)</w:t>
            </w:r>
          </w:p>
          <w:p w14:paraId="1CB93B5D" w14:textId="77777777" w:rsidR="00C55973" w:rsidRPr="00387DA0" w:rsidRDefault="00C55973" w:rsidP="00DC2F48">
            <w:pPr>
              <w:rPr>
                <w:szCs w:val="26"/>
              </w:rPr>
            </w:pPr>
            <w:r w:rsidRPr="00387DA0">
              <w:rPr>
                <w:szCs w:val="26"/>
              </w:rPr>
              <w:t>Section 63.72a(InterLATA traffic studies)</w:t>
            </w:r>
          </w:p>
          <w:p w14:paraId="09270F0B" w14:textId="77777777" w:rsidR="00C55973" w:rsidRPr="00387DA0" w:rsidRDefault="00C55973" w:rsidP="00DC2F48">
            <w:pPr>
              <w:rPr>
                <w:szCs w:val="26"/>
              </w:rPr>
            </w:pPr>
            <w:r w:rsidRPr="00387DA0">
              <w:rPr>
                <w:szCs w:val="26"/>
              </w:rPr>
              <w:t>Section 63.73(Optional calling plans)</w:t>
            </w:r>
          </w:p>
          <w:p w14:paraId="3A78CB93" w14:textId="77777777" w:rsidR="00C55973" w:rsidRPr="00387DA0" w:rsidRDefault="00C55973" w:rsidP="00DC2F48">
            <w:pPr>
              <w:rPr>
                <w:szCs w:val="26"/>
              </w:rPr>
            </w:pPr>
            <w:r w:rsidRPr="00387DA0">
              <w:rPr>
                <w:szCs w:val="26"/>
              </w:rPr>
              <w:t>Section 63.74(EAS polls)</w:t>
            </w:r>
          </w:p>
          <w:p w14:paraId="4726912E" w14:textId="77777777" w:rsidR="00C55973" w:rsidRPr="00387DA0" w:rsidRDefault="00C55973" w:rsidP="00DC2F48">
            <w:pPr>
              <w:rPr>
                <w:szCs w:val="26"/>
              </w:rPr>
            </w:pPr>
            <w:r w:rsidRPr="00387DA0">
              <w:rPr>
                <w:szCs w:val="26"/>
              </w:rPr>
              <w:t>Section 63.75(Subscriber polls)</w:t>
            </w:r>
          </w:p>
          <w:p w14:paraId="2D9C7631" w14:textId="77777777" w:rsidR="00C55973" w:rsidRPr="00387DA0" w:rsidRDefault="00C55973" w:rsidP="00DC2F48">
            <w:pPr>
              <w:rPr>
                <w:szCs w:val="26"/>
              </w:rPr>
            </w:pPr>
            <w:r w:rsidRPr="00387DA0">
              <w:rPr>
                <w:szCs w:val="26"/>
              </w:rPr>
              <w:t>Section 63.76(EAS complaints)</w:t>
            </w:r>
          </w:p>
          <w:p w14:paraId="666EFF87" w14:textId="77777777" w:rsidR="00C55973" w:rsidRPr="00387DA0" w:rsidRDefault="00C55973" w:rsidP="00DC2F48">
            <w:pPr>
              <w:rPr>
                <w:szCs w:val="26"/>
              </w:rPr>
            </w:pPr>
            <w:r w:rsidRPr="00387DA0">
              <w:rPr>
                <w:szCs w:val="26"/>
              </w:rPr>
              <w:t>Section 63.77(Evaluation criteria)</w:t>
            </w:r>
          </w:p>
          <w:p w14:paraId="4B4DD40E" w14:textId="77777777" w:rsidR="00C55973" w:rsidRPr="00387DA0" w:rsidRDefault="00C55973" w:rsidP="00DC2F48">
            <w:pPr>
              <w:rPr>
                <w:szCs w:val="26"/>
              </w:rPr>
            </w:pPr>
          </w:p>
        </w:tc>
      </w:tr>
      <w:tr w:rsidR="00C55973" w:rsidRPr="00387DA0" w14:paraId="24B6DB86" w14:textId="77777777" w:rsidTr="00DC2F48">
        <w:tc>
          <w:tcPr>
            <w:tcW w:w="1728" w:type="dxa"/>
          </w:tcPr>
          <w:p w14:paraId="69A54E35" w14:textId="77777777" w:rsidR="00C55973" w:rsidRPr="00387DA0" w:rsidRDefault="00C55973" w:rsidP="00DC2F48">
            <w:pPr>
              <w:spacing w:after="200"/>
              <w:jc w:val="center"/>
              <w:rPr>
                <w:szCs w:val="26"/>
              </w:rPr>
            </w:pPr>
          </w:p>
          <w:p w14:paraId="05B62F42" w14:textId="77777777" w:rsidR="00C55973" w:rsidRPr="00387DA0" w:rsidRDefault="00C55973" w:rsidP="00DC2F48">
            <w:pPr>
              <w:spacing w:after="200"/>
              <w:jc w:val="center"/>
              <w:rPr>
                <w:szCs w:val="26"/>
              </w:rPr>
            </w:pPr>
            <w:r w:rsidRPr="00387DA0">
              <w:rPr>
                <w:szCs w:val="26"/>
              </w:rPr>
              <w:t>G</w:t>
            </w:r>
          </w:p>
        </w:tc>
        <w:tc>
          <w:tcPr>
            <w:tcW w:w="7848" w:type="dxa"/>
          </w:tcPr>
          <w:p w14:paraId="393FAEF3" w14:textId="77777777" w:rsidR="00C55973" w:rsidRPr="00387DA0" w:rsidRDefault="00C55973" w:rsidP="00DC2F48">
            <w:pPr>
              <w:rPr>
                <w:szCs w:val="26"/>
              </w:rPr>
            </w:pPr>
          </w:p>
          <w:p w14:paraId="5B276E0D" w14:textId="77777777" w:rsidR="00C55973" w:rsidRPr="00387DA0" w:rsidRDefault="00C55973" w:rsidP="00DC2F48">
            <w:pPr>
              <w:rPr>
                <w:szCs w:val="26"/>
              </w:rPr>
            </w:pPr>
            <w:r w:rsidRPr="00387DA0">
              <w:rPr>
                <w:szCs w:val="26"/>
              </w:rPr>
              <w:t>Section 63.91(Purpose)</w:t>
            </w:r>
          </w:p>
          <w:p w14:paraId="12B5D765" w14:textId="77777777" w:rsidR="00C55973" w:rsidRPr="00387DA0" w:rsidRDefault="00C55973" w:rsidP="00DC2F48">
            <w:pPr>
              <w:rPr>
                <w:szCs w:val="26"/>
              </w:rPr>
            </w:pPr>
            <w:r w:rsidRPr="00387DA0">
              <w:rPr>
                <w:szCs w:val="26"/>
              </w:rPr>
              <w:t>Section 63.92(Definitions)</w:t>
            </w:r>
          </w:p>
          <w:p w14:paraId="6514FC08" w14:textId="77777777" w:rsidR="00C55973" w:rsidRPr="00387DA0" w:rsidRDefault="00C55973" w:rsidP="00DC2F48">
            <w:pPr>
              <w:rPr>
                <w:szCs w:val="26"/>
              </w:rPr>
            </w:pPr>
            <w:r w:rsidRPr="00387DA0">
              <w:rPr>
                <w:szCs w:val="26"/>
              </w:rPr>
              <w:t>Section 63.93(Conditions of service)</w:t>
            </w:r>
          </w:p>
          <w:p w14:paraId="71159D8A" w14:textId="77777777" w:rsidR="00C55973" w:rsidRPr="00387DA0" w:rsidRDefault="00C55973" w:rsidP="00DC2F48">
            <w:pPr>
              <w:rPr>
                <w:szCs w:val="26"/>
              </w:rPr>
            </w:pPr>
            <w:r w:rsidRPr="00387DA0">
              <w:rPr>
                <w:szCs w:val="26"/>
              </w:rPr>
              <w:t>Section 63.94(Coin telephone requirements)</w:t>
            </w:r>
          </w:p>
          <w:p w14:paraId="6549A0C8" w14:textId="77777777" w:rsidR="00C55973" w:rsidRPr="00387DA0" w:rsidRDefault="00C55973" w:rsidP="00DC2F48">
            <w:pPr>
              <w:rPr>
                <w:szCs w:val="26"/>
              </w:rPr>
            </w:pPr>
            <w:r w:rsidRPr="00387DA0">
              <w:rPr>
                <w:szCs w:val="26"/>
              </w:rPr>
              <w:t>Section 63.95(Sufficiency of public telephone service)</w:t>
            </w:r>
          </w:p>
          <w:p w14:paraId="54A9F6FD" w14:textId="77777777" w:rsidR="00C55973" w:rsidRPr="00387DA0" w:rsidRDefault="00C55973" w:rsidP="00DC2F48">
            <w:pPr>
              <w:rPr>
                <w:szCs w:val="26"/>
              </w:rPr>
            </w:pPr>
            <w:r w:rsidRPr="00387DA0">
              <w:rPr>
                <w:szCs w:val="26"/>
              </w:rPr>
              <w:t>Section 63.96(Service requirements for coin telephones)</w:t>
            </w:r>
          </w:p>
          <w:p w14:paraId="17753C0D" w14:textId="77777777" w:rsidR="00C55973" w:rsidRPr="00387DA0" w:rsidRDefault="00C55973" w:rsidP="00DC2F48">
            <w:pPr>
              <w:rPr>
                <w:szCs w:val="26"/>
              </w:rPr>
            </w:pPr>
            <w:r w:rsidRPr="00387DA0">
              <w:rPr>
                <w:szCs w:val="26"/>
              </w:rPr>
              <w:t>Section 63.97[Reserved]</w:t>
            </w:r>
          </w:p>
          <w:p w14:paraId="078D8708" w14:textId="77777777" w:rsidR="00C55973" w:rsidRPr="00387DA0" w:rsidRDefault="00C55973" w:rsidP="00DC2F48">
            <w:pPr>
              <w:rPr>
                <w:szCs w:val="26"/>
              </w:rPr>
            </w:pPr>
            <w:r w:rsidRPr="00387DA0">
              <w:rPr>
                <w:szCs w:val="26"/>
              </w:rPr>
              <w:t>Section 63.98(Compliance)</w:t>
            </w:r>
          </w:p>
          <w:p w14:paraId="5B81FC3F" w14:textId="77777777" w:rsidR="00C55973" w:rsidRPr="00387DA0" w:rsidRDefault="00C55973" w:rsidP="00DC2F48">
            <w:pPr>
              <w:rPr>
                <w:szCs w:val="26"/>
              </w:rPr>
            </w:pPr>
          </w:p>
        </w:tc>
      </w:tr>
    </w:tbl>
    <w:p w14:paraId="161066F8" w14:textId="77777777" w:rsidR="00C55973" w:rsidRDefault="00C55973" w:rsidP="00C55973"/>
    <w:p w14:paraId="0A2681B5" w14:textId="77777777" w:rsidR="00C55973" w:rsidRDefault="00C55973" w:rsidP="007D41D9">
      <w:pPr>
        <w:pStyle w:val="p14"/>
        <w:rPr>
          <w:sz w:val="26"/>
          <w:szCs w:val="26"/>
        </w:rPr>
        <w:sectPr w:rsidR="00C55973">
          <w:footerReference w:type="default" r:id="rId13"/>
          <w:pgSz w:w="12240" w:h="15840"/>
          <w:pgMar w:top="1440" w:right="1440" w:bottom="1440" w:left="1440" w:header="720" w:footer="720" w:gutter="0"/>
          <w:cols w:space="720"/>
          <w:docGrid w:linePitch="360"/>
        </w:sectPr>
      </w:pPr>
    </w:p>
    <w:p w14:paraId="413961E8" w14:textId="77777777" w:rsidR="00C55973" w:rsidRPr="00387DA0" w:rsidRDefault="00C55973" w:rsidP="00C55973">
      <w:pPr>
        <w:jc w:val="center"/>
        <w:rPr>
          <w:szCs w:val="26"/>
        </w:rPr>
      </w:pPr>
      <w:r w:rsidRPr="00387DA0">
        <w:rPr>
          <w:b/>
          <w:szCs w:val="26"/>
          <w:u w:val="single"/>
        </w:rPr>
        <w:lastRenderedPageBreak/>
        <w:t xml:space="preserve">APPENDIX </w:t>
      </w:r>
      <w:r>
        <w:rPr>
          <w:b/>
          <w:szCs w:val="26"/>
          <w:u w:val="single"/>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638"/>
      </w:tblGrid>
      <w:tr w:rsidR="00C55973" w:rsidRPr="00387DA0" w14:paraId="7C73BD57" w14:textId="77777777" w:rsidTr="00DC2F48">
        <w:trPr>
          <w:tblHeader/>
        </w:trPr>
        <w:tc>
          <w:tcPr>
            <w:tcW w:w="9576" w:type="dxa"/>
            <w:gridSpan w:val="2"/>
          </w:tcPr>
          <w:p w14:paraId="516DCD8F" w14:textId="77777777" w:rsidR="00C55973" w:rsidRPr="00387DA0" w:rsidRDefault="00C55973" w:rsidP="00DC2F48">
            <w:pPr>
              <w:jc w:val="center"/>
              <w:rPr>
                <w:b/>
                <w:szCs w:val="26"/>
              </w:rPr>
            </w:pPr>
            <w:r w:rsidRPr="00387DA0">
              <w:rPr>
                <w:b/>
                <w:szCs w:val="26"/>
              </w:rPr>
              <w:t xml:space="preserve">Subsections of 52 Pa. Code Chapter 64 That Are Waived in </w:t>
            </w:r>
            <w:r w:rsidRPr="00387DA0">
              <w:rPr>
                <w:b/>
                <w:bCs/>
                <w:szCs w:val="26"/>
              </w:rPr>
              <w:t>Wire Centers in Verizon’s Petition Area That Are Granted Competitive Reclassification</w:t>
            </w:r>
          </w:p>
        </w:tc>
      </w:tr>
      <w:tr w:rsidR="00C55973" w:rsidRPr="00387DA0" w14:paraId="79D5664A" w14:textId="77777777" w:rsidTr="00DC2F48">
        <w:trPr>
          <w:tblHeader/>
        </w:trPr>
        <w:tc>
          <w:tcPr>
            <w:tcW w:w="1728" w:type="dxa"/>
          </w:tcPr>
          <w:p w14:paraId="7F339D00" w14:textId="77777777" w:rsidR="00C55973" w:rsidRPr="00387DA0" w:rsidRDefault="00C55973" w:rsidP="00DC2F48">
            <w:pPr>
              <w:jc w:val="center"/>
              <w:rPr>
                <w:szCs w:val="26"/>
              </w:rPr>
            </w:pPr>
            <w:r w:rsidRPr="00387DA0">
              <w:rPr>
                <w:szCs w:val="26"/>
              </w:rPr>
              <w:t>Subchapter</w:t>
            </w:r>
          </w:p>
        </w:tc>
        <w:tc>
          <w:tcPr>
            <w:tcW w:w="7848" w:type="dxa"/>
          </w:tcPr>
          <w:p w14:paraId="7A1B0680" w14:textId="77777777" w:rsidR="00C55973" w:rsidRPr="00387DA0" w:rsidRDefault="00C55973" w:rsidP="00DC2F48">
            <w:pPr>
              <w:jc w:val="center"/>
              <w:rPr>
                <w:szCs w:val="26"/>
              </w:rPr>
            </w:pPr>
            <w:r w:rsidRPr="00387DA0">
              <w:rPr>
                <w:szCs w:val="26"/>
              </w:rPr>
              <w:t>Sections</w:t>
            </w:r>
          </w:p>
        </w:tc>
      </w:tr>
      <w:tr w:rsidR="00C55973" w:rsidRPr="00387DA0" w14:paraId="5FE683DF" w14:textId="77777777" w:rsidTr="00DC2F48">
        <w:tc>
          <w:tcPr>
            <w:tcW w:w="1728" w:type="dxa"/>
          </w:tcPr>
          <w:p w14:paraId="0AC22696" w14:textId="77777777" w:rsidR="00C55973" w:rsidRPr="00387DA0" w:rsidRDefault="00C55973" w:rsidP="00DC2F48">
            <w:pPr>
              <w:jc w:val="center"/>
              <w:rPr>
                <w:szCs w:val="26"/>
              </w:rPr>
            </w:pPr>
          </w:p>
          <w:p w14:paraId="554F0C27" w14:textId="77777777" w:rsidR="00C55973" w:rsidRPr="00387DA0" w:rsidRDefault="00C55973" w:rsidP="00DC2F48">
            <w:pPr>
              <w:jc w:val="center"/>
              <w:rPr>
                <w:szCs w:val="26"/>
              </w:rPr>
            </w:pPr>
            <w:r w:rsidRPr="00387DA0">
              <w:rPr>
                <w:szCs w:val="26"/>
              </w:rPr>
              <w:t>A</w:t>
            </w:r>
          </w:p>
        </w:tc>
        <w:tc>
          <w:tcPr>
            <w:tcW w:w="7848" w:type="dxa"/>
          </w:tcPr>
          <w:p w14:paraId="54920ED5" w14:textId="77777777" w:rsidR="00C55973" w:rsidRPr="00387DA0" w:rsidRDefault="00C55973" w:rsidP="00DC2F48">
            <w:pPr>
              <w:rPr>
                <w:szCs w:val="26"/>
              </w:rPr>
            </w:pPr>
          </w:p>
          <w:p w14:paraId="024FD2FB" w14:textId="77777777" w:rsidR="00C55973" w:rsidRPr="00387DA0" w:rsidRDefault="00C55973" w:rsidP="00DC2F48">
            <w:pPr>
              <w:rPr>
                <w:szCs w:val="26"/>
              </w:rPr>
            </w:pPr>
            <w:r w:rsidRPr="00387DA0">
              <w:rPr>
                <w:szCs w:val="26"/>
              </w:rPr>
              <w:t>64.1 – first sentence only</w:t>
            </w:r>
          </w:p>
          <w:p w14:paraId="4B5D933E" w14:textId="77777777" w:rsidR="00C55973" w:rsidRPr="00387DA0" w:rsidRDefault="00C55973" w:rsidP="00DC2F48">
            <w:pPr>
              <w:rPr>
                <w:szCs w:val="26"/>
              </w:rPr>
            </w:pPr>
          </w:p>
        </w:tc>
      </w:tr>
      <w:tr w:rsidR="00C55973" w:rsidRPr="00387DA0" w14:paraId="45B6339D" w14:textId="77777777" w:rsidTr="00DC2F48">
        <w:tc>
          <w:tcPr>
            <w:tcW w:w="1728" w:type="dxa"/>
          </w:tcPr>
          <w:p w14:paraId="295DE465" w14:textId="77777777" w:rsidR="00C55973" w:rsidRPr="00387DA0" w:rsidRDefault="00C55973" w:rsidP="00DC2F48">
            <w:pPr>
              <w:jc w:val="center"/>
              <w:rPr>
                <w:szCs w:val="26"/>
              </w:rPr>
            </w:pPr>
          </w:p>
          <w:p w14:paraId="120FBD21" w14:textId="77777777" w:rsidR="00C55973" w:rsidRPr="00387DA0" w:rsidRDefault="00C55973" w:rsidP="00DC2F48">
            <w:pPr>
              <w:jc w:val="center"/>
              <w:rPr>
                <w:szCs w:val="26"/>
              </w:rPr>
            </w:pPr>
            <w:r w:rsidRPr="00387DA0">
              <w:rPr>
                <w:szCs w:val="26"/>
              </w:rPr>
              <w:t>B</w:t>
            </w:r>
          </w:p>
        </w:tc>
        <w:tc>
          <w:tcPr>
            <w:tcW w:w="7848" w:type="dxa"/>
          </w:tcPr>
          <w:p w14:paraId="00D74494" w14:textId="77777777" w:rsidR="00C55973" w:rsidRPr="00387DA0" w:rsidRDefault="00C55973" w:rsidP="00DC2F48">
            <w:pPr>
              <w:rPr>
                <w:szCs w:val="26"/>
              </w:rPr>
            </w:pPr>
          </w:p>
          <w:p w14:paraId="5D6E8DF9" w14:textId="77777777" w:rsidR="00C55973" w:rsidRPr="00387DA0" w:rsidRDefault="00C55973" w:rsidP="00DC2F48">
            <w:pPr>
              <w:rPr>
                <w:szCs w:val="26"/>
              </w:rPr>
            </w:pPr>
            <w:r w:rsidRPr="00387DA0">
              <w:rPr>
                <w:szCs w:val="26"/>
              </w:rPr>
              <w:t>Section 64.11 (Method of payment)</w:t>
            </w:r>
          </w:p>
          <w:p w14:paraId="754969BD" w14:textId="77777777" w:rsidR="00C55973" w:rsidRPr="00387DA0" w:rsidRDefault="00C55973" w:rsidP="00DC2F48">
            <w:pPr>
              <w:rPr>
                <w:szCs w:val="26"/>
              </w:rPr>
            </w:pPr>
            <w:r w:rsidRPr="00387DA0">
              <w:rPr>
                <w:szCs w:val="26"/>
              </w:rPr>
              <w:t xml:space="preserve">Section 64.12 (Due date for payment) </w:t>
            </w:r>
          </w:p>
          <w:p w14:paraId="1C6A6CA0" w14:textId="77777777" w:rsidR="00C55973" w:rsidRPr="00387DA0" w:rsidRDefault="00C55973" w:rsidP="00DC2F48">
            <w:pPr>
              <w:rPr>
                <w:szCs w:val="26"/>
              </w:rPr>
            </w:pPr>
            <w:r w:rsidRPr="00387DA0">
              <w:rPr>
                <w:szCs w:val="26"/>
              </w:rPr>
              <w:t>Section 64.13 (Billing frequency)</w:t>
            </w:r>
          </w:p>
          <w:p w14:paraId="39D5FE6E" w14:textId="77777777" w:rsidR="00C55973" w:rsidRPr="00387DA0" w:rsidRDefault="00C55973" w:rsidP="00DC2F48">
            <w:pPr>
              <w:rPr>
                <w:szCs w:val="26"/>
              </w:rPr>
            </w:pPr>
            <w:r w:rsidRPr="00387DA0">
              <w:rPr>
                <w:szCs w:val="26"/>
              </w:rPr>
              <w:t>Section 64.14 (Billing information)</w:t>
            </w:r>
          </w:p>
          <w:p w14:paraId="618EA6AA" w14:textId="77777777" w:rsidR="00C55973" w:rsidRPr="00387DA0" w:rsidRDefault="00C55973" w:rsidP="00DC2F48">
            <w:pPr>
              <w:rPr>
                <w:szCs w:val="26"/>
              </w:rPr>
            </w:pPr>
            <w:r w:rsidRPr="00387DA0">
              <w:rPr>
                <w:szCs w:val="26"/>
              </w:rPr>
              <w:t>Section 64.15 (Advance payments)</w:t>
            </w:r>
          </w:p>
          <w:p w14:paraId="389CA665" w14:textId="77777777" w:rsidR="00C55973" w:rsidRPr="00387DA0" w:rsidRDefault="00C55973" w:rsidP="00DC2F48">
            <w:pPr>
              <w:rPr>
                <w:szCs w:val="26"/>
              </w:rPr>
            </w:pPr>
            <w:r w:rsidRPr="00387DA0">
              <w:rPr>
                <w:szCs w:val="26"/>
              </w:rPr>
              <w:t xml:space="preserve">Section 64.16 (Accrual of late payment charges) </w:t>
            </w:r>
          </w:p>
          <w:p w14:paraId="6CA833FA" w14:textId="77777777" w:rsidR="00C55973" w:rsidRPr="00387DA0" w:rsidRDefault="00C55973" w:rsidP="00DC2F48">
            <w:pPr>
              <w:rPr>
                <w:szCs w:val="26"/>
              </w:rPr>
            </w:pPr>
            <w:r w:rsidRPr="00387DA0">
              <w:rPr>
                <w:szCs w:val="26"/>
              </w:rPr>
              <w:t>Section 64.17 (Partial payments for current bills)</w:t>
            </w:r>
          </w:p>
          <w:p w14:paraId="0BDEDC02" w14:textId="77777777" w:rsidR="00C55973" w:rsidRPr="00387DA0" w:rsidRDefault="00C55973" w:rsidP="00DC2F48">
            <w:pPr>
              <w:tabs>
                <w:tab w:val="left" w:pos="252"/>
              </w:tabs>
              <w:ind w:left="252" w:hanging="252"/>
              <w:rPr>
                <w:szCs w:val="26"/>
              </w:rPr>
            </w:pPr>
            <w:r w:rsidRPr="00387DA0">
              <w:rPr>
                <w:szCs w:val="26"/>
              </w:rPr>
              <w:t>Section 64.18 (Application of partial payments between past and current bills)</w:t>
            </w:r>
          </w:p>
          <w:p w14:paraId="7FAAF8A3" w14:textId="77777777" w:rsidR="00C55973" w:rsidRPr="00387DA0" w:rsidRDefault="00C55973" w:rsidP="00DC2F48">
            <w:pPr>
              <w:rPr>
                <w:szCs w:val="26"/>
              </w:rPr>
            </w:pPr>
            <w:r w:rsidRPr="00387DA0">
              <w:rPr>
                <w:szCs w:val="26"/>
              </w:rPr>
              <w:t>Section 64.19 (Rebilling)</w:t>
            </w:r>
          </w:p>
          <w:p w14:paraId="5D118318" w14:textId="77777777" w:rsidR="00C55973" w:rsidRPr="00387DA0" w:rsidRDefault="00C55973" w:rsidP="00DC2F48">
            <w:pPr>
              <w:rPr>
                <w:szCs w:val="26"/>
              </w:rPr>
            </w:pPr>
            <w:r w:rsidRPr="00387DA0">
              <w:rPr>
                <w:szCs w:val="26"/>
              </w:rPr>
              <w:t>Section 64.20 (Transfer of accounts)</w:t>
            </w:r>
          </w:p>
          <w:p w14:paraId="03DF0F8E" w14:textId="77777777" w:rsidR="00C55973" w:rsidRPr="00387DA0" w:rsidRDefault="00C55973" w:rsidP="00DC2F48">
            <w:pPr>
              <w:rPr>
                <w:szCs w:val="26"/>
              </w:rPr>
            </w:pPr>
            <w:r w:rsidRPr="00387DA0">
              <w:rPr>
                <w:szCs w:val="26"/>
              </w:rPr>
              <w:t>Section 64.21 ([Reserved])</w:t>
            </w:r>
          </w:p>
          <w:p w14:paraId="1F647A47" w14:textId="77777777" w:rsidR="00C55973" w:rsidRPr="00387DA0" w:rsidRDefault="00C55973" w:rsidP="00DC2F48">
            <w:pPr>
              <w:rPr>
                <w:szCs w:val="26"/>
              </w:rPr>
            </w:pPr>
            <w:r w:rsidRPr="00387DA0">
              <w:rPr>
                <w:szCs w:val="26"/>
              </w:rPr>
              <w:t>Section 64.22 (Billing service for interexchange carriers)</w:t>
            </w:r>
          </w:p>
          <w:p w14:paraId="6CB3B867" w14:textId="77777777" w:rsidR="00C55973" w:rsidRPr="00387DA0" w:rsidRDefault="00C55973" w:rsidP="00DC2F48">
            <w:pPr>
              <w:rPr>
                <w:szCs w:val="26"/>
              </w:rPr>
            </w:pPr>
          </w:p>
        </w:tc>
      </w:tr>
      <w:tr w:rsidR="00C55973" w:rsidRPr="00387DA0" w14:paraId="24CA143E" w14:textId="77777777" w:rsidTr="00DC2F48">
        <w:tc>
          <w:tcPr>
            <w:tcW w:w="1728" w:type="dxa"/>
          </w:tcPr>
          <w:p w14:paraId="79E6F2F6" w14:textId="77777777" w:rsidR="00C55973" w:rsidRPr="00387DA0" w:rsidRDefault="00C55973" w:rsidP="00DC2F48">
            <w:pPr>
              <w:jc w:val="center"/>
              <w:rPr>
                <w:szCs w:val="26"/>
              </w:rPr>
            </w:pPr>
          </w:p>
          <w:p w14:paraId="2C03BAE8" w14:textId="77777777" w:rsidR="00C55973" w:rsidRPr="00387DA0" w:rsidRDefault="00C55973" w:rsidP="00DC2F48">
            <w:pPr>
              <w:jc w:val="center"/>
              <w:rPr>
                <w:szCs w:val="26"/>
              </w:rPr>
            </w:pPr>
            <w:r w:rsidRPr="00387DA0">
              <w:rPr>
                <w:szCs w:val="26"/>
              </w:rPr>
              <w:t>C*</w:t>
            </w:r>
          </w:p>
        </w:tc>
        <w:tc>
          <w:tcPr>
            <w:tcW w:w="7848" w:type="dxa"/>
          </w:tcPr>
          <w:p w14:paraId="262633B8" w14:textId="77777777" w:rsidR="00C55973" w:rsidRPr="00387DA0" w:rsidRDefault="00C55973" w:rsidP="00DC2F48">
            <w:pPr>
              <w:rPr>
                <w:szCs w:val="26"/>
              </w:rPr>
            </w:pPr>
          </w:p>
          <w:p w14:paraId="229AE0BA" w14:textId="77777777" w:rsidR="00C55973" w:rsidRPr="00387DA0" w:rsidRDefault="00C55973" w:rsidP="00DC2F48">
            <w:pPr>
              <w:rPr>
                <w:szCs w:val="26"/>
              </w:rPr>
            </w:pPr>
            <w:r w:rsidRPr="00387DA0">
              <w:rPr>
                <w:szCs w:val="26"/>
              </w:rPr>
              <w:t>Section 64.31 (LEC credit and deposit policies)</w:t>
            </w:r>
          </w:p>
          <w:p w14:paraId="2AAC12F8" w14:textId="77777777" w:rsidR="00C55973" w:rsidRPr="00387DA0" w:rsidRDefault="00C55973" w:rsidP="00DC2F48">
            <w:pPr>
              <w:rPr>
                <w:szCs w:val="26"/>
              </w:rPr>
            </w:pPr>
            <w:r w:rsidRPr="00387DA0">
              <w:rPr>
                <w:szCs w:val="26"/>
              </w:rPr>
              <w:t>Section 64.32 (Credit standards)</w:t>
            </w:r>
          </w:p>
          <w:p w14:paraId="26606DF1" w14:textId="77777777" w:rsidR="00C55973" w:rsidRPr="00387DA0" w:rsidRDefault="00C55973" w:rsidP="00DC2F48">
            <w:pPr>
              <w:rPr>
                <w:szCs w:val="26"/>
              </w:rPr>
            </w:pPr>
            <w:r w:rsidRPr="00387DA0">
              <w:rPr>
                <w:szCs w:val="26"/>
              </w:rPr>
              <w:t>Section 64.33 (Payment of outstanding balance)</w:t>
            </w:r>
          </w:p>
          <w:p w14:paraId="5C6672B7" w14:textId="77777777" w:rsidR="00C55973" w:rsidRPr="00387DA0" w:rsidRDefault="00C55973" w:rsidP="00DC2F48">
            <w:pPr>
              <w:rPr>
                <w:szCs w:val="26"/>
              </w:rPr>
            </w:pPr>
            <w:r w:rsidRPr="00387DA0">
              <w:rPr>
                <w:szCs w:val="26"/>
              </w:rPr>
              <w:t>Section 64.34 (Written procedures)</w:t>
            </w:r>
          </w:p>
          <w:p w14:paraId="614BD136" w14:textId="77777777" w:rsidR="00C55973" w:rsidRPr="00387DA0" w:rsidRDefault="00C55973" w:rsidP="00DC2F48">
            <w:pPr>
              <w:rPr>
                <w:szCs w:val="26"/>
              </w:rPr>
            </w:pPr>
            <w:r w:rsidRPr="00387DA0">
              <w:rPr>
                <w:szCs w:val="26"/>
              </w:rPr>
              <w:t>Section 64.35 (Deposit requirements for existing customers)</w:t>
            </w:r>
          </w:p>
          <w:p w14:paraId="34A5F2B0" w14:textId="77777777" w:rsidR="00C55973" w:rsidRPr="00387DA0" w:rsidRDefault="00C55973" w:rsidP="00DC2F48">
            <w:pPr>
              <w:rPr>
                <w:szCs w:val="26"/>
              </w:rPr>
            </w:pPr>
            <w:r w:rsidRPr="00387DA0">
              <w:rPr>
                <w:szCs w:val="26"/>
              </w:rPr>
              <w:t>Section 64.36 (Method of making deposit)</w:t>
            </w:r>
          </w:p>
          <w:p w14:paraId="5D5C1D42" w14:textId="77777777" w:rsidR="00C55973" w:rsidRPr="00387DA0" w:rsidRDefault="00C55973" w:rsidP="00DC2F48">
            <w:pPr>
              <w:rPr>
                <w:szCs w:val="26"/>
              </w:rPr>
            </w:pPr>
            <w:r w:rsidRPr="00387DA0">
              <w:rPr>
                <w:szCs w:val="26"/>
              </w:rPr>
              <w:t>Section 64.37 (Refund of deposits)</w:t>
            </w:r>
          </w:p>
          <w:p w14:paraId="31DB4638" w14:textId="77777777" w:rsidR="00C55973" w:rsidRPr="00387DA0" w:rsidRDefault="00C55973" w:rsidP="00DC2F48">
            <w:pPr>
              <w:rPr>
                <w:szCs w:val="26"/>
              </w:rPr>
            </w:pPr>
            <w:r w:rsidRPr="00387DA0">
              <w:rPr>
                <w:szCs w:val="26"/>
              </w:rPr>
              <w:t>Section 64.38 (Application of deposit to bills)</w:t>
            </w:r>
          </w:p>
          <w:p w14:paraId="442192A2" w14:textId="77777777" w:rsidR="00C55973" w:rsidRPr="00387DA0" w:rsidRDefault="00C55973" w:rsidP="00DC2F48">
            <w:pPr>
              <w:rPr>
                <w:szCs w:val="26"/>
              </w:rPr>
            </w:pPr>
            <w:r w:rsidRPr="00387DA0">
              <w:rPr>
                <w:szCs w:val="26"/>
              </w:rPr>
              <w:t>Section 64.39 (Periodic review)</w:t>
            </w:r>
          </w:p>
          <w:p w14:paraId="570324D8" w14:textId="77777777" w:rsidR="00C55973" w:rsidRPr="00387DA0" w:rsidRDefault="00C55973" w:rsidP="00DC2F48">
            <w:pPr>
              <w:rPr>
                <w:szCs w:val="26"/>
              </w:rPr>
            </w:pPr>
            <w:r w:rsidRPr="00387DA0">
              <w:rPr>
                <w:szCs w:val="26"/>
              </w:rPr>
              <w:t>Section 64.40 (Refund statement)</w:t>
            </w:r>
          </w:p>
          <w:p w14:paraId="2EA96410" w14:textId="77777777" w:rsidR="00C55973" w:rsidRPr="00387DA0" w:rsidRDefault="00C55973" w:rsidP="00DC2F48">
            <w:pPr>
              <w:rPr>
                <w:szCs w:val="26"/>
              </w:rPr>
            </w:pPr>
            <w:r w:rsidRPr="00387DA0">
              <w:rPr>
                <w:szCs w:val="26"/>
              </w:rPr>
              <w:t>Section 64.41 (Interest)</w:t>
            </w:r>
          </w:p>
          <w:p w14:paraId="33707B60" w14:textId="77777777" w:rsidR="00C55973" w:rsidRPr="00387DA0" w:rsidRDefault="00C55973" w:rsidP="00DC2F48">
            <w:pPr>
              <w:rPr>
                <w:szCs w:val="26"/>
              </w:rPr>
            </w:pPr>
          </w:p>
          <w:p w14:paraId="7D39E93D" w14:textId="77777777" w:rsidR="00C55973" w:rsidRPr="00387DA0" w:rsidRDefault="00C55973" w:rsidP="00DC2F48">
            <w:pPr>
              <w:rPr>
                <w:szCs w:val="26"/>
              </w:rPr>
            </w:pPr>
            <w:r w:rsidRPr="00387DA0">
              <w:rPr>
                <w:szCs w:val="26"/>
              </w:rPr>
              <w:t>*Waiver is conditioned upon the requirement that Verizon provide information in its Product Guide about the consequences if an applicant for service is not deemed to be creditworthy.</w:t>
            </w:r>
          </w:p>
          <w:p w14:paraId="31B5C16C" w14:textId="77777777" w:rsidR="00C55973" w:rsidRPr="00387DA0" w:rsidRDefault="00C55973" w:rsidP="00DC2F48">
            <w:pPr>
              <w:rPr>
                <w:szCs w:val="26"/>
              </w:rPr>
            </w:pPr>
          </w:p>
        </w:tc>
      </w:tr>
      <w:tr w:rsidR="00C55973" w:rsidRPr="00387DA0" w14:paraId="0460DB8C" w14:textId="77777777" w:rsidTr="00DC2F48">
        <w:tc>
          <w:tcPr>
            <w:tcW w:w="1728" w:type="dxa"/>
          </w:tcPr>
          <w:p w14:paraId="7777575A" w14:textId="77777777" w:rsidR="00C55973" w:rsidRPr="00387DA0" w:rsidRDefault="00C55973" w:rsidP="00DC2F48">
            <w:pPr>
              <w:jc w:val="center"/>
              <w:rPr>
                <w:szCs w:val="26"/>
              </w:rPr>
            </w:pPr>
          </w:p>
          <w:p w14:paraId="385F06D1" w14:textId="77777777" w:rsidR="00C55973" w:rsidRPr="00387DA0" w:rsidRDefault="00C55973" w:rsidP="00DC2F48">
            <w:pPr>
              <w:jc w:val="center"/>
              <w:rPr>
                <w:szCs w:val="26"/>
              </w:rPr>
            </w:pPr>
            <w:r w:rsidRPr="00387DA0">
              <w:rPr>
                <w:szCs w:val="26"/>
              </w:rPr>
              <w:t>D</w:t>
            </w:r>
          </w:p>
        </w:tc>
        <w:tc>
          <w:tcPr>
            <w:tcW w:w="7848" w:type="dxa"/>
          </w:tcPr>
          <w:p w14:paraId="309541CA" w14:textId="77777777" w:rsidR="00C55973" w:rsidRPr="00387DA0" w:rsidRDefault="00C55973" w:rsidP="00DC2F48">
            <w:pPr>
              <w:rPr>
                <w:szCs w:val="26"/>
              </w:rPr>
            </w:pPr>
          </w:p>
          <w:p w14:paraId="6909AF42" w14:textId="77777777" w:rsidR="00C55973" w:rsidRPr="00387DA0" w:rsidRDefault="00C55973" w:rsidP="00DC2F48">
            <w:pPr>
              <w:rPr>
                <w:szCs w:val="26"/>
              </w:rPr>
            </w:pPr>
            <w:r w:rsidRPr="00387DA0">
              <w:rPr>
                <w:szCs w:val="26"/>
              </w:rPr>
              <w:t>Section 64.52 (Refunds for service interruptions)</w:t>
            </w:r>
          </w:p>
          <w:p w14:paraId="33955EC1" w14:textId="77777777" w:rsidR="00C55973" w:rsidRPr="00387DA0" w:rsidRDefault="00C55973" w:rsidP="00DC2F48">
            <w:pPr>
              <w:rPr>
                <w:szCs w:val="26"/>
              </w:rPr>
            </w:pPr>
            <w:r w:rsidRPr="00387DA0">
              <w:rPr>
                <w:szCs w:val="26"/>
              </w:rPr>
              <w:t xml:space="preserve">Section 64.53 (Discontinuance of service) </w:t>
            </w:r>
          </w:p>
        </w:tc>
      </w:tr>
      <w:tr w:rsidR="00C55973" w:rsidRPr="00387DA0" w14:paraId="042BFBCF" w14:textId="77777777" w:rsidTr="00DC2F48">
        <w:tc>
          <w:tcPr>
            <w:tcW w:w="1728" w:type="dxa"/>
          </w:tcPr>
          <w:p w14:paraId="12D33DA3" w14:textId="77777777" w:rsidR="00C55973" w:rsidRPr="00387DA0" w:rsidRDefault="00C55973" w:rsidP="00DC2F48">
            <w:pPr>
              <w:jc w:val="center"/>
              <w:rPr>
                <w:szCs w:val="26"/>
              </w:rPr>
            </w:pPr>
          </w:p>
          <w:p w14:paraId="4CF05D65" w14:textId="77777777" w:rsidR="00C55973" w:rsidRPr="00387DA0" w:rsidRDefault="00C55973" w:rsidP="00DC2F48">
            <w:pPr>
              <w:jc w:val="center"/>
              <w:rPr>
                <w:szCs w:val="26"/>
              </w:rPr>
            </w:pPr>
            <w:r w:rsidRPr="00387DA0">
              <w:rPr>
                <w:szCs w:val="26"/>
              </w:rPr>
              <w:t>E</w:t>
            </w:r>
          </w:p>
        </w:tc>
        <w:tc>
          <w:tcPr>
            <w:tcW w:w="7848" w:type="dxa"/>
          </w:tcPr>
          <w:p w14:paraId="3C3BDAF6" w14:textId="77777777" w:rsidR="00C55973" w:rsidRPr="00387DA0" w:rsidRDefault="00C55973" w:rsidP="00DC2F48">
            <w:pPr>
              <w:rPr>
                <w:szCs w:val="26"/>
              </w:rPr>
            </w:pPr>
          </w:p>
          <w:p w14:paraId="5F4BDF17" w14:textId="77777777" w:rsidR="00C55973" w:rsidRPr="00387DA0" w:rsidRDefault="00C55973" w:rsidP="00DC2F48">
            <w:pPr>
              <w:rPr>
                <w:szCs w:val="26"/>
              </w:rPr>
            </w:pPr>
            <w:r w:rsidRPr="00387DA0">
              <w:rPr>
                <w:szCs w:val="26"/>
              </w:rPr>
              <w:t>Section 64.61 (Authorized suspension of service)</w:t>
            </w:r>
          </w:p>
          <w:p w14:paraId="7CBA5962" w14:textId="77777777" w:rsidR="00C55973" w:rsidRPr="00387DA0" w:rsidRDefault="00C55973" w:rsidP="00DC2F48">
            <w:pPr>
              <w:ind w:left="252" w:hanging="252"/>
              <w:rPr>
                <w:szCs w:val="26"/>
              </w:rPr>
            </w:pPr>
            <w:r w:rsidRPr="00387DA0">
              <w:rPr>
                <w:szCs w:val="26"/>
              </w:rPr>
              <w:t>Section 64.63 (Unauthorized suspension of service), §§ (1) through (9) only</w:t>
            </w:r>
          </w:p>
          <w:p w14:paraId="1403F140" w14:textId="77777777" w:rsidR="00C55973" w:rsidRPr="00387DA0" w:rsidRDefault="00C55973" w:rsidP="00DC2F48">
            <w:pPr>
              <w:rPr>
                <w:szCs w:val="26"/>
              </w:rPr>
            </w:pPr>
            <w:r w:rsidRPr="00387DA0">
              <w:rPr>
                <w:szCs w:val="26"/>
              </w:rPr>
              <w:t>Section 64.72 (Suspension notice information)</w:t>
            </w:r>
          </w:p>
          <w:p w14:paraId="764AE669" w14:textId="77777777" w:rsidR="00C55973" w:rsidRPr="00387DA0" w:rsidRDefault="00C55973" w:rsidP="00DC2F48">
            <w:pPr>
              <w:rPr>
                <w:szCs w:val="26"/>
              </w:rPr>
            </w:pPr>
            <w:r w:rsidRPr="00387DA0">
              <w:rPr>
                <w:szCs w:val="26"/>
              </w:rPr>
              <w:lastRenderedPageBreak/>
              <w:t>Section 64.73 (Notice when dispute pending)</w:t>
            </w:r>
          </w:p>
          <w:p w14:paraId="327632E5" w14:textId="77777777" w:rsidR="00C55973" w:rsidRPr="00387DA0" w:rsidRDefault="00C55973" w:rsidP="00DC2F48">
            <w:pPr>
              <w:rPr>
                <w:szCs w:val="26"/>
              </w:rPr>
            </w:pPr>
            <w:r w:rsidRPr="00387DA0">
              <w:rPr>
                <w:szCs w:val="26"/>
              </w:rPr>
              <w:t xml:space="preserve">Section 64.74 (Procedures upon customer contact before suspension) </w:t>
            </w:r>
          </w:p>
          <w:p w14:paraId="7B8B52A1" w14:textId="77777777" w:rsidR="00C55973" w:rsidRPr="00387DA0" w:rsidRDefault="00C55973" w:rsidP="00DC2F48">
            <w:pPr>
              <w:rPr>
                <w:szCs w:val="26"/>
              </w:rPr>
            </w:pPr>
            <w:r w:rsidRPr="00387DA0">
              <w:rPr>
                <w:szCs w:val="26"/>
              </w:rPr>
              <w:t>Section 64.81 (Limited notice upon noncompliance with report or order)</w:t>
            </w:r>
          </w:p>
          <w:p w14:paraId="2AEDE9B8" w14:textId="77777777" w:rsidR="00C55973" w:rsidRPr="00387DA0" w:rsidRDefault="00C55973" w:rsidP="00DC2F48">
            <w:pPr>
              <w:rPr>
                <w:szCs w:val="26"/>
              </w:rPr>
            </w:pPr>
          </w:p>
        </w:tc>
      </w:tr>
      <w:tr w:rsidR="00C55973" w:rsidRPr="00387DA0" w14:paraId="49914E63" w14:textId="77777777" w:rsidTr="00DC2F48">
        <w:tc>
          <w:tcPr>
            <w:tcW w:w="1728" w:type="dxa"/>
          </w:tcPr>
          <w:p w14:paraId="2667DE03" w14:textId="77777777" w:rsidR="00C55973" w:rsidRPr="00387DA0" w:rsidRDefault="00C55973" w:rsidP="00DC2F48">
            <w:pPr>
              <w:jc w:val="center"/>
              <w:rPr>
                <w:szCs w:val="26"/>
              </w:rPr>
            </w:pPr>
          </w:p>
          <w:p w14:paraId="79BCDA33" w14:textId="77777777" w:rsidR="00C55973" w:rsidRPr="00387DA0" w:rsidRDefault="00C55973" w:rsidP="00DC2F48">
            <w:pPr>
              <w:jc w:val="center"/>
              <w:rPr>
                <w:szCs w:val="26"/>
              </w:rPr>
            </w:pPr>
            <w:r w:rsidRPr="00387DA0">
              <w:rPr>
                <w:szCs w:val="26"/>
              </w:rPr>
              <w:t>F</w:t>
            </w:r>
          </w:p>
        </w:tc>
        <w:tc>
          <w:tcPr>
            <w:tcW w:w="7848" w:type="dxa"/>
          </w:tcPr>
          <w:p w14:paraId="5D0BD0CF" w14:textId="77777777" w:rsidR="00C55973" w:rsidRPr="00387DA0" w:rsidRDefault="00C55973" w:rsidP="00DC2F48">
            <w:pPr>
              <w:rPr>
                <w:szCs w:val="26"/>
              </w:rPr>
            </w:pPr>
          </w:p>
          <w:p w14:paraId="29567FD3" w14:textId="77777777" w:rsidR="00C55973" w:rsidRPr="00387DA0" w:rsidRDefault="00C55973" w:rsidP="00DC2F48">
            <w:pPr>
              <w:rPr>
                <w:szCs w:val="26"/>
              </w:rPr>
            </w:pPr>
            <w:r w:rsidRPr="00387DA0">
              <w:rPr>
                <w:szCs w:val="26"/>
              </w:rPr>
              <w:t>Section 64.121 (Authorized termination of service)</w:t>
            </w:r>
          </w:p>
          <w:p w14:paraId="76728755" w14:textId="77777777" w:rsidR="00C55973" w:rsidRPr="00387DA0" w:rsidRDefault="00C55973" w:rsidP="00DC2F48">
            <w:pPr>
              <w:ind w:left="432" w:hanging="432"/>
              <w:rPr>
                <w:szCs w:val="26"/>
              </w:rPr>
            </w:pPr>
            <w:r w:rsidRPr="00387DA0">
              <w:rPr>
                <w:szCs w:val="26"/>
              </w:rPr>
              <w:t>Section 64.122 (Unauthorized termination of service when dispute pending)</w:t>
            </w:r>
          </w:p>
          <w:p w14:paraId="22BEC53C" w14:textId="77777777" w:rsidR="00C55973" w:rsidRPr="00387DA0" w:rsidRDefault="00C55973" w:rsidP="00DC2F48">
            <w:pPr>
              <w:rPr>
                <w:szCs w:val="26"/>
              </w:rPr>
            </w:pPr>
            <w:r w:rsidRPr="00387DA0">
              <w:rPr>
                <w:szCs w:val="26"/>
              </w:rPr>
              <w:t>Section 64.123 (Termination notice)</w:t>
            </w:r>
          </w:p>
          <w:p w14:paraId="0BA1644B" w14:textId="77777777" w:rsidR="00C55973" w:rsidRPr="00387DA0" w:rsidRDefault="00C55973" w:rsidP="00DC2F48">
            <w:pPr>
              <w:rPr>
                <w:szCs w:val="26"/>
              </w:rPr>
            </w:pPr>
          </w:p>
        </w:tc>
      </w:tr>
      <w:tr w:rsidR="00C55973" w:rsidRPr="00387DA0" w14:paraId="07760AAA" w14:textId="77777777" w:rsidTr="00DC2F48">
        <w:tc>
          <w:tcPr>
            <w:tcW w:w="1728" w:type="dxa"/>
          </w:tcPr>
          <w:p w14:paraId="66790E32" w14:textId="77777777" w:rsidR="00C55973" w:rsidRPr="00387DA0" w:rsidRDefault="00C55973" w:rsidP="00DC2F48">
            <w:pPr>
              <w:jc w:val="center"/>
              <w:rPr>
                <w:szCs w:val="26"/>
              </w:rPr>
            </w:pPr>
          </w:p>
          <w:p w14:paraId="4D227306" w14:textId="77777777" w:rsidR="00C55973" w:rsidRPr="00387DA0" w:rsidRDefault="00C55973" w:rsidP="00DC2F48">
            <w:pPr>
              <w:jc w:val="center"/>
              <w:rPr>
                <w:szCs w:val="26"/>
              </w:rPr>
            </w:pPr>
            <w:r w:rsidRPr="00387DA0">
              <w:rPr>
                <w:szCs w:val="26"/>
              </w:rPr>
              <w:t>H</w:t>
            </w:r>
          </w:p>
        </w:tc>
        <w:tc>
          <w:tcPr>
            <w:tcW w:w="7848" w:type="dxa"/>
          </w:tcPr>
          <w:p w14:paraId="3DA3855F" w14:textId="77777777" w:rsidR="00C55973" w:rsidRPr="00387DA0" w:rsidRDefault="00C55973" w:rsidP="00DC2F48">
            <w:pPr>
              <w:rPr>
                <w:szCs w:val="26"/>
              </w:rPr>
            </w:pPr>
          </w:p>
          <w:p w14:paraId="45405F55" w14:textId="77777777" w:rsidR="00C55973" w:rsidRPr="00387DA0" w:rsidRDefault="00C55973" w:rsidP="00DC2F48">
            <w:pPr>
              <w:rPr>
                <w:szCs w:val="26"/>
              </w:rPr>
            </w:pPr>
            <w:r w:rsidRPr="00387DA0">
              <w:rPr>
                <w:szCs w:val="26"/>
              </w:rPr>
              <w:t>Section 64.181(Restoration of service after suspension)</w:t>
            </w:r>
          </w:p>
          <w:p w14:paraId="51962734" w14:textId="77777777" w:rsidR="00C55973" w:rsidRPr="00387DA0" w:rsidRDefault="00C55973" w:rsidP="00DC2F48">
            <w:pPr>
              <w:rPr>
                <w:szCs w:val="26"/>
              </w:rPr>
            </w:pPr>
            <w:r w:rsidRPr="00387DA0">
              <w:rPr>
                <w:szCs w:val="26"/>
              </w:rPr>
              <w:t>Section 64.182 (Restoration of service after termination)</w:t>
            </w:r>
          </w:p>
          <w:p w14:paraId="086AE23E" w14:textId="77777777" w:rsidR="00C55973" w:rsidRPr="00387DA0" w:rsidRDefault="00C55973" w:rsidP="00DC2F48">
            <w:pPr>
              <w:rPr>
                <w:szCs w:val="26"/>
              </w:rPr>
            </w:pPr>
          </w:p>
        </w:tc>
      </w:tr>
      <w:tr w:rsidR="00C55973" w:rsidRPr="00387DA0" w14:paraId="787A49F1" w14:textId="77777777" w:rsidTr="00DC2F48">
        <w:tc>
          <w:tcPr>
            <w:tcW w:w="1728" w:type="dxa"/>
          </w:tcPr>
          <w:p w14:paraId="5683E0B1" w14:textId="77777777" w:rsidR="00C55973" w:rsidRPr="00387DA0" w:rsidRDefault="00C55973" w:rsidP="00DC2F48">
            <w:pPr>
              <w:jc w:val="center"/>
              <w:rPr>
                <w:szCs w:val="26"/>
              </w:rPr>
            </w:pPr>
          </w:p>
          <w:p w14:paraId="1C4FC457" w14:textId="77777777" w:rsidR="00C55973" w:rsidRPr="00387DA0" w:rsidRDefault="00C55973" w:rsidP="00DC2F48">
            <w:pPr>
              <w:jc w:val="center"/>
              <w:rPr>
                <w:szCs w:val="26"/>
              </w:rPr>
            </w:pPr>
            <w:r w:rsidRPr="00387DA0">
              <w:rPr>
                <w:szCs w:val="26"/>
              </w:rPr>
              <w:t>I</w:t>
            </w:r>
          </w:p>
        </w:tc>
        <w:tc>
          <w:tcPr>
            <w:tcW w:w="7848" w:type="dxa"/>
          </w:tcPr>
          <w:p w14:paraId="3B2BEF82" w14:textId="77777777" w:rsidR="00C55973" w:rsidRPr="00387DA0" w:rsidRDefault="00C55973" w:rsidP="00DC2F48">
            <w:pPr>
              <w:rPr>
                <w:szCs w:val="26"/>
              </w:rPr>
            </w:pPr>
          </w:p>
          <w:p w14:paraId="1F902705" w14:textId="77777777" w:rsidR="00C55973" w:rsidRPr="00387DA0" w:rsidRDefault="00C55973" w:rsidP="00DC2F48">
            <w:pPr>
              <w:rPr>
                <w:szCs w:val="26"/>
              </w:rPr>
            </w:pPr>
            <w:r w:rsidRPr="00387DA0">
              <w:rPr>
                <w:szCs w:val="26"/>
              </w:rPr>
              <w:t>Section 64.191 (Public information), §§ (f) and (g)*</w:t>
            </w:r>
          </w:p>
          <w:p w14:paraId="7835A7A8" w14:textId="77777777" w:rsidR="00C55973" w:rsidRPr="00387DA0" w:rsidRDefault="00C55973" w:rsidP="00DC2F48">
            <w:pPr>
              <w:rPr>
                <w:szCs w:val="26"/>
              </w:rPr>
            </w:pPr>
            <w:r w:rsidRPr="00387DA0">
              <w:rPr>
                <w:szCs w:val="26"/>
              </w:rPr>
              <w:t>Section 64.192 (Record maintenance)</w:t>
            </w:r>
          </w:p>
          <w:p w14:paraId="3D6DC4C1" w14:textId="77777777" w:rsidR="00C55973" w:rsidRPr="00387DA0" w:rsidRDefault="00C55973" w:rsidP="00DC2F48">
            <w:pPr>
              <w:rPr>
                <w:szCs w:val="26"/>
              </w:rPr>
            </w:pPr>
          </w:p>
          <w:p w14:paraId="3721E92B" w14:textId="77777777" w:rsidR="00C55973" w:rsidRPr="00387DA0" w:rsidRDefault="00C55973" w:rsidP="00DC2F48">
            <w:pPr>
              <w:rPr>
                <w:szCs w:val="26"/>
              </w:rPr>
            </w:pPr>
            <w:r w:rsidRPr="00387DA0">
              <w:rPr>
                <w:szCs w:val="26"/>
              </w:rPr>
              <w:t xml:space="preserve">* Subsection 64.191(e) remains waived per the Order entered at Docket Nos. I-00940034 and P-00072348 </w:t>
            </w:r>
          </w:p>
          <w:p w14:paraId="2AFAF448" w14:textId="77777777" w:rsidR="00C55973" w:rsidRPr="00387DA0" w:rsidRDefault="00C55973" w:rsidP="00DC2F48">
            <w:pPr>
              <w:rPr>
                <w:szCs w:val="26"/>
              </w:rPr>
            </w:pPr>
          </w:p>
        </w:tc>
      </w:tr>
      <w:tr w:rsidR="00C55973" w:rsidRPr="00387DA0" w14:paraId="65D9C429" w14:textId="77777777" w:rsidTr="00DC2F48">
        <w:tc>
          <w:tcPr>
            <w:tcW w:w="1728" w:type="dxa"/>
          </w:tcPr>
          <w:p w14:paraId="06738FF3" w14:textId="77777777" w:rsidR="00C55973" w:rsidRPr="00387DA0" w:rsidRDefault="00C55973" w:rsidP="00DC2F48">
            <w:pPr>
              <w:jc w:val="center"/>
              <w:rPr>
                <w:szCs w:val="26"/>
              </w:rPr>
            </w:pPr>
          </w:p>
          <w:p w14:paraId="1A661840" w14:textId="77777777" w:rsidR="00C55973" w:rsidRPr="00387DA0" w:rsidRDefault="00C55973" w:rsidP="00DC2F48">
            <w:pPr>
              <w:jc w:val="center"/>
              <w:rPr>
                <w:szCs w:val="26"/>
              </w:rPr>
            </w:pPr>
            <w:r w:rsidRPr="00387DA0">
              <w:rPr>
                <w:szCs w:val="26"/>
              </w:rPr>
              <w:t>J</w:t>
            </w:r>
          </w:p>
        </w:tc>
        <w:tc>
          <w:tcPr>
            <w:tcW w:w="7848" w:type="dxa"/>
          </w:tcPr>
          <w:p w14:paraId="59BD00DA" w14:textId="77777777" w:rsidR="00C55973" w:rsidRPr="00387DA0" w:rsidRDefault="00C55973" w:rsidP="00DC2F48">
            <w:pPr>
              <w:rPr>
                <w:szCs w:val="26"/>
              </w:rPr>
            </w:pPr>
          </w:p>
          <w:p w14:paraId="42D68E7A" w14:textId="77777777" w:rsidR="00C55973" w:rsidRPr="00387DA0" w:rsidRDefault="00C55973" w:rsidP="00DC2F48">
            <w:pPr>
              <w:rPr>
                <w:szCs w:val="26"/>
              </w:rPr>
            </w:pPr>
            <w:r w:rsidRPr="00387DA0">
              <w:rPr>
                <w:szCs w:val="26"/>
              </w:rPr>
              <w:t>Section 64.201 (Reporting requirements), §§ (b)(</w:t>
            </w:r>
            <w:r>
              <w:rPr>
                <w:szCs w:val="26"/>
              </w:rPr>
              <w:t>1</w:t>
            </w:r>
            <w:r w:rsidRPr="00387DA0">
              <w:rPr>
                <w:szCs w:val="26"/>
              </w:rPr>
              <w:t xml:space="preserve">); (b)(2)(ii), (iii), and (iv); (b)(3); (b)(4)(ii), (iii), and (iv); (b)(8)(ii), (iii), and (iv); (b)(9)(ii), (iii), and (iv); (b)(10)(ii), (iii), and (iv); and (b)(11)   </w:t>
            </w:r>
          </w:p>
          <w:p w14:paraId="3C24ABA6" w14:textId="77777777" w:rsidR="00C55973" w:rsidRPr="00387DA0" w:rsidRDefault="00C55973" w:rsidP="00DC2F48">
            <w:pPr>
              <w:rPr>
                <w:szCs w:val="26"/>
              </w:rPr>
            </w:pPr>
          </w:p>
        </w:tc>
      </w:tr>
      <w:tr w:rsidR="00C55973" w:rsidRPr="00387DA0" w14:paraId="4F5A71D0" w14:textId="77777777" w:rsidTr="00DC2F48">
        <w:tc>
          <w:tcPr>
            <w:tcW w:w="1728" w:type="dxa"/>
          </w:tcPr>
          <w:p w14:paraId="6E475652" w14:textId="77777777" w:rsidR="00C55973" w:rsidRPr="00387DA0" w:rsidRDefault="00C55973" w:rsidP="00DC2F48">
            <w:pPr>
              <w:jc w:val="center"/>
              <w:rPr>
                <w:szCs w:val="26"/>
              </w:rPr>
            </w:pPr>
          </w:p>
          <w:p w14:paraId="41C78A8A" w14:textId="77777777" w:rsidR="00C55973" w:rsidRPr="00387DA0" w:rsidRDefault="00C55973" w:rsidP="00DC2F48">
            <w:pPr>
              <w:jc w:val="center"/>
              <w:rPr>
                <w:szCs w:val="26"/>
              </w:rPr>
            </w:pPr>
            <w:r w:rsidRPr="00387DA0">
              <w:rPr>
                <w:szCs w:val="26"/>
              </w:rPr>
              <w:t>K</w:t>
            </w:r>
          </w:p>
        </w:tc>
        <w:tc>
          <w:tcPr>
            <w:tcW w:w="7848" w:type="dxa"/>
          </w:tcPr>
          <w:p w14:paraId="1F1AA8A0" w14:textId="77777777" w:rsidR="00C55973" w:rsidRPr="00387DA0" w:rsidRDefault="00C55973" w:rsidP="00DC2F48">
            <w:pPr>
              <w:rPr>
                <w:szCs w:val="26"/>
              </w:rPr>
            </w:pPr>
          </w:p>
          <w:p w14:paraId="5CC3C975" w14:textId="77777777" w:rsidR="00C55973" w:rsidRPr="00387DA0" w:rsidRDefault="00C55973" w:rsidP="00DC2F48">
            <w:pPr>
              <w:rPr>
                <w:szCs w:val="26"/>
              </w:rPr>
            </w:pPr>
            <w:r w:rsidRPr="00387DA0">
              <w:rPr>
                <w:szCs w:val="26"/>
              </w:rPr>
              <w:t>Section 64.211 (Availability of normal Commission procedures)</w:t>
            </w:r>
          </w:p>
          <w:p w14:paraId="5E146458" w14:textId="77777777" w:rsidR="00C55973" w:rsidRPr="00387DA0" w:rsidRDefault="00C55973" w:rsidP="00DC2F48">
            <w:pPr>
              <w:rPr>
                <w:szCs w:val="26"/>
              </w:rPr>
            </w:pPr>
          </w:p>
        </w:tc>
      </w:tr>
    </w:tbl>
    <w:p w14:paraId="5BCD1D57" w14:textId="77777777" w:rsidR="00C55973" w:rsidRDefault="00C55973" w:rsidP="00C55973"/>
    <w:p w14:paraId="1C17B4AC" w14:textId="11D742B3" w:rsidR="00CD6C97" w:rsidRPr="004F4BE2" w:rsidRDefault="00CD6C97" w:rsidP="007D41D9">
      <w:pPr>
        <w:pStyle w:val="p14"/>
        <w:rPr>
          <w:sz w:val="26"/>
          <w:szCs w:val="26"/>
        </w:rPr>
      </w:pPr>
    </w:p>
    <w:sectPr w:rsidR="00CD6C97" w:rsidRPr="004F4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D1B45" w14:textId="77777777" w:rsidR="0081377C" w:rsidRDefault="0081377C">
      <w:r>
        <w:separator/>
      </w:r>
    </w:p>
  </w:endnote>
  <w:endnote w:type="continuationSeparator" w:id="0">
    <w:p w14:paraId="47292223" w14:textId="77777777" w:rsidR="0081377C" w:rsidRDefault="0081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FAF2"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5DD394"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C186"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9A">
      <w:rPr>
        <w:rStyle w:val="PageNumber"/>
        <w:noProof/>
      </w:rPr>
      <w:t>2</w:t>
    </w:r>
    <w:r>
      <w:rPr>
        <w:rStyle w:val="PageNumber"/>
      </w:rPr>
      <w:fldChar w:fldCharType="end"/>
    </w:r>
  </w:p>
  <w:p w14:paraId="0E4EE622" w14:textId="77777777" w:rsidR="006A01F9" w:rsidRDefault="006A01F9"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0D47" w14:textId="77777777" w:rsidR="00C55973" w:rsidRDefault="00C55973"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F623" w14:textId="77777777" w:rsidR="0081377C" w:rsidRDefault="0081377C">
      <w:r>
        <w:separator/>
      </w:r>
    </w:p>
  </w:footnote>
  <w:footnote w:type="continuationSeparator" w:id="0">
    <w:p w14:paraId="76C2E399" w14:textId="77777777" w:rsidR="0081377C" w:rsidRDefault="0081377C">
      <w:r>
        <w:continuationSeparator/>
      </w:r>
    </w:p>
  </w:footnote>
  <w:footnote w:id="1">
    <w:p w14:paraId="2C2ABCF0" w14:textId="193D8B0D" w:rsidR="00EF6FD3" w:rsidRDefault="00EF6FD3">
      <w:pPr>
        <w:pStyle w:val="FootnoteText"/>
      </w:pPr>
      <w:r>
        <w:rPr>
          <w:rStyle w:val="FootnoteReference"/>
        </w:rPr>
        <w:footnoteRef/>
      </w:r>
      <w:r>
        <w:t xml:space="preserve"> The temporary waivers were granted </w:t>
      </w:r>
      <w:r w:rsidR="00930514" w:rsidRPr="002858DD">
        <w:t xml:space="preserve">to Verizon as well as to Competitive Local Exchange Carriers operating in the 153 </w:t>
      </w:r>
      <w:r w:rsidR="00930514">
        <w:t xml:space="preserve">wire centers determined to be </w:t>
      </w:r>
      <w:r w:rsidR="00930514" w:rsidRPr="002858DD">
        <w:t>competitive.</w:t>
      </w:r>
      <w:r w:rsidR="00930514">
        <w:t xml:space="preserve"> </w:t>
      </w:r>
      <w:r w:rsidR="00930514" w:rsidRPr="00F72C12">
        <w:rPr>
          <w:i/>
        </w:rPr>
        <w:t>Reclassification Order</w:t>
      </w:r>
      <w:r w:rsidR="00930514">
        <w:rPr>
          <w:i/>
        </w:rPr>
        <w:t xml:space="preserve"> </w:t>
      </w:r>
      <w:r w:rsidR="00930514" w:rsidRPr="00F72C12">
        <w:t xml:space="preserve">at </w:t>
      </w:r>
      <w:r w:rsidR="00930514">
        <w:t>124 (Ordering Paragraph 4)</w:t>
      </w:r>
      <w:r>
        <w:t xml:space="preserve">. </w:t>
      </w:r>
      <w:r w:rsidR="00930514">
        <w:t xml:space="preserve"> </w:t>
      </w:r>
    </w:p>
  </w:footnote>
  <w:footnote w:id="2">
    <w:p w14:paraId="1E5D5F75" w14:textId="3B966691" w:rsidR="00307F3F" w:rsidRDefault="00307F3F">
      <w:pPr>
        <w:pStyle w:val="FootnoteText"/>
      </w:pPr>
      <w:r>
        <w:rPr>
          <w:rStyle w:val="FootnoteReference"/>
        </w:rPr>
        <w:footnoteRef/>
      </w:r>
      <w:r>
        <w:t xml:space="preserve"> </w:t>
      </w:r>
      <w:r w:rsidR="00EF6FD3">
        <w:t>Those specific regulations for which waiver was granted and is hereby extended are identified in Appendices B and C attached to this Order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180" w:firstLine="0"/>
      </w:pPr>
    </w:lvl>
  </w:abstractNum>
  <w:abstractNum w:abstractNumId="1" w15:restartNumberingAfterBreak="0">
    <w:nsid w:val="31B5289B"/>
    <w:multiLevelType w:val="hybridMultilevel"/>
    <w:tmpl w:val="89BEBAEE"/>
    <w:lvl w:ilvl="0" w:tplc="BFD03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B5E2B"/>
    <w:multiLevelType w:val="hybridMultilevel"/>
    <w:tmpl w:val="BEA8B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226E8"/>
    <w:multiLevelType w:val="hybridMultilevel"/>
    <w:tmpl w:val="9814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170BD"/>
    <w:multiLevelType w:val="hybridMultilevel"/>
    <w:tmpl w:val="BC489474"/>
    <w:lvl w:ilvl="0" w:tplc="90D6D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F11519"/>
    <w:multiLevelType w:val="hybridMultilevel"/>
    <w:tmpl w:val="2D66F0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2"/>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4A88"/>
    <w:rsid w:val="00005818"/>
    <w:rsid w:val="00036AD3"/>
    <w:rsid w:val="000458E2"/>
    <w:rsid w:val="00061E62"/>
    <w:rsid w:val="00061ECE"/>
    <w:rsid w:val="0006287B"/>
    <w:rsid w:val="000675A4"/>
    <w:rsid w:val="00075AC0"/>
    <w:rsid w:val="000811B9"/>
    <w:rsid w:val="00082279"/>
    <w:rsid w:val="000874C1"/>
    <w:rsid w:val="00092C0A"/>
    <w:rsid w:val="000A5BDB"/>
    <w:rsid w:val="000A6AC7"/>
    <w:rsid w:val="000B10E7"/>
    <w:rsid w:val="000B308B"/>
    <w:rsid w:val="000B46F5"/>
    <w:rsid w:val="000B5E46"/>
    <w:rsid w:val="000C03D0"/>
    <w:rsid w:val="000E3ECD"/>
    <w:rsid w:val="000E4C2A"/>
    <w:rsid w:val="00107AB8"/>
    <w:rsid w:val="001119EF"/>
    <w:rsid w:val="00124AEF"/>
    <w:rsid w:val="001340C3"/>
    <w:rsid w:val="00134B2C"/>
    <w:rsid w:val="00142828"/>
    <w:rsid w:val="0015549B"/>
    <w:rsid w:val="001813EA"/>
    <w:rsid w:val="001B6DC1"/>
    <w:rsid w:val="001B7588"/>
    <w:rsid w:val="001D4E1D"/>
    <w:rsid w:val="001E3846"/>
    <w:rsid w:val="001E4642"/>
    <w:rsid w:val="001F19F3"/>
    <w:rsid w:val="001F6BF4"/>
    <w:rsid w:val="00214C36"/>
    <w:rsid w:val="00217D49"/>
    <w:rsid w:val="00217EF7"/>
    <w:rsid w:val="00223465"/>
    <w:rsid w:val="0022503C"/>
    <w:rsid w:val="00250087"/>
    <w:rsid w:val="00251C6E"/>
    <w:rsid w:val="002528C0"/>
    <w:rsid w:val="002718B2"/>
    <w:rsid w:val="0029002E"/>
    <w:rsid w:val="00290A3D"/>
    <w:rsid w:val="00291F3F"/>
    <w:rsid w:val="002A23AC"/>
    <w:rsid w:val="002A5B23"/>
    <w:rsid w:val="002B18E0"/>
    <w:rsid w:val="002B49E8"/>
    <w:rsid w:val="002C30F7"/>
    <w:rsid w:val="002C7630"/>
    <w:rsid w:val="002E2B14"/>
    <w:rsid w:val="002F7691"/>
    <w:rsid w:val="00304809"/>
    <w:rsid w:val="003053A8"/>
    <w:rsid w:val="00307F3F"/>
    <w:rsid w:val="00341E47"/>
    <w:rsid w:val="003477E3"/>
    <w:rsid w:val="0035040B"/>
    <w:rsid w:val="00350758"/>
    <w:rsid w:val="00353A13"/>
    <w:rsid w:val="0037498A"/>
    <w:rsid w:val="00381887"/>
    <w:rsid w:val="003A6228"/>
    <w:rsid w:val="003D3563"/>
    <w:rsid w:val="003D5A1D"/>
    <w:rsid w:val="003E27BB"/>
    <w:rsid w:val="003E4016"/>
    <w:rsid w:val="00431430"/>
    <w:rsid w:val="00432646"/>
    <w:rsid w:val="004465AE"/>
    <w:rsid w:val="00466029"/>
    <w:rsid w:val="004768B5"/>
    <w:rsid w:val="004B69D5"/>
    <w:rsid w:val="004D7B78"/>
    <w:rsid w:val="004E58A5"/>
    <w:rsid w:val="004E634B"/>
    <w:rsid w:val="004F370A"/>
    <w:rsid w:val="004F4BE2"/>
    <w:rsid w:val="00520427"/>
    <w:rsid w:val="0052101F"/>
    <w:rsid w:val="00523A8C"/>
    <w:rsid w:val="00524B6D"/>
    <w:rsid w:val="0052639C"/>
    <w:rsid w:val="005430BC"/>
    <w:rsid w:val="00547A44"/>
    <w:rsid w:val="005529E9"/>
    <w:rsid w:val="00571027"/>
    <w:rsid w:val="00572CCC"/>
    <w:rsid w:val="005A6FCE"/>
    <w:rsid w:val="005A7356"/>
    <w:rsid w:val="005B67B3"/>
    <w:rsid w:val="005B7048"/>
    <w:rsid w:val="005C6F75"/>
    <w:rsid w:val="005D03E0"/>
    <w:rsid w:val="005F1C61"/>
    <w:rsid w:val="005F3889"/>
    <w:rsid w:val="00600A17"/>
    <w:rsid w:val="006027A7"/>
    <w:rsid w:val="006048E2"/>
    <w:rsid w:val="00613CD5"/>
    <w:rsid w:val="00621EEE"/>
    <w:rsid w:val="00622AFA"/>
    <w:rsid w:val="00664271"/>
    <w:rsid w:val="00694531"/>
    <w:rsid w:val="00697266"/>
    <w:rsid w:val="006A01F9"/>
    <w:rsid w:val="006B1962"/>
    <w:rsid w:val="006B2984"/>
    <w:rsid w:val="006B6F67"/>
    <w:rsid w:val="006B77BE"/>
    <w:rsid w:val="006C6105"/>
    <w:rsid w:val="006E5824"/>
    <w:rsid w:val="006F24F5"/>
    <w:rsid w:val="00716174"/>
    <w:rsid w:val="00724BA7"/>
    <w:rsid w:val="00747283"/>
    <w:rsid w:val="007632B0"/>
    <w:rsid w:val="00776F80"/>
    <w:rsid w:val="007B2569"/>
    <w:rsid w:val="007B744C"/>
    <w:rsid w:val="007C2DB3"/>
    <w:rsid w:val="007D2A0F"/>
    <w:rsid w:val="007D368E"/>
    <w:rsid w:val="007D41D9"/>
    <w:rsid w:val="007E6598"/>
    <w:rsid w:val="007F20F0"/>
    <w:rsid w:val="007F37C1"/>
    <w:rsid w:val="00806E34"/>
    <w:rsid w:val="0081377C"/>
    <w:rsid w:val="00816287"/>
    <w:rsid w:val="00835BE7"/>
    <w:rsid w:val="00852DC5"/>
    <w:rsid w:val="00861247"/>
    <w:rsid w:val="0086515A"/>
    <w:rsid w:val="0086706B"/>
    <w:rsid w:val="00873D0D"/>
    <w:rsid w:val="008844AF"/>
    <w:rsid w:val="00885193"/>
    <w:rsid w:val="008B1C95"/>
    <w:rsid w:val="008B5653"/>
    <w:rsid w:val="008C5652"/>
    <w:rsid w:val="008C7ABF"/>
    <w:rsid w:val="008F4F8B"/>
    <w:rsid w:val="00907D15"/>
    <w:rsid w:val="009136D6"/>
    <w:rsid w:val="009205C7"/>
    <w:rsid w:val="009248F5"/>
    <w:rsid w:val="00930514"/>
    <w:rsid w:val="0093438F"/>
    <w:rsid w:val="00941451"/>
    <w:rsid w:val="00951049"/>
    <w:rsid w:val="00960981"/>
    <w:rsid w:val="0097535C"/>
    <w:rsid w:val="00976012"/>
    <w:rsid w:val="00981EE0"/>
    <w:rsid w:val="00984643"/>
    <w:rsid w:val="00985472"/>
    <w:rsid w:val="0099022E"/>
    <w:rsid w:val="009D5F04"/>
    <w:rsid w:val="009F4F96"/>
    <w:rsid w:val="00A13935"/>
    <w:rsid w:val="00A172FF"/>
    <w:rsid w:val="00A20BE8"/>
    <w:rsid w:val="00A508B3"/>
    <w:rsid w:val="00A82B74"/>
    <w:rsid w:val="00A82FC9"/>
    <w:rsid w:val="00A9040A"/>
    <w:rsid w:val="00AB2CF1"/>
    <w:rsid w:val="00AB5048"/>
    <w:rsid w:val="00AB738E"/>
    <w:rsid w:val="00AC6AAA"/>
    <w:rsid w:val="00AD5F40"/>
    <w:rsid w:val="00AE3E24"/>
    <w:rsid w:val="00B10F16"/>
    <w:rsid w:val="00B26D95"/>
    <w:rsid w:val="00B3246D"/>
    <w:rsid w:val="00B363B0"/>
    <w:rsid w:val="00B57B62"/>
    <w:rsid w:val="00B61B17"/>
    <w:rsid w:val="00B643E7"/>
    <w:rsid w:val="00B65E95"/>
    <w:rsid w:val="00B80BA2"/>
    <w:rsid w:val="00B9643A"/>
    <w:rsid w:val="00BB02BC"/>
    <w:rsid w:val="00BB375E"/>
    <w:rsid w:val="00BD7C30"/>
    <w:rsid w:val="00BE2339"/>
    <w:rsid w:val="00BE499A"/>
    <w:rsid w:val="00BE6734"/>
    <w:rsid w:val="00C01D96"/>
    <w:rsid w:val="00C0451E"/>
    <w:rsid w:val="00C05A71"/>
    <w:rsid w:val="00C14B6E"/>
    <w:rsid w:val="00C20313"/>
    <w:rsid w:val="00C3520A"/>
    <w:rsid w:val="00C36317"/>
    <w:rsid w:val="00C410FE"/>
    <w:rsid w:val="00C46CE9"/>
    <w:rsid w:val="00C5353F"/>
    <w:rsid w:val="00C55973"/>
    <w:rsid w:val="00C729F5"/>
    <w:rsid w:val="00C775D4"/>
    <w:rsid w:val="00C83E67"/>
    <w:rsid w:val="00CA6DA0"/>
    <w:rsid w:val="00CB1530"/>
    <w:rsid w:val="00CB2ACE"/>
    <w:rsid w:val="00CB7DD7"/>
    <w:rsid w:val="00CC1AC7"/>
    <w:rsid w:val="00CD2F69"/>
    <w:rsid w:val="00CD6C97"/>
    <w:rsid w:val="00CF600C"/>
    <w:rsid w:val="00D21FD0"/>
    <w:rsid w:val="00D2535B"/>
    <w:rsid w:val="00D37635"/>
    <w:rsid w:val="00D40C78"/>
    <w:rsid w:val="00D53CF7"/>
    <w:rsid w:val="00D5619D"/>
    <w:rsid w:val="00D61F9F"/>
    <w:rsid w:val="00D67AED"/>
    <w:rsid w:val="00D83182"/>
    <w:rsid w:val="00D850D4"/>
    <w:rsid w:val="00DA4F7F"/>
    <w:rsid w:val="00DA5B65"/>
    <w:rsid w:val="00DB623A"/>
    <w:rsid w:val="00DC7AF7"/>
    <w:rsid w:val="00DC7F2D"/>
    <w:rsid w:val="00DE520F"/>
    <w:rsid w:val="00DF0470"/>
    <w:rsid w:val="00E15458"/>
    <w:rsid w:val="00E170F5"/>
    <w:rsid w:val="00E17939"/>
    <w:rsid w:val="00E20E18"/>
    <w:rsid w:val="00E35B85"/>
    <w:rsid w:val="00E3647E"/>
    <w:rsid w:val="00E36544"/>
    <w:rsid w:val="00E441EC"/>
    <w:rsid w:val="00E52E18"/>
    <w:rsid w:val="00E61949"/>
    <w:rsid w:val="00E72D6C"/>
    <w:rsid w:val="00E96680"/>
    <w:rsid w:val="00EA5566"/>
    <w:rsid w:val="00EA5B39"/>
    <w:rsid w:val="00EA78E6"/>
    <w:rsid w:val="00EC77BF"/>
    <w:rsid w:val="00ED7D4C"/>
    <w:rsid w:val="00EE1B26"/>
    <w:rsid w:val="00EF6FD3"/>
    <w:rsid w:val="00F00ABF"/>
    <w:rsid w:val="00F11AA4"/>
    <w:rsid w:val="00F15A31"/>
    <w:rsid w:val="00F16235"/>
    <w:rsid w:val="00F25608"/>
    <w:rsid w:val="00F27679"/>
    <w:rsid w:val="00F5394C"/>
    <w:rsid w:val="00F55B91"/>
    <w:rsid w:val="00F649E4"/>
    <w:rsid w:val="00F80429"/>
    <w:rsid w:val="00F90DC1"/>
    <w:rsid w:val="00F91611"/>
    <w:rsid w:val="00FA29A2"/>
    <w:rsid w:val="00FA40BB"/>
    <w:rsid w:val="00FA58EC"/>
    <w:rsid w:val="00FC4B69"/>
    <w:rsid w:val="00FE58A2"/>
    <w:rsid w:val="00FF248F"/>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B6C26"/>
  <w15:chartTrackingRefBased/>
  <w15:docId w15:val="{2A2D4174-9BB5-46B0-B108-571CAD95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uiPriority w:val="99"/>
    <w:qFormat/>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rsid w:val="00C05A71"/>
    <w:rPr>
      <w:color w:val="0000FF"/>
      <w:u w:val="single"/>
    </w:rPr>
  </w:style>
  <w:style w:type="paragraph" w:styleId="ListParagraph">
    <w:name w:val="List Paragraph"/>
    <w:basedOn w:val="Normal"/>
    <w:uiPriority w:val="34"/>
    <w:qFormat/>
    <w:rsid w:val="0086515A"/>
    <w:pPr>
      <w:ind w:left="720"/>
      <w:contextualSpacing/>
    </w:pPr>
  </w:style>
  <w:style w:type="character" w:styleId="CommentReference">
    <w:name w:val="annotation reference"/>
    <w:basedOn w:val="DefaultParagraphFont"/>
    <w:rsid w:val="00CD2F69"/>
    <w:rPr>
      <w:sz w:val="16"/>
      <w:szCs w:val="16"/>
    </w:rPr>
  </w:style>
  <w:style w:type="paragraph" w:styleId="CommentText">
    <w:name w:val="annotation text"/>
    <w:basedOn w:val="Normal"/>
    <w:link w:val="CommentTextChar"/>
    <w:rsid w:val="00CD2F69"/>
    <w:rPr>
      <w:sz w:val="20"/>
    </w:rPr>
  </w:style>
  <w:style w:type="character" w:customStyle="1" w:styleId="CommentTextChar">
    <w:name w:val="Comment Text Char"/>
    <w:basedOn w:val="DefaultParagraphFont"/>
    <w:link w:val="CommentText"/>
    <w:rsid w:val="00CD2F69"/>
  </w:style>
  <w:style w:type="paragraph" w:styleId="CommentSubject">
    <w:name w:val="annotation subject"/>
    <w:basedOn w:val="CommentText"/>
    <w:next w:val="CommentText"/>
    <w:link w:val="CommentSubjectChar"/>
    <w:rsid w:val="00CD2F69"/>
    <w:rPr>
      <w:b/>
      <w:bCs/>
    </w:rPr>
  </w:style>
  <w:style w:type="character" w:customStyle="1" w:styleId="CommentSubjectChar">
    <w:name w:val="Comment Subject Char"/>
    <w:basedOn w:val="CommentTextChar"/>
    <w:link w:val="CommentSubject"/>
    <w:rsid w:val="00CD2F69"/>
    <w:rPr>
      <w:b/>
      <w:bC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930514"/>
  </w:style>
  <w:style w:type="paragraph" w:styleId="Revision">
    <w:name w:val="Revision"/>
    <w:hidden/>
    <w:uiPriority w:val="99"/>
    <w:semiHidden/>
    <w:rsid w:val="009F4F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EA35E-B3C8-4402-98E2-5E1892DB2D82}">
  <ds:schemaRefs>
    <ds:schemaRef ds:uri="http://schemas.microsoft.com/sharepoint/v3/contenttype/forms"/>
  </ds:schemaRefs>
</ds:datastoreItem>
</file>

<file path=customXml/itemProps2.xml><?xml version="1.0" encoding="utf-8"?>
<ds:datastoreItem xmlns:ds="http://schemas.openxmlformats.org/officeDocument/2006/customXml" ds:itemID="{794A5682-5E90-4686-94D0-B1B6AF97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B8B76-976B-4432-B49D-BD83FFCB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12</cp:revision>
  <cp:lastPrinted>2020-02-05T19:05:00Z</cp:lastPrinted>
  <dcterms:created xsi:type="dcterms:W3CDTF">2020-02-05T17:11:00Z</dcterms:created>
  <dcterms:modified xsi:type="dcterms:W3CDTF">2020-02-06T13:38:00Z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