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564B" w14:textId="4B4C5B8C" w:rsidR="00CF63E7" w:rsidRPr="00CF63E7" w:rsidRDefault="00CF63E7" w:rsidP="00CF63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18, 2020</w:t>
      </w:r>
    </w:p>
    <w:p w14:paraId="6A7657FF" w14:textId="28EBB3A4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51AC9" w:rsidRPr="00451AC9">
        <w:rPr>
          <w:b/>
          <w:sz w:val="24"/>
          <w:szCs w:val="24"/>
        </w:rPr>
        <w:t>8916263</w:t>
      </w:r>
    </w:p>
    <w:p w14:paraId="543D4ED9" w14:textId="238DB79E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51AC9" w:rsidRPr="00451AC9">
        <w:rPr>
          <w:b/>
          <w:sz w:val="24"/>
          <w:szCs w:val="24"/>
        </w:rPr>
        <w:t>3018405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893EEAE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451AC9" w:rsidRPr="00451AC9">
        <w:rPr>
          <w:b/>
          <w:sz w:val="24"/>
          <w:szCs w:val="24"/>
        </w:rPr>
        <w:t>Legacy Enterprise Group</w:t>
      </w:r>
      <w:r w:rsidR="00451AC9">
        <w:rPr>
          <w:b/>
          <w:sz w:val="24"/>
          <w:szCs w:val="24"/>
        </w:rPr>
        <w:t>,</w:t>
      </w:r>
      <w:r w:rsidR="00451AC9" w:rsidRPr="00451AC9">
        <w:rPr>
          <w:b/>
          <w:sz w:val="24"/>
          <w:szCs w:val="24"/>
        </w:rPr>
        <w:t xml:space="preserve"> LLC</w:t>
      </w:r>
      <w:r w:rsidR="00451AC9">
        <w:rPr>
          <w:b/>
          <w:sz w:val="24"/>
          <w:szCs w:val="24"/>
        </w:rPr>
        <w:t>,</w:t>
      </w:r>
      <w:r w:rsidR="00451AC9" w:rsidRPr="00451AC9">
        <w:rPr>
          <w:b/>
          <w:sz w:val="24"/>
          <w:szCs w:val="24"/>
        </w:rPr>
        <w:t xml:space="preserve"> d/b/a Anchor Moving and Storage</w:t>
      </w:r>
      <w:r w:rsidR="00451AC9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3FE262EE" w14:textId="77777777" w:rsidR="00451AC9" w:rsidRPr="00451AC9" w:rsidRDefault="00830E07" w:rsidP="00451AC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 xml:space="preserve">February </w:t>
      </w:r>
      <w:r w:rsidR="00451AC9">
        <w:rPr>
          <w:sz w:val="24"/>
          <w:szCs w:val="24"/>
        </w:rPr>
        <w:t>11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451AC9" w:rsidRPr="00451AC9">
        <w:rPr>
          <w:sz w:val="24"/>
          <w:szCs w:val="24"/>
        </w:rPr>
        <w:t>278th Revised Page 2, 176th Revised Page 2-A, 1st</w:t>
      </w:r>
    </w:p>
    <w:p w14:paraId="136B5E25" w14:textId="6AFA190D" w:rsidR="00BF27DD" w:rsidRDefault="00451AC9" w:rsidP="00451AC9">
      <w:pPr>
        <w:autoSpaceDE w:val="0"/>
        <w:autoSpaceDN w:val="0"/>
        <w:adjustRightInd w:val="0"/>
        <w:rPr>
          <w:sz w:val="24"/>
          <w:szCs w:val="24"/>
        </w:rPr>
      </w:pPr>
      <w:r w:rsidRPr="00451AC9">
        <w:rPr>
          <w:sz w:val="24"/>
          <w:szCs w:val="24"/>
        </w:rPr>
        <w:t>Revised Page 64-B, 1st Revised Page 64-C, and 1st Revised Page 64-D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A9DEDE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E2E71">
        <w:rPr>
          <w:sz w:val="24"/>
          <w:szCs w:val="24"/>
        </w:rPr>
        <w:t>May 15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B4FEE97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DF47903" w:rsidR="005145AA" w:rsidRPr="00FA5E40" w:rsidRDefault="00CF63E7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262CA0" wp14:editId="3A261199">
            <wp:simplePos x="0" y="0"/>
            <wp:positionH relativeFrom="column">
              <wp:posOffset>3086100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24416E39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351F545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2962D" w14:textId="77777777" w:rsidR="00913BCE" w:rsidRDefault="00913BCE">
      <w:r>
        <w:separator/>
      </w:r>
    </w:p>
  </w:endnote>
  <w:endnote w:type="continuationSeparator" w:id="0">
    <w:p w14:paraId="03913E36" w14:textId="77777777" w:rsidR="00913BCE" w:rsidRDefault="0091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0603" w14:textId="77777777" w:rsidR="00913BCE" w:rsidRDefault="00913BCE">
      <w:r>
        <w:separator/>
      </w:r>
    </w:p>
  </w:footnote>
  <w:footnote w:type="continuationSeparator" w:id="0">
    <w:p w14:paraId="547EB310" w14:textId="77777777" w:rsidR="00913BCE" w:rsidRDefault="0091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25BF"/>
    <w:rsid w:val="008F498B"/>
    <w:rsid w:val="008F57BF"/>
    <w:rsid w:val="00902D6D"/>
    <w:rsid w:val="009115C6"/>
    <w:rsid w:val="009122DB"/>
    <w:rsid w:val="00913BCE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CF63E7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CF43-D6A6-461D-941C-0111EE87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2020-02-18T14:39:00Z</dcterms:created>
  <dcterms:modified xsi:type="dcterms:W3CDTF">2020-02-18T14:42:00Z</dcterms:modified>
</cp:coreProperties>
</file>