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1646" w14:textId="0B8664C1" w:rsidR="009E6606" w:rsidRDefault="009E6606" w:rsidP="009E6606">
      <w:pPr>
        <w:jc w:val="center"/>
        <w:rPr>
          <w:rFonts w:ascii="Times New Roman" w:hAnsi="Times New Roman" w:cs="Times New Roman"/>
          <w:b/>
        </w:rPr>
      </w:pPr>
    </w:p>
    <w:p w14:paraId="3DD3FC48" w14:textId="77777777" w:rsidR="00423F59" w:rsidRDefault="00423F59"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1C16D7D5" w14:textId="77777777" w:rsidR="00EE4691" w:rsidRDefault="00EE4691" w:rsidP="00EE4691">
      <w:pPr>
        <w:jc w:val="both"/>
        <w:rPr>
          <w:rFonts w:ascii="Times New Roman" w:eastAsia="Calibri" w:hAnsi="Times New Roman" w:cs="Times New Roman"/>
        </w:rPr>
      </w:pPr>
      <w:r>
        <w:rPr>
          <w:rFonts w:ascii="Times New Roman" w:eastAsia="Calibri" w:hAnsi="Times New Roman" w:cs="Times New Roman"/>
        </w:rPr>
        <w:t>Judith D. Hendin</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w:t>
      </w:r>
    </w:p>
    <w:p w14:paraId="3362BF40" w14:textId="77777777" w:rsidR="00EE4691" w:rsidRDefault="00EE4691" w:rsidP="00EE4691">
      <w:pPr>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w:t>
      </w:r>
    </w:p>
    <w:p w14:paraId="6E4FCEEB" w14:textId="77777777" w:rsidR="00EE4691" w:rsidRDefault="00EE4691" w:rsidP="00EE4691">
      <w:pPr>
        <w:jc w:val="both"/>
        <w:rPr>
          <w:rFonts w:ascii="Times New Roman" w:eastAsia="Calibri" w:hAnsi="Times New Roman" w:cs="Times New Roman"/>
        </w:rPr>
      </w:pPr>
      <w:r>
        <w:rPr>
          <w:rFonts w:ascii="Times New Roman" w:eastAsia="Calibri" w:hAnsi="Times New Roman" w:cs="Times New Roman"/>
        </w:rPr>
        <w:tab/>
        <w:t>v.</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w:t>
      </w:r>
      <w:r>
        <w:rPr>
          <w:rFonts w:ascii="Times New Roman" w:eastAsia="Calibri" w:hAnsi="Times New Roman" w:cs="Times New Roman"/>
        </w:rPr>
        <w:tab/>
      </w:r>
      <w:r>
        <w:rPr>
          <w:rFonts w:ascii="Times New Roman" w:eastAsia="Calibri" w:hAnsi="Times New Roman" w:cs="Times New Roman"/>
        </w:rPr>
        <w:tab/>
        <w:t>C-2018-3003324</w:t>
      </w:r>
    </w:p>
    <w:p w14:paraId="06C1F0F4" w14:textId="77777777" w:rsidR="00EE4691" w:rsidRDefault="00EE4691" w:rsidP="00EE4691">
      <w:pPr>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w:t>
      </w:r>
    </w:p>
    <w:p w14:paraId="5945838D" w14:textId="77777777" w:rsidR="00EE4691" w:rsidRDefault="00EE4691" w:rsidP="00EE4691">
      <w:pPr>
        <w:jc w:val="both"/>
        <w:rPr>
          <w:rFonts w:ascii="Times New Roman" w:eastAsia="Calibri" w:hAnsi="Times New Roman" w:cs="Times New Roman"/>
        </w:rPr>
      </w:pPr>
      <w:r>
        <w:rPr>
          <w:rFonts w:ascii="Times New Roman" w:eastAsia="Calibri" w:hAnsi="Times New Roman" w:cs="Times New Roman"/>
        </w:rPr>
        <w:t>Metropolitan Edison Company</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62ECCE94" w:rsidR="009E6606" w:rsidRDefault="009E6606" w:rsidP="009E6606">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14:paraId="3B1E14E8" w14:textId="09C0AADA" w:rsidR="00AB18FE" w:rsidRDefault="00B6382C" w:rsidP="009E6606">
      <w:pPr>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DENYING MOTION FOR EXTENSION OF TIME</w:t>
      </w:r>
    </w:p>
    <w:p w14:paraId="3F671249" w14:textId="6218C800" w:rsidR="00211FAE" w:rsidRPr="003176BE" w:rsidRDefault="00211FAE" w:rsidP="009E6606">
      <w:pPr>
        <w:suppressAutoHyphens/>
        <w:jc w:val="center"/>
        <w:rPr>
          <w:rFonts w:ascii="Times New Roman" w:hAnsi="Times New Roman" w:cs="Times New Roman"/>
          <w:b/>
          <w:bCs/>
          <w:spacing w:val="-3"/>
        </w:rPr>
      </w:pPr>
      <w:r>
        <w:rPr>
          <w:rFonts w:ascii="Times New Roman" w:hAnsi="Times New Roman" w:cs="Times New Roman"/>
          <w:b/>
          <w:bCs/>
          <w:spacing w:val="-3"/>
          <w:u w:val="single"/>
        </w:rPr>
        <w:t>AND LEAVE TO FILE SURREBUTTAL TESTIMONY</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4B5891EE" w14:textId="74DE1661" w:rsidR="00EE4691" w:rsidRDefault="009633B9" w:rsidP="00EE4691">
      <w:pPr>
        <w:spacing w:line="360" w:lineRule="auto"/>
        <w:ind w:firstLine="1440"/>
        <w:rPr>
          <w:rFonts w:ascii="Times New Roman" w:eastAsia="Calibri" w:hAnsi="Times New Roman" w:cs="Times New Roman"/>
        </w:rPr>
      </w:pPr>
      <w:r>
        <w:rPr>
          <w:rFonts w:ascii="Times New Roman" w:eastAsia="Calibri" w:hAnsi="Times New Roman" w:cs="Times New Roman"/>
        </w:rPr>
        <w:t xml:space="preserve">On June 29, 2018, </w:t>
      </w:r>
      <w:r w:rsidR="00EE4691">
        <w:rPr>
          <w:rFonts w:ascii="Times New Roman" w:eastAsia="Calibri" w:hAnsi="Times New Roman" w:cs="Times New Roman"/>
        </w:rPr>
        <w:t xml:space="preserve">Judith D. Hendin filed a </w:t>
      </w:r>
      <w:r w:rsidR="001B07C4">
        <w:rPr>
          <w:rFonts w:ascii="Times New Roman" w:eastAsia="Calibri" w:hAnsi="Times New Roman" w:cs="Times New Roman"/>
        </w:rPr>
        <w:t>f</w:t>
      </w:r>
      <w:r w:rsidR="00EE4691">
        <w:rPr>
          <w:rFonts w:ascii="Times New Roman" w:eastAsia="Calibri" w:hAnsi="Times New Roman" w:cs="Times New Roman"/>
        </w:rPr>
        <w:t xml:space="preserve">ormal </w:t>
      </w:r>
      <w:r w:rsidR="001B07C4">
        <w:rPr>
          <w:rFonts w:ascii="Times New Roman" w:eastAsia="Calibri" w:hAnsi="Times New Roman" w:cs="Times New Roman"/>
        </w:rPr>
        <w:t>c</w:t>
      </w:r>
      <w:r w:rsidR="00EE4691">
        <w:rPr>
          <w:rFonts w:ascii="Times New Roman" w:eastAsia="Calibri" w:hAnsi="Times New Roman" w:cs="Times New Roman"/>
        </w:rPr>
        <w:t>omplaint with the Pennsylvania Public Utility Commission against Metropolitan Edison Company (</w:t>
      </w:r>
      <w:r>
        <w:rPr>
          <w:rFonts w:ascii="Times New Roman" w:eastAsia="Calibri" w:hAnsi="Times New Roman" w:cs="Times New Roman"/>
        </w:rPr>
        <w:t>Met-Ed</w:t>
      </w:r>
      <w:r w:rsidR="00EE4691">
        <w:rPr>
          <w:rFonts w:ascii="Times New Roman" w:eastAsia="Calibri" w:hAnsi="Times New Roman" w:cs="Times New Roman"/>
        </w:rPr>
        <w:t>), averring that she did not want a smart meter installed on her property</w:t>
      </w:r>
      <w:r w:rsidR="00B75F3E">
        <w:rPr>
          <w:rFonts w:ascii="Times New Roman" w:eastAsia="Calibri" w:hAnsi="Times New Roman" w:cs="Times New Roman"/>
        </w:rPr>
        <w:t xml:space="preserve"> and</w:t>
      </w:r>
      <w:r w:rsidR="00EE4691">
        <w:rPr>
          <w:rFonts w:ascii="Times New Roman" w:eastAsia="Calibri" w:hAnsi="Times New Roman" w:cs="Times New Roman"/>
        </w:rPr>
        <w:t xml:space="preserve"> that a smart meter was previously installed at her residence and that </w:t>
      </w:r>
      <w:r w:rsidR="00B75F3E">
        <w:rPr>
          <w:rFonts w:ascii="Times New Roman" w:eastAsia="Calibri" w:hAnsi="Times New Roman" w:cs="Times New Roman"/>
        </w:rPr>
        <w:t xml:space="preserve">caused her to </w:t>
      </w:r>
      <w:r w:rsidR="00EE4691">
        <w:rPr>
          <w:rFonts w:ascii="Times New Roman" w:eastAsia="Calibri" w:hAnsi="Times New Roman" w:cs="Times New Roman"/>
        </w:rPr>
        <w:t>bec</w:t>
      </w:r>
      <w:r w:rsidR="00B75F3E">
        <w:rPr>
          <w:rFonts w:ascii="Times New Roman" w:eastAsia="Calibri" w:hAnsi="Times New Roman" w:cs="Times New Roman"/>
        </w:rPr>
        <w:t>o</w:t>
      </w:r>
      <w:r w:rsidR="00EE4691">
        <w:rPr>
          <w:rFonts w:ascii="Times New Roman" w:eastAsia="Calibri" w:hAnsi="Times New Roman" w:cs="Times New Roman"/>
        </w:rPr>
        <w:t xml:space="preserve">me sick.  </w:t>
      </w:r>
      <w:r>
        <w:rPr>
          <w:rFonts w:ascii="Times New Roman" w:eastAsia="Calibri" w:hAnsi="Times New Roman" w:cs="Times New Roman"/>
        </w:rPr>
        <w:t>Ms. Hendin</w:t>
      </w:r>
      <w:r w:rsidR="00EE4691">
        <w:rPr>
          <w:rFonts w:ascii="Times New Roman" w:eastAsia="Calibri" w:hAnsi="Times New Roman" w:cs="Times New Roman"/>
        </w:rPr>
        <w:t xml:space="preserve"> expressed concerns of how her specific health issues will be affected by the installation of a smart meter.  As relief, </w:t>
      </w:r>
      <w:r>
        <w:rPr>
          <w:rFonts w:ascii="Times New Roman" w:eastAsia="Calibri" w:hAnsi="Times New Roman" w:cs="Times New Roman"/>
        </w:rPr>
        <w:t xml:space="preserve">Ms. Hendin </w:t>
      </w:r>
      <w:r w:rsidR="00EE4691">
        <w:rPr>
          <w:rFonts w:ascii="Times New Roman" w:eastAsia="Calibri" w:hAnsi="Times New Roman" w:cs="Times New Roman"/>
        </w:rPr>
        <w:t xml:space="preserve">seeks an order providing that no smart meter will be installed on her property and permitting her to keep her existing meter.   </w:t>
      </w:r>
    </w:p>
    <w:p w14:paraId="1FE3471B" w14:textId="77777777" w:rsidR="00EE4691" w:rsidRDefault="00EE4691" w:rsidP="00EE4691">
      <w:pPr>
        <w:spacing w:line="360" w:lineRule="auto"/>
        <w:ind w:firstLine="1440"/>
        <w:rPr>
          <w:rFonts w:ascii="Times New Roman" w:eastAsia="Calibri" w:hAnsi="Times New Roman" w:cs="Times New Roman"/>
        </w:rPr>
      </w:pPr>
    </w:p>
    <w:p w14:paraId="6D2BA302" w14:textId="707CC553" w:rsidR="00EE4691" w:rsidRDefault="00EE4691" w:rsidP="00EE4691">
      <w:pPr>
        <w:spacing w:line="360" w:lineRule="auto"/>
        <w:ind w:firstLine="1440"/>
        <w:rPr>
          <w:rFonts w:ascii="Times New Roman" w:eastAsia="Calibri" w:hAnsi="Times New Roman" w:cs="Times New Roman"/>
        </w:rPr>
      </w:pPr>
      <w:r>
        <w:rPr>
          <w:rFonts w:ascii="Times New Roman" w:eastAsia="Calibri" w:hAnsi="Times New Roman" w:cs="Times New Roman"/>
        </w:rPr>
        <w:t xml:space="preserve">On July 31, 2018, </w:t>
      </w:r>
      <w:r w:rsidR="009633B9">
        <w:rPr>
          <w:rFonts w:ascii="Times New Roman" w:eastAsia="Calibri" w:hAnsi="Times New Roman" w:cs="Times New Roman"/>
        </w:rPr>
        <w:t xml:space="preserve">Met-Ed </w:t>
      </w:r>
      <w:r>
        <w:rPr>
          <w:rFonts w:ascii="Times New Roman" w:eastAsia="Calibri" w:hAnsi="Times New Roman" w:cs="Times New Roman"/>
        </w:rPr>
        <w:t xml:space="preserve">filed an </w:t>
      </w:r>
      <w:r w:rsidR="009633B9">
        <w:rPr>
          <w:rFonts w:ascii="Times New Roman" w:eastAsia="Calibri" w:hAnsi="Times New Roman" w:cs="Times New Roman"/>
        </w:rPr>
        <w:t>a</w:t>
      </w:r>
      <w:r>
        <w:rPr>
          <w:rFonts w:ascii="Times New Roman" w:eastAsia="Calibri" w:hAnsi="Times New Roman" w:cs="Times New Roman"/>
        </w:rPr>
        <w:t xml:space="preserve">nswer and </w:t>
      </w:r>
      <w:r w:rsidR="009633B9">
        <w:rPr>
          <w:rFonts w:ascii="Times New Roman" w:eastAsia="Calibri" w:hAnsi="Times New Roman" w:cs="Times New Roman"/>
        </w:rPr>
        <w:t>n</w:t>
      </w:r>
      <w:r>
        <w:rPr>
          <w:rFonts w:ascii="Times New Roman" w:eastAsia="Calibri" w:hAnsi="Times New Roman" w:cs="Times New Roman"/>
        </w:rPr>
        <w:t xml:space="preserve">ew </w:t>
      </w:r>
      <w:r w:rsidR="009633B9">
        <w:rPr>
          <w:rFonts w:ascii="Times New Roman" w:eastAsia="Calibri" w:hAnsi="Times New Roman" w:cs="Times New Roman"/>
        </w:rPr>
        <w:t>m</w:t>
      </w:r>
      <w:r>
        <w:rPr>
          <w:rFonts w:ascii="Times New Roman" w:eastAsia="Calibri" w:hAnsi="Times New Roman" w:cs="Times New Roman"/>
        </w:rPr>
        <w:t xml:space="preserve">atter to the </w:t>
      </w:r>
      <w:r w:rsidR="009633B9">
        <w:rPr>
          <w:rFonts w:ascii="Times New Roman" w:eastAsia="Calibri" w:hAnsi="Times New Roman" w:cs="Times New Roman"/>
        </w:rPr>
        <w:t>c</w:t>
      </w:r>
      <w:r>
        <w:rPr>
          <w:rFonts w:ascii="Times New Roman" w:eastAsia="Calibri" w:hAnsi="Times New Roman" w:cs="Times New Roman"/>
        </w:rPr>
        <w:t>omplaint</w:t>
      </w:r>
      <w:r w:rsidR="004D0592">
        <w:rPr>
          <w:rFonts w:ascii="Times New Roman" w:eastAsia="Calibri" w:hAnsi="Times New Roman" w:cs="Times New Roman"/>
        </w:rPr>
        <w:t xml:space="preserve"> </w:t>
      </w:r>
      <w:r>
        <w:rPr>
          <w:rFonts w:ascii="Times New Roman" w:eastAsia="Calibri" w:hAnsi="Times New Roman" w:cs="Times New Roman"/>
        </w:rPr>
        <w:t xml:space="preserve">denying the material allegations set forth in the </w:t>
      </w:r>
      <w:r w:rsidR="009633B9">
        <w:rPr>
          <w:rFonts w:ascii="Times New Roman" w:eastAsia="Calibri" w:hAnsi="Times New Roman" w:cs="Times New Roman"/>
        </w:rPr>
        <w:t>c</w:t>
      </w:r>
      <w:r>
        <w:rPr>
          <w:rFonts w:ascii="Times New Roman" w:eastAsia="Calibri" w:hAnsi="Times New Roman" w:cs="Times New Roman"/>
        </w:rPr>
        <w:t xml:space="preserve">omplaint.  </w:t>
      </w:r>
      <w:r w:rsidR="009633B9">
        <w:rPr>
          <w:rFonts w:ascii="Times New Roman" w:eastAsia="Calibri" w:hAnsi="Times New Roman" w:cs="Times New Roman"/>
        </w:rPr>
        <w:t xml:space="preserve">Met-Ed </w:t>
      </w:r>
      <w:r>
        <w:rPr>
          <w:rFonts w:ascii="Times New Roman" w:eastAsia="Calibri" w:hAnsi="Times New Roman" w:cs="Times New Roman"/>
        </w:rPr>
        <w:t xml:space="preserve">averred that </w:t>
      </w:r>
      <w:r w:rsidR="009633B9">
        <w:rPr>
          <w:rFonts w:ascii="Times New Roman" w:eastAsia="Calibri" w:hAnsi="Times New Roman" w:cs="Times New Roman"/>
        </w:rPr>
        <w:t xml:space="preserve">Ms. Hendin </w:t>
      </w:r>
      <w:r>
        <w:rPr>
          <w:rFonts w:ascii="Times New Roman" w:eastAsia="Calibri" w:hAnsi="Times New Roman" w:cs="Times New Roman"/>
        </w:rPr>
        <w:t xml:space="preserve">has refused to allow the </w:t>
      </w:r>
      <w:r w:rsidR="009633B9">
        <w:rPr>
          <w:rFonts w:ascii="Times New Roman" w:eastAsia="Calibri" w:hAnsi="Times New Roman" w:cs="Times New Roman"/>
        </w:rPr>
        <w:t>c</w:t>
      </w:r>
      <w:r>
        <w:rPr>
          <w:rFonts w:ascii="Times New Roman" w:eastAsia="Calibri" w:hAnsi="Times New Roman" w:cs="Times New Roman"/>
        </w:rPr>
        <w:t xml:space="preserve">ompany access to install a smart meter at </w:t>
      </w:r>
      <w:r w:rsidR="009633B9">
        <w:rPr>
          <w:rFonts w:ascii="Times New Roman" w:eastAsia="Calibri" w:hAnsi="Times New Roman" w:cs="Times New Roman"/>
        </w:rPr>
        <w:t xml:space="preserve">her </w:t>
      </w:r>
      <w:r>
        <w:rPr>
          <w:rFonts w:ascii="Times New Roman" w:eastAsia="Calibri" w:hAnsi="Times New Roman" w:cs="Times New Roman"/>
        </w:rPr>
        <w:t xml:space="preserve">home which constitutes legal grounds to terminate electric service at the service location.  </w:t>
      </w:r>
      <w:r w:rsidR="009633B9">
        <w:rPr>
          <w:rFonts w:ascii="Times New Roman" w:eastAsia="Calibri" w:hAnsi="Times New Roman" w:cs="Times New Roman"/>
        </w:rPr>
        <w:t xml:space="preserve">Met-Ed </w:t>
      </w:r>
      <w:r>
        <w:rPr>
          <w:rFonts w:ascii="Times New Roman" w:eastAsia="Calibri" w:hAnsi="Times New Roman" w:cs="Times New Roman"/>
        </w:rPr>
        <w:t>further aver</w:t>
      </w:r>
      <w:r w:rsidR="001B07C4">
        <w:rPr>
          <w:rFonts w:ascii="Times New Roman" w:eastAsia="Calibri" w:hAnsi="Times New Roman" w:cs="Times New Roman"/>
        </w:rPr>
        <w:t xml:space="preserve">red </w:t>
      </w:r>
      <w:r>
        <w:rPr>
          <w:rFonts w:ascii="Times New Roman" w:eastAsia="Calibri" w:hAnsi="Times New Roman" w:cs="Times New Roman"/>
        </w:rPr>
        <w:t>it is required by Act 129 of 2008,</w:t>
      </w:r>
      <w:r w:rsidR="009633B9">
        <w:rPr>
          <w:rFonts w:ascii="Times New Roman" w:eastAsia="Calibri" w:hAnsi="Times New Roman" w:cs="Times New Roman"/>
        </w:rPr>
        <w:t xml:space="preserve"> </w:t>
      </w:r>
      <w:r w:rsidR="009633B9">
        <w:rPr>
          <w:rFonts w:ascii="Times New Roman" w:hAnsi="Times New Roman"/>
        </w:rPr>
        <w:t xml:space="preserve">66 </w:t>
      </w:r>
      <w:proofErr w:type="spellStart"/>
      <w:r w:rsidR="009633B9">
        <w:rPr>
          <w:rFonts w:ascii="Times New Roman" w:hAnsi="Times New Roman"/>
        </w:rPr>
        <w:t>Pa.C.S</w:t>
      </w:r>
      <w:proofErr w:type="spellEnd"/>
      <w:r w:rsidR="009633B9">
        <w:rPr>
          <w:rFonts w:ascii="Times New Roman" w:hAnsi="Times New Roman"/>
        </w:rPr>
        <w:t xml:space="preserve">. Sections 2806.1, </w:t>
      </w:r>
      <w:r w:rsidR="009633B9">
        <w:rPr>
          <w:rFonts w:ascii="Times New Roman" w:hAnsi="Times New Roman"/>
          <w:i/>
        </w:rPr>
        <w:t>et seq</w:t>
      </w:r>
      <w:r w:rsidR="009633B9">
        <w:rPr>
          <w:rFonts w:ascii="Times New Roman" w:hAnsi="Times New Roman"/>
        </w:rPr>
        <w:t>.,</w:t>
      </w:r>
      <w:r>
        <w:rPr>
          <w:rFonts w:ascii="Times New Roman" w:eastAsia="Calibri" w:hAnsi="Times New Roman" w:cs="Times New Roman"/>
        </w:rPr>
        <w:t xml:space="preserve"> to install the smart meter.   </w:t>
      </w:r>
    </w:p>
    <w:p w14:paraId="3E197984" w14:textId="77777777" w:rsidR="00EE4691" w:rsidRDefault="00EE4691" w:rsidP="00EE4691">
      <w:pPr>
        <w:spacing w:line="360" w:lineRule="auto"/>
        <w:ind w:firstLine="1440"/>
        <w:rPr>
          <w:rFonts w:ascii="Times New Roman" w:eastAsia="Calibri" w:hAnsi="Times New Roman" w:cs="Times New Roman"/>
        </w:rPr>
      </w:pPr>
    </w:p>
    <w:p w14:paraId="5BA6FDA7" w14:textId="5D5DF3A5" w:rsidR="008E22F4" w:rsidRDefault="00EE4691" w:rsidP="001B07C4">
      <w:pPr>
        <w:spacing w:line="360" w:lineRule="auto"/>
        <w:rPr>
          <w:rFonts w:ascii="Times New Roman" w:hAnsi="Times New Roman" w:cs="Times New Roman"/>
          <w:bCs/>
          <w:color w:val="000000"/>
        </w:rPr>
      </w:pPr>
      <w:r>
        <w:rPr>
          <w:rFonts w:ascii="Times New Roman" w:eastAsia="Calibri" w:hAnsi="Times New Roman" w:cs="Times New Roman"/>
        </w:rPr>
        <w:tab/>
      </w:r>
      <w:r>
        <w:rPr>
          <w:rFonts w:ascii="Times New Roman" w:eastAsia="Calibri" w:hAnsi="Times New Roman" w:cs="Times New Roman"/>
        </w:rPr>
        <w:tab/>
        <w:t xml:space="preserve">On July 31, 2018, </w:t>
      </w:r>
      <w:r w:rsidR="009633B9">
        <w:rPr>
          <w:rFonts w:ascii="Times New Roman" w:eastAsia="Calibri" w:hAnsi="Times New Roman" w:cs="Times New Roman"/>
        </w:rPr>
        <w:t>Met-Ed</w:t>
      </w:r>
      <w:r>
        <w:rPr>
          <w:rFonts w:ascii="Times New Roman" w:eastAsia="Calibri" w:hAnsi="Times New Roman" w:cs="Times New Roman"/>
        </w:rPr>
        <w:t xml:space="preserve"> also filed preliminary objections to the </w:t>
      </w:r>
      <w:r w:rsidR="009633B9">
        <w:rPr>
          <w:rFonts w:ascii="Times New Roman" w:eastAsia="Calibri" w:hAnsi="Times New Roman" w:cs="Times New Roman"/>
        </w:rPr>
        <w:t>c</w:t>
      </w:r>
      <w:r>
        <w:rPr>
          <w:rFonts w:ascii="Times New Roman" w:eastAsia="Calibri" w:hAnsi="Times New Roman" w:cs="Times New Roman"/>
        </w:rPr>
        <w:t xml:space="preserve">omplaint.  </w:t>
      </w:r>
      <w:r w:rsidR="009633B9">
        <w:rPr>
          <w:rFonts w:ascii="Times New Roman" w:eastAsia="Calibri" w:hAnsi="Times New Roman" w:cs="Times New Roman"/>
        </w:rPr>
        <w:t xml:space="preserve">Met-Ed </w:t>
      </w:r>
      <w:r w:rsidRPr="00042173">
        <w:rPr>
          <w:rFonts w:ascii="Times New Roman" w:eastAsia="Calibri" w:hAnsi="Times New Roman" w:cs="Times New Roman"/>
        </w:rPr>
        <w:t>aver</w:t>
      </w:r>
      <w:r w:rsidR="009633B9">
        <w:rPr>
          <w:rFonts w:ascii="Times New Roman" w:eastAsia="Calibri" w:hAnsi="Times New Roman" w:cs="Times New Roman"/>
        </w:rPr>
        <w:t xml:space="preserve">red </w:t>
      </w:r>
      <w:r w:rsidRPr="00042173">
        <w:rPr>
          <w:rFonts w:ascii="Times New Roman" w:eastAsia="Calibri" w:hAnsi="Times New Roman" w:cs="Times New Roman"/>
        </w:rPr>
        <w:t>that the request for relief for an exemption from the installation of a smart meter is not legally recoverable in the cause of action and that</w:t>
      </w:r>
      <w:r w:rsidRPr="00042173">
        <w:rPr>
          <w:rFonts w:ascii="Times New Roman" w:eastAsia="Calibri" w:hAnsi="Times New Roman" w:cs="Times New Roman"/>
          <w:b/>
        </w:rPr>
        <w:t xml:space="preserve"> </w:t>
      </w:r>
      <w:r w:rsidR="009633B9">
        <w:rPr>
          <w:rFonts w:ascii="Times New Roman" w:hAnsi="Times New Roman"/>
        </w:rPr>
        <w:t xml:space="preserve">Ms. Hendin </w:t>
      </w:r>
      <w:r w:rsidRPr="00042173">
        <w:rPr>
          <w:rFonts w:ascii="Times New Roman" w:hAnsi="Times New Roman"/>
        </w:rPr>
        <w:t>ha</w:t>
      </w:r>
      <w:r>
        <w:rPr>
          <w:rFonts w:ascii="Times New Roman" w:hAnsi="Times New Roman"/>
        </w:rPr>
        <w:t>s</w:t>
      </w:r>
      <w:r w:rsidRPr="00042173">
        <w:rPr>
          <w:rFonts w:ascii="Times New Roman" w:hAnsi="Times New Roman"/>
        </w:rPr>
        <w:t xml:space="preserve"> failed to allege that </w:t>
      </w:r>
      <w:r w:rsidR="009633B9">
        <w:rPr>
          <w:rFonts w:ascii="Times New Roman" w:hAnsi="Times New Roman"/>
        </w:rPr>
        <w:t xml:space="preserve">Met-Ed </w:t>
      </w:r>
      <w:r w:rsidRPr="00042173">
        <w:rPr>
          <w:rFonts w:ascii="Times New Roman" w:hAnsi="Times New Roman"/>
        </w:rPr>
        <w:t xml:space="preserve">violated any Commission statute, regulation, order or tariff provision with regard to the </w:t>
      </w:r>
      <w:r w:rsidRPr="00042173">
        <w:rPr>
          <w:rFonts w:ascii="Times New Roman" w:hAnsi="Times New Roman"/>
        </w:rPr>
        <w:lastRenderedPageBreak/>
        <w:t>installation of the smart meter</w:t>
      </w:r>
      <w:r>
        <w:rPr>
          <w:rFonts w:ascii="Times New Roman" w:hAnsi="Times New Roman"/>
        </w:rPr>
        <w:t xml:space="preserve">.  </w:t>
      </w:r>
      <w:r w:rsidR="009633B9">
        <w:rPr>
          <w:rFonts w:ascii="Times New Roman" w:hAnsi="Times New Roman" w:cs="Times New Roman"/>
          <w:bCs/>
          <w:color w:val="000000"/>
        </w:rPr>
        <w:t xml:space="preserve">By interim order dated </w:t>
      </w:r>
      <w:r w:rsidR="008E22F4">
        <w:rPr>
          <w:rFonts w:ascii="Times New Roman" w:hAnsi="Times New Roman" w:cs="Times New Roman"/>
          <w:bCs/>
          <w:color w:val="000000"/>
        </w:rPr>
        <w:t>October 18, 2018, Met-Ed’s preliminary objections were denied.</w:t>
      </w:r>
    </w:p>
    <w:p w14:paraId="19F6E72B" w14:textId="77777777" w:rsidR="008E22F4" w:rsidRDefault="008E22F4" w:rsidP="00EE4691">
      <w:pPr>
        <w:widowControl w:val="0"/>
        <w:adjustRightInd w:val="0"/>
        <w:spacing w:line="360" w:lineRule="auto"/>
        <w:rPr>
          <w:rFonts w:ascii="Times New Roman" w:hAnsi="Times New Roman" w:cs="Times New Roman"/>
          <w:bCs/>
          <w:color w:val="000000"/>
        </w:rPr>
      </w:pPr>
    </w:p>
    <w:p w14:paraId="2393E592" w14:textId="3457F89E" w:rsidR="0090560A" w:rsidRDefault="008E22F4" w:rsidP="00003B1B">
      <w:pPr>
        <w:pStyle w:val="ParaTab1"/>
        <w:tabs>
          <w:tab w:val="left" w:pos="2070"/>
        </w:tabs>
        <w:spacing w:line="360" w:lineRule="auto"/>
        <w:rPr>
          <w:rFonts w:ascii="Times New Roman" w:hAnsi="Times New Roman"/>
        </w:rPr>
      </w:pPr>
      <w:r>
        <w:rPr>
          <w:rFonts w:ascii="Times New Roman" w:hAnsi="Times New Roman"/>
        </w:rPr>
        <w:t xml:space="preserve">Subsequently, various procedural matters occurred in this case.  </w:t>
      </w:r>
      <w:proofErr w:type="gramStart"/>
      <w:r>
        <w:rPr>
          <w:rFonts w:ascii="Times New Roman" w:hAnsi="Times New Roman"/>
        </w:rPr>
        <w:t>In particular, a</w:t>
      </w:r>
      <w:proofErr w:type="gramEnd"/>
      <w:r>
        <w:rPr>
          <w:rFonts w:ascii="Times New Roman" w:hAnsi="Times New Roman"/>
        </w:rPr>
        <w:t xml:space="preserve"> hearing notice was issued on September 5, 2019 establishing an initial in-person hearing for this matter for December 19, 2019 and December 20, 2019 and assigning me as the presiding officer.  </w:t>
      </w:r>
      <w:r w:rsidR="006D0DB7">
        <w:rPr>
          <w:rFonts w:ascii="Times New Roman" w:hAnsi="Times New Roman"/>
        </w:rPr>
        <w:t>A prehearing order dated September 13, 2019 was issued setting forth various procedural issues that would govern that hearing.</w:t>
      </w:r>
      <w:r w:rsidR="005A2F50">
        <w:rPr>
          <w:rFonts w:ascii="Times New Roman" w:hAnsi="Times New Roman"/>
        </w:rPr>
        <w:t xml:space="preserve">  </w:t>
      </w:r>
      <w:r w:rsidR="00B75F3E">
        <w:rPr>
          <w:rFonts w:ascii="Times New Roman" w:hAnsi="Times New Roman"/>
        </w:rPr>
        <w:t xml:space="preserve">A </w:t>
      </w:r>
      <w:r w:rsidR="006D0DB7">
        <w:rPr>
          <w:rFonts w:ascii="Times New Roman" w:hAnsi="Times New Roman"/>
        </w:rPr>
        <w:t>proposed protective order to govern the treatment of information alleged to be proprietary in this matter</w:t>
      </w:r>
      <w:r w:rsidR="00B75F3E">
        <w:rPr>
          <w:rFonts w:ascii="Times New Roman" w:hAnsi="Times New Roman"/>
        </w:rPr>
        <w:t xml:space="preserve"> </w:t>
      </w:r>
      <w:r w:rsidR="005A2F50">
        <w:rPr>
          <w:rFonts w:ascii="Times New Roman" w:hAnsi="Times New Roman"/>
        </w:rPr>
        <w:t>was granted via an order dated</w:t>
      </w:r>
      <w:r w:rsidR="0090560A">
        <w:rPr>
          <w:rFonts w:ascii="Times New Roman" w:hAnsi="Times New Roman"/>
        </w:rPr>
        <w:t xml:space="preserve"> December 26, 2019.</w:t>
      </w:r>
      <w:r w:rsidR="00A637E6">
        <w:rPr>
          <w:rFonts w:ascii="Times New Roman" w:hAnsi="Times New Roman"/>
        </w:rPr>
        <w:t xml:space="preserve">  Due to an unforeseen circumstance with one of Met-Ed’s witnesses, one more day of hearing was scheduled for January 24, 2020.</w:t>
      </w:r>
    </w:p>
    <w:p w14:paraId="163C4392" w14:textId="77777777" w:rsidR="0090560A" w:rsidRDefault="0090560A" w:rsidP="00003B1B">
      <w:pPr>
        <w:pStyle w:val="ParaTab1"/>
        <w:tabs>
          <w:tab w:val="left" w:pos="2070"/>
        </w:tabs>
        <w:spacing w:line="360" w:lineRule="auto"/>
        <w:rPr>
          <w:rFonts w:ascii="Times New Roman" w:hAnsi="Times New Roman"/>
        </w:rPr>
      </w:pPr>
    </w:p>
    <w:p w14:paraId="10A2B14C" w14:textId="3000AD44" w:rsidR="00883467" w:rsidRDefault="0090560A" w:rsidP="00003B1B">
      <w:pPr>
        <w:pStyle w:val="ParaTab1"/>
        <w:tabs>
          <w:tab w:val="left" w:pos="2070"/>
        </w:tabs>
        <w:spacing w:line="360" w:lineRule="auto"/>
        <w:rPr>
          <w:rFonts w:ascii="Times New Roman" w:hAnsi="Times New Roman"/>
        </w:rPr>
      </w:pPr>
      <w:r>
        <w:rPr>
          <w:rFonts w:ascii="Times New Roman" w:hAnsi="Times New Roman"/>
        </w:rPr>
        <w:t>On January 21, 2020, counsel for Ms. Hendin filed a motion for an extension of time and</w:t>
      </w:r>
      <w:r w:rsidR="00B75F3E">
        <w:rPr>
          <w:rFonts w:ascii="Times New Roman" w:hAnsi="Times New Roman"/>
        </w:rPr>
        <w:t>,</w:t>
      </w:r>
      <w:r>
        <w:rPr>
          <w:rFonts w:ascii="Times New Roman" w:hAnsi="Times New Roman"/>
        </w:rPr>
        <w:t xml:space="preserve"> </w:t>
      </w:r>
      <w:r w:rsidR="00B75F3E">
        <w:rPr>
          <w:rFonts w:ascii="Times New Roman" w:hAnsi="Times New Roman"/>
        </w:rPr>
        <w:t xml:space="preserve">in addition or in the alternative, a </w:t>
      </w:r>
      <w:r>
        <w:rPr>
          <w:rFonts w:ascii="Times New Roman" w:hAnsi="Times New Roman"/>
        </w:rPr>
        <w:t xml:space="preserve">motion for leave to file </w:t>
      </w:r>
      <w:proofErr w:type="spellStart"/>
      <w:r>
        <w:rPr>
          <w:rFonts w:ascii="Times New Roman" w:hAnsi="Times New Roman"/>
        </w:rPr>
        <w:t>surrebuttal</w:t>
      </w:r>
      <w:proofErr w:type="spellEnd"/>
      <w:r>
        <w:rPr>
          <w:rFonts w:ascii="Times New Roman" w:hAnsi="Times New Roman"/>
        </w:rPr>
        <w:t xml:space="preserve"> testimony.  In its motion, which was accompanied by a notice to plead, Ms. Hendin </w:t>
      </w:r>
      <w:r w:rsidR="004A0DC0">
        <w:rPr>
          <w:rFonts w:ascii="Times New Roman" w:hAnsi="Times New Roman"/>
        </w:rPr>
        <w:t xml:space="preserve">noted </w:t>
      </w:r>
      <w:r>
        <w:rPr>
          <w:rFonts w:ascii="Times New Roman" w:hAnsi="Times New Roman"/>
        </w:rPr>
        <w:t>that</w:t>
      </w:r>
      <w:r w:rsidR="004A0DC0">
        <w:rPr>
          <w:rFonts w:ascii="Times New Roman" w:hAnsi="Times New Roman"/>
        </w:rPr>
        <w:t xml:space="preserve">, during the pendency of this matter, several other complaints originating at the Commission and challenging smart meter installations that have been appealed to the Commonwealth Court.  Ms. Hendin noted that the Commonwealth Court has scheduled oral argument in one of those appeals for March 2020 and </w:t>
      </w:r>
      <w:r w:rsidR="00B75F3E">
        <w:rPr>
          <w:rFonts w:ascii="Times New Roman" w:hAnsi="Times New Roman"/>
        </w:rPr>
        <w:t xml:space="preserve">discussed </w:t>
      </w:r>
      <w:r w:rsidR="004A0DC0">
        <w:rPr>
          <w:rFonts w:ascii="Times New Roman" w:hAnsi="Times New Roman"/>
        </w:rPr>
        <w:t>the various procedural issues present in those appeals</w:t>
      </w:r>
      <w:r w:rsidR="00883467">
        <w:rPr>
          <w:rFonts w:ascii="Times New Roman" w:hAnsi="Times New Roman"/>
        </w:rPr>
        <w:t>, including requests for extensions of time in those proceedings</w:t>
      </w:r>
      <w:r w:rsidR="004A0DC0">
        <w:rPr>
          <w:rFonts w:ascii="Times New Roman" w:hAnsi="Times New Roman"/>
        </w:rPr>
        <w:t xml:space="preserve">.  Ms. Hendin </w:t>
      </w:r>
      <w:r w:rsidR="00A637E6">
        <w:rPr>
          <w:rFonts w:ascii="Times New Roman" w:hAnsi="Times New Roman"/>
        </w:rPr>
        <w:t xml:space="preserve">argued </w:t>
      </w:r>
      <w:r w:rsidR="004A0DC0">
        <w:rPr>
          <w:rFonts w:ascii="Times New Roman" w:hAnsi="Times New Roman"/>
        </w:rPr>
        <w:t>that the issues in the appeals are the same or similar to the legal issues raised in her complaint</w:t>
      </w:r>
      <w:r w:rsidR="00883467">
        <w:rPr>
          <w:rFonts w:ascii="Times New Roman" w:hAnsi="Times New Roman"/>
        </w:rPr>
        <w:t xml:space="preserve"> and that good cause for a</w:t>
      </w:r>
      <w:r w:rsidR="00B75F3E">
        <w:rPr>
          <w:rFonts w:ascii="Times New Roman" w:hAnsi="Times New Roman"/>
        </w:rPr>
        <w:t xml:space="preserve"> continuance in </w:t>
      </w:r>
      <w:r w:rsidR="00883467">
        <w:rPr>
          <w:rFonts w:ascii="Times New Roman" w:hAnsi="Times New Roman"/>
        </w:rPr>
        <w:t>this case exists because of the pending appeals such that an extension of time would preserve administrative resources and the interests of judicial economy.  Ms. Hendin argued that</w:t>
      </w:r>
      <w:r w:rsidR="00A637E6">
        <w:rPr>
          <w:rFonts w:ascii="Times New Roman" w:hAnsi="Times New Roman"/>
        </w:rPr>
        <w:t>, in addition and</w:t>
      </w:r>
      <w:r w:rsidR="00883467">
        <w:rPr>
          <w:rFonts w:ascii="Times New Roman" w:hAnsi="Times New Roman"/>
        </w:rPr>
        <w:t xml:space="preserve"> in the alternative</w:t>
      </w:r>
      <w:r w:rsidR="00B75F3E">
        <w:rPr>
          <w:rFonts w:ascii="Times New Roman" w:hAnsi="Times New Roman"/>
        </w:rPr>
        <w:t xml:space="preserve"> to the request for a continuance</w:t>
      </w:r>
      <w:r w:rsidR="00883467">
        <w:rPr>
          <w:rFonts w:ascii="Times New Roman" w:hAnsi="Times New Roman"/>
        </w:rPr>
        <w:t xml:space="preserve">, she should be permitted to submit </w:t>
      </w:r>
      <w:proofErr w:type="spellStart"/>
      <w:r w:rsidR="00883467">
        <w:rPr>
          <w:rFonts w:ascii="Times New Roman" w:hAnsi="Times New Roman"/>
        </w:rPr>
        <w:t>surrebuttal</w:t>
      </w:r>
      <w:proofErr w:type="spellEnd"/>
      <w:r w:rsidR="00883467">
        <w:rPr>
          <w:rFonts w:ascii="Times New Roman" w:hAnsi="Times New Roman"/>
        </w:rPr>
        <w:t xml:space="preserve"> testimony in response to </w:t>
      </w:r>
      <w:proofErr w:type="spellStart"/>
      <w:r w:rsidR="00883467">
        <w:rPr>
          <w:rFonts w:ascii="Times New Roman" w:hAnsi="Times New Roman"/>
        </w:rPr>
        <w:t>Met</w:t>
      </w:r>
      <w:proofErr w:type="spellEnd"/>
      <w:r w:rsidR="00883467">
        <w:rPr>
          <w:rFonts w:ascii="Times New Roman" w:hAnsi="Times New Roman"/>
        </w:rPr>
        <w:t>-Ed witness Davis’ testimony</w:t>
      </w:r>
      <w:r w:rsidR="00A637E6">
        <w:rPr>
          <w:rFonts w:ascii="Times New Roman" w:hAnsi="Times New Roman"/>
        </w:rPr>
        <w:t xml:space="preserve"> regarding Ms. Hendin’s cell phone usage</w:t>
      </w:r>
      <w:r w:rsidR="00883467">
        <w:rPr>
          <w:rFonts w:ascii="Times New Roman" w:hAnsi="Times New Roman"/>
        </w:rPr>
        <w:t>.</w:t>
      </w:r>
    </w:p>
    <w:p w14:paraId="40B8BC45" w14:textId="77777777" w:rsidR="00883467" w:rsidRDefault="00883467" w:rsidP="00003B1B">
      <w:pPr>
        <w:pStyle w:val="ParaTab1"/>
        <w:tabs>
          <w:tab w:val="left" w:pos="2070"/>
        </w:tabs>
        <w:spacing w:line="360" w:lineRule="auto"/>
        <w:rPr>
          <w:rFonts w:ascii="Times New Roman" w:hAnsi="Times New Roman"/>
        </w:rPr>
      </w:pPr>
    </w:p>
    <w:p w14:paraId="79F1EFA4" w14:textId="62C1DBC5" w:rsidR="0090560A" w:rsidRDefault="0090560A" w:rsidP="00003B1B">
      <w:pPr>
        <w:pStyle w:val="ParaTab1"/>
        <w:tabs>
          <w:tab w:val="left" w:pos="2070"/>
        </w:tabs>
        <w:spacing w:line="360" w:lineRule="auto"/>
        <w:rPr>
          <w:rFonts w:ascii="Times New Roman" w:hAnsi="Times New Roman"/>
        </w:rPr>
      </w:pPr>
      <w:r>
        <w:rPr>
          <w:rFonts w:ascii="Times New Roman" w:hAnsi="Times New Roman"/>
        </w:rPr>
        <w:t xml:space="preserve">On February 10, 2020, Met-Ed filed an answer to Ms. Hendin’s motion.  In its answer, Met-Ed argued </w:t>
      </w:r>
      <w:r w:rsidR="00A07EAD">
        <w:rPr>
          <w:rFonts w:ascii="Times New Roman" w:hAnsi="Times New Roman"/>
        </w:rPr>
        <w:t>that Ms. Hendin has not set forth good cause for the requested extension</w:t>
      </w:r>
      <w:r w:rsidR="0070257D">
        <w:rPr>
          <w:rFonts w:ascii="Times New Roman" w:hAnsi="Times New Roman"/>
        </w:rPr>
        <w:t xml:space="preserve"> </w:t>
      </w:r>
      <w:r w:rsidR="00942849">
        <w:rPr>
          <w:rFonts w:ascii="Times New Roman" w:hAnsi="Times New Roman"/>
        </w:rPr>
        <w:t>because</w:t>
      </w:r>
      <w:r w:rsidR="0070257D">
        <w:rPr>
          <w:rFonts w:ascii="Times New Roman" w:hAnsi="Times New Roman"/>
        </w:rPr>
        <w:t xml:space="preserve"> her allegations are without merit.  Met-Ed argued that Ms. Hendin has failed to demonstrate how a 180-day delay would conserve resources or serve judicial economy, noting that the parties and the Commission have already spent considerable time and resources litigating the proceeding.  </w:t>
      </w:r>
      <w:r w:rsidR="004E34F6">
        <w:rPr>
          <w:rFonts w:ascii="Times New Roman" w:hAnsi="Times New Roman"/>
        </w:rPr>
        <w:t xml:space="preserve">Met-Ed also argued that a further delay would set an unwanted precedent for other smart meter proceedings.  Met-Ed added that the basis for the extensions granted in the appellate proceedings is not applicable to this matter and that, in any event, the law can only apply as it exists.  Met-Ed also argued that the </w:t>
      </w:r>
      <w:r w:rsidR="006F4567">
        <w:rPr>
          <w:rFonts w:ascii="Times New Roman" w:hAnsi="Times New Roman"/>
        </w:rPr>
        <w:t xml:space="preserve">request for submission of </w:t>
      </w:r>
      <w:proofErr w:type="spellStart"/>
      <w:r w:rsidR="006F4567">
        <w:rPr>
          <w:rFonts w:ascii="Times New Roman" w:hAnsi="Times New Roman"/>
        </w:rPr>
        <w:t>surrebuttal</w:t>
      </w:r>
      <w:proofErr w:type="spellEnd"/>
      <w:r w:rsidR="006F4567">
        <w:rPr>
          <w:rFonts w:ascii="Times New Roman" w:hAnsi="Times New Roman"/>
        </w:rPr>
        <w:t xml:space="preserve"> testimony would substantially prejudice Met-Ed and is unjustified.</w:t>
      </w:r>
    </w:p>
    <w:p w14:paraId="2C7E21EB" w14:textId="77777777" w:rsidR="004E459E" w:rsidRDefault="004E459E" w:rsidP="004E459E">
      <w:pPr>
        <w:tabs>
          <w:tab w:val="left" w:pos="-720"/>
          <w:tab w:val="left" w:pos="2070"/>
        </w:tabs>
        <w:suppressAutoHyphens/>
        <w:autoSpaceDE/>
        <w:autoSpaceDN/>
        <w:spacing w:line="360" w:lineRule="auto"/>
        <w:ind w:firstLine="1440"/>
        <w:rPr>
          <w:rFonts w:ascii="Times New Roman" w:eastAsiaTheme="minorHAnsi" w:hAnsi="Times New Roman" w:cs="Times New Roman"/>
        </w:rPr>
      </w:pPr>
    </w:p>
    <w:p w14:paraId="7DE7FEEC" w14:textId="2D549BC9" w:rsidR="004E459E" w:rsidRDefault="004E459E" w:rsidP="004E459E">
      <w:pPr>
        <w:tabs>
          <w:tab w:val="left" w:pos="-720"/>
          <w:tab w:val="left" w:pos="2070"/>
        </w:tabs>
        <w:suppressAutoHyphens/>
        <w:autoSpaceDE/>
        <w:autoSpaceDN/>
        <w:spacing w:line="360" w:lineRule="auto"/>
        <w:ind w:firstLine="1440"/>
        <w:rPr>
          <w:rFonts w:ascii="Times New Roman" w:eastAsiaTheme="minorHAnsi" w:hAnsi="Times New Roman" w:cs="Times New Roman"/>
        </w:rPr>
      </w:pPr>
      <w:r>
        <w:rPr>
          <w:rFonts w:ascii="Times New Roman" w:eastAsiaTheme="minorHAnsi" w:hAnsi="Times New Roman" w:cs="Times New Roman"/>
        </w:rPr>
        <w:t xml:space="preserve">Ms. Hendin’s request for an extension of time and for leave to file </w:t>
      </w:r>
      <w:proofErr w:type="spellStart"/>
      <w:r>
        <w:rPr>
          <w:rFonts w:ascii="Times New Roman" w:eastAsiaTheme="minorHAnsi" w:hAnsi="Times New Roman" w:cs="Times New Roman"/>
        </w:rPr>
        <w:t>surrebuttal</w:t>
      </w:r>
      <w:proofErr w:type="spellEnd"/>
      <w:r>
        <w:rPr>
          <w:rFonts w:ascii="Times New Roman" w:eastAsiaTheme="minorHAnsi" w:hAnsi="Times New Roman" w:cs="Times New Roman"/>
        </w:rPr>
        <w:t xml:space="preserve"> testimony will be denied.  Ms. Hendin has failed to demonstrate good cause that an additional 180-day continuance is warranted or will help secure the just, speedy and inexpensive determination of this proceeding.  Nor has Ms. Hendin satisfied her burden to demonstrate that she should be given an opportunity to file </w:t>
      </w:r>
      <w:proofErr w:type="spellStart"/>
      <w:r>
        <w:rPr>
          <w:rFonts w:ascii="Times New Roman" w:eastAsiaTheme="minorHAnsi" w:hAnsi="Times New Roman" w:cs="Times New Roman"/>
        </w:rPr>
        <w:t>surrebuttal</w:t>
      </w:r>
      <w:proofErr w:type="spellEnd"/>
      <w:r>
        <w:rPr>
          <w:rFonts w:ascii="Times New Roman" w:eastAsiaTheme="minorHAnsi" w:hAnsi="Times New Roman" w:cs="Times New Roman"/>
        </w:rPr>
        <w:t xml:space="preserve"> testimony.</w:t>
      </w:r>
    </w:p>
    <w:p w14:paraId="36DACE69" w14:textId="77777777" w:rsidR="004E459E" w:rsidRDefault="004E459E" w:rsidP="00003B1B">
      <w:pPr>
        <w:pStyle w:val="ParaTab1"/>
        <w:tabs>
          <w:tab w:val="left" w:pos="2070"/>
        </w:tabs>
        <w:spacing w:line="360" w:lineRule="auto"/>
        <w:rPr>
          <w:rFonts w:ascii="Times New Roman" w:hAnsi="Times New Roman"/>
        </w:rPr>
      </w:pPr>
    </w:p>
    <w:p w14:paraId="41740C5A" w14:textId="130270BD" w:rsidR="00F042CD" w:rsidRDefault="00F042CD" w:rsidP="00F042CD">
      <w:pPr>
        <w:tabs>
          <w:tab w:val="left" w:pos="-720"/>
          <w:tab w:val="left" w:pos="2070"/>
        </w:tabs>
        <w:suppressAutoHyphens/>
        <w:autoSpaceDE/>
        <w:autoSpaceDN/>
        <w:spacing w:line="360" w:lineRule="auto"/>
        <w:ind w:firstLine="1440"/>
        <w:rPr>
          <w:rFonts w:ascii="Times New Roman" w:eastAsiaTheme="minorHAnsi" w:hAnsi="Times New Roman" w:cs="Times New Roman"/>
        </w:rPr>
      </w:pPr>
      <w:r w:rsidRPr="00F042CD">
        <w:rPr>
          <w:rFonts w:ascii="Times New Roman" w:eastAsiaTheme="minorHAnsi" w:hAnsi="Times New Roman" w:cs="Times New Roman"/>
        </w:rPr>
        <w:t xml:space="preserve">Section 1.15 of the Commission’s regulations provides: “Except as otherwise provided by statute, requests for continuance of hearings or for extension of time in which to perform an act required or allowed to be done at or within a specific time by this title or by order of the Commission or the presiding officer, shall be by motion in writing, timely filed with the Commission, stating the facts on which the application rests.”  52 </w:t>
      </w:r>
      <w:proofErr w:type="spellStart"/>
      <w:proofErr w:type="gramStart"/>
      <w:r w:rsidRPr="00F042CD">
        <w:rPr>
          <w:rFonts w:ascii="Times New Roman" w:eastAsiaTheme="minorHAnsi" w:hAnsi="Times New Roman" w:cs="Times New Roman"/>
        </w:rPr>
        <w:t>Pa.Code</w:t>
      </w:r>
      <w:proofErr w:type="spellEnd"/>
      <w:proofErr w:type="gramEnd"/>
      <w:r w:rsidRPr="00F042CD">
        <w:rPr>
          <w:rFonts w:ascii="Times New Roman" w:eastAsiaTheme="minorHAnsi" w:hAnsi="Times New Roman" w:cs="Times New Roman"/>
        </w:rPr>
        <w:t xml:space="preserve"> § 1.15(b).  This Section also provides that “only for good cause shown will requests for continuance be considered.”  </w:t>
      </w:r>
      <w:r w:rsidRPr="00F042CD">
        <w:rPr>
          <w:rFonts w:ascii="Times New Roman" w:eastAsiaTheme="minorHAnsi" w:hAnsi="Times New Roman" w:cs="Times New Roman"/>
          <w:u w:val="single"/>
        </w:rPr>
        <w:t>Id.</w:t>
      </w:r>
      <w:r w:rsidRPr="00F042CD">
        <w:rPr>
          <w:rFonts w:ascii="Times New Roman" w:eastAsiaTheme="minorHAnsi" w:hAnsi="Times New Roman" w:cs="Times New Roman"/>
        </w:rPr>
        <w:t xml:space="preserve">  Additionally, Section 5.483(a) provides </w:t>
      </w:r>
      <w:r w:rsidR="00516F45">
        <w:rPr>
          <w:rFonts w:ascii="Times New Roman" w:eastAsiaTheme="minorHAnsi" w:hAnsi="Times New Roman" w:cs="Times New Roman"/>
        </w:rPr>
        <w:t>p</w:t>
      </w:r>
      <w:r w:rsidRPr="00F042CD">
        <w:rPr>
          <w:rFonts w:ascii="Times New Roman" w:eastAsiaTheme="minorHAnsi" w:hAnsi="Times New Roman" w:cs="Times New Roman"/>
        </w:rPr>
        <w:t xml:space="preserve">residing </w:t>
      </w:r>
      <w:r w:rsidR="00516F45">
        <w:rPr>
          <w:rFonts w:ascii="Times New Roman" w:eastAsiaTheme="minorHAnsi" w:hAnsi="Times New Roman" w:cs="Times New Roman"/>
        </w:rPr>
        <w:t>o</w:t>
      </w:r>
      <w:r w:rsidRPr="00F042CD">
        <w:rPr>
          <w:rFonts w:ascii="Times New Roman" w:eastAsiaTheme="minorHAnsi" w:hAnsi="Times New Roman" w:cs="Times New Roman"/>
        </w:rPr>
        <w:t xml:space="preserve">fficers the authority to regulate the course of the proceeding.  52 </w:t>
      </w:r>
      <w:proofErr w:type="spellStart"/>
      <w:proofErr w:type="gramStart"/>
      <w:r w:rsidRPr="00F042CD">
        <w:rPr>
          <w:rFonts w:ascii="Times New Roman" w:eastAsiaTheme="minorHAnsi" w:hAnsi="Times New Roman" w:cs="Times New Roman"/>
        </w:rPr>
        <w:t>Pa.Code</w:t>
      </w:r>
      <w:proofErr w:type="spellEnd"/>
      <w:proofErr w:type="gramEnd"/>
      <w:r w:rsidRPr="00F042CD">
        <w:rPr>
          <w:rFonts w:ascii="Times New Roman" w:eastAsiaTheme="minorHAnsi" w:hAnsi="Times New Roman" w:cs="Times New Roman"/>
        </w:rPr>
        <w:t xml:space="preserve"> § 5.483(a).  Furthermore, </w:t>
      </w:r>
      <w:r w:rsidR="00516F45">
        <w:rPr>
          <w:rFonts w:ascii="Times New Roman" w:eastAsiaTheme="minorHAnsi" w:hAnsi="Times New Roman" w:cs="Times New Roman"/>
        </w:rPr>
        <w:t>s</w:t>
      </w:r>
      <w:r w:rsidRPr="00F042CD">
        <w:rPr>
          <w:rFonts w:ascii="Times New Roman" w:eastAsiaTheme="minorHAnsi" w:hAnsi="Times New Roman" w:cs="Times New Roman"/>
        </w:rPr>
        <w:t xml:space="preserve">ection 1.2 provides that the Commission’s rules shall be “liberally construed to secure the just, speedy and inexpensive determination of every action or proceeding.”  52 </w:t>
      </w:r>
      <w:proofErr w:type="spellStart"/>
      <w:proofErr w:type="gramStart"/>
      <w:r w:rsidRPr="00F042CD">
        <w:rPr>
          <w:rFonts w:ascii="Times New Roman" w:eastAsiaTheme="minorHAnsi" w:hAnsi="Times New Roman" w:cs="Times New Roman"/>
        </w:rPr>
        <w:t>Pa.Code</w:t>
      </w:r>
      <w:proofErr w:type="spellEnd"/>
      <w:proofErr w:type="gramEnd"/>
      <w:r w:rsidRPr="00F042CD">
        <w:rPr>
          <w:rFonts w:ascii="Times New Roman" w:eastAsiaTheme="minorHAnsi" w:hAnsi="Times New Roman" w:cs="Times New Roman"/>
        </w:rPr>
        <w:t xml:space="preserve"> § 1.2(a).</w:t>
      </w:r>
      <w:r>
        <w:rPr>
          <w:rFonts w:ascii="Times New Roman" w:eastAsiaTheme="minorHAnsi" w:hAnsi="Times New Roman" w:cs="Times New Roman"/>
        </w:rPr>
        <w:t xml:space="preserve">  Also relevant to </w:t>
      </w:r>
      <w:r w:rsidR="00A637E6">
        <w:rPr>
          <w:rFonts w:ascii="Times New Roman" w:eastAsiaTheme="minorHAnsi" w:hAnsi="Times New Roman" w:cs="Times New Roman"/>
        </w:rPr>
        <w:t xml:space="preserve">the disposition of Ms. Hendin’s </w:t>
      </w:r>
      <w:r>
        <w:rPr>
          <w:rFonts w:ascii="Times New Roman" w:eastAsiaTheme="minorHAnsi" w:hAnsi="Times New Roman" w:cs="Times New Roman"/>
        </w:rPr>
        <w:t xml:space="preserve">motion is section </w:t>
      </w:r>
      <w:r w:rsidR="00652DAB">
        <w:rPr>
          <w:rFonts w:ascii="Times New Roman" w:eastAsiaTheme="minorHAnsi" w:hAnsi="Times New Roman" w:cs="Times New Roman"/>
        </w:rPr>
        <w:t xml:space="preserve">5.412 of the Commission’s regulations which allows for the use of written testimony in Commission proceedings, especially in connection with the testimony of expert witnesses.  52 </w:t>
      </w:r>
      <w:proofErr w:type="spellStart"/>
      <w:proofErr w:type="gramStart"/>
      <w:r w:rsidR="00652DAB">
        <w:rPr>
          <w:rFonts w:ascii="Times New Roman" w:eastAsiaTheme="minorHAnsi" w:hAnsi="Times New Roman" w:cs="Times New Roman"/>
        </w:rPr>
        <w:t>Pa.Code</w:t>
      </w:r>
      <w:proofErr w:type="spellEnd"/>
      <w:proofErr w:type="gramEnd"/>
      <w:r w:rsidR="00652DAB">
        <w:rPr>
          <w:rFonts w:ascii="Times New Roman" w:eastAsiaTheme="minorHAnsi" w:hAnsi="Times New Roman" w:cs="Times New Roman"/>
        </w:rPr>
        <w:t xml:space="preserve"> § 5.41</w:t>
      </w:r>
      <w:bookmarkStart w:id="0" w:name="_GoBack"/>
      <w:bookmarkEnd w:id="0"/>
      <w:r w:rsidR="00652DAB">
        <w:rPr>
          <w:rFonts w:ascii="Times New Roman" w:eastAsiaTheme="minorHAnsi" w:hAnsi="Times New Roman" w:cs="Times New Roman"/>
        </w:rPr>
        <w:t>2(a).</w:t>
      </w:r>
    </w:p>
    <w:p w14:paraId="6A197C9D" w14:textId="77777777" w:rsidR="00652DAB" w:rsidRDefault="00652DAB" w:rsidP="00F042CD">
      <w:pPr>
        <w:tabs>
          <w:tab w:val="left" w:pos="-720"/>
          <w:tab w:val="left" w:pos="2070"/>
        </w:tabs>
        <w:suppressAutoHyphens/>
        <w:autoSpaceDE/>
        <w:autoSpaceDN/>
        <w:spacing w:line="360" w:lineRule="auto"/>
        <w:ind w:firstLine="1440"/>
        <w:rPr>
          <w:rFonts w:ascii="Times New Roman" w:eastAsiaTheme="minorHAnsi" w:hAnsi="Times New Roman" w:cs="Times New Roman"/>
        </w:rPr>
      </w:pPr>
    </w:p>
    <w:p w14:paraId="3539DECC" w14:textId="62A6BC71" w:rsidR="00B61325" w:rsidRDefault="00652DAB" w:rsidP="00F042CD">
      <w:pPr>
        <w:tabs>
          <w:tab w:val="left" w:pos="-720"/>
          <w:tab w:val="left" w:pos="2070"/>
        </w:tabs>
        <w:suppressAutoHyphens/>
        <w:autoSpaceDE/>
        <w:autoSpaceDN/>
        <w:spacing w:line="360" w:lineRule="auto"/>
        <w:ind w:firstLine="1440"/>
        <w:rPr>
          <w:rFonts w:ascii="Times New Roman" w:eastAsiaTheme="minorHAnsi" w:hAnsi="Times New Roman" w:cs="Times New Roman"/>
        </w:rPr>
      </w:pPr>
      <w:r>
        <w:rPr>
          <w:rFonts w:ascii="Times New Roman" w:eastAsiaTheme="minorHAnsi" w:hAnsi="Times New Roman" w:cs="Times New Roman"/>
        </w:rPr>
        <w:t xml:space="preserve">In this case, </w:t>
      </w:r>
      <w:r w:rsidR="00516F45">
        <w:rPr>
          <w:rFonts w:ascii="Times New Roman" w:eastAsiaTheme="minorHAnsi" w:hAnsi="Times New Roman" w:cs="Times New Roman"/>
        </w:rPr>
        <w:t>Ms. Hendin has not demonstrated good cause to justify the continuance.  A</w:t>
      </w:r>
      <w:r w:rsidR="00B61325">
        <w:rPr>
          <w:rFonts w:ascii="Times New Roman" w:eastAsiaTheme="minorHAnsi" w:hAnsi="Times New Roman" w:cs="Times New Roman"/>
        </w:rPr>
        <w:t xml:space="preserve">llowing a 180-day continuance of the proceeding or, in the alternative, for Ms. Hendin to present </w:t>
      </w:r>
      <w:proofErr w:type="spellStart"/>
      <w:r w:rsidR="00A637E6">
        <w:rPr>
          <w:rFonts w:ascii="Times New Roman" w:eastAsiaTheme="minorHAnsi" w:hAnsi="Times New Roman" w:cs="Times New Roman"/>
        </w:rPr>
        <w:t>sur</w:t>
      </w:r>
      <w:r w:rsidR="00B61325">
        <w:rPr>
          <w:rFonts w:ascii="Times New Roman" w:eastAsiaTheme="minorHAnsi" w:hAnsi="Times New Roman" w:cs="Times New Roman"/>
        </w:rPr>
        <w:t>rebuttal</w:t>
      </w:r>
      <w:proofErr w:type="spellEnd"/>
      <w:r w:rsidR="00B61325">
        <w:rPr>
          <w:rFonts w:ascii="Times New Roman" w:eastAsiaTheme="minorHAnsi" w:hAnsi="Times New Roman" w:cs="Times New Roman"/>
        </w:rPr>
        <w:t xml:space="preserve"> testimony of a new witness would not help secure the just, speedy or inexpensive determination of this proceeding.  </w:t>
      </w:r>
      <w:r w:rsidR="00A637E6">
        <w:rPr>
          <w:rFonts w:ascii="Times New Roman" w:eastAsiaTheme="minorHAnsi" w:hAnsi="Times New Roman" w:cs="Times New Roman"/>
        </w:rPr>
        <w:t xml:space="preserve">Instead, granting Ms. Hendin’s motion </w:t>
      </w:r>
      <w:r w:rsidR="00B61325">
        <w:rPr>
          <w:rFonts w:ascii="Times New Roman" w:eastAsiaTheme="minorHAnsi" w:hAnsi="Times New Roman" w:cs="Times New Roman"/>
        </w:rPr>
        <w:t>would prolong the case further and cause additional expense.  Ms. Hendin has had ample notice and opportunity to be heard on her complaint</w:t>
      </w:r>
      <w:r w:rsidR="00785598">
        <w:rPr>
          <w:rFonts w:ascii="Times New Roman" w:eastAsiaTheme="minorHAnsi" w:hAnsi="Times New Roman" w:cs="Times New Roman"/>
        </w:rPr>
        <w:t>, including filing multiple requests for extension of time or for continuances.  Ms. Hendin has served discovery on Met-Ed, submitted multiple pieces of pre-served testimony</w:t>
      </w:r>
      <w:r w:rsidR="00D6188C">
        <w:rPr>
          <w:rFonts w:ascii="Times New Roman" w:eastAsiaTheme="minorHAnsi" w:hAnsi="Times New Roman" w:cs="Times New Roman"/>
        </w:rPr>
        <w:t xml:space="preserve">, </w:t>
      </w:r>
      <w:r w:rsidR="00785598">
        <w:rPr>
          <w:rFonts w:ascii="Times New Roman" w:eastAsiaTheme="minorHAnsi" w:hAnsi="Times New Roman" w:cs="Times New Roman"/>
        </w:rPr>
        <w:t>conducted extensive cross examination of the company’s witnesses</w:t>
      </w:r>
      <w:r w:rsidR="00D6188C">
        <w:rPr>
          <w:rFonts w:ascii="Times New Roman" w:eastAsiaTheme="minorHAnsi" w:hAnsi="Times New Roman" w:cs="Times New Roman"/>
        </w:rPr>
        <w:t xml:space="preserve"> and </w:t>
      </w:r>
      <w:r w:rsidR="00516F45">
        <w:rPr>
          <w:rFonts w:ascii="Times New Roman" w:eastAsiaTheme="minorHAnsi" w:hAnsi="Times New Roman" w:cs="Times New Roman"/>
        </w:rPr>
        <w:t>will have</w:t>
      </w:r>
      <w:r w:rsidR="00D6188C">
        <w:rPr>
          <w:rFonts w:ascii="Times New Roman" w:eastAsiaTheme="minorHAnsi" w:hAnsi="Times New Roman" w:cs="Times New Roman"/>
        </w:rPr>
        <w:t xml:space="preserve"> the opportunity to submit briefs</w:t>
      </w:r>
      <w:r w:rsidR="00785598">
        <w:rPr>
          <w:rFonts w:ascii="Times New Roman" w:eastAsiaTheme="minorHAnsi" w:hAnsi="Times New Roman" w:cs="Times New Roman"/>
        </w:rPr>
        <w:t>.  N</w:t>
      </w:r>
      <w:r w:rsidR="00B61325">
        <w:rPr>
          <w:rFonts w:ascii="Times New Roman" w:eastAsiaTheme="minorHAnsi" w:hAnsi="Times New Roman" w:cs="Times New Roman"/>
        </w:rPr>
        <w:t>otice and opportunity to be heard, however, has its limits.  The Commission does not have the resources, nor is it required</w:t>
      </w:r>
      <w:r w:rsidR="00A637E6">
        <w:rPr>
          <w:rFonts w:ascii="Times New Roman" w:eastAsiaTheme="minorHAnsi" w:hAnsi="Times New Roman" w:cs="Times New Roman"/>
        </w:rPr>
        <w:t>,</w:t>
      </w:r>
      <w:r w:rsidR="00B61325">
        <w:rPr>
          <w:rFonts w:ascii="Times New Roman" w:eastAsiaTheme="minorHAnsi" w:hAnsi="Times New Roman" w:cs="Times New Roman"/>
        </w:rPr>
        <w:t xml:space="preserve"> to provide </w:t>
      </w:r>
      <w:r w:rsidR="00516F45">
        <w:rPr>
          <w:rFonts w:ascii="Times New Roman" w:eastAsiaTheme="minorHAnsi" w:hAnsi="Times New Roman" w:cs="Times New Roman"/>
        </w:rPr>
        <w:t xml:space="preserve">parties </w:t>
      </w:r>
      <w:r w:rsidR="00B61325">
        <w:rPr>
          <w:rFonts w:ascii="Times New Roman" w:eastAsiaTheme="minorHAnsi" w:hAnsi="Times New Roman" w:cs="Times New Roman"/>
        </w:rPr>
        <w:t xml:space="preserve">with the additional due process rights that Ms. Hendin has received in this case; nor should the company be required to have to defend itself in such an extensive proceeding.  </w:t>
      </w:r>
    </w:p>
    <w:p w14:paraId="0E9F0670" w14:textId="77777777" w:rsidR="00B61325" w:rsidRDefault="00B61325" w:rsidP="00F042CD">
      <w:pPr>
        <w:tabs>
          <w:tab w:val="left" w:pos="-720"/>
          <w:tab w:val="left" w:pos="2070"/>
        </w:tabs>
        <w:suppressAutoHyphens/>
        <w:autoSpaceDE/>
        <w:autoSpaceDN/>
        <w:spacing w:line="360" w:lineRule="auto"/>
        <w:ind w:firstLine="1440"/>
        <w:rPr>
          <w:rFonts w:ascii="Times New Roman" w:eastAsiaTheme="minorHAnsi" w:hAnsi="Times New Roman" w:cs="Times New Roman"/>
        </w:rPr>
      </w:pPr>
    </w:p>
    <w:p w14:paraId="1F3BE2DF" w14:textId="4CBFF264" w:rsidR="009F279A" w:rsidRDefault="00B61325" w:rsidP="00F042CD">
      <w:pPr>
        <w:tabs>
          <w:tab w:val="left" w:pos="-720"/>
          <w:tab w:val="left" w:pos="2070"/>
        </w:tabs>
        <w:suppressAutoHyphens/>
        <w:autoSpaceDE/>
        <w:autoSpaceDN/>
        <w:spacing w:line="360" w:lineRule="auto"/>
        <w:ind w:firstLine="1440"/>
        <w:rPr>
          <w:rFonts w:ascii="Times New Roman" w:eastAsiaTheme="minorHAnsi" w:hAnsi="Times New Roman" w:cs="Times New Roman"/>
        </w:rPr>
      </w:pPr>
      <w:r>
        <w:rPr>
          <w:rFonts w:ascii="Times New Roman" w:eastAsiaTheme="minorHAnsi" w:hAnsi="Times New Roman" w:cs="Times New Roman"/>
        </w:rPr>
        <w:t xml:space="preserve">Furthermore, the reasons provided by Ms. Hendin for the additional 180-days or the opportunity to submit </w:t>
      </w:r>
      <w:proofErr w:type="spellStart"/>
      <w:r>
        <w:rPr>
          <w:rFonts w:ascii="Times New Roman" w:eastAsiaTheme="minorHAnsi" w:hAnsi="Times New Roman" w:cs="Times New Roman"/>
        </w:rPr>
        <w:t>surrebuttal</w:t>
      </w:r>
      <w:proofErr w:type="spellEnd"/>
      <w:r>
        <w:rPr>
          <w:rFonts w:ascii="Times New Roman" w:eastAsiaTheme="minorHAnsi" w:hAnsi="Times New Roman" w:cs="Times New Roman"/>
        </w:rPr>
        <w:t xml:space="preserve"> are without merit and will be rejected.  For example, the Commission frequently addresses legal issues that are also in the process of being appealed.  Met-Ed is correct that we must take the law as we find it.  The Commission would </w:t>
      </w:r>
      <w:r w:rsidR="00A637E6">
        <w:rPr>
          <w:rFonts w:ascii="Times New Roman" w:eastAsiaTheme="minorHAnsi" w:hAnsi="Times New Roman" w:cs="Times New Roman"/>
        </w:rPr>
        <w:t xml:space="preserve">not be effective or efficient if it </w:t>
      </w:r>
      <w:r>
        <w:rPr>
          <w:rFonts w:ascii="Times New Roman" w:eastAsiaTheme="minorHAnsi" w:hAnsi="Times New Roman" w:cs="Times New Roman"/>
        </w:rPr>
        <w:t>had to delay proceedings until cases with similar legal issues were decided on appeal, especially given the opportunity for any further appeal to the Pennsylvania Supreme Court.  To the extent that any appellate proceeding concludes during the pendency of this proceeding</w:t>
      </w:r>
      <w:r w:rsidR="00516F45">
        <w:rPr>
          <w:rFonts w:ascii="Times New Roman" w:eastAsiaTheme="minorHAnsi" w:hAnsi="Times New Roman" w:cs="Times New Roman"/>
        </w:rPr>
        <w:t xml:space="preserve">, the results </w:t>
      </w:r>
      <w:r>
        <w:rPr>
          <w:rFonts w:ascii="Times New Roman" w:eastAsiaTheme="minorHAnsi" w:hAnsi="Times New Roman" w:cs="Times New Roman"/>
        </w:rPr>
        <w:t>will be duly considered.  The Commission cannot wait, however, until the appellate proceeding is concluded to adjudicate cases with similar issues.</w:t>
      </w:r>
    </w:p>
    <w:p w14:paraId="4C61CD37" w14:textId="5F0A9504" w:rsidR="00A637E6" w:rsidRDefault="00A637E6" w:rsidP="00F042CD">
      <w:pPr>
        <w:tabs>
          <w:tab w:val="left" w:pos="-720"/>
          <w:tab w:val="left" w:pos="2070"/>
        </w:tabs>
        <w:suppressAutoHyphens/>
        <w:autoSpaceDE/>
        <w:autoSpaceDN/>
        <w:spacing w:line="360" w:lineRule="auto"/>
        <w:ind w:firstLine="1440"/>
        <w:rPr>
          <w:rFonts w:ascii="Times New Roman" w:eastAsiaTheme="minorHAnsi" w:hAnsi="Times New Roman" w:cs="Times New Roman"/>
        </w:rPr>
      </w:pPr>
    </w:p>
    <w:p w14:paraId="340392B8" w14:textId="7A1401DC" w:rsidR="00A637E6" w:rsidRDefault="00A637E6" w:rsidP="00F042CD">
      <w:pPr>
        <w:tabs>
          <w:tab w:val="left" w:pos="-720"/>
          <w:tab w:val="left" w:pos="2070"/>
        </w:tabs>
        <w:suppressAutoHyphens/>
        <w:autoSpaceDE/>
        <w:autoSpaceDN/>
        <w:spacing w:line="360" w:lineRule="auto"/>
        <w:ind w:firstLine="1440"/>
        <w:rPr>
          <w:rFonts w:ascii="Times New Roman" w:eastAsiaTheme="minorHAnsi" w:hAnsi="Times New Roman" w:cs="Times New Roman"/>
        </w:rPr>
      </w:pPr>
      <w:r>
        <w:rPr>
          <w:rFonts w:ascii="Times New Roman" w:eastAsiaTheme="minorHAnsi" w:hAnsi="Times New Roman" w:cs="Times New Roman"/>
        </w:rPr>
        <w:t>Given that the parties will be filing main briefs in this case on March 16, 2020 and reply briefs April 6, 2020</w:t>
      </w:r>
      <w:r w:rsidR="00530914">
        <w:rPr>
          <w:rFonts w:ascii="Times New Roman" w:eastAsiaTheme="minorHAnsi" w:hAnsi="Times New Roman" w:cs="Times New Roman"/>
        </w:rPr>
        <w:t>, and</w:t>
      </w:r>
      <w:r w:rsidR="00516F45">
        <w:rPr>
          <w:rFonts w:ascii="Times New Roman" w:eastAsiaTheme="minorHAnsi" w:hAnsi="Times New Roman" w:cs="Times New Roman"/>
        </w:rPr>
        <w:t xml:space="preserve"> that</w:t>
      </w:r>
      <w:r w:rsidR="00530914">
        <w:rPr>
          <w:rFonts w:ascii="Times New Roman" w:eastAsiaTheme="minorHAnsi" w:hAnsi="Times New Roman" w:cs="Times New Roman"/>
        </w:rPr>
        <w:t xml:space="preserve"> it may take up to 90 days thereafter for the initial decision to be issued, plus additional time for any exceptions and the Commission’s disposition of the complaint, to the extent that the Commonwealth Court has acted on the appeals during that time, the parties are free to file a petition to reopen the record or some other relevant pleading.  In the meantime, however, litigation of this case should not be put on hold while awaiting a decision from the Commonwealth Court that may or may not affect this case.  Doing so would be inefficient</w:t>
      </w:r>
      <w:r w:rsidR="001336BE">
        <w:rPr>
          <w:rFonts w:ascii="Times New Roman" w:eastAsiaTheme="minorHAnsi" w:hAnsi="Times New Roman" w:cs="Times New Roman"/>
        </w:rPr>
        <w:t xml:space="preserve"> and a waste of Commission and party resources</w:t>
      </w:r>
      <w:r w:rsidR="004F1E60">
        <w:rPr>
          <w:rFonts w:ascii="Times New Roman" w:eastAsiaTheme="minorHAnsi" w:hAnsi="Times New Roman" w:cs="Times New Roman"/>
        </w:rPr>
        <w:t xml:space="preserve"> and not help secure the just, speedy and inexpensive determination of this proceeding.</w:t>
      </w:r>
    </w:p>
    <w:p w14:paraId="2DCE1E1A" w14:textId="08822A87" w:rsidR="009F279A" w:rsidRDefault="009F279A" w:rsidP="00F042CD">
      <w:pPr>
        <w:tabs>
          <w:tab w:val="left" w:pos="-720"/>
          <w:tab w:val="left" w:pos="2070"/>
        </w:tabs>
        <w:suppressAutoHyphens/>
        <w:autoSpaceDE/>
        <w:autoSpaceDN/>
        <w:spacing w:line="360" w:lineRule="auto"/>
        <w:ind w:firstLine="1440"/>
        <w:rPr>
          <w:rFonts w:ascii="Times New Roman" w:eastAsiaTheme="minorHAnsi" w:hAnsi="Times New Roman" w:cs="Times New Roman"/>
        </w:rPr>
      </w:pPr>
    </w:p>
    <w:p w14:paraId="04A644C1" w14:textId="77777777" w:rsidR="00423F59" w:rsidRDefault="00423F59" w:rsidP="00F042CD">
      <w:pPr>
        <w:tabs>
          <w:tab w:val="left" w:pos="-720"/>
          <w:tab w:val="left" w:pos="2070"/>
        </w:tabs>
        <w:suppressAutoHyphens/>
        <w:autoSpaceDE/>
        <w:autoSpaceDN/>
        <w:spacing w:line="360" w:lineRule="auto"/>
        <w:ind w:firstLine="1440"/>
        <w:rPr>
          <w:rFonts w:ascii="Times New Roman" w:eastAsiaTheme="minorHAnsi" w:hAnsi="Times New Roman" w:cs="Times New Roman"/>
        </w:rPr>
      </w:pPr>
    </w:p>
    <w:p w14:paraId="6ADB02AA" w14:textId="3C774F62" w:rsidR="000F7B90" w:rsidRDefault="009F279A" w:rsidP="00D6188C">
      <w:pPr>
        <w:tabs>
          <w:tab w:val="left" w:pos="-720"/>
          <w:tab w:val="left" w:pos="2070"/>
        </w:tabs>
        <w:suppressAutoHyphens/>
        <w:autoSpaceDE/>
        <w:autoSpaceDN/>
        <w:spacing w:line="360" w:lineRule="auto"/>
        <w:ind w:firstLine="1440"/>
        <w:rPr>
          <w:rFonts w:ascii="Times New Roman" w:eastAsiaTheme="minorHAnsi" w:hAnsi="Times New Roman" w:cs="Times New Roman"/>
        </w:rPr>
      </w:pPr>
      <w:r>
        <w:rPr>
          <w:rFonts w:ascii="Times New Roman" w:eastAsiaTheme="minorHAnsi" w:hAnsi="Times New Roman" w:cs="Times New Roman"/>
        </w:rPr>
        <w:t xml:space="preserve">There is also no need for Ms. Hendin to be </w:t>
      </w:r>
      <w:r w:rsidR="004F1E60">
        <w:rPr>
          <w:rFonts w:ascii="Times New Roman" w:eastAsiaTheme="minorHAnsi" w:hAnsi="Times New Roman" w:cs="Times New Roman"/>
        </w:rPr>
        <w:t xml:space="preserve">allowed </w:t>
      </w:r>
      <w:r>
        <w:rPr>
          <w:rFonts w:ascii="Times New Roman" w:eastAsiaTheme="minorHAnsi" w:hAnsi="Times New Roman" w:cs="Times New Roman"/>
        </w:rPr>
        <w:t xml:space="preserve">to present </w:t>
      </w:r>
      <w:proofErr w:type="spellStart"/>
      <w:r>
        <w:rPr>
          <w:rFonts w:ascii="Times New Roman" w:eastAsiaTheme="minorHAnsi" w:hAnsi="Times New Roman" w:cs="Times New Roman"/>
        </w:rPr>
        <w:t>surrebuttal</w:t>
      </w:r>
      <w:proofErr w:type="spellEnd"/>
      <w:r>
        <w:rPr>
          <w:rFonts w:ascii="Times New Roman" w:eastAsiaTheme="minorHAnsi" w:hAnsi="Times New Roman" w:cs="Times New Roman"/>
        </w:rPr>
        <w:t xml:space="preserve"> testimony from a new witness. </w:t>
      </w:r>
      <w:r w:rsidR="00785598">
        <w:rPr>
          <w:rFonts w:ascii="Times New Roman" w:eastAsiaTheme="minorHAnsi" w:hAnsi="Times New Roman" w:cs="Times New Roman"/>
        </w:rPr>
        <w:t xml:space="preserve"> As noted above, this case has been in active litigation for a significant </w:t>
      </w:r>
      <w:proofErr w:type="gramStart"/>
      <w:r w:rsidR="00785598">
        <w:rPr>
          <w:rFonts w:ascii="Times New Roman" w:eastAsiaTheme="minorHAnsi" w:hAnsi="Times New Roman" w:cs="Times New Roman"/>
        </w:rPr>
        <w:t>period of time</w:t>
      </w:r>
      <w:proofErr w:type="gramEnd"/>
      <w:r w:rsidR="00D6188C">
        <w:rPr>
          <w:rFonts w:ascii="Times New Roman" w:eastAsiaTheme="minorHAnsi" w:hAnsi="Times New Roman" w:cs="Times New Roman"/>
        </w:rPr>
        <w:t xml:space="preserve"> and Ms. Hendin has had extensive opportunity to present her case.  The issues in this case have been thoroughly discussed</w:t>
      </w:r>
      <w:r w:rsidR="004F1E60">
        <w:rPr>
          <w:rFonts w:ascii="Times New Roman" w:eastAsiaTheme="minorHAnsi" w:hAnsi="Times New Roman" w:cs="Times New Roman"/>
        </w:rPr>
        <w:t xml:space="preserve"> and the record adequately developed</w:t>
      </w:r>
      <w:r w:rsidR="00D6188C">
        <w:rPr>
          <w:rFonts w:ascii="Times New Roman" w:eastAsiaTheme="minorHAnsi" w:hAnsi="Times New Roman" w:cs="Times New Roman"/>
        </w:rPr>
        <w:t xml:space="preserve">.  The delay and expense </w:t>
      </w:r>
      <w:r w:rsidR="00516F45">
        <w:rPr>
          <w:rFonts w:ascii="Times New Roman" w:eastAsiaTheme="minorHAnsi" w:hAnsi="Times New Roman" w:cs="Times New Roman"/>
        </w:rPr>
        <w:t>that would be created</w:t>
      </w:r>
      <w:r w:rsidR="00D6188C">
        <w:rPr>
          <w:rFonts w:ascii="Times New Roman" w:eastAsiaTheme="minorHAnsi" w:hAnsi="Times New Roman" w:cs="Times New Roman"/>
        </w:rPr>
        <w:t xml:space="preserve"> by giving Ms. Hendin an opportunity to present a new witness to testify in response to testimony from Met-Ed’s witness about Ms. Hendin’s cell phone usage is outweighed by the need to effectively and efficiently adjudicate this complaint</w:t>
      </w:r>
      <w:r w:rsidR="00516F45">
        <w:rPr>
          <w:rFonts w:ascii="Times New Roman" w:eastAsiaTheme="minorHAnsi" w:hAnsi="Times New Roman" w:cs="Times New Roman"/>
        </w:rPr>
        <w:t>,</w:t>
      </w:r>
      <w:r w:rsidR="00D6188C">
        <w:rPr>
          <w:rFonts w:ascii="Times New Roman" w:eastAsiaTheme="minorHAnsi" w:hAnsi="Times New Roman" w:cs="Times New Roman"/>
        </w:rPr>
        <w:t xml:space="preserve"> especially given the overall import of Ms. Hendin’s cell phone usage on the underlying issues in this case.  Ms. Hendin could have conducted cross examination of Met-Ed’s witness during the hearing on that issue and is still free to make any legal arguments about the matter in briefs.</w:t>
      </w:r>
      <w:r w:rsidR="001336BE">
        <w:rPr>
          <w:rFonts w:ascii="Times New Roman" w:eastAsiaTheme="minorHAnsi" w:hAnsi="Times New Roman" w:cs="Times New Roman"/>
        </w:rPr>
        <w:t xml:space="preserve">  </w:t>
      </w:r>
      <w:r w:rsidR="004F1E60">
        <w:rPr>
          <w:rFonts w:ascii="Times New Roman" w:eastAsiaTheme="minorHAnsi" w:hAnsi="Times New Roman" w:cs="Times New Roman"/>
        </w:rPr>
        <w:t xml:space="preserve">To the extent that Ms. Hendin </w:t>
      </w:r>
      <w:proofErr w:type="gramStart"/>
      <w:r w:rsidR="004F1E60">
        <w:rPr>
          <w:rFonts w:ascii="Times New Roman" w:eastAsiaTheme="minorHAnsi" w:hAnsi="Times New Roman" w:cs="Times New Roman"/>
        </w:rPr>
        <w:t>is allowed to</w:t>
      </w:r>
      <w:proofErr w:type="gramEnd"/>
      <w:r w:rsidR="004F1E60">
        <w:rPr>
          <w:rFonts w:ascii="Times New Roman" w:eastAsiaTheme="minorHAnsi" w:hAnsi="Times New Roman" w:cs="Times New Roman"/>
        </w:rPr>
        <w:t xml:space="preserve"> present additional testimony, it would also require an additional hearing, among other things.  </w:t>
      </w:r>
      <w:r w:rsidR="001336BE">
        <w:rPr>
          <w:rFonts w:ascii="Times New Roman" w:eastAsiaTheme="minorHAnsi" w:hAnsi="Times New Roman" w:cs="Times New Roman"/>
        </w:rPr>
        <w:t>In any event, the issue of Ms. Hendin’s cell usage is ancillary to the underlying issue of whether Met-Ed has violated the Public Utility Code, a Commission order or regulation or a Commission-approved tariff of the company.</w:t>
      </w:r>
    </w:p>
    <w:p w14:paraId="3F971F15" w14:textId="77777777" w:rsidR="00D6188C" w:rsidRPr="0090560A" w:rsidRDefault="00D6188C" w:rsidP="00D6188C">
      <w:pPr>
        <w:tabs>
          <w:tab w:val="left" w:pos="-720"/>
          <w:tab w:val="left" w:pos="2070"/>
        </w:tabs>
        <w:suppressAutoHyphens/>
        <w:autoSpaceDE/>
        <w:autoSpaceDN/>
        <w:spacing w:line="360" w:lineRule="auto"/>
        <w:ind w:firstLine="1440"/>
        <w:rPr>
          <w:strike/>
        </w:rPr>
      </w:pPr>
    </w:p>
    <w:p w14:paraId="6C7B0475" w14:textId="3BBB0FEB" w:rsidR="00950AF7" w:rsidRPr="004E459E" w:rsidRDefault="00950AF7" w:rsidP="00950AF7">
      <w:pPr>
        <w:pStyle w:val="ParaTab1"/>
        <w:tabs>
          <w:tab w:val="left" w:pos="2070"/>
        </w:tabs>
        <w:spacing w:line="360" w:lineRule="auto"/>
        <w:rPr>
          <w:rFonts w:ascii="Times New Roman" w:hAnsi="Times New Roman" w:cs="Times New Roman"/>
        </w:rPr>
      </w:pPr>
      <w:r w:rsidRPr="004E459E">
        <w:rPr>
          <w:rFonts w:ascii="Times New Roman" w:hAnsi="Times New Roman" w:cs="Times New Roman"/>
        </w:rPr>
        <w:t xml:space="preserve">As a result, </w:t>
      </w:r>
      <w:r w:rsidR="004E459E">
        <w:rPr>
          <w:rFonts w:ascii="Times New Roman" w:hAnsi="Times New Roman" w:cs="Times New Roman"/>
        </w:rPr>
        <w:t xml:space="preserve">Ms. Hendin’s </w:t>
      </w:r>
      <w:r w:rsidR="004E459E">
        <w:rPr>
          <w:rFonts w:ascii="Times New Roman" w:eastAsiaTheme="minorHAnsi" w:hAnsi="Times New Roman" w:cs="Times New Roman"/>
        </w:rPr>
        <w:t xml:space="preserve">request for an extension of time and for leave to file </w:t>
      </w:r>
      <w:proofErr w:type="spellStart"/>
      <w:r w:rsidR="004E459E">
        <w:rPr>
          <w:rFonts w:ascii="Times New Roman" w:eastAsiaTheme="minorHAnsi" w:hAnsi="Times New Roman" w:cs="Times New Roman"/>
        </w:rPr>
        <w:t>surrebuttal</w:t>
      </w:r>
      <w:proofErr w:type="spellEnd"/>
      <w:r w:rsidR="004E459E">
        <w:rPr>
          <w:rFonts w:ascii="Times New Roman" w:eastAsiaTheme="minorHAnsi" w:hAnsi="Times New Roman" w:cs="Times New Roman"/>
        </w:rPr>
        <w:t xml:space="preserve"> testimony will be denied</w:t>
      </w:r>
      <w:r w:rsidRPr="004E459E">
        <w:rPr>
          <w:rFonts w:ascii="Times New Roman" w:hAnsi="Times New Roman" w:cs="Times New Roman"/>
        </w:rPr>
        <w:t>.</w:t>
      </w:r>
      <w:r w:rsidR="004F1E60">
        <w:rPr>
          <w:rFonts w:ascii="Times New Roman" w:hAnsi="Times New Roman" w:cs="Times New Roman"/>
        </w:rPr>
        <w:t xml:space="preserve">  Ms. Hendin has not shown good cause </w:t>
      </w:r>
      <w:proofErr w:type="gramStart"/>
      <w:r w:rsidR="004F1E60">
        <w:rPr>
          <w:rFonts w:ascii="Times New Roman" w:hAnsi="Times New Roman" w:cs="Times New Roman"/>
        </w:rPr>
        <w:t>sufficient</w:t>
      </w:r>
      <w:proofErr w:type="gramEnd"/>
      <w:r w:rsidR="004F1E60">
        <w:rPr>
          <w:rFonts w:ascii="Times New Roman" w:hAnsi="Times New Roman" w:cs="Times New Roman"/>
        </w:rPr>
        <w:t xml:space="preserve"> to warrant a 180-day continuance.  Similarly, giving Ms. Hendin the opportunity to present </w:t>
      </w:r>
      <w:proofErr w:type="spellStart"/>
      <w:r w:rsidR="004F1E60">
        <w:rPr>
          <w:rFonts w:ascii="Times New Roman" w:hAnsi="Times New Roman" w:cs="Times New Roman"/>
        </w:rPr>
        <w:t>surrebuttal</w:t>
      </w:r>
      <w:proofErr w:type="spellEnd"/>
      <w:r w:rsidR="004F1E60">
        <w:rPr>
          <w:rFonts w:ascii="Times New Roman" w:hAnsi="Times New Roman" w:cs="Times New Roman"/>
        </w:rPr>
        <w:t xml:space="preserve"> testimony would not help secure the just, speedy or inexpensive determination of this matter.</w:t>
      </w:r>
    </w:p>
    <w:p w14:paraId="3C104C57" w14:textId="77777777" w:rsidR="00950AF7" w:rsidRPr="0090560A" w:rsidRDefault="00950AF7" w:rsidP="00950AF7">
      <w:pPr>
        <w:spacing w:line="360" w:lineRule="auto"/>
        <w:rPr>
          <w:strike/>
        </w:rPr>
      </w:pPr>
    </w:p>
    <w:p w14:paraId="584D88BC" w14:textId="77777777" w:rsidR="00950AF7" w:rsidRPr="00B84631" w:rsidRDefault="00950AF7" w:rsidP="001B07C4">
      <w:pPr>
        <w:spacing w:line="360" w:lineRule="auto"/>
        <w:jc w:val="center"/>
        <w:rPr>
          <w:u w:val="single"/>
        </w:rPr>
      </w:pPr>
      <w:r w:rsidRPr="00B84631">
        <w:rPr>
          <w:u w:val="single"/>
        </w:rPr>
        <w:t>ORDER</w:t>
      </w:r>
    </w:p>
    <w:p w14:paraId="31837A0D" w14:textId="3234490A" w:rsidR="00950AF7" w:rsidRDefault="00950AF7" w:rsidP="006E7EB2">
      <w:pPr>
        <w:spacing w:line="360" w:lineRule="auto"/>
        <w:ind w:firstLine="1440"/>
      </w:pPr>
    </w:p>
    <w:p w14:paraId="1AE2D808" w14:textId="77777777" w:rsidR="00423F59" w:rsidRPr="00B84631" w:rsidRDefault="00423F59" w:rsidP="006E7EB2">
      <w:pPr>
        <w:spacing w:line="360" w:lineRule="auto"/>
        <w:ind w:firstLine="1440"/>
      </w:pPr>
    </w:p>
    <w:p w14:paraId="1BEE11D4" w14:textId="77777777" w:rsidR="00950AF7" w:rsidRPr="00B84631" w:rsidRDefault="00950AF7" w:rsidP="006E7EB2">
      <w:pPr>
        <w:spacing w:line="360" w:lineRule="auto"/>
        <w:ind w:firstLine="1440"/>
        <w:rPr>
          <w:bCs/>
        </w:rPr>
      </w:pPr>
      <w:r w:rsidRPr="00B84631">
        <w:rPr>
          <w:bCs/>
        </w:rPr>
        <w:t>THEREFORE,</w:t>
      </w:r>
    </w:p>
    <w:p w14:paraId="172EA1F9" w14:textId="77777777" w:rsidR="00950AF7" w:rsidRPr="00B84631" w:rsidRDefault="00950AF7" w:rsidP="006E7EB2">
      <w:pPr>
        <w:spacing w:line="360" w:lineRule="auto"/>
        <w:ind w:firstLine="1440"/>
        <w:rPr>
          <w:strike/>
        </w:rPr>
      </w:pPr>
    </w:p>
    <w:p w14:paraId="73088A85" w14:textId="483B1F5A" w:rsidR="00950AF7" w:rsidRPr="002D43B0" w:rsidRDefault="00950AF7" w:rsidP="006E7EB2">
      <w:pPr>
        <w:autoSpaceDE/>
        <w:autoSpaceDN/>
        <w:spacing w:line="360" w:lineRule="auto"/>
        <w:ind w:firstLine="1440"/>
      </w:pPr>
      <w:r w:rsidRPr="002D43B0">
        <w:t>IT IS ORDERED:</w:t>
      </w:r>
    </w:p>
    <w:p w14:paraId="0E45CE66" w14:textId="77777777" w:rsidR="00925CBE" w:rsidRPr="00925CBE" w:rsidRDefault="00925CBE" w:rsidP="001708BA">
      <w:pPr>
        <w:autoSpaceDE/>
        <w:autoSpaceDN/>
        <w:ind w:firstLine="1440"/>
        <w:jc w:val="both"/>
        <w:rPr>
          <w:rFonts w:ascii="Times New Roman" w:hAnsi="Times New Roman" w:cs="Times New Roman"/>
        </w:rPr>
      </w:pPr>
    </w:p>
    <w:p w14:paraId="22E24646" w14:textId="222618B6" w:rsidR="00F5664C" w:rsidRPr="003F59FC" w:rsidRDefault="00D6188C" w:rsidP="00A8613B">
      <w:pPr>
        <w:pStyle w:val="ListParagraph"/>
        <w:numPr>
          <w:ilvl w:val="0"/>
          <w:numId w:val="8"/>
        </w:numPr>
        <w:tabs>
          <w:tab w:val="num" w:pos="1440"/>
        </w:tabs>
        <w:autoSpaceDE/>
        <w:autoSpaceDN/>
        <w:spacing w:line="360" w:lineRule="auto"/>
        <w:ind w:left="0" w:firstLine="1440"/>
        <w:outlineLvl w:val="0"/>
      </w:pPr>
      <w:r>
        <w:rPr>
          <w:rFonts w:ascii="Times New Roman" w:hAnsi="Times New Roman" w:cs="Times New Roman"/>
        </w:rPr>
        <w:t>That t</w:t>
      </w:r>
      <w:r w:rsidR="00925CBE" w:rsidRPr="001708BA">
        <w:rPr>
          <w:rFonts w:ascii="Times New Roman" w:hAnsi="Times New Roman" w:cs="Times New Roman"/>
        </w:rPr>
        <w:t xml:space="preserve">he </w:t>
      </w:r>
      <w:r>
        <w:rPr>
          <w:rFonts w:ascii="Times New Roman" w:hAnsi="Times New Roman" w:cs="Times New Roman"/>
        </w:rPr>
        <w:t>m</w:t>
      </w:r>
      <w:r w:rsidR="00925CBE" w:rsidRPr="001708BA">
        <w:rPr>
          <w:rFonts w:ascii="Times New Roman" w:hAnsi="Times New Roman" w:cs="Times New Roman"/>
        </w:rPr>
        <w:t xml:space="preserve">otion </w:t>
      </w:r>
      <w:r>
        <w:rPr>
          <w:rFonts w:ascii="Times New Roman" w:hAnsi="Times New Roman" w:cs="Times New Roman"/>
        </w:rPr>
        <w:t xml:space="preserve">for an extension of time and motion for leave to file </w:t>
      </w:r>
      <w:proofErr w:type="spellStart"/>
      <w:r>
        <w:rPr>
          <w:rFonts w:ascii="Times New Roman" w:hAnsi="Times New Roman" w:cs="Times New Roman"/>
        </w:rPr>
        <w:t>surrebuttal</w:t>
      </w:r>
      <w:proofErr w:type="spellEnd"/>
      <w:r>
        <w:rPr>
          <w:rFonts w:ascii="Times New Roman" w:hAnsi="Times New Roman" w:cs="Times New Roman"/>
        </w:rPr>
        <w:t xml:space="preserve"> testimony filed by Judith Hendin on January 21, 2020 in the above captioned complaint is hereby denied.</w:t>
      </w:r>
    </w:p>
    <w:p w14:paraId="2A8EB916" w14:textId="482D27AF" w:rsidR="003F59FC" w:rsidRDefault="003F59FC" w:rsidP="003F59FC">
      <w:pPr>
        <w:pStyle w:val="ListParagraph"/>
        <w:autoSpaceDE/>
        <w:autoSpaceDN/>
        <w:spacing w:line="360" w:lineRule="auto"/>
        <w:ind w:left="1440"/>
        <w:outlineLvl w:val="0"/>
      </w:pPr>
    </w:p>
    <w:p w14:paraId="0758508D" w14:textId="6216DAE2" w:rsidR="00516F45" w:rsidRDefault="00516F45" w:rsidP="003F59FC">
      <w:pPr>
        <w:pStyle w:val="ListParagraph"/>
        <w:autoSpaceDE/>
        <w:autoSpaceDN/>
        <w:spacing w:line="360" w:lineRule="auto"/>
        <w:ind w:left="1440"/>
        <w:outlineLvl w:val="0"/>
      </w:pPr>
    </w:p>
    <w:p w14:paraId="4308DBC9" w14:textId="16315475" w:rsidR="00D6188C" w:rsidRPr="003F59FC" w:rsidRDefault="00D6188C" w:rsidP="00A8613B">
      <w:pPr>
        <w:pStyle w:val="ListParagraph"/>
        <w:numPr>
          <w:ilvl w:val="0"/>
          <w:numId w:val="8"/>
        </w:numPr>
        <w:tabs>
          <w:tab w:val="num" w:pos="1440"/>
        </w:tabs>
        <w:autoSpaceDE/>
        <w:autoSpaceDN/>
        <w:spacing w:line="360" w:lineRule="auto"/>
        <w:ind w:left="0" w:firstLine="1440"/>
        <w:outlineLvl w:val="0"/>
      </w:pPr>
      <w:r>
        <w:rPr>
          <w:rFonts w:ascii="Times New Roman" w:hAnsi="Times New Roman" w:cs="Times New Roman"/>
        </w:rPr>
        <w:t xml:space="preserve">That the parties may file Main Briefs on </w:t>
      </w:r>
      <w:r w:rsidR="00835CC3">
        <w:rPr>
          <w:rFonts w:ascii="Times New Roman" w:hAnsi="Times New Roman" w:cs="Times New Roman"/>
        </w:rPr>
        <w:t xml:space="preserve">March 16, 2020 </w:t>
      </w:r>
      <w:r>
        <w:rPr>
          <w:rFonts w:ascii="Times New Roman" w:hAnsi="Times New Roman" w:cs="Times New Roman"/>
        </w:rPr>
        <w:t xml:space="preserve">and Reply Briefs on </w:t>
      </w:r>
      <w:r w:rsidR="00835CC3">
        <w:rPr>
          <w:rFonts w:ascii="Times New Roman" w:hAnsi="Times New Roman" w:cs="Times New Roman"/>
        </w:rPr>
        <w:t>April 6, 2020.</w:t>
      </w:r>
    </w:p>
    <w:p w14:paraId="59876731" w14:textId="4549D94F" w:rsidR="003F59FC" w:rsidRDefault="003F59FC" w:rsidP="003F59FC">
      <w:pPr>
        <w:tabs>
          <w:tab w:val="num" w:pos="1440"/>
        </w:tabs>
        <w:autoSpaceDE/>
        <w:autoSpaceDN/>
        <w:spacing w:line="360" w:lineRule="auto"/>
        <w:outlineLvl w:val="0"/>
      </w:pPr>
    </w:p>
    <w:p w14:paraId="7191E37B" w14:textId="77777777" w:rsidR="003F59FC" w:rsidRPr="008778D7" w:rsidRDefault="003F59FC" w:rsidP="003F59FC">
      <w:pPr>
        <w:spacing w:line="360" w:lineRule="auto"/>
        <w:rPr>
          <w:rFonts w:ascii="Times New Roman" w:hAnsi="Times New Roman" w:cs="Times New Roman"/>
          <w:spacing w:val="-3"/>
        </w:rPr>
      </w:pPr>
    </w:p>
    <w:p w14:paraId="04D0E2F8" w14:textId="10B214E0" w:rsidR="003F59FC" w:rsidRPr="00423F59" w:rsidRDefault="003F59FC" w:rsidP="003F59FC">
      <w:pPr>
        <w:tabs>
          <w:tab w:val="left" w:pos="720"/>
          <w:tab w:val="left" w:pos="5040"/>
        </w:tabs>
        <w:suppressAutoHyphens/>
        <w:rPr>
          <w:rFonts w:ascii="Times New Roman" w:hAnsi="Times New Roman" w:cs="Times New Roman"/>
          <w:spacing w:val="-3"/>
          <w:u w:val="single"/>
        </w:rPr>
      </w:pPr>
      <w:r w:rsidRPr="00A44E7C">
        <w:rPr>
          <w:rFonts w:ascii="Times New Roman" w:hAnsi="Times New Roman" w:cs="Times New Roman"/>
          <w:spacing w:val="-3"/>
        </w:rPr>
        <w:t>Date:</w:t>
      </w:r>
      <w:r w:rsidRPr="00A44E7C">
        <w:rPr>
          <w:rFonts w:ascii="Times New Roman" w:hAnsi="Times New Roman" w:cs="Times New Roman"/>
          <w:spacing w:val="-3"/>
        </w:rPr>
        <w:tab/>
      </w:r>
      <w:r>
        <w:rPr>
          <w:rFonts w:ascii="Times New Roman" w:hAnsi="Times New Roman" w:cs="Times New Roman"/>
          <w:spacing w:val="-3"/>
          <w:u w:val="single"/>
        </w:rPr>
        <w:t xml:space="preserve">February </w:t>
      </w:r>
      <w:r w:rsidR="00835CC3">
        <w:rPr>
          <w:rFonts w:ascii="Times New Roman" w:hAnsi="Times New Roman" w:cs="Times New Roman"/>
          <w:spacing w:val="-3"/>
          <w:u w:val="single"/>
        </w:rPr>
        <w:t>19</w:t>
      </w:r>
      <w:r>
        <w:rPr>
          <w:rFonts w:ascii="Times New Roman" w:hAnsi="Times New Roman" w:cs="Times New Roman"/>
          <w:spacing w:val="-3"/>
          <w:u w:val="single"/>
        </w:rPr>
        <w:t>, 2020</w:t>
      </w:r>
      <w:r w:rsidRPr="00A44E7C">
        <w:rPr>
          <w:rFonts w:ascii="Times New Roman" w:hAnsi="Times New Roman" w:cs="Times New Roman"/>
          <w:spacing w:val="-3"/>
        </w:rPr>
        <w:tab/>
      </w:r>
      <w:r w:rsidR="00423F59">
        <w:rPr>
          <w:rFonts w:ascii="Times New Roman" w:hAnsi="Times New Roman" w:cs="Times New Roman"/>
          <w:spacing w:val="-3"/>
          <w:u w:val="single"/>
        </w:rPr>
        <w:tab/>
      </w:r>
      <w:r w:rsidR="00423F59">
        <w:rPr>
          <w:rFonts w:ascii="Times New Roman" w:hAnsi="Times New Roman" w:cs="Times New Roman"/>
          <w:spacing w:val="-3"/>
          <w:u w:val="single"/>
        </w:rPr>
        <w:tab/>
        <w:t>/s/</w:t>
      </w:r>
      <w:r w:rsidR="00423F59">
        <w:rPr>
          <w:rFonts w:ascii="Times New Roman" w:hAnsi="Times New Roman" w:cs="Times New Roman"/>
          <w:spacing w:val="-3"/>
          <w:u w:val="single"/>
        </w:rPr>
        <w:tab/>
      </w:r>
      <w:r w:rsidR="00423F59">
        <w:rPr>
          <w:rFonts w:ascii="Times New Roman" w:hAnsi="Times New Roman" w:cs="Times New Roman"/>
          <w:spacing w:val="-3"/>
          <w:u w:val="single"/>
        </w:rPr>
        <w:tab/>
      </w:r>
      <w:r w:rsidR="00423F59">
        <w:rPr>
          <w:rFonts w:ascii="Times New Roman" w:hAnsi="Times New Roman" w:cs="Times New Roman"/>
          <w:spacing w:val="-3"/>
          <w:u w:val="single"/>
        </w:rPr>
        <w:tab/>
      </w:r>
    </w:p>
    <w:p w14:paraId="5C9FEC2E" w14:textId="77777777" w:rsidR="003F59FC" w:rsidRPr="00A44E7C" w:rsidRDefault="003F59FC" w:rsidP="003F59FC">
      <w:pPr>
        <w:tabs>
          <w:tab w:val="left" w:pos="720"/>
          <w:tab w:val="left" w:pos="5040"/>
        </w:tabs>
        <w:suppressAutoHyphens/>
        <w:rPr>
          <w:rFonts w:ascii="Times New Roman" w:hAnsi="Times New Roman" w:cs="Times New Roman"/>
          <w:spacing w:val="-3"/>
        </w:rPr>
      </w:pPr>
      <w:r w:rsidRPr="00A44E7C">
        <w:rPr>
          <w:rFonts w:ascii="Times New Roman" w:hAnsi="Times New Roman" w:cs="Times New Roman"/>
          <w:spacing w:val="-3"/>
        </w:rPr>
        <w:tab/>
      </w:r>
      <w:r w:rsidRPr="00A44E7C">
        <w:rPr>
          <w:rFonts w:ascii="Times New Roman" w:hAnsi="Times New Roman" w:cs="Times New Roman"/>
          <w:spacing w:val="-3"/>
        </w:rPr>
        <w:tab/>
        <w:t>Joel H. Cheskis</w:t>
      </w:r>
    </w:p>
    <w:p w14:paraId="7E34815D" w14:textId="77777777" w:rsidR="003F59FC" w:rsidRPr="00A44E7C" w:rsidRDefault="003F59FC" w:rsidP="003F59FC">
      <w:pPr>
        <w:tabs>
          <w:tab w:val="left" w:pos="720"/>
          <w:tab w:val="left" w:pos="5040"/>
        </w:tabs>
        <w:suppressAutoHyphens/>
        <w:rPr>
          <w:rFonts w:ascii="Times New Roman" w:hAnsi="Times New Roman" w:cs="Times New Roman"/>
          <w:spacing w:val="-3"/>
        </w:rPr>
      </w:pPr>
      <w:r w:rsidRPr="00A44E7C">
        <w:rPr>
          <w:rFonts w:ascii="Times New Roman" w:hAnsi="Times New Roman" w:cs="Times New Roman"/>
          <w:spacing w:val="-3"/>
        </w:rPr>
        <w:tab/>
      </w:r>
      <w:r w:rsidRPr="00A44E7C">
        <w:rPr>
          <w:rFonts w:ascii="Times New Roman" w:hAnsi="Times New Roman" w:cs="Times New Roman"/>
          <w:spacing w:val="-3"/>
        </w:rPr>
        <w:tab/>
      </w:r>
      <w:r>
        <w:rPr>
          <w:rFonts w:ascii="Times New Roman" w:hAnsi="Times New Roman" w:cs="Times New Roman"/>
          <w:spacing w:val="-3"/>
        </w:rPr>
        <w:t xml:space="preserve">Deputy Chief </w:t>
      </w:r>
      <w:r w:rsidRPr="00A44E7C">
        <w:rPr>
          <w:rFonts w:ascii="Times New Roman" w:hAnsi="Times New Roman" w:cs="Times New Roman"/>
          <w:spacing w:val="-3"/>
        </w:rPr>
        <w:t>Administrative Law Judge</w:t>
      </w:r>
    </w:p>
    <w:p w14:paraId="3D228D42" w14:textId="77777777" w:rsidR="003F59FC" w:rsidRPr="008C61EA" w:rsidRDefault="003F59FC" w:rsidP="003F59FC">
      <w:pPr>
        <w:tabs>
          <w:tab w:val="num" w:pos="1440"/>
        </w:tabs>
        <w:autoSpaceDE/>
        <w:autoSpaceDN/>
        <w:spacing w:line="360" w:lineRule="auto"/>
        <w:outlineLvl w:val="0"/>
      </w:pPr>
    </w:p>
    <w:p w14:paraId="5DAEB9A7" w14:textId="77777777" w:rsidR="00F5664C" w:rsidRPr="005D41A4" w:rsidRDefault="00F5664C" w:rsidP="00F5664C">
      <w:pPr>
        <w:rPr>
          <w:rFonts w:ascii="Arial monospaced for SAP" w:hAnsi="Arial monospaced for SAP" w:cs="Microsoft Sans Serif"/>
        </w:rPr>
      </w:pPr>
    </w:p>
    <w:p w14:paraId="017670E6" w14:textId="77777777" w:rsidR="00423F59" w:rsidRDefault="00423F59" w:rsidP="00925CBE">
      <w:pPr>
        <w:tabs>
          <w:tab w:val="left" w:pos="3174"/>
        </w:tabs>
        <w:autoSpaceDE/>
        <w:autoSpaceDN/>
        <w:jc w:val="both"/>
        <w:rPr>
          <w:rFonts w:ascii="Times New Roman" w:eastAsiaTheme="minorHAnsi" w:hAnsi="Times New Roman" w:cstheme="minorBidi"/>
          <w:szCs w:val="22"/>
        </w:rPr>
        <w:sectPr w:rsidR="00423F59" w:rsidSect="00925CBE">
          <w:footerReference w:type="default" r:id="rId8"/>
          <w:pgSz w:w="12240" w:h="15840" w:code="1"/>
          <w:pgMar w:top="1440" w:right="1440" w:bottom="1440" w:left="1440" w:header="720" w:footer="720" w:gutter="0"/>
          <w:paperSrc w:first="261" w:other="261"/>
          <w:pgNumType w:start="1"/>
          <w:cols w:space="720"/>
          <w:titlePg/>
          <w:docGrid w:linePitch="360"/>
        </w:sectPr>
      </w:pPr>
    </w:p>
    <w:p w14:paraId="23383E33" w14:textId="77777777" w:rsidR="00423F59" w:rsidRDefault="00423F59" w:rsidP="00423F59">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C-2018-3003324 - JUDITH HENDIN v. METROPOLITAN EDISON COMPANY</w:t>
      </w:r>
      <w:r>
        <w:rPr>
          <w:rFonts w:ascii="Microsoft Sans Serif" w:eastAsia="Microsoft Sans Serif" w:hAnsi="Microsoft Sans Serif" w:cs="Microsoft Sans Serif"/>
          <w:b/>
          <w:u w:val="single"/>
        </w:rPr>
        <w:cr/>
      </w:r>
    </w:p>
    <w:p w14:paraId="3FB6ED10" w14:textId="77777777" w:rsidR="00423F59" w:rsidRDefault="00423F59" w:rsidP="00423F59">
      <w:pPr>
        <w:rPr>
          <w:rFonts w:ascii="Microsoft Sans Serif" w:eastAsia="Microsoft Sans Serif" w:hAnsi="Microsoft Sans Serif" w:cs="Microsoft Sans Serif"/>
          <w:i/>
        </w:rPr>
      </w:pPr>
      <w:r>
        <w:rPr>
          <w:rFonts w:ascii="Microsoft Sans Serif" w:eastAsia="Microsoft Sans Serif" w:hAnsi="Microsoft Sans Serif" w:cs="Microsoft Sans Serif"/>
          <w:i/>
        </w:rPr>
        <w:t>(Revised 8/13/19)</w:t>
      </w:r>
    </w:p>
    <w:p w14:paraId="67B1640A" w14:textId="77777777" w:rsidR="00423F59" w:rsidRPr="000E0665" w:rsidRDefault="00423F59" w:rsidP="00423F59">
      <w:pPr>
        <w:rPr>
          <w:rFonts w:ascii="Microsoft Sans Serif" w:eastAsia="Microsoft Sans Serif" w:hAnsi="Microsoft Sans Serif" w:cs="Microsoft Sans Serif"/>
          <w:b/>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JUDITH HENDIN</w:t>
      </w:r>
      <w:r>
        <w:rPr>
          <w:rFonts w:ascii="Microsoft Sans Serif" w:eastAsia="Microsoft Sans Serif" w:hAnsi="Microsoft Sans Serif" w:cs="Microsoft Sans Serif"/>
        </w:rPr>
        <w:cr/>
        <w:t>PO BOX 1449</w:t>
      </w:r>
      <w:r>
        <w:rPr>
          <w:rFonts w:ascii="Microsoft Sans Serif" w:eastAsia="Microsoft Sans Serif" w:hAnsi="Microsoft Sans Serif" w:cs="Microsoft Sans Serif"/>
        </w:rPr>
        <w:cr/>
        <w:t>EASTON PA  18044</w:t>
      </w:r>
      <w:r>
        <w:rPr>
          <w:rFonts w:ascii="Microsoft Sans Serif" w:eastAsia="Microsoft Sans Serif" w:hAnsi="Microsoft Sans Serif" w:cs="Microsoft Sans Serif"/>
        </w:rPr>
        <w:cr/>
      </w:r>
      <w:r w:rsidRPr="00CE47D6">
        <w:rPr>
          <w:rFonts w:ascii="Microsoft Sans Serif" w:eastAsia="Microsoft Sans Serif" w:hAnsi="Microsoft Sans Serif" w:cs="Microsoft Sans Serif"/>
          <w:b/>
        </w:rPr>
        <w:t>610.330.9778</w:t>
      </w:r>
      <w:r>
        <w:rPr>
          <w:rFonts w:ascii="Microsoft Sans Serif" w:eastAsia="Microsoft Sans Serif" w:hAnsi="Microsoft Sans Serif" w:cs="Microsoft Sans Serif"/>
        </w:rPr>
        <w:cr/>
      </w:r>
      <w:r w:rsidRPr="000E0665">
        <w:rPr>
          <w:rFonts w:ascii="Microsoft Sans Serif" w:eastAsia="Microsoft Sans Serif" w:hAnsi="Microsoft Sans Serif" w:cs="Microsoft Sans Serif"/>
          <w:b/>
          <w:i/>
          <w:u w:val="single"/>
        </w:rPr>
        <w:t>ACCEPTS E-SERVICE</w:t>
      </w:r>
    </w:p>
    <w:p w14:paraId="1B57BCAF" w14:textId="77777777" w:rsidR="00423F59" w:rsidRDefault="00423F59" w:rsidP="00423F59">
      <w:pPr>
        <w:rPr>
          <w:rFonts w:ascii="Microsoft Sans Serif" w:eastAsia="Microsoft Sans Serif" w:hAnsi="Microsoft Sans Serif" w:cs="Microsoft Sans Serif"/>
        </w:rPr>
      </w:pPr>
    </w:p>
    <w:p w14:paraId="0FEE5261" w14:textId="77777777" w:rsidR="00423F59" w:rsidRDefault="00423F59" w:rsidP="00423F59">
      <w:pPr>
        <w:rPr>
          <w:rFonts w:ascii="Microsoft Sans Serif" w:eastAsia="Microsoft Sans Serif" w:hAnsi="Microsoft Sans Serif" w:cs="Microsoft Sans Serif"/>
        </w:rPr>
      </w:pPr>
      <w:r>
        <w:rPr>
          <w:rFonts w:ascii="Microsoft Sans Serif" w:eastAsia="Microsoft Sans Serif" w:hAnsi="Microsoft Sans Serif" w:cs="Microsoft Sans Serif"/>
        </w:rPr>
        <w:t>JOANNA A WALDRON ESQUIRE</w:t>
      </w:r>
    </w:p>
    <w:p w14:paraId="44DB0DAF" w14:textId="77777777" w:rsidR="00423F59" w:rsidRDefault="00423F59" w:rsidP="00423F59">
      <w:pPr>
        <w:rPr>
          <w:rFonts w:ascii="Microsoft Sans Serif" w:eastAsia="Microsoft Sans Serif" w:hAnsi="Microsoft Sans Serif" w:cs="Microsoft Sans Serif"/>
        </w:rPr>
      </w:pPr>
      <w:r>
        <w:rPr>
          <w:rFonts w:ascii="Microsoft Sans Serif" w:eastAsia="Microsoft Sans Serif" w:hAnsi="Microsoft Sans Serif" w:cs="Microsoft Sans Serif"/>
        </w:rPr>
        <w:t>CURTIN &amp; HEEFNER LLP</w:t>
      </w:r>
    </w:p>
    <w:p w14:paraId="22A8C021" w14:textId="77777777" w:rsidR="00423F59" w:rsidRDefault="00423F59" w:rsidP="00423F59">
      <w:pPr>
        <w:rPr>
          <w:rFonts w:ascii="Microsoft Sans Serif" w:eastAsia="Microsoft Sans Serif" w:hAnsi="Microsoft Sans Serif" w:cs="Microsoft Sans Serif"/>
        </w:rPr>
      </w:pPr>
      <w:r>
        <w:rPr>
          <w:rFonts w:ascii="Microsoft Sans Serif" w:eastAsia="Microsoft Sans Serif" w:hAnsi="Microsoft Sans Serif" w:cs="Microsoft Sans Serif"/>
        </w:rPr>
        <w:t>2005 S EASTON ROAD SUITE 100</w:t>
      </w:r>
    </w:p>
    <w:p w14:paraId="3EDF6564" w14:textId="77777777" w:rsidR="00423F59" w:rsidRDefault="00423F59" w:rsidP="00423F59">
      <w:pPr>
        <w:rPr>
          <w:rFonts w:ascii="Microsoft Sans Serif" w:eastAsia="Microsoft Sans Serif" w:hAnsi="Microsoft Sans Serif" w:cs="Microsoft Sans Serif"/>
        </w:rPr>
      </w:pPr>
      <w:r>
        <w:rPr>
          <w:rFonts w:ascii="Microsoft Sans Serif" w:eastAsia="Microsoft Sans Serif" w:hAnsi="Microsoft Sans Serif" w:cs="Microsoft Sans Serif"/>
        </w:rPr>
        <w:t>DOYLESTOWN PA  18901</w:t>
      </w:r>
    </w:p>
    <w:p w14:paraId="1B417809" w14:textId="77777777" w:rsidR="00423F59" w:rsidRDefault="00423F59" w:rsidP="00423F59">
      <w:pPr>
        <w:rPr>
          <w:rFonts w:ascii="Microsoft Sans Serif" w:eastAsia="Microsoft Sans Serif" w:hAnsi="Microsoft Sans Serif" w:cs="Microsoft Sans Serif"/>
          <w:b/>
        </w:rPr>
      </w:pPr>
      <w:r>
        <w:rPr>
          <w:rFonts w:ascii="Microsoft Sans Serif" w:eastAsia="Microsoft Sans Serif" w:hAnsi="Microsoft Sans Serif" w:cs="Microsoft Sans Serif"/>
          <w:b/>
        </w:rPr>
        <w:t>267.898.0570</w:t>
      </w:r>
    </w:p>
    <w:p w14:paraId="39A6A86B" w14:textId="77777777" w:rsidR="00423F59" w:rsidRPr="0092736C" w:rsidRDefault="00423F59" w:rsidP="00423F59">
      <w:pPr>
        <w:rPr>
          <w:rFonts w:ascii="Microsoft Sans Serif" w:eastAsia="Microsoft Sans Serif" w:hAnsi="Microsoft Sans Serif" w:cs="Microsoft Sans Serif"/>
          <w:i/>
        </w:rPr>
      </w:pPr>
      <w:r>
        <w:rPr>
          <w:rFonts w:ascii="Microsoft Sans Serif" w:eastAsia="Microsoft Sans Serif" w:hAnsi="Microsoft Sans Serif" w:cs="Microsoft Sans Serif"/>
          <w:i/>
        </w:rPr>
        <w:t>Representing Complainant</w:t>
      </w:r>
    </w:p>
    <w:p w14:paraId="4997DEB9" w14:textId="77777777" w:rsidR="00423F59" w:rsidRPr="0092736C" w:rsidRDefault="00423F59" w:rsidP="00423F59">
      <w:pPr>
        <w:rPr>
          <w:rFonts w:ascii="Microsoft Sans Serif" w:eastAsia="Microsoft Sans Serif" w:hAnsi="Microsoft Sans Serif" w:cs="Microsoft Sans Serif"/>
          <w:b/>
        </w:rPr>
      </w:pPr>
      <w:r w:rsidRPr="0092736C">
        <w:rPr>
          <w:rFonts w:ascii="Microsoft Sans Serif" w:eastAsia="Microsoft Sans Serif" w:hAnsi="Microsoft Sans Serif" w:cs="Microsoft Sans Serif"/>
          <w:b/>
          <w:i/>
          <w:u w:val="single"/>
        </w:rPr>
        <w:t>ACCEPTS E-SERVICE</w:t>
      </w:r>
    </w:p>
    <w:p w14:paraId="62482E7B" w14:textId="77777777" w:rsidR="00423F59" w:rsidRPr="004D3EF5" w:rsidRDefault="00423F59" w:rsidP="00423F59">
      <w:pPr>
        <w:rPr>
          <w:rFonts w:ascii="Microsoft Sans Serif" w:eastAsia="Microsoft Sans Serif" w:hAnsi="Microsoft Sans Serif" w:cs="Microsoft Sans Serif"/>
        </w:rPr>
      </w:pPr>
      <w:r w:rsidRPr="0092736C">
        <w:rPr>
          <w:rFonts w:ascii="Microsoft Sans Serif" w:eastAsia="Microsoft Sans Serif" w:hAnsi="Microsoft Sans Serif" w:cs="Microsoft Sans Serif"/>
        </w:rPr>
        <w:cr/>
      </w:r>
      <w:r w:rsidRPr="004D3EF5">
        <w:rPr>
          <w:rFonts w:ascii="Microsoft Sans Serif" w:eastAsia="Microsoft Sans Serif" w:hAnsi="Microsoft Sans Serif" w:cs="Microsoft Sans Serif"/>
        </w:rPr>
        <w:t>LAUREN M LEPKOSKI ESQUIRE</w:t>
      </w:r>
      <w:r w:rsidRPr="004D3EF5">
        <w:rPr>
          <w:rFonts w:ascii="Microsoft Sans Serif" w:eastAsia="Microsoft Sans Serif" w:hAnsi="Microsoft Sans Serif" w:cs="Microsoft Sans Serif"/>
        </w:rPr>
        <w:cr/>
        <w:t>TORI L GIESLER ESQUIRE</w:t>
      </w:r>
    </w:p>
    <w:p w14:paraId="062C0545" w14:textId="77777777" w:rsidR="00423F59" w:rsidRPr="004D3EF5" w:rsidRDefault="00423F59" w:rsidP="00423F59">
      <w:pPr>
        <w:rPr>
          <w:rFonts w:ascii="Microsoft Sans Serif" w:eastAsia="Microsoft Sans Serif" w:hAnsi="Microsoft Sans Serif" w:cs="Microsoft Sans Serif"/>
          <w:b/>
        </w:rPr>
      </w:pPr>
      <w:r w:rsidRPr="004D3EF5">
        <w:rPr>
          <w:rFonts w:ascii="Microsoft Sans Serif" w:eastAsia="Microsoft Sans Serif" w:hAnsi="Microsoft Sans Serif" w:cs="Microsoft Sans Serif"/>
        </w:rPr>
        <w:t>FIRSTENERGY SERVICES CO</w:t>
      </w:r>
      <w:r w:rsidRPr="004D3EF5">
        <w:rPr>
          <w:rFonts w:ascii="Microsoft Sans Serif" w:eastAsia="Microsoft Sans Serif" w:hAnsi="Microsoft Sans Serif" w:cs="Microsoft Sans Serif"/>
        </w:rPr>
        <w:cr/>
        <w:t>2800 POTTSVILLE PIKE</w:t>
      </w:r>
      <w:r w:rsidRPr="004D3EF5">
        <w:rPr>
          <w:rFonts w:ascii="Microsoft Sans Serif" w:eastAsia="Microsoft Sans Serif" w:hAnsi="Microsoft Sans Serif" w:cs="Microsoft Sans Serif"/>
        </w:rPr>
        <w:cr/>
        <w:t>PO BOX 16001</w:t>
      </w:r>
      <w:r w:rsidRPr="004D3EF5">
        <w:rPr>
          <w:rFonts w:ascii="Microsoft Sans Serif" w:eastAsia="Microsoft Sans Serif" w:hAnsi="Microsoft Sans Serif" w:cs="Microsoft Sans Serif"/>
        </w:rPr>
        <w:cr/>
        <w:t>READING PA  19612</w:t>
      </w:r>
      <w:r w:rsidRPr="004D3EF5">
        <w:rPr>
          <w:rFonts w:ascii="Microsoft Sans Serif" w:eastAsia="Microsoft Sans Serif" w:hAnsi="Microsoft Sans Serif" w:cs="Microsoft Sans Serif"/>
        </w:rPr>
        <w:cr/>
      </w:r>
      <w:r w:rsidRPr="004D3EF5">
        <w:rPr>
          <w:rFonts w:ascii="Microsoft Sans Serif" w:eastAsia="Microsoft Sans Serif" w:hAnsi="Microsoft Sans Serif" w:cs="Microsoft Sans Serif"/>
          <w:b/>
        </w:rPr>
        <w:t>610.921.6203</w:t>
      </w:r>
      <w:r w:rsidRPr="004D3EF5">
        <w:rPr>
          <w:rFonts w:ascii="Microsoft Sans Serif" w:eastAsia="Microsoft Sans Serif" w:hAnsi="Microsoft Sans Serif" w:cs="Microsoft Sans Serif"/>
          <w:b/>
        </w:rPr>
        <w:cr/>
        <w:t>610.921.6658</w:t>
      </w:r>
    </w:p>
    <w:p w14:paraId="61D2E0B6" w14:textId="77777777" w:rsidR="00423F59" w:rsidRPr="004D3EF5" w:rsidRDefault="00423F59" w:rsidP="00423F59">
      <w:pPr>
        <w:rPr>
          <w:rFonts w:ascii="Calibri" w:hAnsi="Calibri" w:cs="Times New Roman"/>
        </w:rPr>
      </w:pPr>
      <w:r w:rsidRPr="004D3EF5">
        <w:rPr>
          <w:rFonts w:ascii="Microsoft Sans Serif" w:eastAsia="Microsoft Sans Serif" w:hAnsi="Microsoft Sans Serif" w:cs="Microsoft Sans Serif"/>
          <w:b/>
          <w:i/>
          <w:u w:val="single"/>
        </w:rPr>
        <w:t>ACCEPTS E-SERVICE</w:t>
      </w:r>
    </w:p>
    <w:p w14:paraId="72038C3E" w14:textId="77777777" w:rsidR="00423F59" w:rsidRPr="0092736C" w:rsidRDefault="00423F59" w:rsidP="00423F59">
      <w:pPr>
        <w:rPr>
          <w:rFonts w:ascii="Microsoft Sans Serif" w:eastAsia="Microsoft Sans Serif" w:hAnsi="Microsoft Sans Serif" w:cs="Microsoft Sans Serif"/>
          <w:b/>
          <w:u w:val="single"/>
        </w:rPr>
      </w:pPr>
    </w:p>
    <w:p w14:paraId="0D281678" w14:textId="77777777" w:rsidR="00423F59" w:rsidRDefault="00423F59" w:rsidP="00423F59"/>
    <w:p w14:paraId="321923C0" w14:textId="58C10F57" w:rsidR="00F5664C" w:rsidRPr="00925CBE" w:rsidRDefault="00F5664C" w:rsidP="00925CBE">
      <w:pPr>
        <w:tabs>
          <w:tab w:val="left" w:pos="3174"/>
        </w:tabs>
        <w:autoSpaceDE/>
        <w:autoSpaceDN/>
        <w:jc w:val="both"/>
        <w:rPr>
          <w:rFonts w:ascii="Times New Roman" w:eastAsiaTheme="minorHAnsi" w:hAnsi="Times New Roman" w:cstheme="minorBidi"/>
          <w:szCs w:val="22"/>
        </w:rPr>
      </w:pPr>
    </w:p>
    <w:sectPr w:rsidR="00F5664C" w:rsidRPr="00925CB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D92D1" w14:textId="77777777" w:rsidR="00890B0E" w:rsidRDefault="00890B0E">
      <w:r>
        <w:separator/>
      </w:r>
    </w:p>
  </w:endnote>
  <w:endnote w:type="continuationSeparator" w:id="0">
    <w:p w14:paraId="178851DD" w14:textId="77777777" w:rsidR="00890B0E" w:rsidRDefault="0089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B61325" w:rsidRPr="00C9263E" w:rsidRDefault="00B61325">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5C1FE" w14:textId="2C502C21" w:rsidR="00423F59" w:rsidRPr="00423F59" w:rsidRDefault="00423F59" w:rsidP="00423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7CEB1" w14:textId="77777777" w:rsidR="00890B0E" w:rsidRDefault="00890B0E">
      <w:r>
        <w:separator/>
      </w:r>
    </w:p>
  </w:footnote>
  <w:footnote w:type="continuationSeparator" w:id="0">
    <w:p w14:paraId="7A73382F" w14:textId="77777777" w:rsidR="00890B0E" w:rsidRDefault="00890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87E830A"/>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0DB5101D"/>
    <w:multiLevelType w:val="hybridMultilevel"/>
    <w:tmpl w:val="563CB7BA"/>
    <w:lvl w:ilvl="0" w:tplc="6EE25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14404"/>
    <w:multiLevelType w:val="hybridMultilevel"/>
    <w:tmpl w:val="656C63E4"/>
    <w:lvl w:ilvl="0" w:tplc="DE5028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24161"/>
    <w:multiLevelType w:val="hybridMultilevel"/>
    <w:tmpl w:val="4F8C394E"/>
    <w:lvl w:ilvl="0" w:tplc="6982F8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37C53996"/>
    <w:multiLevelType w:val="hybridMultilevel"/>
    <w:tmpl w:val="67269866"/>
    <w:lvl w:ilvl="0" w:tplc="69A42A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7A0920"/>
    <w:multiLevelType w:val="hybridMultilevel"/>
    <w:tmpl w:val="EA903AAC"/>
    <w:lvl w:ilvl="0" w:tplc="AC7ECA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8080D01"/>
    <w:multiLevelType w:val="hybridMultilevel"/>
    <w:tmpl w:val="50AE9E86"/>
    <w:lvl w:ilvl="0" w:tplc="06C2BD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4F40D9C"/>
    <w:multiLevelType w:val="hybridMultilevel"/>
    <w:tmpl w:val="40F6AAA6"/>
    <w:lvl w:ilvl="0" w:tplc="9C74A5EE">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8"/>
  </w:num>
  <w:num w:numId="3">
    <w:abstractNumId w:val="0"/>
    <w:lvlOverride w:ilvl="0">
      <w:startOverride w:val="1"/>
    </w:lvlOverride>
  </w:num>
  <w:num w:numId="4">
    <w:abstractNumId w:val="3"/>
  </w:num>
  <w:num w:numId="5">
    <w:abstractNumId w:val="7"/>
  </w:num>
  <w:num w:numId="6">
    <w:abstractNumId w:val="2"/>
  </w:num>
  <w:num w:numId="7">
    <w:abstractNumId w:val="1"/>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417EA"/>
    <w:rsid w:val="000460FA"/>
    <w:rsid w:val="00085B6B"/>
    <w:rsid w:val="0009055F"/>
    <w:rsid w:val="000A55C9"/>
    <w:rsid w:val="000C4359"/>
    <w:rsid w:val="000C49BB"/>
    <w:rsid w:val="000E28AD"/>
    <w:rsid w:val="000F41F3"/>
    <w:rsid w:val="000F54DC"/>
    <w:rsid w:val="000F7B90"/>
    <w:rsid w:val="0010094A"/>
    <w:rsid w:val="00113EB5"/>
    <w:rsid w:val="001152AF"/>
    <w:rsid w:val="001336BE"/>
    <w:rsid w:val="001423CE"/>
    <w:rsid w:val="00167D1B"/>
    <w:rsid w:val="001708BA"/>
    <w:rsid w:val="00172B9D"/>
    <w:rsid w:val="00195558"/>
    <w:rsid w:val="001959CA"/>
    <w:rsid w:val="001A41E7"/>
    <w:rsid w:val="001A7BA3"/>
    <w:rsid w:val="001B07C4"/>
    <w:rsid w:val="001C2DB7"/>
    <w:rsid w:val="001E2F65"/>
    <w:rsid w:val="001F792D"/>
    <w:rsid w:val="00211FAE"/>
    <w:rsid w:val="00232122"/>
    <w:rsid w:val="00237146"/>
    <w:rsid w:val="002428F7"/>
    <w:rsid w:val="00243313"/>
    <w:rsid w:val="00270F60"/>
    <w:rsid w:val="00271BDF"/>
    <w:rsid w:val="002805DB"/>
    <w:rsid w:val="00287F23"/>
    <w:rsid w:val="002C4656"/>
    <w:rsid w:val="002D683F"/>
    <w:rsid w:val="002D7E51"/>
    <w:rsid w:val="002E0A2C"/>
    <w:rsid w:val="002F31A3"/>
    <w:rsid w:val="002F58AB"/>
    <w:rsid w:val="00307597"/>
    <w:rsid w:val="003260C5"/>
    <w:rsid w:val="00330BBB"/>
    <w:rsid w:val="00332778"/>
    <w:rsid w:val="0035126D"/>
    <w:rsid w:val="003556DE"/>
    <w:rsid w:val="00364C43"/>
    <w:rsid w:val="00365405"/>
    <w:rsid w:val="003717C9"/>
    <w:rsid w:val="0037613E"/>
    <w:rsid w:val="00376E58"/>
    <w:rsid w:val="00377B3A"/>
    <w:rsid w:val="003838AC"/>
    <w:rsid w:val="00386509"/>
    <w:rsid w:val="00394324"/>
    <w:rsid w:val="00395877"/>
    <w:rsid w:val="003A5C7F"/>
    <w:rsid w:val="003B0971"/>
    <w:rsid w:val="003B4706"/>
    <w:rsid w:val="003D20EA"/>
    <w:rsid w:val="003D79EA"/>
    <w:rsid w:val="003E620C"/>
    <w:rsid w:val="003F29AA"/>
    <w:rsid w:val="003F59FC"/>
    <w:rsid w:val="00401429"/>
    <w:rsid w:val="00422D50"/>
    <w:rsid w:val="00423F59"/>
    <w:rsid w:val="00435282"/>
    <w:rsid w:val="004374B7"/>
    <w:rsid w:val="00440721"/>
    <w:rsid w:val="00444E14"/>
    <w:rsid w:val="00447866"/>
    <w:rsid w:val="00470589"/>
    <w:rsid w:val="00471FC8"/>
    <w:rsid w:val="00486694"/>
    <w:rsid w:val="004A0DC0"/>
    <w:rsid w:val="004C5E5E"/>
    <w:rsid w:val="004D0592"/>
    <w:rsid w:val="004E30A3"/>
    <w:rsid w:val="004E34F6"/>
    <w:rsid w:val="004E459E"/>
    <w:rsid w:val="004E53C3"/>
    <w:rsid w:val="004F1E60"/>
    <w:rsid w:val="00500462"/>
    <w:rsid w:val="0050118C"/>
    <w:rsid w:val="00510389"/>
    <w:rsid w:val="00516F45"/>
    <w:rsid w:val="00521DFF"/>
    <w:rsid w:val="00530914"/>
    <w:rsid w:val="00531E92"/>
    <w:rsid w:val="00553258"/>
    <w:rsid w:val="0056543D"/>
    <w:rsid w:val="00577E30"/>
    <w:rsid w:val="00595D44"/>
    <w:rsid w:val="005A2F50"/>
    <w:rsid w:val="005B5A9F"/>
    <w:rsid w:val="005E20B0"/>
    <w:rsid w:val="005E23C0"/>
    <w:rsid w:val="005F6897"/>
    <w:rsid w:val="005F6E76"/>
    <w:rsid w:val="00604D39"/>
    <w:rsid w:val="0061092C"/>
    <w:rsid w:val="0061426A"/>
    <w:rsid w:val="00621FDA"/>
    <w:rsid w:val="00622B6E"/>
    <w:rsid w:val="00643DDE"/>
    <w:rsid w:val="00652DAB"/>
    <w:rsid w:val="00656151"/>
    <w:rsid w:val="00667D22"/>
    <w:rsid w:val="00672017"/>
    <w:rsid w:val="00680731"/>
    <w:rsid w:val="0069215C"/>
    <w:rsid w:val="00694EFB"/>
    <w:rsid w:val="006967C1"/>
    <w:rsid w:val="006A01CB"/>
    <w:rsid w:val="006B4599"/>
    <w:rsid w:val="006C1F07"/>
    <w:rsid w:val="006C7456"/>
    <w:rsid w:val="006D0DB7"/>
    <w:rsid w:val="006D1F03"/>
    <w:rsid w:val="006E7EB2"/>
    <w:rsid w:val="006F4567"/>
    <w:rsid w:val="0070257D"/>
    <w:rsid w:val="007168E2"/>
    <w:rsid w:val="00731CFE"/>
    <w:rsid w:val="007511E3"/>
    <w:rsid w:val="00765206"/>
    <w:rsid w:val="00775EA1"/>
    <w:rsid w:val="00781091"/>
    <w:rsid w:val="00781E24"/>
    <w:rsid w:val="00785598"/>
    <w:rsid w:val="007878CE"/>
    <w:rsid w:val="007D372B"/>
    <w:rsid w:val="007E7A82"/>
    <w:rsid w:val="007F369F"/>
    <w:rsid w:val="00811F9D"/>
    <w:rsid w:val="0083250A"/>
    <w:rsid w:val="00835CC3"/>
    <w:rsid w:val="00846B14"/>
    <w:rsid w:val="00861F9F"/>
    <w:rsid w:val="0087152A"/>
    <w:rsid w:val="00871B80"/>
    <w:rsid w:val="008768E1"/>
    <w:rsid w:val="00876F9A"/>
    <w:rsid w:val="00883467"/>
    <w:rsid w:val="00886DA4"/>
    <w:rsid w:val="00890B0E"/>
    <w:rsid w:val="008975FD"/>
    <w:rsid w:val="008C551A"/>
    <w:rsid w:val="008C633A"/>
    <w:rsid w:val="008D0ECB"/>
    <w:rsid w:val="008D5417"/>
    <w:rsid w:val="008E22F4"/>
    <w:rsid w:val="008E29A2"/>
    <w:rsid w:val="008E4A35"/>
    <w:rsid w:val="008E71F1"/>
    <w:rsid w:val="0090560A"/>
    <w:rsid w:val="009134FD"/>
    <w:rsid w:val="00925CBE"/>
    <w:rsid w:val="00940F1B"/>
    <w:rsid w:val="00942849"/>
    <w:rsid w:val="009473ED"/>
    <w:rsid w:val="00950AF7"/>
    <w:rsid w:val="00954CB9"/>
    <w:rsid w:val="009633B9"/>
    <w:rsid w:val="00964B71"/>
    <w:rsid w:val="009825A8"/>
    <w:rsid w:val="009851EE"/>
    <w:rsid w:val="009B39EE"/>
    <w:rsid w:val="009B4499"/>
    <w:rsid w:val="009C1AEE"/>
    <w:rsid w:val="009D20E0"/>
    <w:rsid w:val="009E6606"/>
    <w:rsid w:val="009F279A"/>
    <w:rsid w:val="00A0190E"/>
    <w:rsid w:val="00A07EAD"/>
    <w:rsid w:val="00A24539"/>
    <w:rsid w:val="00A272CB"/>
    <w:rsid w:val="00A33BFB"/>
    <w:rsid w:val="00A40672"/>
    <w:rsid w:val="00A42D79"/>
    <w:rsid w:val="00A552CC"/>
    <w:rsid w:val="00A57F7A"/>
    <w:rsid w:val="00A637E6"/>
    <w:rsid w:val="00A66F14"/>
    <w:rsid w:val="00A85319"/>
    <w:rsid w:val="00A8613B"/>
    <w:rsid w:val="00A918C1"/>
    <w:rsid w:val="00AA753A"/>
    <w:rsid w:val="00AB009E"/>
    <w:rsid w:val="00AB18FE"/>
    <w:rsid w:val="00AC545F"/>
    <w:rsid w:val="00AD0B64"/>
    <w:rsid w:val="00AD3534"/>
    <w:rsid w:val="00AF336B"/>
    <w:rsid w:val="00AF403A"/>
    <w:rsid w:val="00B05651"/>
    <w:rsid w:val="00B1371E"/>
    <w:rsid w:val="00B13A1D"/>
    <w:rsid w:val="00B45653"/>
    <w:rsid w:val="00B54183"/>
    <w:rsid w:val="00B55F52"/>
    <w:rsid w:val="00B61325"/>
    <w:rsid w:val="00B6382C"/>
    <w:rsid w:val="00B72CAE"/>
    <w:rsid w:val="00B75F3E"/>
    <w:rsid w:val="00B816DD"/>
    <w:rsid w:val="00BA167A"/>
    <w:rsid w:val="00BC31FF"/>
    <w:rsid w:val="00BC4C44"/>
    <w:rsid w:val="00BD0120"/>
    <w:rsid w:val="00BD3BD1"/>
    <w:rsid w:val="00BD6AF3"/>
    <w:rsid w:val="00BD7384"/>
    <w:rsid w:val="00BE3426"/>
    <w:rsid w:val="00BE3D2B"/>
    <w:rsid w:val="00BF2D17"/>
    <w:rsid w:val="00C06987"/>
    <w:rsid w:val="00C53692"/>
    <w:rsid w:val="00C56519"/>
    <w:rsid w:val="00C63855"/>
    <w:rsid w:val="00C9263E"/>
    <w:rsid w:val="00C92E57"/>
    <w:rsid w:val="00C96F6D"/>
    <w:rsid w:val="00CB0A65"/>
    <w:rsid w:val="00CB1779"/>
    <w:rsid w:val="00CC1B61"/>
    <w:rsid w:val="00CC6709"/>
    <w:rsid w:val="00CD5D97"/>
    <w:rsid w:val="00CF4665"/>
    <w:rsid w:val="00CF6544"/>
    <w:rsid w:val="00D05749"/>
    <w:rsid w:val="00D14E3B"/>
    <w:rsid w:val="00D17940"/>
    <w:rsid w:val="00D20483"/>
    <w:rsid w:val="00D43921"/>
    <w:rsid w:val="00D50E27"/>
    <w:rsid w:val="00D6188C"/>
    <w:rsid w:val="00D71902"/>
    <w:rsid w:val="00D80948"/>
    <w:rsid w:val="00D81ED0"/>
    <w:rsid w:val="00D9382C"/>
    <w:rsid w:val="00D93E90"/>
    <w:rsid w:val="00D972A6"/>
    <w:rsid w:val="00DA336D"/>
    <w:rsid w:val="00DA55B9"/>
    <w:rsid w:val="00DB5142"/>
    <w:rsid w:val="00DB5537"/>
    <w:rsid w:val="00DC4972"/>
    <w:rsid w:val="00DD1E0F"/>
    <w:rsid w:val="00DF6C59"/>
    <w:rsid w:val="00E04224"/>
    <w:rsid w:val="00E071A9"/>
    <w:rsid w:val="00E17655"/>
    <w:rsid w:val="00E36D62"/>
    <w:rsid w:val="00E37FE2"/>
    <w:rsid w:val="00E4396F"/>
    <w:rsid w:val="00E508E2"/>
    <w:rsid w:val="00E54D17"/>
    <w:rsid w:val="00E56E49"/>
    <w:rsid w:val="00E71258"/>
    <w:rsid w:val="00E8011E"/>
    <w:rsid w:val="00E80F78"/>
    <w:rsid w:val="00E8207F"/>
    <w:rsid w:val="00EA0A14"/>
    <w:rsid w:val="00EA4CCC"/>
    <w:rsid w:val="00EA5419"/>
    <w:rsid w:val="00EA6874"/>
    <w:rsid w:val="00EE4691"/>
    <w:rsid w:val="00EF66ED"/>
    <w:rsid w:val="00F042CD"/>
    <w:rsid w:val="00F227FB"/>
    <w:rsid w:val="00F22A54"/>
    <w:rsid w:val="00F408AA"/>
    <w:rsid w:val="00F5664C"/>
    <w:rsid w:val="00F57782"/>
    <w:rsid w:val="00F66FE2"/>
    <w:rsid w:val="00F93F0D"/>
    <w:rsid w:val="00FA153F"/>
    <w:rsid w:val="00FA5A31"/>
    <w:rsid w:val="00FD1F3A"/>
    <w:rsid w:val="00FE0D5C"/>
    <w:rsid w:val="00FF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aliases w:val="o,fr"/>
    <w:basedOn w:val="DefaultParagraphFont"/>
    <w:uiPriority w:val="99"/>
    <w:semiHidden/>
    <w:unhideWhenUsed/>
    <w:rsid w:val="0037613E"/>
    <w:rPr>
      <w:vertAlign w:val="superscript"/>
    </w:rPr>
  </w:style>
  <w:style w:type="paragraph" w:customStyle="1" w:styleId="Style">
    <w:name w:val="Style"/>
    <w:rsid w:val="00553258"/>
    <w:pPr>
      <w:widowControl w:val="0"/>
      <w:autoSpaceDE w:val="0"/>
      <w:autoSpaceDN w:val="0"/>
      <w:adjustRightInd w:val="0"/>
      <w:spacing w:after="0"/>
    </w:pPr>
    <w:rPr>
      <w:rFonts w:ascii="Times New Roman" w:eastAsia="Times New Roman" w:hAnsi="Times New Roman" w:cs="Times New Roman"/>
      <w:sz w:val="24"/>
      <w:szCs w:val="24"/>
    </w:rPr>
  </w:style>
  <w:style w:type="paragraph" w:styleId="BodyText2">
    <w:name w:val="Body Text 2"/>
    <w:basedOn w:val="Normal"/>
    <w:link w:val="BodyText2Char"/>
    <w:rsid w:val="0061092C"/>
    <w:pPr>
      <w:spacing w:after="120" w:line="480" w:lineRule="auto"/>
    </w:pPr>
    <w:rPr>
      <w:rFonts w:ascii="Times New Roman" w:hAnsi="Times New Roman" w:cs="Times New Roman"/>
      <w:sz w:val="20"/>
      <w:szCs w:val="20"/>
    </w:rPr>
  </w:style>
  <w:style w:type="character" w:customStyle="1" w:styleId="BodyText2Char">
    <w:name w:val="Body Text 2 Char"/>
    <w:basedOn w:val="DefaultParagraphFont"/>
    <w:link w:val="BodyText2"/>
    <w:rsid w:val="0061092C"/>
    <w:rPr>
      <w:rFonts w:ascii="Times New Roman" w:eastAsia="Times New Roman" w:hAnsi="Times New Roman" w:cs="Times New Roman"/>
      <w:sz w:val="20"/>
      <w:szCs w:val="20"/>
    </w:rPr>
  </w:style>
  <w:style w:type="paragraph" w:styleId="ListNumber">
    <w:name w:val="List Number"/>
    <w:basedOn w:val="Normal"/>
    <w:qFormat/>
    <w:rsid w:val="0061092C"/>
    <w:pPr>
      <w:numPr>
        <w:numId w:val="3"/>
      </w:numPr>
      <w:tabs>
        <w:tab w:val="clear" w:pos="1440"/>
        <w:tab w:val="num" w:pos="360"/>
      </w:tabs>
      <w:autoSpaceDE/>
      <w:autoSpaceDN/>
      <w:spacing w:after="240"/>
      <w:ind w:left="0" w:firstLine="0"/>
      <w:jc w:val="both"/>
    </w:pPr>
    <w:rPr>
      <w:rFonts w:ascii="Times New Roman" w:hAnsi="Times New Roman" w:cs="Times New Roman"/>
    </w:rPr>
  </w:style>
  <w:style w:type="paragraph" w:styleId="BalloonText">
    <w:name w:val="Balloon Text"/>
    <w:basedOn w:val="Normal"/>
    <w:link w:val="BalloonTextChar"/>
    <w:uiPriority w:val="99"/>
    <w:semiHidden/>
    <w:unhideWhenUsed/>
    <w:rsid w:val="00AF40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03A"/>
    <w:rPr>
      <w:rFonts w:ascii="Segoe UI" w:eastAsia="Times New Roman" w:hAnsi="Segoe UI" w:cs="Segoe UI"/>
      <w:sz w:val="18"/>
      <w:szCs w:val="18"/>
    </w:rPr>
  </w:style>
  <w:style w:type="table" w:styleId="TableGrid">
    <w:name w:val="Table Grid"/>
    <w:basedOn w:val="TableNormal"/>
    <w:rsid w:val="006E7EB2"/>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25CBE"/>
    <w:pPr>
      <w:spacing w:after="120"/>
    </w:pPr>
  </w:style>
  <w:style w:type="character" w:customStyle="1" w:styleId="BodyTextChar">
    <w:name w:val="Body Text Char"/>
    <w:basedOn w:val="DefaultParagraphFont"/>
    <w:link w:val="BodyText"/>
    <w:uiPriority w:val="99"/>
    <w:semiHidden/>
    <w:rsid w:val="00925CBE"/>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0E94B-30C4-46B3-A72C-43AA3ACE8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2020-02-19T19:30:00Z</cp:lastPrinted>
  <dcterms:created xsi:type="dcterms:W3CDTF">2020-02-19T19:30:00Z</dcterms:created>
  <dcterms:modified xsi:type="dcterms:W3CDTF">2020-02-19T19:30:00Z</dcterms:modified>
</cp:coreProperties>
</file>