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5CCD90D8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2019-3006865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55FDC1F6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76051B">
        <w:rPr>
          <w:rFonts w:ascii="Times New Roman" w:hAnsi="Times New Roman"/>
          <w:spacing w:val="-3"/>
          <w:szCs w:val="26"/>
        </w:rPr>
        <w:t>January 16, 2020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26F01381" w14:textId="337642AC" w:rsidR="00AF223D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Electric Generation Suppliers (EGS) listed in </w:t>
      </w:r>
      <w:r w:rsidR="00417C73">
        <w:rPr>
          <w:rFonts w:ascii="Times New Roman" w:hAnsi="Times New Roman"/>
          <w:spacing w:val="-3"/>
          <w:szCs w:val="26"/>
        </w:rPr>
        <w:t>the table</w:t>
      </w:r>
      <w:r w:rsidR="00AF223D">
        <w:rPr>
          <w:rFonts w:ascii="Times New Roman" w:hAnsi="Times New Roman"/>
          <w:spacing w:val="-3"/>
          <w:szCs w:val="26"/>
        </w:rPr>
        <w:t xml:space="preserve"> below filed approved financial securities within 30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>Pennsylvania Bulletin</w:t>
      </w:r>
      <w:r w:rsidR="00AF223D">
        <w:rPr>
          <w:rFonts w:ascii="Times New Roman" w:hAnsi="Times New Roman"/>
          <w:spacing w:val="-3"/>
          <w:szCs w:val="26"/>
        </w:rPr>
        <w:t xml:space="preserve">.  </w:t>
      </w:r>
    </w:p>
    <w:p w14:paraId="6328F721" w14:textId="77777777" w:rsidR="00AF223D" w:rsidRDefault="00AF223D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59DA0D4" w14:textId="4624E9EF" w:rsidR="00AF223D" w:rsidRDefault="005B173E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Table - </w:t>
      </w:r>
      <w:r w:rsidR="00AF223D">
        <w:rPr>
          <w:rFonts w:ascii="Times New Roman" w:hAnsi="Times New Roman"/>
          <w:b/>
          <w:szCs w:val="26"/>
        </w:rPr>
        <w:t xml:space="preserve">EGSs </w:t>
      </w:r>
      <w:r w:rsidR="00AF223D">
        <w:rPr>
          <w:rFonts w:ascii="Times New Roman" w:hAnsi="Times New Roman"/>
          <w:b/>
          <w:szCs w:val="26"/>
          <w:u w:val="single"/>
        </w:rPr>
        <w:t>with</w:t>
      </w:r>
      <w:r w:rsidR="00AF223D">
        <w:rPr>
          <w:rFonts w:ascii="Times New Roman" w:hAnsi="Times New Roman"/>
          <w:b/>
          <w:szCs w:val="26"/>
        </w:rPr>
        <w:t xml:space="preserve"> Approved Financial Security</w:t>
      </w:r>
    </w:p>
    <w:p w14:paraId="7B766D2B" w14:textId="7D57A8B5" w:rsidR="008E6806" w:rsidRPr="00900A18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Cs w:val="26"/>
        </w:rPr>
      </w:pPr>
    </w:p>
    <w:p w14:paraId="0946F58C" w14:textId="00800185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AF223D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licensee</w:t>
      </w:r>
      <w:r w:rsidR="00AF223D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4BC15324" w14:textId="77777777" w:rsidR="003F6CB6" w:rsidRDefault="003F6CB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C4403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E56B45" w:rsidRPr="00900A18" w14:paraId="3F1AED1F" w14:textId="77777777" w:rsidTr="00C4403A">
        <w:trPr>
          <w:jc w:val="center"/>
        </w:trPr>
        <w:tc>
          <w:tcPr>
            <w:tcW w:w="3325" w:type="dxa"/>
            <w:vAlign w:val="bottom"/>
          </w:tcPr>
          <w:p w14:paraId="6C9D6A93" w14:textId="0FC1C2FD" w:rsidR="00E56B45" w:rsidRPr="00D26704" w:rsidRDefault="00E56B45" w:rsidP="00E56B45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E56B45">
              <w:rPr>
                <w:rFonts w:ascii="Times New Roman" w:hAnsi="Times New Roman"/>
                <w:szCs w:val="26"/>
              </w:rPr>
              <w:t>A-2016-2565716</w:t>
            </w:r>
          </w:p>
        </w:tc>
        <w:tc>
          <w:tcPr>
            <w:tcW w:w="6750" w:type="dxa"/>
            <w:vAlign w:val="bottom"/>
          </w:tcPr>
          <w:p w14:paraId="6E0E8BED" w14:textId="17621B0F" w:rsidR="00E56B45" w:rsidRPr="00D26704" w:rsidRDefault="00E56B45" w:rsidP="00E56B45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E56B45">
              <w:rPr>
                <w:rFonts w:ascii="Times New Roman" w:hAnsi="Times New Roman"/>
                <w:szCs w:val="26"/>
              </w:rPr>
              <w:t>AVIDXCHANGE INC</w:t>
            </w:r>
          </w:p>
        </w:tc>
      </w:tr>
      <w:tr w:rsidR="00E56B45" w:rsidRPr="00900A18" w14:paraId="7285F0E6" w14:textId="77777777" w:rsidTr="00C4403A">
        <w:trPr>
          <w:jc w:val="center"/>
        </w:trPr>
        <w:tc>
          <w:tcPr>
            <w:tcW w:w="3325" w:type="dxa"/>
            <w:vAlign w:val="bottom"/>
          </w:tcPr>
          <w:p w14:paraId="309A806A" w14:textId="29B4DC4D" w:rsidR="00E56B45" w:rsidRPr="00346A18" w:rsidRDefault="00E56B45" w:rsidP="00E56B45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E56B45">
              <w:rPr>
                <w:rFonts w:ascii="Times New Roman" w:hAnsi="Times New Roman"/>
                <w:szCs w:val="26"/>
              </w:rPr>
              <w:t>A-2010-2192836</w:t>
            </w:r>
          </w:p>
        </w:tc>
        <w:tc>
          <w:tcPr>
            <w:tcW w:w="6750" w:type="dxa"/>
            <w:vAlign w:val="bottom"/>
          </w:tcPr>
          <w:p w14:paraId="323D3E25" w14:textId="1A744540" w:rsidR="00E56B45" w:rsidRPr="00346A18" w:rsidRDefault="00E56B45" w:rsidP="00E56B45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E56B45">
              <w:rPr>
                <w:rFonts w:ascii="Times New Roman" w:hAnsi="Times New Roman"/>
                <w:szCs w:val="26"/>
              </w:rPr>
              <w:t>TOMORROW’S UTILITIES INC</w:t>
            </w:r>
          </w:p>
        </w:tc>
      </w:tr>
    </w:tbl>
    <w:p w14:paraId="1B2BB55F" w14:textId="77777777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2C4412F3" w14:textId="31B79781" w:rsidR="008E6806" w:rsidRDefault="00727C48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4A97C43A" w14:textId="77777777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B4FB7A4" w14:textId="75B53972" w:rsidR="008E6806" w:rsidRDefault="008E6806" w:rsidP="008E6806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</w:p>
    <w:p w14:paraId="7C44EEDC" w14:textId="14DDE085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169B1B2F" w:rsidR="008E6806" w:rsidRPr="00900A18" w:rsidRDefault="00770A27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64EC406A" wp14:editId="19EB0D7D">
            <wp:simplePos x="0" y="0"/>
            <wp:positionH relativeFrom="column">
              <wp:posOffset>3009900</wp:posOffset>
            </wp:positionH>
            <wp:positionV relativeFrom="paragraph">
              <wp:posOffset>85090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4C7EB79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3B390C56" w:rsidR="008E6806" w:rsidRDefault="00770A27" w:rsidP="00770A27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530454A8" w14:textId="77777777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7F86F88A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C27DD1">
        <w:rPr>
          <w:rFonts w:ascii="Times New Roman" w:hAnsi="Times New Roman"/>
          <w:spacing w:val="-3"/>
          <w:szCs w:val="26"/>
        </w:rPr>
        <w:t>February 26, 2020</w:t>
      </w:r>
      <w:bookmarkStart w:id="0" w:name="_GoBack"/>
      <w:bookmarkEnd w:id="0"/>
    </w:p>
    <w:sectPr w:rsidR="00CB6146" w:rsidRPr="005653A5" w:rsidSect="00727C48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306FE"/>
    <w:rsid w:val="000317EA"/>
    <w:rsid w:val="0004062B"/>
    <w:rsid w:val="000414F3"/>
    <w:rsid w:val="00056B4F"/>
    <w:rsid w:val="00057874"/>
    <w:rsid w:val="00062EEB"/>
    <w:rsid w:val="00063700"/>
    <w:rsid w:val="0007143D"/>
    <w:rsid w:val="0007277B"/>
    <w:rsid w:val="00072BC4"/>
    <w:rsid w:val="00072F66"/>
    <w:rsid w:val="000742B6"/>
    <w:rsid w:val="00074704"/>
    <w:rsid w:val="00075EB6"/>
    <w:rsid w:val="00080AA7"/>
    <w:rsid w:val="000868F1"/>
    <w:rsid w:val="000A159D"/>
    <w:rsid w:val="000A2D15"/>
    <w:rsid w:val="000B318D"/>
    <w:rsid w:val="000B74FD"/>
    <w:rsid w:val="000D56E7"/>
    <w:rsid w:val="000D67BB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703D"/>
    <w:rsid w:val="002623CE"/>
    <w:rsid w:val="00267122"/>
    <w:rsid w:val="00293B7D"/>
    <w:rsid w:val="002B72F3"/>
    <w:rsid w:val="002B7555"/>
    <w:rsid w:val="002C213E"/>
    <w:rsid w:val="002C3E9E"/>
    <w:rsid w:val="002D05A6"/>
    <w:rsid w:val="003014FE"/>
    <w:rsid w:val="00306288"/>
    <w:rsid w:val="003079AA"/>
    <w:rsid w:val="00310397"/>
    <w:rsid w:val="00324AA6"/>
    <w:rsid w:val="00333FC2"/>
    <w:rsid w:val="00336313"/>
    <w:rsid w:val="00346197"/>
    <w:rsid w:val="00346A18"/>
    <w:rsid w:val="003556A5"/>
    <w:rsid w:val="00363CD6"/>
    <w:rsid w:val="003667A8"/>
    <w:rsid w:val="00374BD4"/>
    <w:rsid w:val="00392198"/>
    <w:rsid w:val="00394C3C"/>
    <w:rsid w:val="00396A32"/>
    <w:rsid w:val="003B6B7F"/>
    <w:rsid w:val="003E1DB0"/>
    <w:rsid w:val="003F6CB6"/>
    <w:rsid w:val="00410169"/>
    <w:rsid w:val="00417C73"/>
    <w:rsid w:val="0043432E"/>
    <w:rsid w:val="004477A8"/>
    <w:rsid w:val="00464AC0"/>
    <w:rsid w:val="00491ECF"/>
    <w:rsid w:val="00495B65"/>
    <w:rsid w:val="004A11E6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43DEE"/>
    <w:rsid w:val="00553BF8"/>
    <w:rsid w:val="005653A5"/>
    <w:rsid w:val="00573C06"/>
    <w:rsid w:val="0057566F"/>
    <w:rsid w:val="005A462A"/>
    <w:rsid w:val="005A5D83"/>
    <w:rsid w:val="005B173E"/>
    <w:rsid w:val="005C3DEB"/>
    <w:rsid w:val="005D1243"/>
    <w:rsid w:val="005E1FB8"/>
    <w:rsid w:val="005E4B03"/>
    <w:rsid w:val="005E7C14"/>
    <w:rsid w:val="0060583B"/>
    <w:rsid w:val="00623E86"/>
    <w:rsid w:val="00627908"/>
    <w:rsid w:val="00633092"/>
    <w:rsid w:val="00640966"/>
    <w:rsid w:val="00652C1D"/>
    <w:rsid w:val="0065551D"/>
    <w:rsid w:val="006650A2"/>
    <w:rsid w:val="00672341"/>
    <w:rsid w:val="006748D1"/>
    <w:rsid w:val="00675523"/>
    <w:rsid w:val="00697C0C"/>
    <w:rsid w:val="006A02B8"/>
    <w:rsid w:val="006B298F"/>
    <w:rsid w:val="006B3219"/>
    <w:rsid w:val="006C6EA6"/>
    <w:rsid w:val="006E1877"/>
    <w:rsid w:val="007200E6"/>
    <w:rsid w:val="00720957"/>
    <w:rsid w:val="00727C48"/>
    <w:rsid w:val="0073567D"/>
    <w:rsid w:val="00737D92"/>
    <w:rsid w:val="00741FD8"/>
    <w:rsid w:val="0076051B"/>
    <w:rsid w:val="00770A27"/>
    <w:rsid w:val="00771BF5"/>
    <w:rsid w:val="007736BD"/>
    <w:rsid w:val="00774A25"/>
    <w:rsid w:val="00787B5A"/>
    <w:rsid w:val="007A505F"/>
    <w:rsid w:val="007C0121"/>
    <w:rsid w:val="007C01E3"/>
    <w:rsid w:val="007C6AE3"/>
    <w:rsid w:val="007E2702"/>
    <w:rsid w:val="0081623B"/>
    <w:rsid w:val="00826E01"/>
    <w:rsid w:val="00871DF7"/>
    <w:rsid w:val="0088638C"/>
    <w:rsid w:val="008864FC"/>
    <w:rsid w:val="008A17AB"/>
    <w:rsid w:val="008B687B"/>
    <w:rsid w:val="008C7875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0F11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A68F9"/>
    <w:rsid w:val="00AA6976"/>
    <w:rsid w:val="00AB7175"/>
    <w:rsid w:val="00AC6B36"/>
    <w:rsid w:val="00AD67AD"/>
    <w:rsid w:val="00AE2498"/>
    <w:rsid w:val="00AF223D"/>
    <w:rsid w:val="00B064F0"/>
    <w:rsid w:val="00B17695"/>
    <w:rsid w:val="00B32604"/>
    <w:rsid w:val="00B56B46"/>
    <w:rsid w:val="00B620F4"/>
    <w:rsid w:val="00B95373"/>
    <w:rsid w:val="00BA52D2"/>
    <w:rsid w:val="00BC33EE"/>
    <w:rsid w:val="00BE3706"/>
    <w:rsid w:val="00BE3945"/>
    <w:rsid w:val="00C001DD"/>
    <w:rsid w:val="00C0501C"/>
    <w:rsid w:val="00C126CC"/>
    <w:rsid w:val="00C27DD1"/>
    <w:rsid w:val="00C31AC9"/>
    <w:rsid w:val="00C4403A"/>
    <w:rsid w:val="00C659E3"/>
    <w:rsid w:val="00C679F4"/>
    <w:rsid w:val="00C73E68"/>
    <w:rsid w:val="00C76C63"/>
    <w:rsid w:val="00C92023"/>
    <w:rsid w:val="00CA6815"/>
    <w:rsid w:val="00CB6146"/>
    <w:rsid w:val="00CD1C2F"/>
    <w:rsid w:val="00CD52C5"/>
    <w:rsid w:val="00CE09AA"/>
    <w:rsid w:val="00CE7492"/>
    <w:rsid w:val="00CF2061"/>
    <w:rsid w:val="00D20502"/>
    <w:rsid w:val="00D226DA"/>
    <w:rsid w:val="00D26704"/>
    <w:rsid w:val="00D364B6"/>
    <w:rsid w:val="00D51483"/>
    <w:rsid w:val="00D6287F"/>
    <w:rsid w:val="00D80876"/>
    <w:rsid w:val="00D83A77"/>
    <w:rsid w:val="00DA03AB"/>
    <w:rsid w:val="00DA62D7"/>
    <w:rsid w:val="00DB064C"/>
    <w:rsid w:val="00DB7591"/>
    <w:rsid w:val="00DB780F"/>
    <w:rsid w:val="00DC0C42"/>
    <w:rsid w:val="00DC4730"/>
    <w:rsid w:val="00DC72DA"/>
    <w:rsid w:val="00DD36AA"/>
    <w:rsid w:val="00DD5577"/>
    <w:rsid w:val="00DE6176"/>
    <w:rsid w:val="00DF204E"/>
    <w:rsid w:val="00E15A7F"/>
    <w:rsid w:val="00E30ED1"/>
    <w:rsid w:val="00E3559E"/>
    <w:rsid w:val="00E54E55"/>
    <w:rsid w:val="00E56B4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Sheffer, Ryan</cp:lastModifiedBy>
  <cp:revision>8</cp:revision>
  <cp:lastPrinted>2018-04-03T11:55:00Z</cp:lastPrinted>
  <dcterms:created xsi:type="dcterms:W3CDTF">2020-02-13T19:46:00Z</dcterms:created>
  <dcterms:modified xsi:type="dcterms:W3CDTF">2020-02-26T14:08:00Z</dcterms:modified>
</cp:coreProperties>
</file>