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251F9" w14:textId="77777777" w:rsidR="001C0732" w:rsidRDefault="001C0732" w:rsidP="001C0732">
      <w:pPr>
        <w:spacing w:line="240" w:lineRule="auto"/>
        <w:rPr>
          <w:b/>
        </w:rPr>
      </w:pPr>
      <w:r>
        <w:rPr>
          <w:b/>
        </w:rPr>
        <w:t xml:space="preserve">BEFORE THE PENNSYLVANIA </w:t>
      </w:r>
    </w:p>
    <w:p w14:paraId="429FB950" w14:textId="77777777" w:rsidR="001C0732" w:rsidRDefault="001C0732" w:rsidP="001C0732">
      <w:pPr>
        <w:spacing w:line="240" w:lineRule="auto"/>
        <w:rPr>
          <w:b/>
        </w:rPr>
      </w:pPr>
      <w:r>
        <w:rPr>
          <w:b/>
        </w:rPr>
        <w:t>PUBLIC UTILITY COMMISSION</w:t>
      </w:r>
    </w:p>
    <w:p w14:paraId="049515A5" w14:textId="77777777" w:rsidR="001C0732" w:rsidRPr="005E4CDB" w:rsidRDefault="001C0732" w:rsidP="005E4CDB">
      <w:pPr>
        <w:spacing w:line="240" w:lineRule="auto"/>
        <w:jc w:val="both"/>
        <w:rPr>
          <w:bCs/>
        </w:rPr>
      </w:pPr>
    </w:p>
    <w:p w14:paraId="666C1DC7" w14:textId="304178BF" w:rsidR="001C0732" w:rsidRPr="005E4CDB" w:rsidRDefault="001C0732" w:rsidP="005E4CDB">
      <w:pPr>
        <w:spacing w:line="240" w:lineRule="auto"/>
        <w:jc w:val="both"/>
        <w:rPr>
          <w:bCs/>
        </w:rPr>
      </w:pPr>
    </w:p>
    <w:p w14:paraId="5AC2096F" w14:textId="77777777" w:rsidR="005E4CDB" w:rsidRPr="005E4CDB" w:rsidRDefault="005E4CDB" w:rsidP="005E4CDB">
      <w:pPr>
        <w:spacing w:line="240" w:lineRule="auto"/>
        <w:jc w:val="both"/>
        <w:rPr>
          <w:bCs/>
        </w:rPr>
      </w:pPr>
    </w:p>
    <w:p w14:paraId="5CBF3608" w14:textId="77777777" w:rsidR="001C0732" w:rsidRDefault="007237CA" w:rsidP="001C0732">
      <w:pPr>
        <w:spacing w:line="240" w:lineRule="auto"/>
        <w:jc w:val="left"/>
      </w:pPr>
      <w:r>
        <w:t>Shari Palmer</w:t>
      </w:r>
      <w:r>
        <w:tab/>
      </w:r>
      <w:r w:rsidR="001C0732">
        <w:tab/>
      </w:r>
      <w:r w:rsidR="001C0732">
        <w:tab/>
      </w:r>
      <w:r w:rsidR="001C0732">
        <w:tab/>
      </w:r>
      <w:r w:rsidR="001C0732">
        <w:tab/>
      </w:r>
      <w:r w:rsidR="001C0732">
        <w:tab/>
        <w:t>:</w:t>
      </w:r>
    </w:p>
    <w:p w14:paraId="2E88A979" w14:textId="77777777" w:rsidR="001C0732" w:rsidRDefault="001C0732" w:rsidP="001C0732">
      <w:pPr>
        <w:spacing w:line="240" w:lineRule="auto"/>
        <w:jc w:val="left"/>
      </w:pPr>
      <w:r>
        <w:tab/>
      </w:r>
      <w:r>
        <w:tab/>
      </w:r>
      <w:r>
        <w:tab/>
      </w:r>
      <w:r>
        <w:tab/>
      </w:r>
      <w:r>
        <w:tab/>
      </w:r>
      <w:r>
        <w:tab/>
      </w:r>
      <w:r>
        <w:tab/>
        <w:t>:</w:t>
      </w:r>
    </w:p>
    <w:p w14:paraId="4BDA5542" w14:textId="77777777" w:rsidR="001C0732" w:rsidRDefault="001C0732" w:rsidP="001C0732">
      <w:pPr>
        <w:spacing w:line="240" w:lineRule="auto"/>
        <w:jc w:val="left"/>
      </w:pPr>
      <w:r>
        <w:tab/>
        <w:t>v.</w:t>
      </w:r>
      <w:r>
        <w:tab/>
      </w:r>
      <w:r>
        <w:tab/>
      </w:r>
      <w:r>
        <w:tab/>
      </w:r>
      <w:r>
        <w:tab/>
      </w:r>
      <w:r>
        <w:tab/>
      </w:r>
      <w:r>
        <w:tab/>
        <w:t>:</w:t>
      </w:r>
      <w:r>
        <w:tab/>
      </w:r>
      <w:r>
        <w:tab/>
      </w:r>
      <w:r>
        <w:tab/>
      </w:r>
      <w:r w:rsidR="007237CA" w:rsidRPr="007237CA">
        <w:t>F-2019-3013070</w:t>
      </w:r>
      <w:r w:rsidR="002E6090">
        <w:t xml:space="preserve"> </w:t>
      </w:r>
    </w:p>
    <w:p w14:paraId="120597B3" w14:textId="77777777" w:rsidR="001C0732" w:rsidRDefault="001C0732" w:rsidP="001C0732">
      <w:pPr>
        <w:spacing w:line="240" w:lineRule="auto"/>
        <w:jc w:val="left"/>
      </w:pPr>
      <w:r>
        <w:tab/>
      </w:r>
      <w:r>
        <w:tab/>
      </w:r>
      <w:r>
        <w:tab/>
      </w:r>
      <w:r>
        <w:tab/>
      </w:r>
      <w:r>
        <w:tab/>
      </w:r>
      <w:r>
        <w:tab/>
      </w:r>
      <w:r>
        <w:tab/>
        <w:t>:</w:t>
      </w:r>
    </w:p>
    <w:p w14:paraId="7B9975E1" w14:textId="77777777" w:rsidR="001C0732" w:rsidRDefault="001C0732" w:rsidP="001C0732">
      <w:pPr>
        <w:spacing w:line="240" w:lineRule="auto"/>
        <w:jc w:val="left"/>
      </w:pPr>
      <w:r>
        <w:t>Philadelphia Gas Works</w:t>
      </w:r>
      <w:r>
        <w:tab/>
      </w:r>
      <w:r>
        <w:tab/>
      </w:r>
      <w:r>
        <w:tab/>
      </w:r>
      <w:r>
        <w:tab/>
        <w:t>:</w:t>
      </w:r>
    </w:p>
    <w:p w14:paraId="494C405C" w14:textId="60F0BD31" w:rsidR="001C0732" w:rsidRDefault="001C0732" w:rsidP="001C0732">
      <w:pPr>
        <w:spacing w:line="240" w:lineRule="auto"/>
        <w:jc w:val="left"/>
      </w:pPr>
    </w:p>
    <w:p w14:paraId="0E96E0CA" w14:textId="4D3A4CA5" w:rsidR="005E4CDB" w:rsidRDefault="005E4CDB" w:rsidP="001C0732">
      <w:pPr>
        <w:spacing w:line="240" w:lineRule="auto"/>
        <w:jc w:val="left"/>
      </w:pPr>
    </w:p>
    <w:p w14:paraId="509B36AC" w14:textId="77777777" w:rsidR="005E4CDB" w:rsidRDefault="005E4CDB" w:rsidP="001C0732">
      <w:pPr>
        <w:spacing w:line="240" w:lineRule="auto"/>
        <w:jc w:val="left"/>
      </w:pPr>
    </w:p>
    <w:p w14:paraId="7EC6E203" w14:textId="29148672" w:rsidR="001C0732" w:rsidRDefault="001C0732" w:rsidP="005E4CDB">
      <w:pPr>
        <w:rPr>
          <w:b/>
          <w:u w:val="single"/>
        </w:rPr>
      </w:pPr>
      <w:r>
        <w:rPr>
          <w:b/>
          <w:u w:val="single"/>
        </w:rPr>
        <w:t>ORDER DENYING PRELIMINARY OBJECTIONS</w:t>
      </w:r>
    </w:p>
    <w:p w14:paraId="2ED9782A" w14:textId="77777777" w:rsidR="001C0732" w:rsidRDefault="001C0732" w:rsidP="005E4CDB">
      <w:pPr>
        <w:rPr>
          <w:b/>
        </w:rPr>
      </w:pPr>
    </w:p>
    <w:p w14:paraId="245C1677" w14:textId="4A4410B3" w:rsidR="001C0732" w:rsidRDefault="001C0732" w:rsidP="005E4CDB">
      <w:pPr>
        <w:jc w:val="left"/>
      </w:pPr>
      <w:r>
        <w:tab/>
      </w:r>
      <w:r>
        <w:tab/>
        <w:t xml:space="preserve">On </w:t>
      </w:r>
      <w:r w:rsidR="00EB22D7">
        <w:t>September 13, 2019</w:t>
      </w:r>
      <w:r>
        <w:t xml:space="preserve">, </w:t>
      </w:r>
      <w:r w:rsidR="00455C5F">
        <w:t>Shari Palmer</w:t>
      </w:r>
      <w:r>
        <w:t xml:space="preserve"> (Complainant) filed a formal Complaint against Philadelphia Gas Works (Respondent or PGW or Company) alleging that </w:t>
      </w:r>
      <w:r w:rsidR="00455C5F">
        <w:t xml:space="preserve">the Company was threatening to shut off or had shut off her utility service and that </w:t>
      </w:r>
      <w:r>
        <w:t xml:space="preserve">there were incorrect charges on </w:t>
      </w:r>
      <w:r w:rsidR="00455C5F">
        <w:t>her</w:t>
      </w:r>
      <w:r>
        <w:t xml:space="preserve"> bill.  The Complainant requested that the charges be removed </w:t>
      </w:r>
      <w:r w:rsidR="00455C5F">
        <w:t xml:space="preserve">her </w:t>
      </w:r>
      <w:r>
        <w:t xml:space="preserve">account </w:t>
      </w:r>
      <w:r w:rsidR="00455C5F">
        <w:t xml:space="preserve">because she had disputed the amount of </w:t>
      </w:r>
      <w:r w:rsidR="00DE715A">
        <w:t>that had been transferred from a previous address</w:t>
      </w:r>
      <w:r>
        <w:t xml:space="preserve">.  </w:t>
      </w:r>
    </w:p>
    <w:p w14:paraId="7BD6A6C6" w14:textId="77777777" w:rsidR="001C0732" w:rsidRDefault="001C0732" w:rsidP="005E4CDB">
      <w:pPr>
        <w:jc w:val="left"/>
      </w:pPr>
    </w:p>
    <w:p w14:paraId="74C8E812" w14:textId="458D14EA" w:rsidR="001C0732" w:rsidRDefault="001C0732" w:rsidP="005E4CDB">
      <w:pPr>
        <w:jc w:val="left"/>
      </w:pPr>
      <w:r>
        <w:tab/>
      </w:r>
      <w:r>
        <w:tab/>
        <w:t xml:space="preserve">The Commission's Secretary served the Complaint electronically on </w:t>
      </w:r>
      <w:r w:rsidR="00025ACF">
        <w:t>September</w:t>
      </w:r>
      <w:r w:rsidR="005E4CDB">
        <w:t> </w:t>
      </w:r>
      <w:r w:rsidR="00025ACF">
        <w:t>23, 2019</w:t>
      </w:r>
      <w:r>
        <w:t>, which clearly states that the Respondent has twenty days to file a responsive pleading.</w:t>
      </w:r>
      <w:r w:rsidR="00964E5F">
        <w:rPr>
          <w:rStyle w:val="FootnoteReference"/>
        </w:rPr>
        <w:footnoteReference w:id="1"/>
      </w:r>
    </w:p>
    <w:p w14:paraId="5A7BFB57" w14:textId="77777777" w:rsidR="001C0732" w:rsidRDefault="001C0732" w:rsidP="005E4CDB">
      <w:pPr>
        <w:jc w:val="left"/>
      </w:pPr>
    </w:p>
    <w:p w14:paraId="500DB800" w14:textId="13769131" w:rsidR="000C19F2" w:rsidRDefault="001C0732" w:rsidP="005E4CDB">
      <w:pPr>
        <w:jc w:val="left"/>
      </w:pPr>
      <w:r>
        <w:tab/>
      </w:r>
      <w:r>
        <w:tab/>
      </w:r>
      <w:r w:rsidR="000C19F2">
        <w:t xml:space="preserve">On October 21, 2019, PGW filed Preliminary Objections and Motion to Strike. </w:t>
      </w:r>
      <w:r w:rsidR="005E4CDB">
        <w:t xml:space="preserve"> </w:t>
      </w:r>
    </w:p>
    <w:p w14:paraId="1B690E3F" w14:textId="77777777" w:rsidR="000C19F2" w:rsidRDefault="000C19F2" w:rsidP="005E4CDB">
      <w:pPr>
        <w:jc w:val="left"/>
      </w:pPr>
    </w:p>
    <w:p w14:paraId="61661BBC" w14:textId="51DDEA43" w:rsidR="001C0732" w:rsidRDefault="001C0732" w:rsidP="005E4CDB">
      <w:pPr>
        <w:ind w:firstLine="1440"/>
        <w:jc w:val="left"/>
      </w:pPr>
      <w:r>
        <w:t xml:space="preserve">On </w:t>
      </w:r>
      <w:r w:rsidR="00DE715A">
        <w:t>October 22, 2019</w:t>
      </w:r>
      <w:r>
        <w:t xml:space="preserve">, PGW </w:t>
      </w:r>
      <w:r w:rsidR="0005202A">
        <w:t xml:space="preserve">also </w:t>
      </w:r>
      <w:r>
        <w:t xml:space="preserve">filed its Answer </w:t>
      </w:r>
      <w:r w:rsidR="0005202A">
        <w:t xml:space="preserve">and New Matter, </w:t>
      </w:r>
      <w:r>
        <w:t>which denied the material allegations of the Complaint.</w:t>
      </w:r>
    </w:p>
    <w:p w14:paraId="12A1431C" w14:textId="4F9840FE" w:rsidR="004F062F" w:rsidRDefault="004F062F" w:rsidP="005E4CDB">
      <w:pPr>
        <w:ind w:firstLine="1440"/>
        <w:jc w:val="left"/>
      </w:pPr>
    </w:p>
    <w:p w14:paraId="1F02367A" w14:textId="4CD8B44F" w:rsidR="004F062F" w:rsidRDefault="004F062F" w:rsidP="005E4CDB">
      <w:pPr>
        <w:ind w:firstLine="1440"/>
        <w:jc w:val="left"/>
      </w:pPr>
      <w:r>
        <w:t xml:space="preserve">On November 21, 2019, the Complainant filed a Reply to the Answer and New Matter which also addressed the Preliminary Objections.  </w:t>
      </w:r>
    </w:p>
    <w:p w14:paraId="208180F9" w14:textId="38BE6EE3" w:rsidR="001C0732" w:rsidRDefault="001C0732" w:rsidP="005E4CDB">
      <w:pPr>
        <w:jc w:val="left"/>
      </w:pPr>
      <w:r>
        <w:tab/>
      </w:r>
    </w:p>
    <w:p w14:paraId="233D8D87" w14:textId="47B7FC6D" w:rsidR="001C0732" w:rsidRDefault="001C0732" w:rsidP="005E4CDB">
      <w:pPr>
        <w:jc w:val="left"/>
      </w:pPr>
      <w:r>
        <w:lastRenderedPageBreak/>
        <w:tab/>
      </w:r>
      <w:r>
        <w:tab/>
      </w:r>
      <w:r w:rsidR="004964C9">
        <w:t>Via Hearing Notice dated December 4, 2019</w:t>
      </w:r>
      <w:r>
        <w:t xml:space="preserve">, the matter was assigned to me as the presiding officer, </w:t>
      </w:r>
      <w:r w:rsidR="004964C9">
        <w:t xml:space="preserve">and an initial hearing was scheduled for </w:t>
      </w:r>
      <w:r w:rsidR="006B3D92">
        <w:t>Tuesday, February 4, 2020</w:t>
      </w:r>
      <w:r w:rsidR="00C7158D">
        <w:t>,</w:t>
      </w:r>
      <w:r w:rsidR="006B3D92">
        <w:t xml:space="preserve"> at 10:00 a.m.</w:t>
      </w:r>
      <w:r w:rsidR="00C57AA9">
        <w:rPr>
          <w:rStyle w:val="FootnoteReference"/>
        </w:rPr>
        <w:footnoteReference w:id="2"/>
      </w:r>
      <w:r>
        <w:t xml:space="preserve">  </w:t>
      </w:r>
    </w:p>
    <w:p w14:paraId="0B6B28F2" w14:textId="77777777" w:rsidR="001C0732" w:rsidRDefault="001C0732" w:rsidP="005E4CDB">
      <w:pPr>
        <w:jc w:val="left"/>
      </w:pPr>
    </w:p>
    <w:p w14:paraId="290E8888" w14:textId="77777777" w:rsidR="001C0732" w:rsidRDefault="001C0732" w:rsidP="005E4CDB">
      <w:pPr>
        <w:rPr>
          <w:u w:val="single"/>
        </w:rPr>
      </w:pPr>
      <w:r>
        <w:rPr>
          <w:u w:val="single"/>
        </w:rPr>
        <w:t>DISCUSSION</w:t>
      </w:r>
    </w:p>
    <w:p w14:paraId="2D98A139" w14:textId="77777777" w:rsidR="001C0732" w:rsidRDefault="001C0732" w:rsidP="005E4CDB">
      <w:pPr>
        <w:rPr>
          <w:u w:val="single"/>
        </w:rPr>
      </w:pPr>
    </w:p>
    <w:p w14:paraId="30621E96" w14:textId="26A6AE3F" w:rsidR="00597D2A" w:rsidRPr="00A43451" w:rsidRDefault="0007374D" w:rsidP="005E4CDB">
      <w:pPr>
        <w:ind w:firstLine="1440"/>
        <w:jc w:val="left"/>
      </w:pPr>
      <w:r w:rsidRPr="00A43451">
        <w:t>Answers to complaints, petitions, motions and preliminary objections</w:t>
      </w:r>
      <w:r w:rsidR="0078051C" w:rsidRPr="00A43451">
        <w:t>, u</w:t>
      </w:r>
      <w:r w:rsidRPr="00A43451">
        <w:t>nless a different time is prescribed by statute, the Commission, or the presiding officer, answers to complaints and petitions shall be filed with the Commission within 20 days after the date of service.</w:t>
      </w:r>
      <w:r w:rsidR="005104CB" w:rsidRPr="00A43451">
        <w:t xml:space="preserve">  52 Pa.Code § 5.61(a).  </w:t>
      </w:r>
    </w:p>
    <w:p w14:paraId="1025ED3C" w14:textId="77777777" w:rsidR="00597D2A" w:rsidRPr="00A43451" w:rsidRDefault="00597D2A" w:rsidP="005E4CDB">
      <w:pPr>
        <w:pStyle w:val="ListParagraph"/>
        <w:ind w:left="450" w:firstLine="1440"/>
        <w:jc w:val="left"/>
      </w:pPr>
    </w:p>
    <w:p w14:paraId="7B75D9B5" w14:textId="1CF62A05" w:rsidR="0007374D" w:rsidRPr="00A43451" w:rsidRDefault="00597D2A" w:rsidP="005E4CDB">
      <w:pPr>
        <w:ind w:firstLine="1440"/>
        <w:jc w:val="left"/>
      </w:pPr>
      <w:r w:rsidRPr="00A43451">
        <w:t xml:space="preserve">Preliminary objections shall be filed as a separate document and within the same 20 days provided for in </w:t>
      </w:r>
      <w:r w:rsidR="00A43451">
        <w:t>Section</w:t>
      </w:r>
      <w:r w:rsidRPr="00A43451">
        <w:t xml:space="preserve"> 5.61 </w:t>
      </w:r>
      <w:r w:rsidR="00A43451">
        <w:t>of the Commission’s regulations</w:t>
      </w:r>
      <w:r w:rsidRPr="00A43451">
        <w:t xml:space="preserve">. </w:t>
      </w:r>
      <w:r w:rsidR="00C0593B" w:rsidRPr="00A43451">
        <w:t xml:space="preserve"> Further,</w:t>
      </w:r>
      <w:r w:rsidR="00002268" w:rsidRPr="00A43451">
        <w:t xml:space="preserve"> t</w:t>
      </w:r>
      <w:r w:rsidRPr="00A43451">
        <w:t>he filing of preliminary objections may not eliminate the requirement to file an answer to the complaint or other initiating pleading</w:t>
      </w:r>
      <w:r w:rsidR="006D7F1F">
        <w:t xml:space="preserve">s.  </w:t>
      </w:r>
      <w:r w:rsidR="00A43451" w:rsidRPr="00A43451">
        <w:t xml:space="preserve">52 Pa.Code §§ 5.101(d).  </w:t>
      </w:r>
    </w:p>
    <w:p w14:paraId="471215BE" w14:textId="77777777" w:rsidR="0007374D" w:rsidRDefault="0007374D" w:rsidP="005E4CDB">
      <w:pPr>
        <w:jc w:val="left"/>
      </w:pPr>
    </w:p>
    <w:p w14:paraId="536DDD0D" w14:textId="6203CE66" w:rsidR="001C0732" w:rsidRDefault="001C0732" w:rsidP="005E4CDB">
      <w:pPr>
        <w:ind w:firstLine="1440"/>
        <w:jc w:val="left"/>
      </w:pPr>
      <w:r>
        <w:t xml:space="preserve">Commission preliminary objection practice is similar to Pennsylvania civil practice.  </w:t>
      </w:r>
      <w:r>
        <w:rPr>
          <w:i/>
        </w:rPr>
        <w:t xml:space="preserve">Equitable Small Transportation Interveners v. Equitable Gas Company, </w:t>
      </w:r>
      <w:r>
        <w:t xml:space="preserve">1994 Pa. PUC LEXIS 69, PUC Docket No. C-000935435 (July 18, 1994). </w:t>
      </w:r>
      <w:r>
        <w:tab/>
        <w:t xml:space="preserve">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 xml:space="preserve">836 A.2d 1053, 1064 (Pa. Cmwlth. 2003).  All of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(Pa. Cmwlth. 1997).</w:t>
      </w:r>
    </w:p>
    <w:p w14:paraId="38C6114B" w14:textId="77777777" w:rsidR="001C0732" w:rsidRDefault="001C0732" w:rsidP="005E4CDB">
      <w:pPr>
        <w:jc w:val="both"/>
      </w:pPr>
    </w:p>
    <w:p w14:paraId="21922E5C" w14:textId="77777777" w:rsidR="001C0732" w:rsidRDefault="001C0732" w:rsidP="001C0732">
      <w:pPr>
        <w:jc w:val="left"/>
      </w:pPr>
      <w:r>
        <w:lastRenderedPageBreak/>
        <w:tab/>
      </w:r>
      <w:r>
        <w:tab/>
        <w:t>The regulation reads as follows:</w:t>
      </w:r>
    </w:p>
    <w:p w14:paraId="0009372C" w14:textId="77777777" w:rsidR="001C0732" w:rsidRDefault="001C0732" w:rsidP="001C0732">
      <w:pPr>
        <w:jc w:val="left"/>
      </w:pPr>
    </w:p>
    <w:p w14:paraId="7C964BDA" w14:textId="77777777" w:rsidR="001C0732" w:rsidRDefault="001C0732" w:rsidP="001C0732">
      <w:pPr>
        <w:spacing w:line="240" w:lineRule="auto"/>
        <w:ind w:left="1440" w:right="1440"/>
        <w:contextualSpacing/>
        <w:jc w:val="left"/>
        <w:rPr>
          <w:b/>
        </w:rPr>
      </w:pPr>
      <w:r>
        <w:rPr>
          <w:b/>
        </w:rPr>
        <w:t>§ 5.101.  Preliminary objections.</w:t>
      </w:r>
    </w:p>
    <w:p w14:paraId="2CE8E53B" w14:textId="77777777" w:rsidR="001C0732" w:rsidRDefault="001C0732" w:rsidP="001C0732">
      <w:pPr>
        <w:spacing w:line="240" w:lineRule="auto"/>
        <w:ind w:left="1440" w:right="1440"/>
        <w:contextualSpacing/>
        <w:jc w:val="left"/>
        <w:rPr>
          <w:b/>
        </w:rPr>
      </w:pPr>
    </w:p>
    <w:p w14:paraId="7DAED36F" w14:textId="77777777" w:rsidR="001C0732" w:rsidRDefault="001C0732" w:rsidP="001C0732">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6F242B5" w14:textId="77777777" w:rsidR="001C0732" w:rsidRDefault="001C0732" w:rsidP="001C0732">
      <w:pPr>
        <w:spacing w:line="240" w:lineRule="auto"/>
        <w:ind w:right="1440"/>
        <w:contextualSpacing/>
        <w:jc w:val="left"/>
      </w:pPr>
      <w:r>
        <w:tab/>
      </w:r>
      <w:r>
        <w:tab/>
      </w:r>
    </w:p>
    <w:p w14:paraId="06F5FD7D" w14:textId="77777777" w:rsidR="001C0732" w:rsidRDefault="001C0732" w:rsidP="001C0732">
      <w:pPr>
        <w:spacing w:line="240" w:lineRule="auto"/>
        <w:ind w:left="1440" w:right="1440" w:firstLine="720"/>
        <w:contextualSpacing/>
        <w:jc w:val="left"/>
      </w:pPr>
      <w:r>
        <w:t>(1)</w:t>
      </w:r>
      <w:r>
        <w:tab/>
        <w:t>Lack of Commission jurisdiction or improper service of the pleading initiating the proceeding.</w:t>
      </w:r>
    </w:p>
    <w:p w14:paraId="260A4ED2" w14:textId="77777777" w:rsidR="001C0732" w:rsidRDefault="001C0732" w:rsidP="001C0732">
      <w:pPr>
        <w:spacing w:line="240" w:lineRule="auto"/>
        <w:ind w:left="1440" w:right="1440"/>
        <w:contextualSpacing/>
        <w:jc w:val="left"/>
      </w:pPr>
    </w:p>
    <w:p w14:paraId="747EA0C8" w14:textId="77777777" w:rsidR="001C0732" w:rsidRDefault="001C0732" w:rsidP="001C0732">
      <w:pPr>
        <w:spacing w:line="240" w:lineRule="auto"/>
        <w:ind w:left="1440" w:right="1440" w:firstLine="720"/>
        <w:contextualSpacing/>
        <w:jc w:val="left"/>
      </w:pPr>
      <w:r>
        <w:t>(2)</w:t>
      </w:r>
      <w:r>
        <w:tab/>
        <w:t>Failure of a pleading to conform to this chapter or the inclusion of scandalous or impertinent matter.</w:t>
      </w:r>
    </w:p>
    <w:p w14:paraId="38EB1856" w14:textId="77777777" w:rsidR="001C0732" w:rsidRDefault="001C0732" w:rsidP="001C0732">
      <w:pPr>
        <w:spacing w:line="240" w:lineRule="auto"/>
        <w:ind w:left="1440" w:right="1440"/>
        <w:contextualSpacing/>
        <w:jc w:val="left"/>
      </w:pPr>
    </w:p>
    <w:p w14:paraId="2E116280" w14:textId="77777777" w:rsidR="001C0732" w:rsidRDefault="001C0732" w:rsidP="001C0732">
      <w:pPr>
        <w:spacing w:line="240" w:lineRule="auto"/>
        <w:ind w:left="1440" w:right="1440" w:firstLine="720"/>
        <w:contextualSpacing/>
        <w:jc w:val="left"/>
      </w:pPr>
      <w:r>
        <w:t>(3)</w:t>
      </w:r>
      <w:r>
        <w:tab/>
        <w:t>Insufficient specificity of a pleading.</w:t>
      </w:r>
    </w:p>
    <w:p w14:paraId="6BFC985F" w14:textId="77777777" w:rsidR="001C0732" w:rsidRDefault="001C0732" w:rsidP="001C0732">
      <w:pPr>
        <w:spacing w:line="240" w:lineRule="auto"/>
        <w:ind w:left="1440" w:right="1440"/>
        <w:contextualSpacing/>
        <w:jc w:val="left"/>
      </w:pPr>
    </w:p>
    <w:p w14:paraId="546E667A" w14:textId="77777777" w:rsidR="001C0732" w:rsidRDefault="001C0732" w:rsidP="001C0732">
      <w:pPr>
        <w:spacing w:line="240" w:lineRule="auto"/>
        <w:ind w:left="1440" w:right="1440" w:firstLine="720"/>
        <w:contextualSpacing/>
        <w:jc w:val="left"/>
      </w:pPr>
      <w:r>
        <w:t>(4)</w:t>
      </w:r>
      <w:r>
        <w:tab/>
        <w:t>Legal insufficiency of a pleading.</w:t>
      </w:r>
    </w:p>
    <w:p w14:paraId="2A5E3ACD" w14:textId="77777777" w:rsidR="001C0732" w:rsidRDefault="001C0732" w:rsidP="001C0732">
      <w:pPr>
        <w:spacing w:line="240" w:lineRule="auto"/>
        <w:ind w:left="1440" w:right="1440"/>
        <w:contextualSpacing/>
        <w:jc w:val="left"/>
      </w:pPr>
    </w:p>
    <w:p w14:paraId="7C029433" w14:textId="77777777" w:rsidR="001C0732" w:rsidRDefault="001C0732" w:rsidP="001C0732">
      <w:pPr>
        <w:spacing w:line="240" w:lineRule="auto"/>
        <w:ind w:left="1440" w:right="1440" w:firstLine="720"/>
        <w:contextualSpacing/>
        <w:jc w:val="left"/>
      </w:pPr>
      <w:r>
        <w:t>(5)</w:t>
      </w:r>
      <w:r>
        <w:tab/>
        <w:t>Lack of capacity to sue, nonjoinder of a necessary party or misjoinder of a cause of action.</w:t>
      </w:r>
    </w:p>
    <w:p w14:paraId="09FC5E8B" w14:textId="77777777" w:rsidR="001C0732" w:rsidRDefault="001C0732" w:rsidP="001C0732">
      <w:pPr>
        <w:spacing w:line="240" w:lineRule="auto"/>
        <w:ind w:left="1440" w:right="1440"/>
        <w:contextualSpacing/>
        <w:jc w:val="left"/>
      </w:pPr>
    </w:p>
    <w:p w14:paraId="31C3B145" w14:textId="0F9A4C53" w:rsidR="001C0732" w:rsidRDefault="001C0732" w:rsidP="001C0732">
      <w:pPr>
        <w:spacing w:line="240" w:lineRule="auto"/>
        <w:ind w:left="1440" w:right="1440" w:firstLine="720"/>
        <w:contextualSpacing/>
        <w:jc w:val="left"/>
      </w:pPr>
      <w:r>
        <w:t>(6)</w:t>
      </w:r>
      <w:r>
        <w:tab/>
        <w:t>Pendency of a prior proceeding or agreement for alternative dispute resolution.</w:t>
      </w:r>
    </w:p>
    <w:p w14:paraId="3B747570" w14:textId="77777777" w:rsidR="001C0732" w:rsidRDefault="001C0732" w:rsidP="001C0732">
      <w:pPr>
        <w:spacing w:line="240" w:lineRule="auto"/>
        <w:ind w:left="1440" w:right="1440" w:firstLine="720"/>
        <w:contextualSpacing/>
        <w:jc w:val="left"/>
      </w:pPr>
    </w:p>
    <w:p w14:paraId="7DCA2D90" w14:textId="77777777" w:rsidR="001C0732" w:rsidRDefault="001C0732" w:rsidP="001C0732">
      <w:pPr>
        <w:spacing w:line="240" w:lineRule="auto"/>
        <w:ind w:left="1440" w:right="1440" w:firstLine="720"/>
        <w:contextualSpacing/>
        <w:jc w:val="left"/>
      </w:pPr>
      <w:r>
        <w:t>(7)</w:t>
      </w:r>
      <w:r>
        <w:tab/>
        <w:t>Standing of a party to participate in the proceeding.</w:t>
      </w:r>
    </w:p>
    <w:p w14:paraId="5042F262" w14:textId="77777777" w:rsidR="001C0732" w:rsidRDefault="001C0732" w:rsidP="001C0732">
      <w:pPr>
        <w:spacing w:line="240" w:lineRule="auto"/>
        <w:ind w:right="1440"/>
        <w:contextualSpacing/>
        <w:jc w:val="left"/>
      </w:pPr>
    </w:p>
    <w:p w14:paraId="33598A38" w14:textId="77777777" w:rsidR="001C0732" w:rsidRDefault="001C0732" w:rsidP="001C0732">
      <w:pPr>
        <w:spacing w:line="240" w:lineRule="auto"/>
        <w:ind w:left="1440" w:right="1440"/>
        <w:contextualSpacing/>
      </w:pPr>
      <w:r>
        <w:t>* * *</w:t>
      </w:r>
    </w:p>
    <w:p w14:paraId="0D186069" w14:textId="77777777" w:rsidR="001C0732" w:rsidRDefault="001C0732" w:rsidP="001C0732">
      <w:pPr>
        <w:spacing w:line="240" w:lineRule="auto"/>
        <w:ind w:right="1440"/>
        <w:contextualSpacing/>
        <w:jc w:val="both"/>
      </w:pPr>
    </w:p>
    <w:p w14:paraId="7B375C5B" w14:textId="77777777" w:rsidR="001C0732" w:rsidRDefault="001C0732" w:rsidP="001C0732">
      <w:pPr>
        <w:ind w:left="1440" w:right="1440"/>
        <w:contextualSpacing/>
        <w:jc w:val="left"/>
      </w:pPr>
      <w:r>
        <w:t>52 Pa.Code § 5.101(a).</w:t>
      </w:r>
    </w:p>
    <w:p w14:paraId="1A0CAD5C" w14:textId="77777777" w:rsidR="001C0732" w:rsidRDefault="001C0732" w:rsidP="001C0732">
      <w:pPr>
        <w:tabs>
          <w:tab w:val="left" w:pos="1584"/>
        </w:tabs>
        <w:ind w:firstLine="1440"/>
        <w:jc w:val="left"/>
      </w:pPr>
    </w:p>
    <w:p w14:paraId="19CE56DC" w14:textId="1692DF12" w:rsidR="00B72713" w:rsidRDefault="00B72713" w:rsidP="002D0A8D">
      <w:pPr>
        <w:ind w:firstLine="1440"/>
        <w:jc w:val="left"/>
      </w:pPr>
      <w:r>
        <w:t xml:space="preserve">On September 13, 2019, the Complainant filed a formal Complaint against PGW.    </w:t>
      </w:r>
      <w:r w:rsidRPr="00B72713">
        <w:t>The Commission's Secretary served the Complaint electronically on September 23, 2019, which clearly states that the Respondent has twenty days to file a responsive pleading.</w:t>
      </w:r>
    </w:p>
    <w:p w14:paraId="57F43E75" w14:textId="500CF348" w:rsidR="00B72713" w:rsidRDefault="00B72713" w:rsidP="001C0732">
      <w:pPr>
        <w:ind w:firstLine="1440"/>
        <w:jc w:val="left"/>
      </w:pPr>
    </w:p>
    <w:p w14:paraId="1BDDF6C3" w14:textId="7B983179" w:rsidR="00B72713" w:rsidRDefault="00B72713" w:rsidP="00B72713">
      <w:pPr>
        <w:ind w:firstLine="1440"/>
        <w:jc w:val="left"/>
      </w:pPr>
      <w:r>
        <w:t xml:space="preserve">On October 21, 2019, PGW filed Preliminary Objections and Motion to Strike.  On October 22, 2019, PGW </w:t>
      </w:r>
      <w:r w:rsidR="00AC4095">
        <w:t xml:space="preserve">also </w:t>
      </w:r>
      <w:r>
        <w:t>filed its Answer</w:t>
      </w:r>
      <w:r w:rsidR="00AC4095">
        <w:t xml:space="preserve"> and New Matter</w:t>
      </w:r>
      <w:r w:rsidR="0005202A">
        <w:t>,</w:t>
      </w:r>
      <w:r>
        <w:t xml:space="preserve"> which denied the material allegations of the Complaint.</w:t>
      </w:r>
    </w:p>
    <w:p w14:paraId="4A5D321A" w14:textId="186DBB87" w:rsidR="001C0732" w:rsidRDefault="001C0732" w:rsidP="001C0732">
      <w:pPr>
        <w:tabs>
          <w:tab w:val="left" w:pos="1584"/>
        </w:tabs>
        <w:ind w:firstLine="1440"/>
        <w:jc w:val="left"/>
      </w:pPr>
    </w:p>
    <w:p w14:paraId="0982ACA5" w14:textId="344A30D6" w:rsidR="00B72713" w:rsidRPr="00B72713" w:rsidRDefault="00B72713" w:rsidP="00B72713">
      <w:pPr>
        <w:pStyle w:val="FootnoteText"/>
        <w:spacing w:line="360" w:lineRule="auto"/>
        <w:ind w:firstLine="1440"/>
      </w:pPr>
      <w:r w:rsidRPr="00B72713">
        <w:lastRenderedPageBreak/>
        <w:t>The Answer and Preliminary Objections were due on October 13, 2019</w:t>
      </w:r>
      <w:r w:rsidR="00E47AAC">
        <w:t>,</w:t>
      </w:r>
      <w:r w:rsidRPr="00B72713">
        <w:t xml:space="preserve"> which was a Sunday.  The next day was a federal holiday (Columbus Day)</w:t>
      </w:r>
      <w:r w:rsidR="0005202A">
        <w:t xml:space="preserve">, and </w:t>
      </w:r>
      <w:r w:rsidR="0097047F">
        <w:t xml:space="preserve">the </w:t>
      </w:r>
      <w:r w:rsidR="0005202A">
        <w:t>Commission</w:t>
      </w:r>
      <w:r w:rsidR="0097047F">
        <w:t>’s offices were closed in observance of the holiday</w:t>
      </w:r>
      <w:r w:rsidRPr="00B72713">
        <w:t>.  As such the filing deadline would be October</w:t>
      </w:r>
      <w:r w:rsidR="00E47AAC">
        <w:t> </w:t>
      </w:r>
      <w:r w:rsidRPr="00B72713">
        <w:t xml:space="preserve">15, 2019 in accordance with 52 Pa.Code §§ 5.101(d) and 5.61(a).  </w:t>
      </w:r>
      <w:r w:rsidR="0097047F">
        <w:t>PGW failed to file its Preliminary Objections or its Answer and New Matter within the timeframe prescribed by the Commission’s regulations</w:t>
      </w:r>
      <w:r w:rsidR="00CC59F9">
        <w:t xml:space="preserve"> as it filed the </w:t>
      </w:r>
      <w:r w:rsidR="001C62CF">
        <w:t>pleadings on October 21, 20</w:t>
      </w:r>
      <w:r w:rsidR="00767F15">
        <w:t xml:space="preserve">19 and October 22, 2019, respectively.  </w:t>
      </w:r>
      <w:r w:rsidR="00363B07">
        <w:t>As such, the pleadings will not be considered in this matter and the</w:t>
      </w:r>
      <w:r w:rsidR="001342A2">
        <w:t xml:space="preserve"> Complaint will move forward as scheduled.  </w:t>
      </w:r>
    </w:p>
    <w:p w14:paraId="44BFD6ED" w14:textId="77777777" w:rsidR="00B72713" w:rsidRDefault="00B72713" w:rsidP="00E47AAC">
      <w:pPr>
        <w:tabs>
          <w:tab w:val="left" w:pos="1584"/>
        </w:tabs>
        <w:jc w:val="left"/>
      </w:pPr>
    </w:p>
    <w:p w14:paraId="7457EE4D" w14:textId="77777777" w:rsidR="001C0732" w:rsidRDefault="001C0732" w:rsidP="001C0732">
      <w:pPr>
        <w:tabs>
          <w:tab w:val="left" w:pos="1584"/>
        </w:tabs>
        <w:ind w:firstLine="1440"/>
      </w:pPr>
      <w:r>
        <w:rPr>
          <w:u w:val="single"/>
        </w:rPr>
        <w:t>ORDER</w:t>
      </w:r>
    </w:p>
    <w:p w14:paraId="6C5DFE86" w14:textId="77777777" w:rsidR="001C0732" w:rsidRDefault="001C0732" w:rsidP="001C0732">
      <w:pPr>
        <w:jc w:val="left"/>
      </w:pPr>
    </w:p>
    <w:p w14:paraId="6CFA52F0" w14:textId="77777777" w:rsidR="001C0732" w:rsidRDefault="001C0732" w:rsidP="001C0732">
      <w:pPr>
        <w:jc w:val="left"/>
      </w:pPr>
      <w:r>
        <w:tab/>
      </w:r>
      <w:r>
        <w:tab/>
        <w:t>THEREFORE,</w:t>
      </w:r>
    </w:p>
    <w:p w14:paraId="5A4CAF8E" w14:textId="77777777" w:rsidR="001C0732" w:rsidRDefault="001C0732" w:rsidP="001C0732">
      <w:pPr>
        <w:jc w:val="left"/>
      </w:pPr>
    </w:p>
    <w:p w14:paraId="4AF7C9DB" w14:textId="77777777" w:rsidR="001C0732" w:rsidRDefault="001C0732" w:rsidP="001C0732">
      <w:pPr>
        <w:jc w:val="left"/>
      </w:pPr>
      <w:r>
        <w:tab/>
      </w:r>
      <w:r>
        <w:tab/>
        <w:t>IT IS ORDERED:</w:t>
      </w:r>
    </w:p>
    <w:p w14:paraId="1F07A649" w14:textId="77777777" w:rsidR="001C0732" w:rsidRDefault="001C0732" w:rsidP="001C0732">
      <w:pPr>
        <w:jc w:val="left"/>
      </w:pPr>
    </w:p>
    <w:p w14:paraId="0382FC31" w14:textId="3527FF34" w:rsidR="001C0732" w:rsidRDefault="001C0732" w:rsidP="001C0732">
      <w:pPr>
        <w:jc w:val="left"/>
      </w:pPr>
      <w:r>
        <w:tab/>
      </w:r>
      <w:r>
        <w:tab/>
        <w:t>1.</w:t>
      </w:r>
      <w:r>
        <w:tab/>
        <w:t xml:space="preserve">That the Preliminary Objections of Philadelphia Gas Works filed in the case captioned </w:t>
      </w:r>
      <w:r w:rsidR="002A3F5C">
        <w:rPr>
          <w:i/>
        </w:rPr>
        <w:t>Shari Palmer</w:t>
      </w:r>
      <w:r>
        <w:rPr>
          <w:i/>
        </w:rPr>
        <w:t xml:space="preserve"> v. Philadelphia Gas Works, </w:t>
      </w:r>
      <w:r>
        <w:t xml:space="preserve">Docket No. </w:t>
      </w:r>
      <w:r w:rsidR="002A3F5C">
        <w:t>F-2019-3013070</w:t>
      </w:r>
      <w:r>
        <w:t xml:space="preserve">, are </w:t>
      </w:r>
      <w:r w:rsidR="002A3F5C">
        <w:t>denied</w:t>
      </w:r>
      <w:r>
        <w:t>.</w:t>
      </w:r>
    </w:p>
    <w:p w14:paraId="531183B8" w14:textId="77777777" w:rsidR="001C0732" w:rsidRDefault="001C0732" w:rsidP="001C0732">
      <w:pPr>
        <w:jc w:val="left"/>
      </w:pPr>
    </w:p>
    <w:p w14:paraId="5A6BE310" w14:textId="7A3881E7" w:rsidR="001C0732" w:rsidRDefault="001C0732" w:rsidP="00C26B66">
      <w:pPr>
        <w:jc w:val="left"/>
      </w:pPr>
      <w:r>
        <w:tab/>
      </w:r>
      <w:r>
        <w:tab/>
        <w:t>2.</w:t>
      </w:r>
      <w:r>
        <w:tab/>
      </w:r>
      <w:r w:rsidR="00C26B66">
        <w:t xml:space="preserve">That the hearing in the matter of </w:t>
      </w:r>
      <w:r w:rsidR="00FA6C8E" w:rsidRPr="00D77902">
        <w:rPr>
          <w:i/>
          <w:iCs/>
        </w:rPr>
        <w:t>Shari Palmer v. Philadelphia Gas Works</w:t>
      </w:r>
      <w:r w:rsidR="00FA6C8E">
        <w:t>, Docket No. F-2019-</w:t>
      </w:r>
      <w:r w:rsidR="007A62F0">
        <w:t xml:space="preserve">3013070, </w:t>
      </w:r>
      <w:r w:rsidR="004830D7">
        <w:t xml:space="preserve">scheduled for </w:t>
      </w:r>
      <w:r w:rsidR="00D2355F">
        <w:t xml:space="preserve">March 2, 2020, will move forward.  </w:t>
      </w:r>
    </w:p>
    <w:p w14:paraId="77F2CD5A" w14:textId="77777777" w:rsidR="001C0732" w:rsidRDefault="001C0732" w:rsidP="001C0732">
      <w:pPr>
        <w:jc w:val="left"/>
      </w:pPr>
    </w:p>
    <w:p w14:paraId="38BCEF28" w14:textId="77777777" w:rsidR="001C0732" w:rsidRDefault="001C0732" w:rsidP="001C0732">
      <w:pPr>
        <w:jc w:val="left"/>
      </w:pPr>
    </w:p>
    <w:p w14:paraId="432F95F1" w14:textId="0A43585F" w:rsidR="001C0732" w:rsidRDefault="001C0732" w:rsidP="001C0732">
      <w:pPr>
        <w:spacing w:line="240" w:lineRule="auto"/>
        <w:jc w:val="left"/>
      </w:pPr>
      <w:r>
        <w:t>Dated:</w:t>
      </w:r>
      <w:r>
        <w:tab/>
      </w:r>
      <w:r w:rsidR="00D52BB5">
        <w:rPr>
          <w:u w:val="single"/>
        </w:rPr>
        <w:t>March 3, 2020</w:t>
      </w:r>
      <w:r w:rsidR="00D52BB5">
        <w:tab/>
      </w:r>
      <w:r w:rsidR="00D52BB5">
        <w:tab/>
      </w:r>
      <w:r w:rsidR="00D52BB5">
        <w:tab/>
      </w:r>
      <w:r w:rsidR="00D52BB5">
        <w:tab/>
      </w:r>
      <w:r w:rsidR="00D52BB5">
        <w:tab/>
      </w:r>
      <w:r w:rsidR="00D52BB5">
        <w:rPr>
          <w:u w:val="single"/>
        </w:rPr>
        <w:tab/>
      </w:r>
      <w:r w:rsidR="00D52BB5">
        <w:rPr>
          <w:u w:val="single"/>
        </w:rPr>
        <w:tab/>
        <w:t>/s/</w:t>
      </w:r>
      <w:r w:rsidR="00D52BB5">
        <w:rPr>
          <w:u w:val="single"/>
        </w:rPr>
        <w:tab/>
      </w:r>
      <w:r w:rsidR="00D52BB5">
        <w:rPr>
          <w:u w:val="single"/>
        </w:rPr>
        <w:tab/>
      </w:r>
      <w:r w:rsidR="00D52BB5">
        <w:rPr>
          <w:u w:val="single"/>
        </w:rPr>
        <w:tab/>
      </w:r>
    </w:p>
    <w:p w14:paraId="1398122C" w14:textId="54A1EB0F" w:rsidR="001C0732" w:rsidRDefault="001C0732" w:rsidP="001C0732">
      <w:pPr>
        <w:spacing w:line="240" w:lineRule="auto"/>
        <w:jc w:val="left"/>
      </w:pPr>
      <w:r>
        <w:tab/>
      </w:r>
      <w:r>
        <w:tab/>
      </w:r>
      <w:r>
        <w:tab/>
      </w:r>
      <w:r>
        <w:tab/>
      </w:r>
      <w:r>
        <w:tab/>
      </w:r>
      <w:r>
        <w:tab/>
      </w:r>
      <w:r w:rsidR="00D52BB5">
        <w:tab/>
      </w:r>
      <w:r>
        <w:t>Marta Guhl</w:t>
      </w:r>
    </w:p>
    <w:p w14:paraId="4BFDF0BC" w14:textId="62C38147" w:rsidR="001C0732" w:rsidRDefault="001C0732" w:rsidP="001C0732">
      <w:pPr>
        <w:spacing w:line="240" w:lineRule="auto"/>
        <w:jc w:val="left"/>
      </w:pPr>
      <w:r>
        <w:tab/>
      </w:r>
      <w:r>
        <w:tab/>
      </w:r>
      <w:r>
        <w:tab/>
      </w:r>
      <w:r>
        <w:tab/>
      </w:r>
      <w:r>
        <w:tab/>
      </w:r>
      <w:r>
        <w:tab/>
      </w:r>
      <w:r w:rsidR="00D52BB5">
        <w:tab/>
      </w:r>
      <w:r>
        <w:t>Administrative Law Judge</w:t>
      </w:r>
    </w:p>
    <w:p w14:paraId="654EFCFE" w14:textId="77777777" w:rsidR="001C0732" w:rsidRDefault="001C0732" w:rsidP="001C0732">
      <w:pPr>
        <w:spacing w:line="240" w:lineRule="auto"/>
        <w:jc w:val="left"/>
      </w:pPr>
    </w:p>
    <w:p w14:paraId="68093276" w14:textId="120502F4" w:rsidR="002035FE" w:rsidRDefault="002035FE" w:rsidP="001C0732">
      <w:pPr>
        <w:spacing w:line="240" w:lineRule="auto"/>
        <w:jc w:val="left"/>
        <w:sectPr w:rsidR="002035FE" w:rsidSect="00561649">
          <w:footerReference w:type="default" r:id="rId11"/>
          <w:pgSz w:w="12240" w:h="15840"/>
          <w:pgMar w:top="1440" w:right="1440" w:bottom="1440" w:left="1440" w:header="720" w:footer="720" w:gutter="0"/>
          <w:cols w:space="720"/>
          <w:titlePg/>
          <w:docGrid w:linePitch="326"/>
        </w:sectPr>
      </w:pPr>
    </w:p>
    <w:p w14:paraId="49AAA0B6" w14:textId="1BAE9783" w:rsidR="003B6687" w:rsidRDefault="002035FE" w:rsidP="002035FE">
      <w:pPr>
        <w:spacing w:after="160" w:line="259" w:lineRule="auto"/>
        <w:jc w:val="left"/>
      </w:pPr>
      <w:r w:rsidRPr="002035FE">
        <w:rPr>
          <w:rFonts w:eastAsia="Microsoft Sans Serif"/>
          <w:b/>
          <w:szCs w:val="22"/>
          <w:u w:val="single"/>
        </w:rPr>
        <w:lastRenderedPageBreak/>
        <w:t>F-2019-3013070 - SHARI PALMER V. PHILADELPHIA GAS WORKS</w:t>
      </w:r>
      <w:r w:rsidRPr="002035FE">
        <w:rPr>
          <w:rFonts w:eastAsia="Microsoft Sans Serif"/>
          <w:b/>
          <w:szCs w:val="22"/>
          <w:u w:val="single"/>
        </w:rPr>
        <w:cr/>
      </w:r>
      <w:r w:rsidRPr="002035FE">
        <w:rPr>
          <w:rFonts w:eastAsia="Microsoft Sans Serif"/>
          <w:b/>
          <w:szCs w:val="22"/>
          <w:u w:val="single"/>
        </w:rPr>
        <w:cr/>
      </w:r>
      <w:bookmarkStart w:id="0" w:name="_Hlk34126727"/>
      <w:r w:rsidRPr="002035FE">
        <w:rPr>
          <w:rFonts w:eastAsia="Microsoft Sans Serif"/>
          <w:szCs w:val="22"/>
        </w:rPr>
        <w:t>SHARI PALMER</w:t>
      </w:r>
      <w:r w:rsidRPr="002035FE">
        <w:rPr>
          <w:rFonts w:eastAsia="Microsoft Sans Serif"/>
          <w:szCs w:val="22"/>
        </w:rPr>
        <w:cr/>
      </w:r>
      <w:bookmarkStart w:id="1" w:name="_GoBack"/>
      <w:bookmarkEnd w:id="1"/>
      <w:r w:rsidRPr="002035FE">
        <w:rPr>
          <w:rFonts w:eastAsia="Microsoft Sans Serif"/>
          <w:szCs w:val="22"/>
        </w:rPr>
        <w:t>4526 NORTH 12TH STREET</w:t>
      </w:r>
      <w:r w:rsidRPr="002035FE">
        <w:rPr>
          <w:rFonts w:eastAsia="Microsoft Sans Serif"/>
          <w:szCs w:val="22"/>
        </w:rPr>
        <w:cr/>
        <w:t>PHILADELPHIA PA  19140</w:t>
      </w:r>
      <w:bookmarkEnd w:id="0"/>
      <w:r w:rsidRPr="002035FE">
        <w:rPr>
          <w:rFonts w:eastAsia="Microsoft Sans Serif"/>
          <w:szCs w:val="22"/>
        </w:rPr>
        <w:cr/>
      </w:r>
      <w:r w:rsidRPr="002035FE">
        <w:rPr>
          <w:rFonts w:eastAsia="Microsoft Sans Serif"/>
          <w:b/>
          <w:bCs/>
          <w:szCs w:val="22"/>
        </w:rPr>
        <w:t>215.431.5578</w:t>
      </w:r>
      <w:r w:rsidRPr="002035FE">
        <w:rPr>
          <w:rFonts w:eastAsia="Microsoft Sans Serif"/>
          <w:b/>
          <w:bCs/>
          <w:szCs w:val="22"/>
        </w:rPr>
        <w:cr/>
      </w:r>
      <w:r w:rsidRPr="002035FE">
        <w:rPr>
          <w:rFonts w:eastAsia="Microsoft Sans Serif"/>
          <w:szCs w:val="22"/>
        </w:rPr>
        <w:cr/>
        <w:t>GRACIELA CHRISTLIEB ESQUIRE</w:t>
      </w:r>
      <w:r w:rsidRPr="002035FE">
        <w:rPr>
          <w:rFonts w:eastAsia="Microsoft Sans Serif"/>
          <w:szCs w:val="22"/>
        </w:rPr>
        <w:br/>
        <w:t>LAURETO FARINAS ESQUIRE</w:t>
      </w:r>
      <w:r w:rsidRPr="002035FE">
        <w:rPr>
          <w:rFonts w:eastAsia="Microsoft Sans Serif"/>
          <w:szCs w:val="22"/>
        </w:rPr>
        <w:cr/>
        <w:t>PHILADELPHIA GAS WORKS</w:t>
      </w:r>
      <w:r w:rsidRPr="002035FE">
        <w:rPr>
          <w:rFonts w:eastAsia="Microsoft Sans Serif"/>
          <w:szCs w:val="22"/>
        </w:rPr>
        <w:cr/>
        <w:t>800 WEST MONTGOMERY AVENUE</w:t>
      </w:r>
      <w:r w:rsidRPr="002035FE">
        <w:rPr>
          <w:rFonts w:eastAsia="Microsoft Sans Serif"/>
          <w:szCs w:val="22"/>
        </w:rPr>
        <w:cr/>
        <w:t>PHILADELPHIA PA  19122</w:t>
      </w:r>
      <w:r w:rsidRPr="002035FE">
        <w:rPr>
          <w:rFonts w:eastAsia="Microsoft Sans Serif"/>
          <w:szCs w:val="22"/>
        </w:rPr>
        <w:cr/>
      </w:r>
      <w:r w:rsidRPr="002035FE">
        <w:rPr>
          <w:rFonts w:eastAsia="Microsoft Sans Serif"/>
          <w:b/>
          <w:bCs/>
          <w:szCs w:val="22"/>
        </w:rPr>
        <w:t>215.684.6164</w:t>
      </w:r>
      <w:r w:rsidRPr="002035FE">
        <w:rPr>
          <w:rFonts w:eastAsia="Microsoft Sans Serif"/>
          <w:b/>
          <w:bCs/>
          <w:szCs w:val="22"/>
        </w:rPr>
        <w:br/>
        <w:t>215.684.6982</w:t>
      </w:r>
      <w:r w:rsidRPr="002035FE">
        <w:rPr>
          <w:rFonts w:eastAsia="Microsoft Sans Serif"/>
          <w:b/>
          <w:bCs/>
          <w:szCs w:val="22"/>
        </w:rPr>
        <w:br/>
      </w:r>
      <w:r w:rsidRPr="002035FE">
        <w:rPr>
          <w:rFonts w:eastAsia="Microsoft Sans Serif"/>
          <w:b/>
          <w:bCs/>
          <w:i/>
          <w:iCs/>
          <w:szCs w:val="22"/>
          <w:u w:val="single"/>
        </w:rPr>
        <w:t>ACCEPTS E-SERVICE</w:t>
      </w:r>
      <w:r w:rsidRPr="002035FE">
        <w:rPr>
          <w:rFonts w:eastAsia="Microsoft Sans Serif"/>
          <w:b/>
          <w:bCs/>
          <w:i/>
          <w:iCs/>
          <w:szCs w:val="22"/>
          <w:u w:val="single"/>
        </w:rPr>
        <w:cr/>
      </w:r>
      <w:r w:rsidRPr="002035FE">
        <w:rPr>
          <w:rFonts w:eastAsia="Microsoft Sans Serif"/>
          <w:szCs w:val="22"/>
        </w:rPr>
        <w:cr/>
      </w:r>
    </w:p>
    <w:sectPr w:rsidR="003B6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DDE2" w14:textId="77777777" w:rsidR="00C35472" w:rsidRDefault="00C35472" w:rsidP="001C0732">
      <w:pPr>
        <w:spacing w:line="240" w:lineRule="auto"/>
      </w:pPr>
      <w:r>
        <w:separator/>
      </w:r>
    </w:p>
  </w:endnote>
  <w:endnote w:type="continuationSeparator" w:id="0">
    <w:p w14:paraId="10BDACD7" w14:textId="77777777" w:rsidR="00C35472" w:rsidRDefault="00C35472" w:rsidP="001C0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65B3" w14:textId="77777777" w:rsidR="00561649" w:rsidRPr="00561649" w:rsidRDefault="00561649">
    <w:pPr>
      <w:pStyle w:val="Footer"/>
      <w:tabs>
        <w:tab w:val="clear" w:pos="4680"/>
        <w:tab w:val="clear" w:pos="9360"/>
      </w:tabs>
      <w:rPr>
        <w:caps/>
        <w:noProof/>
        <w:sz w:val="20"/>
        <w:szCs w:val="20"/>
      </w:rPr>
    </w:pPr>
    <w:r w:rsidRPr="00561649">
      <w:rPr>
        <w:caps/>
        <w:sz w:val="20"/>
        <w:szCs w:val="20"/>
      </w:rPr>
      <w:fldChar w:fldCharType="begin"/>
    </w:r>
    <w:r w:rsidRPr="00561649">
      <w:rPr>
        <w:caps/>
        <w:sz w:val="20"/>
        <w:szCs w:val="20"/>
      </w:rPr>
      <w:instrText xml:space="preserve"> PAGE   \* MERGEFORMAT </w:instrText>
    </w:r>
    <w:r w:rsidRPr="00561649">
      <w:rPr>
        <w:caps/>
        <w:sz w:val="20"/>
        <w:szCs w:val="20"/>
      </w:rPr>
      <w:fldChar w:fldCharType="separate"/>
    </w:r>
    <w:r w:rsidRPr="00561649">
      <w:rPr>
        <w:caps/>
        <w:noProof/>
        <w:sz w:val="20"/>
        <w:szCs w:val="20"/>
      </w:rPr>
      <w:t>2</w:t>
    </w:r>
    <w:r w:rsidRPr="00561649">
      <w:rPr>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DD22" w14:textId="77777777" w:rsidR="00C35472" w:rsidRDefault="00C35472" w:rsidP="00C7158D">
      <w:pPr>
        <w:spacing w:line="240" w:lineRule="auto"/>
        <w:jc w:val="both"/>
      </w:pPr>
      <w:r>
        <w:separator/>
      </w:r>
    </w:p>
  </w:footnote>
  <w:footnote w:type="continuationSeparator" w:id="0">
    <w:p w14:paraId="71294CD5" w14:textId="77777777" w:rsidR="00C35472" w:rsidRDefault="00C35472" w:rsidP="001C0732">
      <w:pPr>
        <w:spacing w:line="240" w:lineRule="auto"/>
      </w:pPr>
      <w:r>
        <w:continuationSeparator/>
      </w:r>
    </w:p>
  </w:footnote>
  <w:footnote w:id="1">
    <w:p w14:paraId="79CEFBD4" w14:textId="1DBF0CC5" w:rsidR="00964E5F" w:rsidRPr="000C19F2" w:rsidRDefault="00964E5F">
      <w:pPr>
        <w:pStyle w:val="FootnoteText"/>
        <w:rPr>
          <w:sz w:val="20"/>
          <w:szCs w:val="20"/>
        </w:rPr>
      </w:pPr>
      <w:r>
        <w:rPr>
          <w:rStyle w:val="FootnoteReference"/>
        </w:rPr>
        <w:footnoteRef/>
      </w:r>
      <w:r>
        <w:t xml:space="preserve"> </w:t>
      </w:r>
      <w:r>
        <w:tab/>
      </w:r>
      <w:r w:rsidRPr="000C19F2">
        <w:rPr>
          <w:sz w:val="20"/>
          <w:szCs w:val="20"/>
        </w:rPr>
        <w:t xml:space="preserve">The Answer and Preliminary Objections </w:t>
      </w:r>
      <w:r w:rsidR="00B809A4" w:rsidRPr="000C19F2">
        <w:rPr>
          <w:sz w:val="20"/>
          <w:szCs w:val="20"/>
        </w:rPr>
        <w:t xml:space="preserve">were due on </w:t>
      </w:r>
      <w:r w:rsidR="00DB43E4" w:rsidRPr="000C19F2">
        <w:rPr>
          <w:sz w:val="20"/>
          <w:szCs w:val="20"/>
        </w:rPr>
        <w:t xml:space="preserve">October 13, 2019 which was a Sunday.  The next day was </w:t>
      </w:r>
      <w:r w:rsidR="00D63C53" w:rsidRPr="000C19F2">
        <w:rPr>
          <w:sz w:val="20"/>
          <w:szCs w:val="20"/>
        </w:rPr>
        <w:t>a federal holiday (Columbus Day)</w:t>
      </w:r>
      <w:r w:rsidR="0069580F" w:rsidRPr="000C19F2">
        <w:rPr>
          <w:sz w:val="20"/>
          <w:szCs w:val="20"/>
        </w:rPr>
        <w:t xml:space="preserve">.  As such the filing deadline would be </w:t>
      </w:r>
      <w:r w:rsidR="00412DA6" w:rsidRPr="000C19F2">
        <w:rPr>
          <w:sz w:val="20"/>
          <w:szCs w:val="20"/>
        </w:rPr>
        <w:t>October 15, 2019</w:t>
      </w:r>
      <w:r w:rsidR="00E47AAC">
        <w:rPr>
          <w:sz w:val="20"/>
          <w:szCs w:val="20"/>
        </w:rPr>
        <w:t>,</w:t>
      </w:r>
      <w:r w:rsidR="009E5EE5" w:rsidRPr="000C19F2">
        <w:rPr>
          <w:sz w:val="20"/>
          <w:szCs w:val="20"/>
        </w:rPr>
        <w:t xml:space="preserve"> in accordance with </w:t>
      </w:r>
      <w:r w:rsidR="00620DAC" w:rsidRPr="000C19F2">
        <w:rPr>
          <w:sz w:val="20"/>
          <w:szCs w:val="20"/>
        </w:rPr>
        <w:t xml:space="preserve">52 </w:t>
      </w:r>
      <w:proofErr w:type="gramStart"/>
      <w:r w:rsidR="00620DAC" w:rsidRPr="000C19F2">
        <w:rPr>
          <w:sz w:val="20"/>
          <w:szCs w:val="20"/>
        </w:rPr>
        <w:t>Pa.Code</w:t>
      </w:r>
      <w:proofErr w:type="gramEnd"/>
      <w:r w:rsidR="00620DAC" w:rsidRPr="000C19F2">
        <w:rPr>
          <w:sz w:val="20"/>
          <w:szCs w:val="20"/>
        </w:rPr>
        <w:t xml:space="preserve"> </w:t>
      </w:r>
      <w:r w:rsidR="00944D71" w:rsidRPr="000C19F2">
        <w:rPr>
          <w:sz w:val="20"/>
          <w:szCs w:val="20"/>
        </w:rPr>
        <w:t>§§ 5.101</w:t>
      </w:r>
      <w:r w:rsidR="005700C9" w:rsidRPr="000C19F2">
        <w:rPr>
          <w:sz w:val="20"/>
          <w:szCs w:val="20"/>
        </w:rPr>
        <w:t xml:space="preserve">(d) and </w:t>
      </w:r>
      <w:r w:rsidR="00E12195" w:rsidRPr="000C19F2">
        <w:rPr>
          <w:sz w:val="20"/>
          <w:szCs w:val="20"/>
        </w:rPr>
        <w:t xml:space="preserve">5.61(a).  </w:t>
      </w:r>
    </w:p>
  </w:footnote>
  <w:footnote w:id="2">
    <w:p w14:paraId="7F2BA159" w14:textId="1845C58A" w:rsidR="00C57AA9" w:rsidRPr="00EC0151" w:rsidRDefault="00C57AA9">
      <w:pPr>
        <w:pStyle w:val="FootnoteText"/>
        <w:rPr>
          <w:sz w:val="20"/>
          <w:szCs w:val="20"/>
        </w:rPr>
      </w:pPr>
      <w:r>
        <w:rPr>
          <w:rStyle w:val="FootnoteReference"/>
        </w:rPr>
        <w:footnoteRef/>
      </w:r>
      <w:r>
        <w:t xml:space="preserve"> </w:t>
      </w:r>
      <w:r>
        <w:tab/>
      </w:r>
      <w:r w:rsidRPr="00EC0151">
        <w:rPr>
          <w:sz w:val="20"/>
          <w:szCs w:val="20"/>
        </w:rPr>
        <w:t xml:space="preserve">The matter was rescheduled for </w:t>
      </w:r>
      <w:r w:rsidR="003A772C" w:rsidRPr="00EC0151">
        <w:rPr>
          <w:sz w:val="20"/>
          <w:szCs w:val="20"/>
        </w:rPr>
        <w:t>an initial hearing on March 2, 2020</w:t>
      </w:r>
      <w:r w:rsidR="00EC0151" w:rsidRPr="00EC0151">
        <w:rPr>
          <w:sz w:val="20"/>
          <w:szCs w:val="20"/>
        </w:rPr>
        <w:t xml:space="preserve"> at 10:00 a.m.</w:t>
      </w:r>
      <w:r w:rsidR="00557675" w:rsidRPr="00EC0151">
        <w:rPr>
          <w:sz w:val="20"/>
          <w:szCs w:val="20"/>
        </w:rPr>
        <w:t xml:space="preserve"> via a </w:t>
      </w:r>
      <w:r w:rsidR="00191CA3" w:rsidRPr="00EC0151">
        <w:rPr>
          <w:sz w:val="20"/>
          <w:szCs w:val="20"/>
        </w:rPr>
        <w:t>Cancellation/Reschedule Notice date January 22, 2020</w:t>
      </w:r>
      <w:r w:rsidR="00EC0151" w:rsidRPr="00EC0151">
        <w:rPr>
          <w:sz w:val="20"/>
          <w:szCs w:val="20"/>
        </w:rPr>
        <w:t xml:space="preserve"> due to a conflict in the presiding officer’s schedule. </w:t>
      </w:r>
      <w:r w:rsidR="00C7158D">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2EA"/>
    <w:multiLevelType w:val="hybridMultilevel"/>
    <w:tmpl w:val="EC1A62AE"/>
    <w:lvl w:ilvl="0" w:tplc="A4EEEEB2">
      <w:start w:val="1"/>
      <w:numFmt w:val="low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247322"/>
    <w:multiLevelType w:val="hybridMultilevel"/>
    <w:tmpl w:val="A608351E"/>
    <w:lvl w:ilvl="0" w:tplc="65E229B0">
      <w:start w:val="1"/>
      <w:numFmt w:val="lowerLetter"/>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32"/>
    <w:rsid w:val="00002268"/>
    <w:rsid w:val="00025ACF"/>
    <w:rsid w:val="0005202A"/>
    <w:rsid w:val="0007374D"/>
    <w:rsid w:val="00085173"/>
    <w:rsid w:val="000C19F2"/>
    <w:rsid w:val="000C36B8"/>
    <w:rsid w:val="000F2C5C"/>
    <w:rsid w:val="001342A2"/>
    <w:rsid w:val="00191CA3"/>
    <w:rsid w:val="001C0732"/>
    <w:rsid w:val="001C62CF"/>
    <w:rsid w:val="002035FE"/>
    <w:rsid w:val="002561B6"/>
    <w:rsid w:val="002966CA"/>
    <w:rsid w:val="002A3F5C"/>
    <w:rsid w:val="002D0A8D"/>
    <w:rsid w:val="002E6090"/>
    <w:rsid w:val="00363B07"/>
    <w:rsid w:val="003A772C"/>
    <w:rsid w:val="003B6687"/>
    <w:rsid w:val="00412DA6"/>
    <w:rsid w:val="00455C5F"/>
    <w:rsid w:val="004830D7"/>
    <w:rsid w:val="004964C9"/>
    <w:rsid w:val="004F062F"/>
    <w:rsid w:val="005104CB"/>
    <w:rsid w:val="00551756"/>
    <w:rsid w:val="00557675"/>
    <w:rsid w:val="00561649"/>
    <w:rsid w:val="005700C9"/>
    <w:rsid w:val="00597D2A"/>
    <w:rsid w:val="005E4CDB"/>
    <w:rsid w:val="005F03D9"/>
    <w:rsid w:val="00620DAC"/>
    <w:rsid w:val="0069580F"/>
    <w:rsid w:val="006B3D92"/>
    <w:rsid w:val="006D7F1F"/>
    <w:rsid w:val="00713C7F"/>
    <w:rsid w:val="007237CA"/>
    <w:rsid w:val="00767F15"/>
    <w:rsid w:val="0078051C"/>
    <w:rsid w:val="007A62F0"/>
    <w:rsid w:val="00837B11"/>
    <w:rsid w:val="008602AA"/>
    <w:rsid w:val="008656C1"/>
    <w:rsid w:val="0092740A"/>
    <w:rsid w:val="00944D71"/>
    <w:rsid w:val="00964E5F"/>
    <w:rsid w:val="0097047F"/>
    <w:rsid w:val="009D5DCE"/>
    <w:rsid w:val="009E434F"/>
    <w:rsid w:val="009E5EE5"/>
    <w:rsid w:val="00A43451"/>
    <w:rsid w:val="00A4519E"/>
    <w:rsid w:val="00AC4095"/>
    <w:rsid w:val="00B72713"/>
    <w:rsid w:val="00B809A4"/>
    <w:rsid w:val="00C017F4"/>
    <w:rsid w:val="00C0593B"/>
    <w:rsid w:val="00C26B66"/>
    <w:rsid w:val="00C35472"/>
    <w:rsid w:val="00C57AA9"/>
    <w:rsid w:val="00C7158D"/>
    <w:rsid w:val="00CC59F9"/>
    <w:rsid w:val="00D2355F"/>
    <w:rsid w:val="00D52BB5"/>
    <w:rsid w:val="00D63C53"/>
    <w:rsid w:val="00D665D9"/>
    <w:rsid w:val="00D71761"/>
    <w:rsid w:val="00D77902"/>
    <w:rsid w:val="00DB43E4"/>
    <w:rsid w:val="00DE715A"/>
    <w:rsid w:val="00E12195"/>
    <w:rsid w:val="00E47AAC"/>
    <w:rsid w:val="00EB22D7"/>
    <w:rsid w:val="00EC0151"/>
    <w:rsid w:val="00FA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E7BE"/>
  <w15:chartTrackingRefBased/>
  <w15:docId w15:val="{9FAB54A8-EB89-4339-9299-7483AD4A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32"/>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C0732"/>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1C0732"/>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1C0732"/>
    <w:rPr>
      <w:vertAlign w:val="superscript"/>
    </w:rPr>
  </w:style>
  <w:style w:type="paragraph" w:styleId="ListParagraph">
    <w:name w:val="List Paragraph"/>
    <w:basedOn w:val="Normal"/>
    <w:uiPriority w:val="34"/>
    <w:qFormat/>
    <w:rsid w:val="00597D2A"/>
    <w:pPr>
      <w:ind w:left="720"/>
      <w:contextualSpacing/>
    </w:pPr>
  </w:style>
  <w:style w:type="character" w:customStyle="1" w:styleId="keyotihighlight1">
    <w:name w:val="keyoti_highlight1"/>
    <w:basedOn w:val="DefaultParagraphFont"/>
    <w:rsid w:val="00597D2A"/>
    <w:rPr>
      <w:b/>
      <w:bCs/>
      <w:shd w:val="clear" w:color="auto" w:fill="FFFF00"/>
    </w:rPr>
  </w:style>
  <w:style w:type="paragraph" w:styleId="EndnoteText">
    <w:name w:val="endnote text"/>
    <w:basedOn w:val="Normal"/>
    <w:link w:val="EndnoteTextChar"/>
    <w:uiPriority w:val="99"/>
    <w:semiHidden/>
    <w:unhideWhenUsed/>
    <w:rsid w:val="002966CA"/>
    <w:pPr>
      <w:spacing w:line="240" w:lineRule="auto"/>
    </w:pPr>
    <w:rPr>
      <w:sz w:val="20"/>
      <w:szCs w:val="20"/>
    </w:rPr>
  </w:style>
  <w:style w:type="character" w:customStyle="1" w:styleId="EndnoteTextChar">
    <w:name w:val="Endnote Text Char"/>
    <w:basedOn w:val="DefaultParagraphFont"/>
    <w:link w:val="EndnoteText"/>
    <w:uiPriority w:val="99"/>
    <w:semiHidden/>
    <w:rsid w:val="002966C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966CA"/>
    <w:rPr>
      <w:vertAlign w:val="superscript"/>
    </w:rPr>
  </w:style>
  <w:style w:type="paragraph" w:styleId="Header">
    <w:name w:val="header"/>
    <w:basedOn w:val="Normal"/>
    <w:link w:val="HeaderChar"/>
    <w:uiPriority w:val="99"/>
    <w:unhideWhenUsed/>
    <w:rsid w:val="00561649"/>
    <w:pPr>
      <w:tabs>
        <w:tab w:val="center" w:pos="4680"/>
        <w:tab w:val="right" w:pos="9360"/>
      </w:tabs>
      <w:spacing w:line="240" w:lineRule="auto"/>
    </w:pPr>
  </w:style>
  <w:style w:type="character" w:customStyle="1" w:styleId="HeaderChar">
    <w:name w:val="Header Char"/>
    <w:basedOn w:val="DefaultParagraphFont"/>
    <w:link w:val="Header"/>
    <w:uiPriority w:val="99"/>
    <w:rsid w:val="00561649"/>
    <w:rPr>
      <w:rFonts w:ascii="Times New Roman" w:hAnsi="Times New Roman" w:cs="Times New Roman"/>
      <w:sz w:val="24"/>
      <w:szCs w:val="24"/>
    </w:rPr>
  </w:style>
  <w:style w:type="paragraph" w:styleId="Footer">
    <w:name w:val="footer"/>
    <w:basedOn w:val="Normal"/>
    <w:link w:val="FooterChar"/>
    <w:uiPriority w:val="99"/>
    <w:unhideWhenUsed/>
    <w:rsid w:val="00561649"/>
    <w:pPr>
      <w:tabs>
        <w:tab w:val="center" w:pos="4680"/>
        <w:tab w:val="right" w:pos="9360"/>
      </w:tabs>
      <w:spacing w:line="240" w:lineRule="auto"/>
    </w:pPr>
  </w:style>
  <w:style w:type="character" w:customStyle="1" w:styleId="FooterChar">
    <w:name w:val="Footer Char"/>
    <w:basedOn w:val="DefaultParagraphFont"/>
    <w:link w:val="Footer"/>
    <w:uiPriority w:val="99"/>
    <w:rsid w:val="005616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4337">
      <w:bodyDiv w:val="1"/>
      <w:marLeft w:val="0"/>
      <w:marRight w:val="0"/>
      <w:marTop w:val="0"/>
      <w:marBottom w:val="0"/>
      <w:divBdr>
        <w:top w:val="none" w:sz="0" w:space="0" w:color="auto"/>
        <w:left w:val="none" w:sz="0" w:space="0" w:color="auto"/>
        <w:bottom w:val="none" w:sz="0" w:space="0" w:color="auto"/>
        <w:right w:val="none" w:sz="0" w:space="0" w:color="auto"/>
      </w:divBdr>
    </w:div>
    <w:div w:id="10967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E457-A706-4FEE-830B-1CE2A4EB8516}">
  <ds:schemaRefs>
    <ds:schemaRef ds:uri="http://schemas.microsoft.com/sharepoint/v3/contenttype/forms"/>
  </ds:schemaRefs>
</ds:datastoreItem>
</file>

<file path=customXml/itemProps2.xml><?xml version="1.0" encoding="utf-8"?>
<ds:datastoreItem xmlns:ds="http://schemas.openxmlformats.org/officeDocument/2006/customXml" ds:itemID="{FEA397E4-5E0B-4CB1-80CE-B29AD5F6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03B56-B75F-4A7C-AE86-B4EFFBA446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DD7A20-FEFF-42F7-BABC-07CB834F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14</cp:revision>
  <dcterms:created xsi:type="dcterms:W3CDTF">2020-03-03T15:55:00Z</dcterms:created>
  <dcterms:modified xsi:type="dcterms:W3CDTF">2020-03-03T16:36:00Z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