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2D09"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jc w:val="center"/>
        <w:rPr>
          <w:b/>
          <w:bCs/>
        </w:rPr>
      </w:pPr>
      <w:r>
        <w:rPr>
          <w:b/>
          <w:bCs/>
        </w:rPr>
        <w:t>BEFORE THE</w:t>
      </w:r>
    </w:p>
    <w:p w14:paraId="0D2578C8" w14:textId="77777777" w:rsidR="00A37B75" w:rsidRDefault="00A37B75" w:rsidP="00A37B75">
      <w:pPr>
        <w:pStyle w:val="Body"/>
        <w:tabs>
          <w:tab w:val="left" w:pos="720"/>
          <w:tab w:val="left" w:pos="1440"/>
          <w:tab w:val="left" w:pos="2160"/>
          <w:tab w:val="left" w:pos="2880"/>
          <w:tab w:val="left" w:pos="3600"/>
          <w:tab w:val="left" w:pos="4320"/>
          <w:tab w:val="center" w:pos="4680"/>
          <w:tab w:val="left" w:pos="5040"/>
          <w:tab w:val="left" w:pos="5760"/>
          <w:tab w:val="left" w:pos="6480"/>
        </w:tabs>
        <w:suppressAutoHyphens/>
        <w:jc w:val="center"/>
        <w:rPr>
          <w:b/>
          <w:bCs/>
        </w:rPr>
      </w:pPr>
      <w:r>
        <w:rPr>
          <w:b/>
          <w:bCs/>
        </w:rPr>
        <w:t>PENNSYLVANIA PUBLIC UTILITY COMMISSION</w:t>
      </w:r>
    </w:p>
    <w:p w14:paraId="71974135"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pPr>
    </w:p>
    <w:p w14:paraId="52AD8311"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pPr>
    </w:p>
    <w:p w14:paraId="658A03E8"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pPr>
    </w:p>
    <w:p w14:paraId="7AC4C839" w14:textId="77777777" w:rsidR="00A37B75" w:rsidRDefault="00A37B75" w:rsidP="00A37B75">
      <w:pPr>
        <w:pStyle w:val="NoSpacing"/>
      </w:pPr>
      <w:r>
        <w:t>Eileen Walden</w:t>
      </w:r>
      <w:r>
        <w:tab/>
      </w:r>
      <w:r>
        <w:tab/>
      </w:r>
      <w:r>
        <w:tab/>
      </w:r>
      <w:r>
        <w:tab/>
      </w:r>
      <w:r>
        <w:tab/>
      </w:r>
      <w:r>
        <w:tab/>
        <w:t>:</w:t>
      </w:r>
    </w:p>
    <w:p w14:paraId="6A4236F4" w14:textId="77777777" w:rsidR="00A37B75" w:rsidRDefault="00A37B75" w:rsidP="00A37B75">
      <w:pPr>
        <w:pStyle w:val="NoSpacing"/>
      </w:pPr>
      <w:r>
        <w:tab/>
      </w:r>
      <w:r>
        <w:tab/>
      </w:r>
      <w:r>
        <w:tab/>
      </w:r>
      <w:r>
        <w:tab/>
      </w:r>
      <w:r>
        <w:tab/>
      </w:r>
      <w:r>
        <w:tab/>
      </w:r>
      <w:r>
        <w:tab/>
        <w:t>:</w:t>
      </w:r>
    </w:p>
    <w:p w14:paraId="09431F69" w14:textId="77777777" w:rsidR="00A37B75" w:rsidRDefault="00A37B75" w:rsidP="00A37B75">
      <w:pPr>
        <w:pStyle w:val="NoSpacing"/>
      </w:pPr>
      <w:r>
        <w:tab/>
        <w:t>v.</w:t>
      </w:r>
      <w:r>
        <w:tab/>
      </w:r>
      <w:r>
        <w:tab/>
      </w:r>
      <w:r>
        <w:tab/>
      </w:r>
      <w:r>
        <w:tab/>
      </w:r>
      <w:r>
        <w:tab/>
      </w:r>
      <w:r>
        <w:tab/>
        <w:t>:</w:t>
      </w:r>
      <w:r>
        <w:tab/>
      </w:r>
      <w:r>
        <w:tab/>
        <w:t>F-2019-3011507</w:t>
      </w:r>
    </w:p>
    <w:p w14:paraId="6F18C0C7" w14:textId="77777777" w:rsidR="00A37B75" w:rsidRDefault="00A37B75" w:rsidP="00A37B75">
      <w:pPr>
        <w:pStyle w:val="NoSpacing"/>
      </w:pPr>
      <w:r>
        <w:tab/>
      </w:r>
      <w:r>
        <w:tab/>
      </w:r>
      <w:r>
        <w:tab/>
      </w:r>
      <w:r>
        <w:tab/>
      </w:r>
      <w:r>
        <w:tab/>
      </w:r>
      <w:r>
        <w:tab/>
      </w:r>
      <w:r>
        <w:tab/>
        <w:t>:</w:t>
      </w:r>
    </w:p>
    <w:p w14:paraId="23A896FE" w14:textId="77777777" w:rsidR="00A37B75" w:rsidRDefault="00A37B75" w:rsidP="00A37B75">
      <w:pPr>
        <w:pStyle w:val="NoSpacing"/>
      </w:pPr>
      <w:r>
        <w:t>PECO Energy Company</w:t>
      </w:r>
      <w:r>
        <w:tab/>
      </w:r>
      <w:r>
        <w:tab/>
      </w:r>
      <w:r>
        <w:tab/>
      </w:r>
      <w:r>
        <w:tab/>
        <w:t>:</w:t>
      </w:r>
    </w:p>
    <w:p w14:paraId="15B55C20"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jc w:val="both"/>
      </w:pPr>
    </w:p>
    <w:p w14:paraId="699C06E6"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jc w:val="both"/>
      </w:pPr>
    </w:p>
    <w:p w14:paraId="21C18624"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jc w:val="both"/>
      </w:pPr>
    </w:p>
    <w:p w14:paraId="1843CBBA" w14:textId="77777777" w:rsidR="00A37B75" w:rsidRDefault="00A37B75" w:rsidP="00A37B75">
      <w:pPr>
        <w:pStyle w:val="Body"/>
        <w:tabs>
          <w:tab w:val="left" w:pos="204"/>
          <w:tab w:val="left" w:pos="720"/>
          <w:tab w:val="left" w:pos="1440"/>
          <w:tab w:val="left" w:pos="2160"/>
          <w:tab w:val="left" w:pos="2880"/>
          <w:tab w:val="left" w:pos="3600"/>
          <w:tab w:val="left" w:pos="4320"/>
          <w:tab w:val="left" w:pos="5040"/>
          <w:tab w:val="left" w:pos="5760"/>
          <w:tab w:val="left" w:pos="6480"/>
        </w:tabs>
        <w:jc w:val="center"/>
        <w:rPr>
          <w:b/>
          <w:bCs/>
          <w:u w:val="single"/>
        </w:rPr>
      </w:pPr>
      <w:r>
        <w:rPr>
          <w:b/>
          <w:bCs/>
          <w:u w:val="single"/>
        </w:rPr>
        <w:t>INITIAL DECISION</w:t>
      </w:r>
    </w:p>
    <w:p w14:paraId="7BEB5E55" w14:textId="77777777" w:rsidR="00A37B75" w:rsidRDefault="00A37B75" w:rsidP="00A37B75">
      <w:pPr>
        <w:pStyle w:val="Body"/>
        <w:tabs>
          <w:tab w:val="left" w:pos="204"/>
          <w:tab w:val="left" w:pos="720"/>
          <w:tab w:val="left" w:pos="1440"/>
          <w:tab w:val="left" w:pos="2160"/>
          <w:tab w:val="left" w:pos="2880"/>
          <w:tab w:val="left" w:pos="3600"/>
          <w:tab w:val="left" w:pos="4320"/>
          <w:tab w:val="left" w:pos="5040"/>
          <w:tab w:val="left" w:pos="5760"/>
          <w:tab w:val="left" w:pos="6480"/>
        </w:tabs>
        <w:rPr>
          <w:bCs/>
        </w:rPr>
      </w:pPr>
    </w:p>
    <w:p w14:paraId="0F8ED2D3" w14:textId="77777777" w:rsidR="00A37B75" w:rsidRDefault="00A37B75" w:rsidP="00A37B75">
      <w:pPr>
        <w:pStyle w:val="Body"/>
        <w:tabs>
          <w:tab w:val="left" w:pos="204"/>
          <w:tab w:val="left" w:pos="720"/>
          <w:tab w:val="left" w:pos="1440"/>
          <w:tab w:val="left" w:pos="2160"/>
          <w:tab w:val="left" w:pos="2880"/>
          <w:tab w:val="left" w:pos="3600"/>
          <w:tab w:val="left" w:pos="4320"/>
          <w:tab w:val="left" w:pos="5040"/>
          <w:tab w:val="left" w:pos="5760"/>
          <w:tab w:val="left" w:pos="6480"/>
        </w:tabs>
        <w:rPr>
          <w:bCs/>
        </w:rPr>
      </w:pPr>
    </w:p>
    <w:p w14:paraId="753AAA83" w14:textId="77777777" w:rsidR="00A37B75" w:rsidRDefault="00A37B75" w:rsidP="00A37B75">
      <w:pPr>
        <w:pStyle w:val="TxBrc2"/>
        <w:tabs>
          <w:tab w:val="left" w:pos="204"/>
          <w:tab w:val="left" w:pos="720"/>
          <w:tab w:val="left" w:pos="1440"/>
          <w:tab w:val="left" w:pos="2160"/>
          <w:tab w:val="left" w:pos="2880"/>
          <w:tab w:val="left" w:pos="3600"/>
          <w:tab w:val="left" w:pos="4320"/>
          <w:tab w:val="left" w:pos="5040"/>
          <w:tab w:val="left" w:pos="5760"/>
          <w:tab w:val="left" w:pos="6480"/>
        </w:tabs>
        <w:spacing w:line="240" w:lineRule="auto"/>
      </w:pPr>
      <w:r>
        <w:t>Before</w:t>
      </w:r>
    </w:p>
    <w:p w14:paraId="66AC56D4" w14:textId="77777777" w:rsidR="00A37B75" w:rsidRDefault="00A37B75" w:rsidP="00A37B75">
      <w:pPr>
        <w:pStyle w:val="TxBrc2"/>
        <w:tabs>
          <w:tab w:val="left" w:pos="204"/>
          <w:tab w:val="left" w:pos="720"/>
          <w:tab w:val="left" w:pos="1440"/>
          <w:tab w:val="left" w:pos="2160"/>
          <w:tab w:val="left" w:pos="2880"/>
          <w:tab w:val="left" w:pos="3600"/>
          <w:tab w:val="left" w:pos="4320"/>
          <w:tab w:val="left" w:pos="5040"/>
          <w:tab w:val="left" w:pos="5760"/>
          <w:tab w:val="left" w:pos="6480"/>
        </w:tabs>
        <w:spacing w:line="240" w:lineRule="auto"/>
      </w:pPr>
      <w:r>
        <w:t>Marta Guhl</w:t>
      </w:r>
    </w:p>
    <w:p w14:paraId="7C8BEAF0" w14:textId="77777777" w:rsidR="00A37B75" w:rsidRDefault="00A37B75" w:rsidP="00A37B75">
      <w:pPr>
        <w:pStyle w:val="TxBrc2"/>
        <w:tabs>
          <w:tab w:val="left" w:pos="204"/>
          <w:tab w:val="left" w:pos="720"/>
          <w:tab w:val="left" w:pos="1440"/>
          <w:tab w:val="left" w:pos="2160"/>
          <w:tab w:val="left" w:pos="2880"/>
          <w:tab w:val="left" w:pos="3600"/>
          <w:tab w:val="left" w:pos="4320"/>
          <w:tab w:val="left" w:pos="5040"/>
          <w:tab w:val="left" w:pos="5760"/>
          <w:tab w:val="left" w:pos="6480"/>
        </w:tabs>
        <w:spacing w:line="240" w:lineRule="auto"/>
      </w:pPr>
      <w:r>
        <w:t>Administrative Law Judge</w:t>
      </w:r>
    </w:p>
    <w:p w14:paraId="1EC0F6EB" w14:textId="77777777" w:rsidR="00A37B75" w:rsidRDefault="00A37B75" w:rsidP="00A37B75">
      <w:pPr>
        <w:pStyle w:val="Body"/>
        <w:tabs>
          <w:tab w:val="left" w:pos="204"/>
          <w:tab w:val="left" w:pos="720"/>
          <w:tab w:val="left" w:pos="1440"/>
          <w:tab w:val="left" w:pos="2160"/>
          <w:tab w:val="left" w:pos="2880"/>
          <w:tab w:val="left" w:pos="3600"/>
          <w:tab w:val="left" w:pos="4320"/>
          <w:tab w:val="left" w:pos="5040"/>
          <w:tab w:val="left" w:pos="5760"/>
          <w:tab w:val="left" w:pos="6480"/>
        </w:tabs>
      </w:pPr>
    </w:p>
    <w:p w14:paraId="6BCD676A" w14:textId="77777777" w:rsidR="00A37B75" w:rsidRDefault="00A37B75" w:rsidP="00A37B75">
      <w:pPr>
        <w:pStyle w:val="Body"/>
        <w:tabs>
          <w:tab w:val="left" w:pos="204"/>
          <w:tab w:val="left" w:pos="720"/>
          <w:tab w:val="left" w:pos="1440"/>
          <w:tab w:val="left" w:pos="2160"/>
          <w:tab w:val="left" w:pos="2880"/>
          <w:tab w:val="left" w:pos="3600"/>
          <w:tab w:val="left" w:pos="4320"/>
          <w:tab w:val="left" w:pos="5040"/>
          <w:tab w:val="left" w:pos="5760"/>
          <w:tab w:val="left" w:pos="6480"/>
        </w:tabs>
      </w:pPr>
    </w:p>
    <w:p w14:paraId="420549BD"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jc w:val="center"/>
        <w:rPr>
          <w:u w:val="single"/>
        </w:rPr>
      </w:pPr>
      <w:r>
        <w:rPr>
          <w:u w:val="single"/>
        </w:rPr>
        <w:t>INTRODUCTION</w:t>
      </w:r>
    </w:p>
    <w:p w14:paraId="5FEAB7CB" w14:textId="77777777" w:rsidR="00A37B75" w:rsidRDefault="00A37B75"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ind w:firstLine="0"/>
        <w:jc w:val="center"/>
      </w:pPr>
    </w:p>
    <w:p w14:paraId="4A99C24F" w14:textId="77777777" w:rsidR="00A37B75" w:rsidRDefault="00A37B75"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ind w:firstLine="0"/>
        <w:jc w:val="center"/>
      </w:pPr>
    </w:p>
    <w:p w14:paraId="07C02931" w14:textId="4378FBA9"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pPr>
      <w:r>
        <w:tab/>
      </w:r>
      <w:r>
        <w:tab/>
        <w:t xml:space="preserve">This Initial Decision dismisses the Complainant’s </w:t>
      </w:r>
      <w:r w:rsidR="00C06223">
        <w:t xml:space="preserve">amended </w:t>
      </w:r>
      <w:r>
        <w:t xml:space="preserve">formal Complaint because she failed to sustain her burden of </w:t>
      </w:r>
      <w:r w:rsidR="00BF1AC4">
        <w:t>proving</w:t>
      </w:r>
      <w:r w:rsidR="00857A04">
        <w:t xml:space="preserve"> </w:t>
      </w:r>
      <w:r>
        <w:t>that PECO Energy Company violated any Commission orders or regulations concerning charges on her bill, or that it failed to provide her with safe and reliable service.</w:t>
      </w:r>
    </w:p>
    <w:p w14:paraId="71F90421"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pPr>
    </w:p>
    <w:p w14:paraId="79206331"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spacing w:line="360" w:lineRule="auto"/>
        <w:jc w:val="center"/>
      </w:pPr>
      <w:r>
        <w:rPr>
          <w:u w:val="single"/>
        </w:rPr>
        <w:t>HISTORY OF THE PROCEEDING</w:t>
      </w:r>
    </w:p>
    <w:p w14:paraId="6A8A3CB8" w14:textId="77777777" w:rsidR="00A37B75" w:rsidRDefault="00A37B75"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spacing w:line="360" w:lineRule="auto"/>
        <w:ind w:firstLine="0"/>
        <w:jc w:val="center"/>
      </w:pPr>
    </w:p>
    <w:p w14:paraId="54484AAA" w14:textId="539C138C" w:rsidR="00A37B75" w:rsidRDefault="00A37B75"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spacing w:line="360" w:lineRule="auto"/>
      </w:pPr>
      <w:r>
        <w:t>On</w:t>
      </w:r>
      <w:r w:rsidR="004A2ABE">
        <w:t xml:space="preserve"> July 5,</w:t>
      </w:r>
      <w:r>
        <w:t xml:space="preserve"> </w:t>
      </w:r>
      <w:r w:rsidR="008A47D3">
        <w:t>2019</w:t>
      </w:r>
      <w:r>
        <w:t xml:space="preserve">, </w:t>
      </w:r>
      <w:r w:rsidR="008A47D3">
        <w:t>Eileen Walden</w:t>
      </w:r>
      <w:r>
        <w:t xml:space="preserve"> (Complainant or Ms. </w:t>
      </w:r>
      <w:r w:rsidR="008A47D3">
        <w:t>Walden</w:t>
      </w:r>
      <w:r>
        <w:t xml:space="preserve">) filed a formal Complaint (Complaint) against PECO Energy Company (PECO or Respondent) with the Pennsylvania Public Utility Commission (Commission).  In the Complaint, the Complainant indicated that there were incorrect charges on her bill and that she had a safety and reliability issue with her service.  The Complainant requested a review of her bills. </w:t>
      </w:r>
    </w:p>
    <w:p w14:paraId="7451D9F9" w14:textId="77777777" w:rsidR="008A47D3" w:rsidRDefault="008A47D3"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spacing w:line="360" w:lineRule="auto"/>
      </w:pPr>
    </w:p>
    <w:p w14:paraId="74654434" w14:textId="131D4481" w:rsidR="00A37B75" w:rsidRDefault="00A37B75"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spacing w:line="360" w:lineRule="auto"/>
      </w:pPr>
      <w:r>
        <w:t>On</w:t>
      </w:r>
      <w:r w:rsidR="004A2ABE">
        <w:t xml:space="preserve"> July 18,</w:t>
      </w:r>
      <w:r>
        <w:t xml:space="preserve"> </w:t>
      </w:r>
      <w:r w:rsidR="008A47D3">
        <w:t>2019</w:t>
      </w:r>
      <w:r>
        <w:t xml:space="preserve">, Respondent filed an Answer indicating the Complainant does have electric service.  PECO also alleged that the Complainant was actively enrolled in its </w:t>
      </w:r>
      <w:r>
        <w:lastRenderedPageBreak/>
        <w:t xml:space="preserve">Customer Assistance Program (CAP).  The Answer indicated that the Complainant’s entire balance is comprised of CAP arrears.  The Respondent asserted that the Complainant’s bills are based on actual meter readings and the Company conducted a high bill investigation which found her bills to be in line with potential usage and no issues with the meter.  </w:t>
      </w:r>
    </w:p>
    <w:p w14:paraId="6BF68708" w14:textId="77777777" w:rsidR="00A37B75" w:rsidRDefault="00A37B75" w:rsidP="00A37B75">
      <w:pPr>
        <w:pStyle w:val="ParaTab1"/>
        <w:tabs>
          <w:tab w:val="left" w:pos="720"/>
          <w:tab w:val="left" w:pos="1440"/>
          <w:tab w:val="left" w:pos="2070"/>
          <w:tab w:val="left" w:pos="2160"/>
          <w:tab w:val="left" w:pos="2880"/>
          <w:tab w:val="left" w:pos="3600"/>
          <w:tab w:val="left" w:pos="4320"/>
          <w:tab w:val="left" w:pos="5040"/>
          <w:tab w:val="left" w:pos="5760"/>
          <w:tab w:val="left" w:pos="6480"/>
        </w:tabs>
        <w:spacing w:line="360" w:lineRule="auto"/>
        <w:ind w:firstLine="0"/>
      </w:pPr>
    </w:p>
    <w:p w14:paraId="6BA73FC1" w14:textId="67DD1611" w:rsidR="00A37B75" w:rsidRDefault="00A37B75" w:rsidP="00A37B75">
      <w:pPr>
        <w:pStyle w:val="Body"/>
        <w:spacing w:line="360" w:lineRule="auto"/>
        <w:ind w:firstLine="1440"/>
      </w:pPr>
      <w:r>
        <w:t xml:space="preserve">On July </w:t>
      </w:r>
      <w:r w:rsidR="004A2ABE">
        <w:t>19</w:t>
      </w:r>
      <w:r>
        <w:t>, 201</w:t>
      </w:r>
      <w:r w:rsidR="004A2ABE">
        <w:t>9</w:t>
      </w:r>
      <w:r>
        <w:t xml:space="preserve">, a Hearing Notice was issued </w:t>
      </w:r>
      <w:r w:rsidR="004A2ABE">
        <w:t>scheduling</w:t>
      </w:r>
      <w:r>
        <w:t xml:space="preserve"> an initial hearing for </w:t>
      </w:r>
      <w:r w:rsidR="004A2ABE">
        <w:t>Monday</w:t>
      </w:r>
      <w:r>
        <w:t xml:space="preserve">, September </w:t>
      </w:r>
      <w:r w:rsidR="004A2ABE">
        <w:t>9</w:t>
      </w:r>
      <w:r>
        <w:t>, 201</w:t>
      </w:r>
      <w:r w:rsidR="004A2ABE">
        <w:t>9</w:t>
      </w:r>
      <w:r>
        <w:t xml:space="preserve">, at 10:00 a.m., and assigned </w:t>
      </w:r>
      <w:r w:rsidR="004A2ABE">
        <w:t xml:space="preserve">the matter </w:t>
      </w:r>
      <w:r>
        <w:t xml:space="preserve">to me.  I issued a Prehearing Order on </w:t>
      </w:r>
      <w:r w:rsidR="004A2ABE">
        <w:t>July 23</w:t>
      </w:r>
      <w:r>
        <w:t>, 201</w:t>
      </w:r>
      <w:r w:rsidR="004A2ABE">
        <w:t>9</w:t>
      </w:r>
      <w:r>
        <w:t xml:space="preserve">.  </w:t>
      </w:r>
    </w:p>
    <w:p w14:paraId="435D2003" w14:textId="1D70A352" w:rsidR="004A2ABE" w:rsidRDefault="004A2ABE" w:rsidP="00A37B75">
      <w:pPr>
        <w:pStyle w:val="Body"/>
        <w:spacing w:line="360" w:lineRule="auto"/>
        <w:ind w:firstLine="1440"/>
      </w:pPr>
    </w:p>
    <w:p w14:paraId="05363791" w14:textId="1AF394C5" w:rsidR="00A16A1F" w:rsidRDefault="00A16A1F" w:rsidP="00A37B75">
      <w:pPr>
        <w:pStyle w:val="Body"/>
        <w:spacing w:line="360" w:lineRule="auto"/>
        <w:ind w:firstLine="1440"/>
      </w:pPr>
      <w:r>
        <w:t xml:space="preserve">On August 27, 2019, the Complained filed an amended Complaint.  </w:t>
      </w:r>
      <w:r w:rsidR="009E3BF0">
        <w:t xml:space="preserve">The Complainant’s amended Complaint contained two additional paragraphs which addressed her </w:t>
      </w:r>
      <w:r w:rsidR="00A3182D">
        <w:t>informal Complaint to the Bureau of Consumer Services (BCS) and the BCS decision</w:t>
      </w:r>
      <w:r w:rsidR="009E3BF0">
        <w:t>.</w:t>
      </w:r>
      <w:r w:rsidR="00A3182D">
        <w:t xml:space="preserve">  The amended Complaint also questioned the security on the smart meter and other issues related to communications between the meter and Company and meter testing.  The Complainant also requested the reimbursement of legal fees, if any were incurred.  </w:t>
      </w:r>
      <w:r>
        <w:t>On September 6, 2019, Respondent filed an Answer to the amended Complaint.</w:t>
      </w:r>
    </w:p>
    <w:p w14:paraId="38CFFD74" w14:textId="77777777" w:rsidR="00A16A1F" w:rsidRDefault="00A16A1F" w:rsidP="00A37B75">
      <w:pPr>
        <w:pStyle w:val="Body"/>
        <w:spacing w:line="360" w:lineRule="auto"/>
        <w:ind w:firstLine="1440"/>
      </w:pPr>
    </w:p>
    <w:p w14:paraId="6D029885" w14:textId="05EAC4C3" w:rsidR="004A2ABE" w:rsidRDefault="004A2ABE" w:rsidP="00A37B75">
      <w:pPr>
        <w:pStyle w:val="Body"/>
        <w:spacing w:line="360" w:lineRule="auto"/>
        <w:ind w:firstLine="1440"/>
      </w:pPr>
      <w:r>
        <w:t>On September 6, 2019, a</w:t>
      </w:r>
      <w:r w:rsidR="00B05DA6">
        <w:t>n Order granting Complainant’s motion for continuance was issued.  Additionally, a</w:t>
      </w:r>
      <w:r>
        <w:t xml:space="preserve"> Hearing Notice was issued cancelling the September 9, 2019 hearing and rescheduling the hearing for October 23, 2019.</w:t>
      </w:r>
    </w:p>
    <w:p w14:paraId="56B0BE65" w14:textId="718F31A6" w:rsidR="00A16A1F" w:rsidRDefault="00A16A1F" w:rsidP="00A37B75">
      <w:pPr>
        <w:pStyle w:val="ParaTab1"/>
        <w:tabs>
          <w:tab w:val="left" w:pos="720"/>
          <w:tab w:val="left" w:pos="1440"/>
          <w:tab w:val="left" w:pos="2160"/>
          <w:tab w:val="left" w:pos="2880"/>
          <w:tab w:val="left" w:pos="3600"/>
          <w:tab w:val="left" w:pos="4320"/>
          <w:tab w:val="left" w:pos="5040"/>
          <w:tab w:val="left" w:pos="5760"/>
          <w:tab w:val="left" w:pos="6480"/>
        </w:tabs>
        <w:spacing w:line="360" w:lineRule="auto"/>
        <w:ind w:firstLine="0"/>
      </w:pPr>
    </w:p>
    <w:p w14:paraId="31F2F666" w14:textId="0BC5F195" w:rsidR="00A37B75" w:rsidRDefault="00A37B75" w:rsidP="00A37B75">
      <w:pPr>
        <w:pStyle w:val="Body"/>
        <w:spacing w:line="360" w:lineRule="auto"/>
        <w:ind w:firstLine="1440"/>
      </w:pPr>
      <w:r>
        <w:t xml:space="preserve">The initial hearing in this matter was held as scheduled on </w:t>
      </w:r>
      <w:r w:rsidR="005A1A1C">
        <w:t>October 23, 2019</w:t>
      </w:r>
      <w:r>
        <w:t xml:space="preserve">.  The Complainant appeared </w:t>
      </w:r>
      <w:r>
        <w:rPr>
          <w:i/>
          <w:iCs/>
        </w:rPr>
        <w:t>pro se</w:t>
      </w:r>
      <w:r>
        <w:t xml:space="preserve"> and testified on her own behalf.  </w:t>
      </w:r>
      <w:r w:rsidR="00903D69">
        <w:t xml:space="preserve">The Complainant </w:t>
      </w:r>
      <w:r w:rsidR="004D21D2">
        <w:t xml:space="preserve">offered </w:t>
      </w:r>
      <w:r w:rsidR="006343B0">
        <w:t>seven</w:t>
      </w:r>
      <w:r w:rsidR="004D21D2">
        <w:t xml:space="preserve"> exhibits</w:t>
      </w:r>
      <w:r w:rsidR="00207E77">
        <w:t xml:space="preserve"> at the time of the hearing</w:t>
      </w:r>
      <w:r w:rsidR="008D068D">
        <w:t xml:space="preserve">.  Complainant Exhibit Nos. </w:t>
      </w:r>
      <w:r w:rsidR="0038021B">
        <w:t xml:space="preserve">1, 3, 4, 5, and 6 were entered into the record </w:t>
      </w:r>
      <w:r w:rsidR="007F7B70">
        <w:t xml:space="preserve">and </w:t>
      </w:r>
      <w:r w:rsidR="00BA0FAE">
        <w:t xml:space="preserve">Complainant </w:t>
      </w:r>
      <w:r w:rsidR="002F5376">
        <w:t xml:space="preserve">Exhibit </w:t>
      </w:r>
      <w:r w:rsidR="00C83131">
        <w:t xml:space="preserve">Nos. </w:t>
      </w:r>
      <w:r w:rsidR="00BE1ABE">
        <w:t>7 and 2</w:t>
      </w:r>
      <w:r w:rsidR="007F7B70">
        <w:t xml:space="preserve"> were not entered into the record based on the objection of PECO that the </w:t>
      </w:r>
      <w:r w:rsidR="00A31A6E">
        <w:t>documents were pleadings and not actual exhibits</w:t>
      </w:r>
      <w:r w:rsidR="00BE1ABE">
        <w:t>.</w:t>
      </w:r>
      <w:r w:rsidR="004D21D2">
        <w:rPr>
          <w:rStyle w:val="FootnoteReference"/>
        </w:rPr>
        <w:footnoteReference w:id="2"/>
      </w:r>
      <w:r w:rsidR="004D21D2">
        <w:t xml:space="preserve">  </w:t>
      </w:r>
      <w:r>
        <w:t xml:space="preserve">Respondent appeared and was represented by </w:t>
      </w:r>
      <w:r w:rsidR="00860E0B">
        <w:t>Angela Lorenz</w:t>
      </w:r>
      <w:r>
        <w:t xml:space="preserve">, Esq., who presented the testimony of </w:t>
      </w:r>
      <w:r w:rsidR="00297745">
        <w:t>two</w:t>
      </w:r>
      <w:r>
        <w:t xml:space="preserve"> witnesses, </w:t>
      </w:r>
      <w:r w:rsidR="00CB5410">
        <w:t>Aaron Saunders, fi</w:t>
      </w:r>
      <w:bookmarkStart w:id="0" w:name="_GoBack"/>
      <w:bookmarkEnd w:id="0"/>
      <w:r w:rsidR="00CB5410">
        <w:t xml:space="preserve">eld technician, </w:t>
      </w:r>
      <w:r w:rsidR="00576408">
        <w:t xml:space="preserve">and </w:t>
      </w:r>
      <w:r w:rsidR="00151135">
        <w:t xml:space="preserve">Glenn </w:t>
      </w:r>
      <w:r w:rsidR="00DE739C">
        <w:t xml:space="preserve">Pritchard, </w:t>
      </w:r>
      <w:r w:rsidR="008D32E8">
        <w:t xml:space="preserve">manager of </w:t>
      </w:r>
      <w:r w:rsidR="00576408">
        <w:t xml:space="preserve">the </w:t>
      </w:r>
      <w:r w:rsidR="00486910">
        <w:t>smart grid</w:t>
      </w:r>
      <w:r w:rsidR="006B4615">
        <w:t xml:space="preserve"> operations and technology group</w:t>
      </w:r>
      <w:r>
        <w:t xml:space="preserve">.  Respondent offered </w:t>
      </w:r>
      <w:r w:rsidR="00576408">
        <w:t>seven</w:t>
      </w:r>
      <w:r>
        <w:t xml:space="preserve"> exhibits which were entered into the record at the time of the hearing.  </w:t>
      </w:r>
    </w:p>
    <w:p w14:paraId="50E3805E" w14:textId="77777777" w:rsidR="00A37B75" w:rsidRDefault="00A37B75" w:rsidP="00A37B75">
      <w:pPr>
        <w:pStyle w:val="ParaTab1"/>
        <w:tabs>
          <w:tab w:val="left" w:pos="720"/>
          <w:tab w:val="left" w:pos="1440"/>
          <w:tab w:val="left" w:pos="2160"/>
          <w:tab w:val="left" w:pos="2880"/>
          <w:tab w:val="left" w:pos="3600"/>
          <w:tab w:val="left" w:pos="4320"/>
          <w:tab w:val="left" w:pos="5040"/>
          <w:tab w:val="left" w:pos="5760"/>
          <w:tab w:val="left" w:pos="6480"/>
        </w:tabs>
        <w:spacing w:line="360" w:lineRule="auto"/>
        <w:ind w:firstLine="0"/>
      </w:pPr>
    </w:p>
    <w:p w14:paraId="1DEA7208" w14:textId="0B1F2325" w:rsidR="000A10EE" w:rsidRPr="002A44FB" w:rsidRDefault="00A37B75" w:rsidP="002A44FB">
      <w:pPr>
        <w:pStyle w:val="BodyText1"/>
        <w:tabs>
          <w:tab w:val="left" w:pos="720"/>
          <w:tab w:val="left" w:pos="1440"/>
          <w:tab w:val="left" w:pos="2160"/>
          <w:tab w:val="left" w:pos="2880"/>
          <w:tab w:val="left" w:pos="3600"/>
          <w:tab w:val="left" w:pos="4320"/>
          <w:tab w:val="left" w:pos="5040"/>
          <w:tab w:val="left" w:pos="5760"/>
          <w:tab w:val="left" w:pos="6480"/>
        </w:tabs>
        <w:spacing w:line="360" w:lineRule="auto"/>
        <w:jc w:val="lef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The hearing resulted in a 96-page transcript.  The record closed on</w:t>
      </w:r>
      <w:r w:rsidR="002A44FB">
        <w:rPr>
          <w:rFonts w:ascii="Times New Roman" w:eastAsia="Times New Roman" w:hAnsi="Times New Roman" w:cs="Times New Roman"/>
        </w:rPr>
        <w:t xml:space="preserve"> November 25, </w:t>
      </w:r>
      <w:r>
        <w:rPr>
          <w:rFonts w:ascii="Times New Roman" w:eastAsia="Times New Roman" w:hAnsi="Times New Roman" w:cs="Times New Roman"/>
        </w:rPr>
        <w:t>2019, when I received the transcript.</w:t>
      </w:r>
    </w:p>
    <w:p w14:paraId="08FA76A8" w14:textId="77777777" w:rsidR="00A37B75" w:rsidRDefault="00A37B75" w:rsidP="007C0009">
      <w:pPr>
        <w:pStyle w:val="Body"/>
        <w:tabs>
          <w:tab w:val="left" w:pos="720"/>
          <w:tab w:val="left" w:pos="1440"/>
          <w:tab w:val="left" w:pos="2160"/>
          <w:tab w:val="left" w:pos="2880"/>
          <w:tab w:val="left" w:pos="3600"/>
          <w:tab w:val="left" w:pos="4320"/>
          <w:tab w:val="left" w:pos="5040"/>
          <w:tab w:val="left" w:pos="5760"/>
          <w:tab w:val="left" w:pos="6480"/>
        </w:tabs>
        <w:spacing w:line="360" w:lineRule="auto"/>
        <w:jc w:val="center"/>
        <w:rPr>
          <w:u w:val="single"/>
        </w:rPr>
      </w:pPr>
      <w:r>
        <w:rPr>
          <w:u w:val="single"/>
        </w:rPr>
        <w:t>FINDINGS OF FACT</w:t>
      </w:r>
    </w:p>
    <w:p w14:paraId="0BA6C926" w14:textId="77777777" w:rsidR="00A37B75" w:rsidRDefault="00A37B75" w:rsidP="007C0009">
      <w:pPr>
        <w:pStyle w:val="Body"/>
        <w:tabs>
          <w:tab w:val="left" w:pos="720"/>
          <w:tab w:val="left" w:pos="1440"/>
          <w:tab w:val="left" w:pos="2160"/>
          <w:tab w:val="left" w:pos="2880"/>
          <w:tab w:val="left" w:pos="3600"/>
          <w:tab w:val="left" w:pos="4320"/>
          <w:tab w:val="left" w:pos="5040"/>
          <w:tab w:val="left" w:pos="5760"/>
          <w:tab w:val="left" w:pos="6480"/>
        </w:tabs>
        <w:spacing w:line="360" w:lineRule="auto"/>
        <w:jc w:val="center"/>
        <w:rPr>
          <w:u w:val="single"/>
        </w:rPr>
      </w:pPr>
    </w:p>
    <w:p w14:paraId="187F8089" w14:textId="30F026F0" w:rsidR="00A37B75" w:rsidRDefault="00A37B75" w:rsidP="007C0009">
      <w:pPr>
        <w:pStyle w:val="ListParagraph"/>
        <w:numPr>
          <w:ilvl w:val="0"/>
          <w:numId w:val="1"/>
        </w:numPr>
        <w:ind w:left="0" w:firstLine="1440"/>
      </w:pPr>
      <w:r>
        <w:t xml:space="preserve">The Complainant is Eileen Walden, who resides at </w:t>
      </w:r>
      <w:r w:rsidR="00054270">
        <w:t xml:space="preserve">1838 </w:t>
      </w:r>
      <w:r w:rsidR="00553B98">
        <w:t>Cob</w:t>
      </w:r>
      <w:r w:rsidR="004E3D30">
        <w:t xml:space="preserve">den Road, </w:t>
      </w:r>
      <w:r w:rsidR="007E0E8A">
        <w:t>Laverock</w:t>
      </w:r>
      <w:r w:rsidR="006E302F">
        <w:t xml:space="preserve">, </w:t>
      </w:r>
      <w:r>
        <w:t>Pennsylvania 19</w:t>
      </w:r>
      <w:r w:rsidR="007E0E8A">
        <w:t>038</w:t>
      </w:r>
      <w:r>
        <w:t xml:space="preserve"> (Service Address).  Tr. </w:t>
      </w:r>
      <w:r w:rsidR="000C7398">
        <w:t>11</w:t>
      </w:r>
      <w:r>
        <w:t xml:space="preserve">.  </w:t>
      </w:r>
    </w:p>
    <w:p w14:paraId="6E72D76A" w14:textId="77777777" w:rsidR="00A37B75" w:rsidRDefault="00A37B75" w:rsidP="007C0009">
      <w:pPr>
        <w:pStyle w:val="Body"/>
        <w:spacing w:line="360" w:lineRule="auto"/>
        <w:ind w:firstLine="1440"/>
      </w:pPr>
    </w:p>
    <w:p w14:paraId="46BF00EF" w14:textId="08128C4C" w:rsidR="00A37B75" w:rsidRDefault="00A37B75" w:rsidP="007C0009">
      <w:pPr>
        <w:pStyle w:val="ListParagraph"/>
        <w:numPr>
          <w:ilvl w:val="0"/>
          <w:numId w:val="1"/>
        </w:numPr>
        <w:ind w:left="0" w:firstLine="1440"/>
      </w:pPr>
      <w:r>
        <w:t xml:space="preserve">The Respondent is PECO Energy Company.  </w:t>
      </w:r>
    </w:p>
    <w:p w14:paraId="78009F24" w14:textId="77777777" w:rsidR="0070506F" w:rsidRDefault="0070506F" w:rsidP="007C0009">
      <w:pPr>
        <w:pStyle w:val="ListParagraph"/>
        <w:ind w:left="0" w:firstLine="1440"/>
      </w:pPr>
    </w:p>
    <w:p w14:paraId="1FF7944A" w14:textId="6A6012A7" w:rsidR="0070506F" w:rsidRDefault="0070506F" w:rsidP="007C0009">
      <w:pPr>
        <w:pStyle w:val="ListParagraph"/>
        <w:numPr>
          <w:ilvl w:val="0"/>
          <w:numId w:val="1"/>
        </w:numPr>
        <w:ind w:left="0" w:firstLine="1440"/>
      </w:pPr>
      <w:r>
        <w:t>The Complainant receives gas and electric utility service from PECO.  Tr.</w:t>
      </w:r>
      <w:r w:rsidR="007C0009">
        <w:t> </w:t>
      </w:r>
      <w:r w:rsidR="00036038">
        <w:t>12.</w:t>
      </w:r>
    </w:p>
    <w:p w14:paraId="7D7EACA7" w14:textId="02B87FCA" w:rsidR="00A37B75" w:rsidRDefault="00A37B75" w:rsidP="008A0D54">
      <w:pPr>
        <w:tabs>
          <w:tab w:val="left" w:pos="720"/>
        </w:tabs>
      </w:pPr>
    </w:p>
    <w:p w14:paraId="7FB2778D" w14:textId="6E011A45" w:rsidR="00A37B75" w:rsidRDefault="00A37B75" w:rsidP="007C0009">
      <w:pPr>
        <w:pStyle w:val="ListParagraph"/>
        <w:numPr>
          <w:ilvl w:val="0"/>
          <w:numId w:val="1"/>
        </w:numPr>
        <w:ind w:left="0" w:firstLine="1440"/>
      </w:pPr>
      <w:r>
        <w:t xml:space="preserve">The Complainant resides at the Service Address alone.  Tr. </w:t>
      </w:r>
      <w:r w:rsidR="00CA75FE">
        <w:t>13</w:t>
      </w:r>
      <w:r>
        <w:t xml:space="preserve">.  </w:t>
      </w:r>
    </w:p>
    <w:p w14:paraId="7CA16A35" w14:textId="77777777" w:rsidR="00A37B75" w:rsidRDefault="00A37B75" w:rsidP="007C0009">
      <w:pPr>
        <w:pStyle w:val="Body"/>
        <w:spacing w:line="360" w:lineRule="auto"/>
        <w:ind w:firstLine="1440"/>
      </w:pPr>
    </w:p>
    <w:p w14:paraId="6C8320CC" w14:textId="0108841A" w:rsidR="00A37B75" w:rsidRDefault="00A37B75" w:rsidP="007C0009">
      <w:pPr>
        <w:pStyle w:val="ListParagraph"/>
        <w:numPr>
          <w:ilvl w:val="0"/>
          <w:numId w:val="1"/>
        </w:numPr>
        <w:ind w:left="0" w:firstLine="1440"/>
      </w:pPr>
      <w:r>
        <w:t xml:space="preserve">The Service Address is a </w:t>
      </w:r>
      <w:r w:rsidR="00F166D6">
        <w:t>single</w:t>
      </w:r>
      <w:r w:rsidR="009D5C7C">
        <w:t>-</w:t>
      </w:r>
      <w:r w:rsidR="00F166D6">
        <w:t xml:space="preserve">family home with </w:t>
      </w:r>
      <w:r w:rsidR="000C64FC">
        <w:t>four bedrooms</w:t>
      </w:r>
      <w:r w:rsidR="0035536E">
        <w:t>,</w:t>
      </w:r>
      <w:r w:rsidR="000C64FC">
        <w:t xml:space="preserve"> </w:t>
      </w:r>
      <w:r w:rsidR="00103A82">
        <w:t>three bath</w:t>
      </w:r>
      <w:r w:rsidR="009D5C7C">
        <w:t xml:space="preserve">rooms and a </w:t>
      </w:r>
      <w:r w:rsidR="00A3078E">
        <w:t xml:space="preserve">partially </w:t>
      </w:r>
      <w:r w:rsidR="009D5C7C">
        <w:t xml:space="preserve">finished basement.  </w:t>
      </w:r>
      <w:r>
        <w:t xml:space="preserve">Tr. </w:t>
      </w:r>
      <w:r w:rsidR="001C6FD7">
        <w:t>24</w:t>
      </w:r>
      <w:r w:rsidR="00A3078E">
        <w:t>, 35</w:t>
      </w:r>
      <w:r>
        <w:t xml:space="preserve">.  </w:t>
      </w:r>
    </w:p>
    <w:p w14:paraId="7D8E24AC" w14:textId="77777777" w:rsidR="00A37B75" w:rsidRDefault="00A37B75" w:rsidP="007C0009">
      <w:pPr>
        <w:pStyle w:val="ListParagraph"/>
        <w:ind w:left="0" w:firstLine="1440"/>
      </w:pPr>
    </w:p>
    <w:p w14:paraId="5121D059" w14:textId="0819980F" w:rsidR="00A37B75" w:rsidRDefault="004F29B1" w:rsidP="007C0009">
      <w:pPr>
        <w:pStyle w:val="ListParagraph"/>
        <w:numPr>
          <w:ilvl w:val="0"/>
          <w:numId w:val="1"/>
        </w:numPr>
        <w:ind w:left="0" w:firstLine="1440"/>
      </w:pPr>
      <w:r>
        <w:t xml:space="preserve">On January 23, 2018, Aaron Saunders, field service technician, visited the Service Address </w:t>
      </w:r>
      <w:r w:rsidR="007F3DE7">
        <w:t>on a high bill investigation</w:t>
      </w:r>
      <w:r w:rsidR="00A37B75">
        <w:t>.  Tr. </w:t>
      </w:r>
      <w:r w:rsidR="007F3DE7">
        <w:t>43-44</w:t>
      </w:r>
      <w:r w:rsidR="00A37B75">
        <w:t xml:space="preserve">; PECO </w:t>
      </w:r>
      <w:proofErr w:type="spellStart"/>
      <w:r w:rsidR="00A37B75">
        <w:t>Exh</w:t>
      </w:r>
      <w:proofErr w:type="spellEnd"/>
      <w:r w:rsidR="00A37B75">
        <w:t xml:space="preserve">. 3.  </w:t>
      </w:r>
    </w:p>
    <w:p w14:paraId="1942B589" w14:textId="77777777" w:rsidR="00A37B75" w:rsidRDefault="00A37B75" w:rsidP="007C0009">
      <w:pPr>
        <w:pStyle w:val="Body"/>
        <w:spacing w:line="360" w:lineRule="auto"/>
        <w:ind w:firstLine="1440"/>
      </w:pPr>
    </w:p>
    <w:p w14:paraId="2F3AFC06" w14:textId="162233AD" w:rsidR="00A37B75" w:rsidRDefault="00FB1F42" w:rsidP="007C0009">
      <w:pPr>
        <w:pStyle w:val="ListParagraph"/>
        <w:numPr>
          <w:ilvl w:val="0"/>
          <w:numId w:val="1"/>
        </w:numPr>
        <w:ind w:left="0" w:firstLine="1440"/>
      </w:pPr>
      <w:r>
        <w:t xml:space="preserve">Mr. Saunders was able to </w:t>
      </w:r>
      <w:r w:rsidR="00874E17">
        <w:t>idle the meter</w:t>
      </w:r>
      <w:r w:rsidR="00A37B75">
        <w:t xml:space="preserve">.  Tr. </w:t>
      </w:r>
      <w:r w:rsidR="00765A80">
        <w:t>44</w:t>
      </w:r>
      <w:r w:rsidR="00A37B75">
        <w:t xml:space="preserve">; PECO </w:t>
      </w:r>
      <w:proofErr w:type="spellStart"/>
      <w:r w:rsidR="00A37B75">
        <w:t>Exh</w:t>
      </w:r>
      <w:proofErr w:type="spellEnd"/>
      <w:r w:rsidR="00A37B75">
        <w:t xml:space="preserve">. 3.  </w:t>
      </w:r>
    </w:p>
    <w:p w14:paraId="65677E86" w14:textId="77777777" w:rsidR="0036530D" w:rsidRDefault="0036530D" w:rsidP="0036530D">
      <w:pPr>
        <w:pStyle w:val="ListParagraph"/>
      </w:pPr>
    </w:p>
    <w:p w14:paraId="39254226" w14:textId="0D9F0849" w:rsidR="0036530D" w:rsidRDefault="0036530D" w:rsidP="007C0009">
      <w:pPr>
        <w:pStyle w:val="ListParagraph"/>
        <w:numPr>
          <w:ilvl w:val="0"/>
          <w:numId w:val="1"/>
        </w:numPr>
        <w:ind w:left="0" w:firstLine="1440"/>
      </w:pPr>
      <w:r>
        <w:t xml:space="preserve">Idling the meter consisted of turning off the power to all appliances at the Service Address to determine </w:t>
      </w:r>
      <w:r w:rsidR="00565E3D">
        <w:t xml:space="preserve">if </w:t>
      </w:r>
      <w:r>
        <w:t xml:space="preserve">the meter would stop registering usage.  Tr. 44-45.  </w:t>
      </w:r>
    </w:p>
    <w:p w14:paraId="04E32EF3" w14:textId="77777777" w:rsidR="00A37B75" w:rsidRDefault="00A37B75" w:rsidP="007C0009">
      <w:pPr>
        <w:pStyle w:val="Body"/>
        <w:spacing w:line="360" w:lineRule="auto"/>
        <w:ind w:firstLine="1440"/>
      </w:pPr>
    </w:p>
    <w:p w14:paraId="1A8CDFAB" w14:textId="0840FC6A" w:rsidR="00A37B75" w:rsidRDefault="00874E17" w:rsidP="007C0009">
      <w:pPr>
        <w:pStyle w:val="ListParagraph"/>
        <w:numPr>
          <w:ilvl w:val="0"/>
          <w:numId w:val="1"/>
        </w:numPr>
        <w:ind w:left="0" w:firstLine="1440"/>
      </w:pPr>
      <w:r>
        <w:t xml:space="preserve">Mr. Saunders </w:t>
      </w:r>
      <w:r w:rsidR="00B02E22">
        <w:t xml:space="preserve">also performed a passing load test with a </w:t>
      </w:r>
      <w:r w:rsidR="00B973A3">
        <w:t>1500</w:t>
      </w:r>
      <w:r w:rsidR="00F02984">
        <w:t>-</w:t>
      </w:r>
      <w:r w:rsidR="00B973A3">
        <w:t xml:space="preserve">watt space heater and </w:t>
      </w:r>
      <w:r w:rsidR="006B6403">
        <w:t xml:space="preserve">found that the meter recorded </w:t>
      </w:r>
      <w:r w:rsidR="00F72298">
        <w:t>1494 watts out of the 1500</w:t>
      </w:r>
      <w:r w:rsidR="008E615C">
        <w:t>-</w:t>
      </w:r>
      <w:r w:rsidR="00F72298">
        <w:t>watt potential</w:t>
      </w:r>
      <w:r w:rsidR="00A37B75">
        <w:t>.  Tr. </w:t>
      </w:r>
      <w:r w:rsidR="00F02984">
        <w:t>46</w:t>
      </w:r>
      <w:r w:rsidR="00A37B75">
        <w:t xml:space="preserve">; PECO </w:t>
      </w:r>
      <w:proofErr w:type="spellStart"/>
      <w:r w:rsidR="00A37B75">
        <w:t>Exh</w:t>
      </w:r>
      <w:proofErr w:type="spellEnd"/>
      <w:r w:rsidR="00A37B75">
        <w:t xml:space="preserve">. 3.  </w:t>
      </w:r>
    </w:p>
    <w:p w14:paraId="29774CBB" w14:textId="77777777" w:rsidR="008A0D54" w:rsidRDefault="008A0D54" w:rsidP="008A0D54">
      <w:pPr>
        <w:pStyle w:val="ListParagraph"/>
      </w:pPr>
    </w:p>
    <w:p w14:paraId="3B70FCE6" w14:textId="77777777" w:rsidR="008A0D54" w:rsidRDefault="0030672C" w:rsidP="008A0D54">
      <w:pPr>
        <w:pStyle w:val="ListParagraph"/>
        <w:numPr>
          <w:ilvl w:val="0"/>
          <w:numId w:val="1"/>
        </w:numPr>
        <w:spacing w:line="240" w:lineRule="auto"/>
        <w:ind w:left="0" w:firstLine="1440"/>
      </w:pPr>
      <w:r>
        <w:t>Mr. Saunders also performed a partial appliance analysis</w:t>
      </w:r>
      <w:r w:rsidR="00FF5FF2">
        <w:t xml:space="preserve">, which found a </w:t>
      </w:r>
    </w:p>
    <w:p w14:paraId="78A2DFCA" w14:textId="77777777" w:rsidR="008A0D54" w:rsidRDefault="008A0D54" w:rsidP="008A0D54">
      <w:pPr>
        <w:pStyle w:val="ListParagraph"/>
        <w:spacing w:line="240" w:lineRule="auto"/>
      </w:pPr>
    </w:p>
    <w:p w14:paraId="74E8A70A" w14:textId="1C5D19FB" w:rsidR="008A0D54" w:rsidRDefault="00FF5FF2" w:rsidP="008A0D54">
      <w:pPr>
        <w:spacing w:line="240" w:lineRule="auto"/>
        <w:ind w:firstLine="0"/>
      </w:pPr>
      <w:r>
        <w:t xml:space="preserve">furnace fan, </w:t>
      </w:r>
      <w:r w:rsidR="00B40C84">
        <w:t xml:space="preserve">baseboard heaters, </w:t>
      </w:r>
      <w:r w:rsidR="00362081">
        <w:t xml:space="preserve">and </w:t>
      </w:r>
      <w:r w:rsidR="00B40C84">
        <w:t>two space heaters</w:t>
      </w:r>
      <w:r w:rsidR="007463E0">
        <w:t xml:space="preserve"> with a total potential usage </w:t>
      </w:r>
      <w:r w:rsidR="003266C1">
        <w:t xml:space="preserve">of </w:t>
      </w:r>
      <w:r w:rsidR="00CF69FB">
        <w:t>4,</w:t>
      </w:r>
      <w:r w:rsidR="00E70DEA">
        <w:t xml:space="preserve">125 </w:t>
      </w:r>
    </w:p>
    <w:p w14:paraId="3ABA62AA" w14:textId="1B67DB3E" w:rsidR="008A0D54" w:rsidRDefault="008A0D54" w:rsidP="008A0D54">
      <w:pPr>
        <w:spacing w:line="240" w:lineRule="auto"/>
        <w:ind w:firstLine="0"/>
      </w:pPr>
    </w:p>
    <w:p w14:paraId="6AB37766" w14:textId="0516313F" w:rsidR="008A0D54" w:rsidRDefault="008A0D54" w:rsidP="008A0D54">
      <w:pPr>
        <w:spacing w:line="240" w:lineRule="auto"/>
        <w:ind w:firstLine="0"/>
      </w:pPr>
      <w:proofErr w:type="spellStart"/>
      <w:r>
        <w:t>KwH</w:t>
      </w:r>
      <w:proofErr w:type="spellEnd"/>
      <w:r>
        <w:rPr>
          <w:rStyle w:val="FootnoteReference"/>
        </w:rPr>
        <w:footnoteReference w:id="3"/>
      </w:r>
      <w:r>
        <w:t xml:space="preserve">.  Tr. 45; PECO </w:t>
      </w:r>
      <w:proofErr w:type="spellStart"/>
      <w:r>
        <w:t>Exh</w:t>
      </w:r>
      <w:proofErr w:type="spellEnd"/>
      <w:r>
        <w:t>. 3.</w:t>
      </w:r>
    </w:p>
    <w:p w14:paraId="1127E652" w14:textId="77777777" w:rsidR="00E663F0" w:rsidRDefault="00E663F0" w:rsidP="00C06223">
      <w:pPr>
        <w:tabs>
          <w:tab w:val="left" w:pos="720"/>
        </w:tabs>
        <w:ind w:firstLine="0"/>
      </w:pPr>
    </w:p>
    <w:p w14:paraId="00D4F69D" w14:textId="124A22C7" w:rsidR="00A37B75" w:rsidRDefault="008064AD" w:rsidP="007C0009">
      <w:pPr>
        <w:pStyle w:val="ListParagraph"/>
        <w:numPr>
          <w:ilvl w:val="0"/>
          <w:numId w:val="1"/>
        </w:numPr>
        <w:ind w:left="0" w:firstLine="1440"/>
      </w:pPr>
      <w:r>
        <w:t xml:space="preserve">Mr. Saunders found that </w:t>
      </w:r>
      <w:r w:rsidR="003D72C0">
        <w:t xml:space="preserve">the Complainant’s usage was within </w:t>
      </w:r>
      <w:r w:rsidR="00FD0E0D">
        <w:t xml:space="preserve">her potential </w:t>
      </w:r>
      <w:r w:rsidR="0085298E">
        <w:t xml:space="preserve">usage at the Service Address </w:t>
      </w:r>
      <w:r w:rsidR="00FD0E0D">
        <w:t>and there were no high bill issues</w:t>
      </w:r>
      <w:r w:rsidR="00A37B75">
        <w:t xml:space="preserve">.  Tr. </w:t>
      </w:r>
      <w:r w:rsidR="00563C52">
        <w:t>47-48</w:t>
      </w:r>
      <w:r w:rsidR="00A37B75">
        <w:t xml:space="preserve">.  </w:t>
      </w:r>
    </w:p>
    <w:p w14:paraId="050599F0" w14:textId="77777777" w:rsidR="00A37B75" w:rsidRDefault="00A37B75" w:rsidP="007C0009">
      <w:pPr>
        <w:pStyle w:val="Body"/>
        <w:spacing w:line="360" w:lineRule="auto"/>
        <w:ind w:firstLine="1440"/>
      </w:pPr>
    </w:p>
    <w:p w14:paraId="42EF48CE" w14:textId="6AA3E7C5" w:rsidR="00A37B75" w:rsidRDefault="007C4F6F" w:rsidP="007C0009">
      <w:pPr>
        <w:pStyle w:val="ListParagraph"/>
        <w:numPr>
          <w:ilvl w:val="0"/>
          <w:numId w:val="1"/>
        </w:numPr>
        <w:ind w:left="0" w:firstLine="1440"/>
      </w:pPr>
      <w:r>
        <w:t xml:space="preserve">It is not possible for </w:t>
      </w:r>
      <w:r w:rsidR="007B27E2">
        <w:t>a meter to malfunction and then correct its</w:t>
      </w:r>
      <w:r w:rsidR="00C43ADD">
        <w:t>elf</w:t>
      </w:r>
      <w:r w:rsidR="00A37B75">
        <w:t xml:space="preserve">.  Tr. </w:t>
      </w:r>
      <w:r w:rsidR="00C43ADD">
        <w:t>47</w:t>
      </w:r>
      <w:r w:rsidR="00A37B75">
        <w:t xml:space="preserve">.  </w:t>
      </w:r>
    </w:p>
    <w:p w14:paraId="70C8EA25" w14:textId="77777777" w:rsidR="00A37B75" w:rsidRDefault="00A37B75" w:rsidP="007C0009">
      <w:pPr>
        <w:pStyle w:val="ListParagraph"/>
        <w:ind w:left="0" w:firstLine="1440"/>
      </w:pPr>
    </w:p>
    <w:p w14:paraId="66CB9030" w14:textId="3CE2D5A0" w:rsidR="00A37B75" w:rsidRDefault="00BA2E8A" w:rsidP="007C0009">
      <w:pPr>
        <w:pStyle w:val="ListParagraph"/>
        <w:numPr>
          <w:ilvl w:val="0"/>
          <w:numId w:val="1"/>
        </w:numPr>
        <w:ind w:left="0" w:firstLine="1440"/>
      </w:pPr>
      <w:r>
        <w:t>As a courtesy, Mr. Saunders issued a</w:t>
      </w:r>
      <w:r w:rsidR="00360FE3">
        <w:t xml:space="preserve"> one</w:t>
      </w:r>
      <w:r w:rsidR="004273A7">
        <w:t>-</w:t>
      </w:r>
      <w:r w:rsidR="00360FE3">
        <w:t>time</w:t>
      </w:r>
      <w:r>
        <w:t xml:space="preserve"> credit of </w:t>
      </w:r>
      <w:r w:rsidR="000B4160">
        <w:t xml:space="preserve">800 </w:t>
      </w:r>
      <w:r w:rsidR="0035536E">
        <w:t>kilo</w:t>
      </w:r>
      <w:r w:rsidR="000B4160">
        <w:t>watts on the Complainant’s account, based on the Complainant’s assertions that her usage was a</w:t>
      </w:r>
      <w:r w:rsidR="00602738">
        <w:t>bnormal</w:t>
      </w:r>
      <w:r w:rsidR="00A37B75">
        <w:t xml:space="preserve">.  Tr. </w:t>
      </w:r>
      <w:r w:rsidR="00EF6D1E">
        <w:t xml:space="preserve">48; PECO </w:t>
      </w:r>
      <w:proofErr w:type="spellStart"/>
      <w:r w:rsidR="00EF6D1E">
        <w:t>Exh</w:t>
      </w:r>
      <w:proofErr w:type="spellEnd"/>
      <w:r w:rsidR="00EF6D1E">
        <w:t>. 3</w:t>
      </w:r>
      <w:r w:rsidR="00A37B75">
        <w:t xml:space="preserve">.  </w:t>
      </w:r>
    </w:p>
    <w:p w14:paraId="2A67804B" w14:textId="77777777" w:rsidR="00A37B75" w:rsidRDefault="00A37B75" w:rsidP="007C0009">
      <w:pPr>
        <w:pStyle w:val="ListParagraph"/>
        <w:ind w:left="0" w:firstLine="1440"/>
      </w:pPr>
    </w:p>
    <w:p w14:paraId="5FB18494" w14:textId="1938AE27" w:rsidR="00A37B75" w:rsidRDefault="000D3306" w:rsidP="007C0009">
      <w:pPr>
        <w:pStyle w:val="ListParagraph"/>
        <w:numPr>
          <w:ilvl w:val="0"/>
          <w:numId w:val="1"/>
        </w:numPr>
        <w:ind w:left="0" w:firstLine="1440"/>
      </w:pPr>
      <w:r>
        <w:t xml:space="preserve">On April </w:t>
      </w:r>
      <w:r w:rsidR="00E05EAC">
        <w:t>13, 2018, another PECO technician visited the Service Address</w:t>
      </w:r>
      <w:r w:rsidR="00C14804">
        <w:t>, at the Complainant’s request,</w:t>
      </w:r>
      <w:r w:rsidR="00E05EAC">
        <w:t xml:space="preserve"> to do an instrument meter test</w:t>
      </w:r>
      <w:r w:rsidR="00276A76">
        <w:t xml:space="preserve"> and found that the meter was testing at </w:t>
      </w:r>
      <w:r w:rsidR="00A6421E">
        <w:t>99</w:t>
      </w:r>
      <w:r w:rsidR="006E09C2">
        <w:t xml:space="preserve">.98% accurate </w:t>
      </w:r>
      <w:r w:rsidR="00D730B1">
        <w:t>on</w:t>
      </w:r>
      <w:r w:rsidR="006E09C2">
        <w:t xml:space="preserve"> the first test and </w:t>
      </w:r>
      <w:r w:rsidR="003F0A12">
        <w:t xml:space="preserve">99.96% accurate </w:t>
      </w:r>
      <w:r w:rsidR="00D04CC9">
        <w:t>on the second test.</w:t>
      </w:r>
      <w:r w:rsidR="00A37B75">
        <w:t xml:space="preserve">  Tr. 49</w:t>
      </w:r>
      <w:r w:rsidR="00F86C29">
        <w:t>-50</w:t>
      </w:r>
      <w:r w:rsidR="00D04CC9">
        <w:t xml:space="preserve">; PECO </w:t>
      </w:r>
      <w:proofErr w:type="spellStart"/>
      <w:r w:rsidR="00D04CC9">
        <w:t>Exh</w:t>
      </w:r>
      <w:proofErr w:type="spellEnd"/>
      <w:r w:rsidR="00D04CC9">
        <w:t>. 5</w:t>
      </w:r>
      <w:r w:rsidR="00A37B75">
        <w:t xml:space="preserve">.  </w:t>
      </w:r>
    </w:p>
    <w:p w14:paraId="3837F89C" w14:textId="77777777" w:rsidR="00A37B75" w:rsidRDefault="00A37B75" w:rsidP="007C0009">
      <w:pPr>
        <w:pStyle w:val="ListParagraph"/>
        <w:ind w:left="0" w:firstLine="1440"/>
      </w:pPr>
    </w:p>
    <w:p w14:paraId="56494027" w14:textId="37D1EAB8" w:rsidR="00A37B75" w:rsidRDefault="00D10BD3" w:rsidP="007C0009">
      <w:pPr>
        <w:pStyle w:val="ListParagraph"/>
        <w:numPr>
          <w:ilvl w:val="0"/>
          <w:numId w:val="1"/>
        </w:numPr>
        <w:ind w:left="0" w:firstLine="1440"/>
      </w:pPr>
      <w:r>
        <w:t xml:space="preserve">The technician also </w:t>
      </w:r>
      <w:r w:rsidR="00125F27">
        <w:t xml:space="preserve">performed an idle meter test and passing load test on the meter and found the meter to be accurate.  PECO </w:t>
      </w:r>
      <w:proofErr w:type="spellStart"/>
      <w:r w:rsidR="00125F27">
        <w:t>Exh</w:t>
      </w:r>
      <w:proofErr w:type="spellEnd"/>
      <w:r w:rsidR="00125F27">
        <w:t>. 5</w:t>
      </w:r>
      <w:r w:rsidR="00A37B75">
        <w:t xml:space="preserve">.  </w:t>
      </w:r>
    </w:p>
    <w:p w14:paraId="532EFCF2" w14:textId="77777777" w:rsidR="00A37B75" w:rsidRDefault="00A37B75" w:rsidP="007C0009">
      <w:pPr>
        <w:pStyle w:val="ListParagraph"/>
        <w:ind w:left="0" w:firstLine="1440"/>
      </w:pPr>
    </w:p>
    <w:p w14:paraId="4CAAB584" w14:textId="12EE33F5" w:rsidR="00A37B75" w:rsidRDefault="00125F27" w:rsidP="007C0009">
      <w:pPr>
        <w:pStyle w:val="ListParagraph"/>
        <w:numPr>
          <w:ilvl w:val="0"/>
          <w:numId w:val="1"/>
        </w:numPr>
        <w:ind w:left="0" w:firstLine="1440"/>
      </w:pPr>
      <w:r>
        <w:t xml:space="preserve">The technician found no foreign wiring or </w:t>
      </w:r>
      <w:r w:rsidR="00504B85">
        <w:t>meter mix up at the Service Address</w:t>
      </w:r>
      <w:r w:rsidR="00A37B75">
        <w:t xml:space="preserve">.  </w:t>
      </w:r>
      <w:r w:rsidR="00504B85">
        <w:t xml:space="preserve">PECO </w:t>
      </w:r>
      <w:proofErr w:type="spellStart"/>
      <w:r w:rsidR="00504B85">
        <w:t>Exh</w:t>
      </w:r>
      <w:proofErr w:type="spellEnd"/>
      <w:r w:rsidR="00504B85">
        <w:t>. 5</w:t>
      </w:r>
      <w:r w:rsidR="00A37B75">
        <w:t xml:space="preserve">.  </w:t>
      </w:r>
    </w:p>
    <w:p w14:paraId="4C026E7B" w14:textId="77777777" w:rsidR="00A37B75" w:rsidRDefault="00A37B75" w:rsidP="007C0009">
      <w:pPr>
        <w:pStyle w:val="ListParagraph"/>
        <w:ind w:left="0" w:firstLine="1440"/>
      </w:pPr>
    </w:p>
    <w:p w14:paraId="1455433F" w14:textId="541193FD" w:rsidR="00A37B75" w:rsidRDefault="0076170A" w:rsidP="007C0009">
      <w:pPr>
        <w:pStyle w:val="ListParagraph"/>
        <w:numPr>
          <w:ilvl w:val="0"/>
          <w:numId w:val="1"/>
        </w:numPr>
        <w:ind w:left="0" w:firstLine="1440"/>
      </w:pPr>
      <w:r>
        <w:t xml:space="preserve">Smart meters </w:t>
      </w:r>
      <w:r w:rsidR="003F5601">
        <w:t>allow for two</w:t>
      </w:r>
      <w:r w:rsidR="00C958EC">
        <w:t>-</w:t>
      </w:r>
      <w:r w:rsidR="003F5601">
        <w:t>way communications</w:t>
      </w:r>
      <w:r w:rsidR="00333152">
        <w:t xml:space="preserve"> as indicated in </w:t>
      </w:r>
      <w:r w:rsidR="000178E2">
        <w:t>Pennsylvania Act 129 of 2008</w:t>
      </w:r>
      <w:r w:rsidR="002574AC">
        <w:t xml:space="preserve">.  </w:t>
      </w:r>
      <w:r w:rsidR="00C958EC">
        <w:t xml:space="preserve">Tr. </w:t>
      </w:r>
      <w:r w:rsidR="00A01833">
        <w:t xml:space="preserve">61.  </w:t>
      </w:r>
      <w:r w:rsidR="00A37B75">
        <w:t xml:space="preserve">  </w:t>
      </w:r>
    </w:p>
    <w:p w14:paraId="26018435" w14:textId="77777777" w:rsidR="00A37B75" w:rsidRDefault="00A37B75" w:rsidP="007C0009">
      <w:pPr>
        <w:pStyle w:val="ListParagraph"/>
        <w:ind w:left="0" w:firstLine="1440"/>
      </w:pPr>
    </w:p>
    <w:p w14:paraId="2339A133" w14:textId="290D8D45" w:rsidR="00A37B75" w:rsidRDefault="004A199C" w:rsidP="007C0009">
      <w:pPr>
        <w:pStyle w:val="ListParagraph"/>
        <w:numPr>
          <w:ilvl w:val="0"/>
          <w:numId w:val="1"/>
        </w:numPr>
        <w:ind w:left="0" w:firstLine="1440"/>
      </w:pPr>
      <w:r>
        <w:t>T</w:t>
      </w:r>
      <w:r w:rsidR="00B3508D">
        <w:t>wo</w:t>
      </w:r>
      <w:r w:rsidR="00ED0AA4">
        <w:t>-</w:t>
      </w:r>
      <w:r w:rsidR="00B3508D">
        <w:t xml:space="preserve">way communications </w:t>
      </w:r>
      <w:r w:rsidR="006830F5">
        <w:t>mean</w:t>
      </w:r>
      <w:r w:rsidR="0077030E">
        <w:t xml:space="preserve"> that </w:t>
      </w:r>
      <w:r w:rsidR="00B63BFF">
        <w:t xml:space="preserve">the meter can send usage </w:t>
      </w:r>
      <w:r w:rsidR="004A1EEF">
        <w:t xml:space="preserve">information to PECO and PECO can send </w:t>
      </w:r>
      <w:r w:rsidR="00E44E82">
        <w:t xml:space="preserve">commands to the meter, such as </w:t>
      </w:r>
      <w:r w:rsidR="00C56DFF">
        <w:t>operation of the disconnect switch</w:t>
      </w:r>
      <w:r w:rsidR="00A37B75">
        <w:t>.  Tr</w:t>
      </w:r>
      <w:r w:rsidR="00ED0AA4">
        <w:t>.</w:t>
      </w:r>
      <w:r w:rsidR="00A37B75">
        <w:t xml:space="preserve"> </w:t>
      </w:r>
      <w:r w:rsidR="00ED0AA4">
        <w:t>61</w:t>
      </w:r>
      <w:r w:rsidR="00A37B75">
        <w:t xml:space="preserve">.  </w:t>
      </w:r>
    </w:p>
    <w:p w14:paraId="74E9E0FD" w14:textId="77777777" w:rsidR="00A37B75" w:rsidRDefault="00A37B75" w:rsidP="007C0009">
      <w:pPr>
        <w:pStyle w:val="ListParagraph"/>
        <w:ind w:left="0" w:firstLine="1440"/>
      </w:pPr>
    </w:p>
    <w:p w14:paraId="4B694458" w14:textId="07F1651D" w:rsidR="00A37B75" w:rsidRDefault="00F477AB" w:rsidP="007C0009">
      <w:pPr>
        <w:pStyle w:val="ListParagraph"/>
        <w:numPr>
          <w:ilvl w:val="0"/>
          <w:numId w:val="1"/>
        </w:numPr>
        <w:ind w:left="0" w:firstLine="1440"/>
      </w:pPr>
      <w:r>
        <w:t>PECO can also ensure</w:t>
      </w:r>
      <w:r w:rsidR="00CF0F46">
        <w:t xml:space="preserve"> the</w:t>
      </w:r>
      <w:r>
        <w:t xml:space="preserve"> en</w:t>
      </w:r>
      <w:r w:rsidR="004F28AE">
        <w:t>cryption of data from the meter</w:t>
      </w:r>
      <w:r w:rsidR="006F456D">
        <w:t xml:space="preserve"> and </w:t>
      </w:r>
      <w:r w:rsidR="00B73399">
        <w:t>perform</w:t>
      </w:r>
      <w:r w:rsidR="006F456D">
        <w:t xml:space="preserve"> firmware upgrades</w:t>
      </w:r>
      <w:r w:rsidR="00CF0F46">
        <w:t xml:space="preserve"> to the meter remotely</w:t>
      </w:r>
      <w:r w:rsidR="00A37B75">
        <w:t>.  Tr.</w:t>
      </w:r>
      <w:r w:rsidR="0019675F">
        <w:t xml:space="preserve"> 62.</w:t>
      </w:r>
      <w:r w:rsidR="00A37B75">
        <w:t xml:space="preserve">  </w:t>
      </w:r>
    </w:p>
    <w:p w14:paraId="206FB651" w14:textId="77777777" w:rsidR="00A37B75" w:rsidRDefault="00A37B75" w:rsidP="007C0009">
      <w:pPr>
        <w:pStyle w:val="ListParagraph"/>
        <w:ind w:left="0" w:firstLine="1440"/>
      </w:pPr>
    </w:p>
    <w:p w14:paraId="78B20CCD" w14:textId="4F695A9E" w:rsidR="00A37B75" w:rsidRDefault="00FD3FE4" w:rsidP="007C0009">
      <w:pPr>
        <w:pStyle w:val="ListParagraph"/>
        <w:numPr>
          <w:ilvl w:val="0"/>
          <w:numId w:val="1"/>
        </w:numPr>
        <w:ind w:left="0" w:firstLine="1440"/>
      </w:pPr>
      <w:r>
        <w:t xml:space="preserve">PECO cannot </w:t>
      </w:r>
      <w:r w:rsidR="008243BB">
        <w:t>alter or change the meter readings</w:t>
      </w:r>
      <w:r w:rsidR="00A37B75">
        <w:t>.  Tr.</w:t>
      </w:r>
      <w:r w:rsidR="00F5391B">
        <w:t xml:space="preserve"> 62.</w:t>
      </w:r>
      <w:r w:rsidR="00A37B75">
        <w:t xml:space="preserve">  </w:t>
      </w:r>
    </w:p>
    <w:p w14:paraId="61A20A55" w14:textId="77777777" w:rsidR="00A37B75" w:rsidRDefault="00A37B75" w:rsidP="007C0009">
      <w:pPr>
        <w:pStyle w:val="ListParagraph"/>
        <w:ind w:left="0" w:firstLine="1440"/>
      </w:pPr>
    </w:p>
    <w:p w14:paraId="20735472" w14:textId="25CE4D83" w:rsidR="00A37B75" w:rsidRDefault="008832BB" w:rsidP="007C0009">
      <w:pPr>
        <w:pStyle w:val="ListParagraph"/>
        <w:numPr>
          <w:ilvl w:val="0"/>
          <w:numId w:val="1"/>
        </w:numPr>
        <w:ind w:left="0" w:firstLine="1440"/>
      </w:pPr>
      <w:r>
        <w:t xml:space="preserve">The smart meters </w:t>
      </w:r>
      <w:r w:rsidR="00513A75">
        <w:t xml:space="preserve">only register the amount of energy </w:t>
      </w:r>
      <w:r w:rsidR="00376BD9">
        <w:t>that is being consumed</w:t>
      </w:r>
      <w:r w:rsidR="00477F68">
        <w:t xml:space="preserve"> and does not interface </w:t>
      </w:r>
      <w:r w:rsidR="002F6B84">
        <w:t>with appliances in the residence</w:t>
      </w:r>
      <w:r w:rsidR="00A37B75">
        <w:t xml:space="preserve">.  </w:t>
      </w:r>
      <w:r w:rsidR="002F6B84">
        <w:t>Tr. 63</w:t>
      </w:r>
      <w:r w:rsidR="00A37B75">
        <w:t xml:space="preserve">.  </w:t>
      </w:r>
    </w:p>
    <w:p w14:paraId="76805A33" w14:textId="77777777" w:rsidR="00CE4191" w:rsidRDefault="00CE4191" w:rsidP="00C06223"/>
    <w:p w14:paraId="0C97B05D" w14:textId="77777777" w:rsidR="00931D2E" w:rsidRDefault="00F863C3" w:rsidP="007C0009">
      <w:pPr>
        <w:pStyle w:val="ListParagraph"/>
        <w:numPr>
          <w:ilvl w:val="0"/>
          <w:numId w:val="1"/>
        </w:numPr>
        <w:ind w:left="0" w:firstLine="1440"/>
      </w:pPr>
      <w:r>
        <w:t xml:space="preserve">The Complainant’s usage increases with </w:t>
      </w:r>
      <w:r w:rsidR="004A4BC6">
        <w:t>temperature drops</w:t>
      </w:r>
      <w:r w:rsidR="00A37B75">
        <w:t xml:space="preserve">.  </w:t>
      </w:r>
      <w:r w:rsidR="00931D2E">
        <w:t xml:space="preserve">Tr. 64; PECO </w:t>
      </w:r>
      <w:proofErr w:type="spellStart"/>
      <w:r w:rsidR="00931D2E">
        <w:t>Exh</w:t>
      </w:r>
      <w:proofErr w:type="spellEnd"/>
      <w:r w:rsidR="00931D2E">
        <w:t>. 6.</w:t>
      </w:r>
    </w:p>
    <w:p w14:paraId="0B3DC22B" w14:textId="2FAFFE04" w:rsidR="00A37B75" w:rsidRDefault="00A37B75" w:rsidP="00C06223"/>
    <w:p w14:paraId="19878FBF" w14:textId="2D251D73" w:rsidR="00A37B75" w:rsidRDefault="007B7DC0" w:rsidP="007C0009">
      <w:pPr>
        <w:pStyle w:val="ListParagraph"/>
        <w:numPr>
          <w:ilvl w:val="0"/>
          <w:numId w:val="1"/>
        </w:numPr>
        <w:ind w:left="0" w:firstLine="1440"/>
      </w:pPr>
      <w:r>
        <w:t xml:space="preserve">In January 2018, the average daily temperature was 31 degrees </w:t>
      </w:r>
      <w:r w:rsidR="0020462A">
        <w:t>Fahrenheit</w:t>
      </w:r>
      <w:r w:rsidR="00A37B75">
        <w:t>.</w:t>
      </w:r>
      <w:r w:rsidR="0020462A">
        <w:t xml:space="preserve">  Tr. </w:t>
      </w:r>
      <w:r w:rsidR="0061709D">
        <w:t>65.</w:t>
      </w:r>
    </w:p>
    <w:p w14:paraId="03E783CC" w14:textId="77777777" w:rsidR="00580FE6" w:rsidRDefault="00580FE6" w:rsidP="00C06223"/>
    <w:p w14:paraId="00A23F46" w14:textId="1BADDD37" w:rsidR="00A37B75" w:rsidRDefault="00580FE6" w:rsidP="007C0009">
      <w:pPr>
        <w:pStyle w:val="ListParagraph"/>
        <w:numPr>
          <w:ilvl w:val="0"/>
          <w:numId w:val="1"/>
        </w:numPr>
        <w:ind w:left="0" w:firstLine="1440"/>
      </w:pPr>
      <w:r>
        <w:t xml:space="preserve">In January 2017, the average daily temperature was </w:t>
      </w:r>
      <w:r w:rsidR="007364A4">
        <w:t>39 degrees Fahrenheit</w:t>
      </w:r>
      <w:r w:rsidR="00A37B75">
        <w:t xml:space="preserve">.  </w:t>
      </w:r>
      <w:r w:rsidR="007364A4">
        <w:t xml:space="preserve">Tr. 65.  </w:t>
      </w:r>
    </w:p>
    <w:p w14:paraId="6B620C56" w14:textId="77777777" w:rsidR="00A37B75" w:rsidRDefault="00A37B75" w:rsidP="007C0009">
      <w:pPr>
        <w:pStyle w:val="ListParagraph"/>
        <w:ind w:left="0" w:firstLine="1440"/>
      </w:pPr>
    </w:p>
    <w:p w14:paraId="2B802A05" w14:textId="26E30768" w:rsidR="00A37B75" w:rsidRDefault="00494479" w:rsidP="007C0009">
      <w:pPr>
        <w:pStyle w:val="ListParagraph"/>
        <w:numPr>
          <w:ilvl w:val="0"/>
          <w:numId w:val="1"/>
        </w:numPr>
        <w:ind w:left="0" w:firstLine="1440"/>
      </w:pPr>
      <w:r>
        <w:t xml:space="preserve">Usage data from the meter at the Service Address </w:t>
      </w:r>
      <w:r w:rsidR="00FA70AB">
        <w:t xml:space="preserve">was transmitted and received by PECO </w:t>
      </w:r>
      <w:r w:rsidR="00C36A86">
        <w:t>with no signs of tampering or any other irregularities</w:t>
      </w:r>
      <w:r w:rsidR="00A37B75">
        <w:t>.  Tr.</w:t>
      </w:r>
      <w:r w:rsidR="00215386">
        <w:t xml:space="preserve"> 68</w:t>
      </w:r>
      <w:r w:rsidR="00A37B75">
        <w:t xml:space="preserve">.  </w:t>
      </w:r>
    </w:p>
    <w:p w14:paraId="06F49EC1" w14:textId="6FF07A50" w:rsidR="00AB7FCD" w:rsidRDefault="00AB7FCD" w:rsidP="00AB7FCD">
      <w:pPr>
        <w:pStyle w:val="ListParagraph"/>
      </w:pPr>
      <w:r>
        <w:t xml:space="preserve">  </w:t>
      </w:r>
    </w:p>
    <w:p w14:paraId="786D0E0D" w14:textId="52C0C33B" w:rsidR="00AB7FCD" w:rsidRDefault="00AB7FCD" w:rsidP="00AB7FCD">
      <w:pPr>
        <w:ind w:left="1440" w:firstLine="0"/>
      </w:pPr>
      <w:r w:rsidRPr="00AB7FCD">
        <w:rPr>
          <w:rFonts w:eastAsia="Arial Unicode MS" w:cs="Arial Unicode MS"/>
          <w:color w:val="000000"/>
          <w:u w:color="000000"/>
        </w:rPr>
        <w:t>26.</w:t>
      </w:r>
      <w:r>
        <w:t xml:space="preserve">  </w:t>
      </w:r>
      <w:r>
        <w:tab/>
        <w:t>T</w:t>
      </w:r>
      <w:r w:rsidR="00F64FBE">
        <w:t>here is no multiplier</w:t>
      </w:r>
      <w:r w:rsidR="0036530D">
        <w:rPr>
          <w:rStyle w:val="FootnoteReference"/>
        </w:rPr>
        <w:footnoteReference w:id="4"/>
      </w:r>
      <w:r w:rsidR="00F64FBE">
        <w:t xml:space="preserve"> used in residential meters</w:t>
      </w:r>
      <w:r w:rsidR="00CE1084">
        <w:t xml:space="preserve">, only commercial </w:t>
      </w:r>
    </w:p>
    <w:p w14:paraId="60DAE447" w14:textId="43F0655A" w:rsidR="00A37B75" w:rsidRDefault="00CE1084" w:rsidP="00AB7FCD">
      <w:pPr>
        <w:ind w:firstLine="0"/>
      </w:pPr>
      <w:r>
        <w:t>properties that use more power</w:t>
      </w:r>
      <w:r w:rsidR="00A37B75">
        <w:t xml:space="preserve">.  Tr. </w:t>
      </w:r>
      <w:r w:rsidR="00C148B2">
        <w:t>75-76</w:t>
      </w:r>
      <w:r w:rsidR="00A37B75">
        <w:t xml:space="preserve">.  </w:t>
      </w:r>
    </w:p>
    <w:p w14:paraId="503C688A" w14:textId="77777777" w:rsidR="00337647" w:rsidRDefault="00337647" w:rsidP="007C0009">
      <w:pPr>
        <w:pStyle w:val="ListParagraph"/>
        <w:ind w:left="0" w:firstLine="1440"/>
      </w:pPr>
    </w:p>
    <w:p w14:paraId="7DFF8FCB" w14:textId="7F143488" w:rsidR="00337647" w:rsidRDefault="009524AC" w:rsidP="009524AC">
      <w:pPr>
        <w:ind w:left="720" w:firstLine="720"/>
      </w:pPr>
      <w:r>
        <w:t xml:space="preserve">27.      </w:t>
      </w:r>
      <w:r>
        <w:tab/>
      </w:r>
      <w:r w:rsidR="00337647">
        <w:t>The Complainant’s usage for winter months</w:t>
      </w:r>
      <w:r w:rsidR="00423493">
        <w:t xml:space="preserve"> from 2016-2017 and 2017-2018</w:t>
      </w:r>
      <w:r w:rsidR="00337647">
        <w:t xml:space="preserve"> </w:t>
      </w:r>
      <w:r w:rsidR="00857161">
        <w:t>is</w:t>
      </w:r>
      <w:r w:rsidR="00337647">
        <w:t xml:space="preserve"> indicated in the chart below.</w:t>
      </w:r>
      <w:r w:rsidR="00CA4BFA">
        <w:t xml:space="preserve">  PECO </w:t>
      </w:r>
      <w:proofErr w:type="spellStart"/>
      <w:r w:rsidR="00CA4BFA">
        <w:t>Exh</w:t>
      </w:r>
      <w:proofErr w:type="spellEnd"/>
      <w:r w:rsidR="00CA4BFA">
        <w:t xml:space="preserve">. 1.  </w:t>
      </w:r>
    </w:p>
    <w:p w14:paraId="4E2BF627" w14:textId="77777777" w:rsidR="007C0009" w:rsidRDefault="007C0009" w:rsidP="006830F5">
      <w:pPr>
        <w:pStyle w:val="ListParagraph"/>
        <w:tabs>
          <w:tab w:val="clear" w:pos="360"/>
        </w:tabs>
        <w:spacing w:line="240" w:lineRule="auto"/>
      </w:pPr>
    </w:p>
    <w:tbl>
      <w:tblPr>
        <w:tblStyle w:val="TableGrid"/>
        <w:tblpPr w:leftFromText="180" w:rightFromText="180" w:vertAnchor="text" w:horzAnchor="margin" w:tblpXSpec="center" w:tblpY="275"/>
        <w:tblW w:w="0" w:type="auto"/>
        <w:tblInd w:w="0" w:type="dxa"/>
        <w:tblLook w:val="04A0" w:firstRow="1" w:lastRow="0" w:firstColumn="1" w:lastColumn="0" w:noHBand="0" w:noVBand="1"/>
      </w:tblPr>
      <w:tblGrid>
        <w:gridCol w:w="2394"/>
        <w:gridCol w:w="2394"/>
        <w:gridCol w:w="2394"/>
      </w:tblGrid>
      <w:tr w:rsidR="00CA4BFA" w14:paraId="2A56BC95"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0AB0B4AD" w14:textId="77777777" w:rsidR="00CA4BFA" w:rsidRPr="00A3182D" w:rsidRDefault="00CA4BFA" w:rsidP="00A3182D">
            <w:pPr>
              <w:spacing w:line="240" w:lineRule="auto"/>
              <w:ind w:firstLine="0"/>
              <w:jc w:val="center"/>
              <w:rPr>
                <w:b/>
                <w:bCs/>
                <w:sz w:val="22"/>
                <w:szCs w:val="22"/>
              </w:rPr>
            </w:pPr>
            <w:r w:rsidRPr="00A3182D">
              <w:rPr>
                <w:b/>
                <w:bCs/>
              </w:rPr>
              <w:t>Billing Period Dates</w:t>
            </w:r>
          </w:p>
        </w:tc>
        <w:tc>
          <w:tcPr>
            <w:tcW w:w="2394" w:type="dxa"/>
            <w:tcBorders>
              <w:top w:val="single" w:sz="4" w:space="0" w:color="auto"/>
              <w:left w:val="single" w:sz="4" w:space="0" w:color="auto"/>
              <w:bottom w:val="single" w:sz="4" w:space="0" w:color="auto"/>
              <w:right w:val="single" w:sz="4" w:space="0" w:color="auto"/>
            </w:tcBorders>
            <w:hideMark/>
          </w:tcPr>
          <w:p w14:paraId="380FF590" w14:textId="77777777" w:rsidR="00CA4BFA" w:rsidRPr="00A3182D" w:rsidRDefault="00CA4BFA" w:rsidP="00A3182D">
            <w:pPr>
              <w:spacing w:line="240" w:lineRule="auto"/>
              <w:ind w:firstLine="0"/>
              <w:jc w:val="center"/>
              <w:rPr>
                <w:b/>
                <w:bCs/>
              </w:rPr>
            </w:pPr>
            <w:proofErr w:type="spellStart"/>
            <w:r w:rsidRPr="00A3182D">
              <w:rPr>
                <w:b/>
                <w:bCs/>
              </w:rPr>
              <w:t>KwH</w:t>
            </w:r>
            <w:proofErr w:type="spellEnd"/>
            <w:r w:rsidRPr="00A3182D">
              <w:rPr>
                <w:b/>
                <w:bCs/>
              </w:rPr>
              <w:t xml:space="preserve"> Used</w:t>
            </w:r>
          </w:p>
        </w:tc>
        <w:tc>
          <w:tcPr>
            <w:tcW w:w="2394" w:type="dxa"/>
            <w:tcBorders>
              <w:top w:val="single" w:sz="4" w:space="0" w:color="auto"/>
              <w:left w:val="single" w:sz="4" w:space="0" w:color="auto"/>
              <w:bottom w:val="single" w:sz="4" w:space="0" w:color="auto"/>
              <w:right w:val="single" w:sz="4" w:space="0" w:color="auto"/>
            </w:tcBorders>
            <w:hideMark/>
          </w:tcPr>
          <w:p w14:paraId="574C6F4D" w14:textId="3DD48401" w:rsidR="00CA4BFA" w:rsidRPr="00A3182D" w:rsidRDefault="00CA4BFA" w:rsidP="00A3182D">
            <w:pPr>
              <w:spacing w:line="240" w:lineRule="auto"/>
              <w:ind w:firstLine="0"/>
              <w:jc w:val="center"/>
              <w:rPr>
                <w:b/>
                <w:bCs/>
              </w:rPr>
            </w:pPr>
            <w:r w:rsidRPr="00A3182D">
              <w:rPr>
                <w:b/>
                <w:bCs/>
              </w:rPr>
              <w:t>Heating Degree Days</w:t>
            </w:r>
            <w:r w:rsidR="00914699" w:rsidRPr="00A3182D">
              <w:rPr>
                <w:rStyle w:val="FootnoteReference"/>
                <w:b/>
                <w:bCs/>
              </w:rPr>
              <w:footnoteReference w:id="5"/>
            </w:r>
          </w:p>
        </w:tc>
      </w:tr>
      <w:tr w:rsidR="00CA4BFA" w14:paraId="550E05EC"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5C8D7146" w14:textId="77777777" w:rsidR="00CA4BFA" w:rsidRDefault="00CA4BFA" w:rsidP="00A3182D">
            <w:pPr>
              <w:spacing w:line="240" w:lineRule="auto"/>
              <w:ind w:firstLine="0"/>
              <w:jc w:val="center"/>
            </w:pPr>
            <w:r>
              <w:t>10/16/16-11/17/16</w:t>
            </w:r>
          </w:p>
        </w:tc>
        <w:tc>
          <w:tcPr>
            <w:tcW w:w="2394" w:type="dxa"/>
            <w:tcBorders>
              <w:top w:val="single" w:sz="4" w:space="0" w:color="auto"/>
              <w:left w:val="single" w:sz="4" w:space="0" w:color="auto"/>
              <w:bottom w:val="single" w:sz="4" w:space="0" w:color="auto"/>
              <w:right w:val="single" w:sz="4" w:space="0" w:color="auto"/>
            </w:tcBorders>
            <w:hideMark/>
          </w:tcPr>
          <w:p w14:paraId="393F7FC5" w14:textId="77777777" w:rsidR="00CA4BFA" w:rsidRDefault="00CA4BFA" w:rsidP="00A3182D">
            <w:pPr>
              <w:spacing w:line="240" w:lineRule="auto"/>
              <w:ind w:firstLine="0"/>
              <w:jc w:val="center"/>
            </w:pPr>
            <w:r>
              <w:t>592</w:t>
            </w:r>
          </w:p>
        </w:tc>
        <w:tc>
          <w:tcPr>
            <w:tcW w:w="2394" w:type="dxa"/>
            <w:tcBorders>
              <w:top w:val="single" w:sz="4" w:space="0" w:color="auto"/>
              <w:left w:val="single" w:sz="4" w:space="0" w:color="auto"/>
              <w:bottom w:val="single" w:sz="4" w:space="0" w:color="auto"/>
              <w:right w:val="single" w:sz="4" w:space="0" w:color="auto"/>
            </w:tcBorders>
            <w:hideMark/>
          </w:tcPr>
          <w:p w14:paraId="54156D46" w14:textId="77777777" w:rsidR="00CA4BFA" w:rsidRDefault="00CA4BFA" w:rsidP="00A3182D">
            <w:pPr>
              <w:spacing w:line="240" w:lineRule="auto"/>
              <w:ind w:firstLine="0"/>
              <w:jc w:val="center"/>
            </w:pPr>
            <w:r>
              <w:t>290</w:t>
            </w:r>
          </w:p>
        </w:tc>
      </w:tr>
      <w:tr w:rsidR="00CA4BFA" w14:paraId="4B145BAC"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1606135E" w14:textId="77777777" w:rsidR="00CA4BFA" w:rsidRDefault="00CA4BFA" w:rsidP="00A3182D">
            <w:pPr>
              <w:spacing w:line="240" w:lineRule="auto"/>
              <w:ind w:firstLine="0"/>
              <w:jc w:val="center"/>
            </w:pPr>
            <w:r>
              <w:t>11/17/16-12/20/16</w:t>
            </w:r>
          </w:p>
        </w:tc>
        <w:tc>
          <w:tcPr>
            <w:tcW w:w="2394" w:type="dxa"/>
            <w:tcBorders>
              <w:top w:val="single" w:sz="4" w:space="0" w:color="auto"/>
              <w:left w:val="single" w:sz="4" w:space="0" w:color="auto"/>
              <w:bottom w:val="single" w:sz="4" w:space="0" w:color="auto"/>
              <w:right w:val="single" w:sz="4" w:space="0" w:color="auto"/>
            </w:tcBorders>
            <w:hideMark/>
          </w:tcPr>
          <w:p w14:paraId="0221AE75" w14:textId="77777777" w:rsidR="00CA4BFA" w:rsidRDefault="00CA4BFA" w:rsidP="00A3182D">
            <w:pPr>
              <w:spacing w:line="240" w:lineRule="auto"/>
              <w:ind w:firstLine="0"/>
              <w:jc w:val="center"/>
            </w:pPr>
            <w:r>
              <w:t>792</w:t>
            </w:r>
          </w:p>
        </w:tc>
        <w:tc>
          <w:tcPr>
            <w:tcW w:w="2394" w:type="dxa"/>
            <w:tcBorders>
              <w:top w:val="single" w:sz="4" w:space="0" w:color="auto"/>
              <w:left w:val="single" w:sz="4" w:space="0" w:color="auto"/>
              <w:bottom w:val="single" w:sz="4" w:space="0" w:color="auto"/>
              <w:right w:val="single" w:sz="4" w:space="0" w:color="auto"/>
            </w:tcBorders>
            <w:hideMark/>
          </w:tcPr>
          <w:p w14:paraId="612E5F8C" w14:textId="77777777" w:rsidR="00CA4BFA" w:rsidRDefault="00CA4BFA" w:rsidP="00A3182D">
            <w:pPr>
              <w:spacing w:line="240" w:lineRule="auto"/>
              <w:ind w:firstLine="0"/>
              <w:jc w:val="center"/>
            </w:pPr>
            <w:r>
              <w:t>746</w:t>
            </w:r>
          </w:p>
        </w:tc>
      </w:tr>
      <w:tr w:rsidR="00CA4BFA" w14:paraId="06E9B1A5"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670DAFD9" w14:textId="77777777" w:rsidR="00CA4BFA" w:rsidRDefault="00CA4BFA" w:rsidP="00A3182D">
            <w:pPr>
              <w:spacing w:line="240" w:lineRule="auto"/>
              <w:ind w:firstLine="0"/>
              <w:jc w:val="center"/>
            </w:pPr>
            <w:r>
              <w:t>12/20/16-01/24/17</w:t>
            </w:r>
          </w:p>
        </w:tc>
        <w:tc>
          <w:tcPr>
            <w:tcW w:w="2394" w:type="dxa"/>
            <w:tcBorders>
              <w:top w:val="single" w:sz="4" w:space="0" w:color="auto"/>
              <w:left w:val="single" w:sz="4" w:space="0" w:color="auto"/>
              <w:bottom w:val="single" w:sz="4" w:space="0" w:color="auto"/>
              <w:right w:val="single" w:sz="4" w:space="0" w:color="auto"/>
            </w:tcBorders>
            <w:hideMark/>
          </w:tcPr>
          <w:p w14:paraId="131FF3EC" w14:textId="77777777" w:rsidR="00CA4BFA" w:rsidRDefault="00CA4BFA" w:rsidP="00A3182D">
            <w:pPr>
              <w:spacing w:line="240" w:lineRule="auto"/>
              <w:ind w:firstLine="0"/>
              <w:jc w:val="center"/>
            </w:pPr>
            <w:r>
              <w:t>819</w:t>
            </w:r>
          </w:p>
        </w:tc>
        <w:tc>
          <w:tcPr>
            <w:tcW w:w="2394" w:type="dxa"/>
            <w:tcBorders>
              <w:top w:val="single" w:sz="4" w:space="0" w:color="auto"/>
              <w:left w:val="single" w:sz="4" w:space="0" w:color="auto"/>
              <w:bottom w:val="single" w:sz="4" w:space="0" w:color="auto"/>
              <w:right w:val="single" w:sz="4" w:space="0" w:color="auto"/>
            </w:tcBorders>
            <w:hideMark/>
          </w:tcPr>
          <w:p w14:paraId="4BDD6147" w14:textId="77777777" w:rsidR="00CA4BFA" w:rsidRDefault="00CA4BFA" w:rsidP="00A3182D">
            <w:pPr>
              <w:spacing w:line="240" w:lineRule="auto"/>
              <w:ind w:firstLine="0"/>
              <w:jc w:val="center"/>
            </w:pPr>
            <w:r>
              <w:t>915</w:t>
            </w:r>
          </w:p>
        </w:tc>
      </w:tr>
      <w:tr w:rsidR="00CA4BFA" w14:paraId="0917E6AE"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4E50BA0B" w14:textId="77777777" w:rsidR="00CA4BFA" w:rsidRDefault="00CA4BFA" w:rsidP="00A3182D">
            <w:pPr>
              <w:spacing w:line="240" w:lineRule="auto"/>
              <w:ind w:firstLine="0"/>
              <w:jc w:val="center"/>
            </w:pPr>
            <w:r>
              <w:t>01/24/17-02/22/17</w:t>
            </w:r>
          </w:p>
        </w:tc>
        <w:tc>
          <w:tcPr>
            <w:tcW w:w="2394" w:type="dxa"/>
            <w:tcBorders>
              <w:top w:val="single" w:sz="4" w:space="0" w:color="auto"/>
              <w:left w:val="single" w:sz="4" w:space="0" w:color="auto"/>
              <w:bottom w:val="single" w:sz="4" w:space="0" w:color="auto"/>
              <w:right w:val="single" w:sz="4" w:space="0" w:color="auto"/>
            </w:tcBorders>
            <w:hideMark/>
          </w:tcPr>
          <w:p w14:paraId="09FE0D31" w14:textId="77777777" w:rsidR="00CA4BFA" w:rsidRDefault="00CA4BFA" w:rsidP="00A3182D">
            <w:pPr>
              <w:spacing w:line="240" w:lineRule="auto"/>
              <w:ind w:firstLine="0"/>
              <w:jc w:val="center"/>
            </w:pPr>
            <w:r>
              <w:t>737</w:t>
            </w:r>
          </w:p>
        </w:tc>
        <w:tc>
          <w:tcPr>
            <w:tcW w:w="2394" w:type="dxa"/>
            <w:tcBorders>
              <w:top w:val="single" w:sz="4" w:space="0" w:color="auto"/>
              <w:left w:val="single" w:sz="4" w:space="0" w:color="auto"/>
              <w:bottom w:val="single" w:sz="4" w:space="0" w:color="auto"/>
              <w:right w:val="single" w:sz="4" w:space="0" w:color="auto"/>
            </w:tcBorders>
            <w:hideMark/>
          </w:tcPr>
          <w:p w14:paraId="724CD86E" w14:textId="77777777" w:rsidR="00CA4BFA" w:rsidRDefault="00CA4BFA" w:rsidP="00A3182D">
            <w:pPr>
              <w:spacing w:line="240" w:lineRule="auto"/>
              <w:ind w:firstLine="0"/>
              <w:jc w:val="center"/>
            </w:pPr>
            <w:r>
              <w:t>713</w:t>
            </w:r>
          </w:p>
        </w:tc>
      </w:tr>
      <w:tr w:rsidR="00CA4BFA" w14:paraId="149A2C84"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74F95848" w14:textId="77777777" w:rsidR="00CA4BFA" w:rsidRDefault="00CA4BFA" w:rsidP="00A3182D">
            <w:pPr>
              <w:spacing w:line="240" w:lineRule="auto"/>
              <w:ind w:firstLine="0"/>
              <w:jc w:val="center"/>
            </w:pPr>
            <w:r>
              <w:t>02/22/17-03/23/17</w:t>
            </w:r>
          </w:p>
        </w:tc>
        <w:tc>
          <w:tcPr>
            <w:tcW w:w="2394" w:type="dxa"/>
            <w:tcBorders>
              <w:top w:val="single" w:sz="4" w:space="0" w:color="auto"/>
              <w:left w:val="single" w:sz="4" w:space="0" w:color="auto"/>
              <w:bottom w:val="single" w:sz="4" w:space="0" w:color="auto"/>
              <w:right w:val="single" w:sz="4" w:space="0" w:color="auto"/>
            </w:tcBorders>
            <w:hideMark/>
          </w:tcPr>
          <w:p w14:paraId="1CBCAF67" w14:textId="77777777" w:rsidR="00CA4BFA" w:rsidRDefault="00CA4BFA" w:rsidP="00A3182D">
            <w:pPr>
              <w:spacing w:line="240" w:lineRule="auto"/>
              <w:ind w:firstLine="0"/>
              <w:jc w:val="center"/>
            </w:pPr>
            <w:r>
              <w:t>672</w:t>
            </w:r>
          </w:p>
        </w:tc>
        <w:tc>
          <w:tcPr>
            <w:tcW w:w="2394" w:type="dxa"/>
            <w:tcBorders>
              <w:top w:val="single" w:sz="4" w:space="0" w:color="auto"/>
              <w:left w:val="single" w:sz="4" w:space="0" w:color="auto"/>
              <w:bottom w:val="single" w:sz="4" w:space="0" w:color="auto"/>
              <w:right w:val="single" w:sz="4" w:space="0" w:color="auto"/>
            </w:tcBorders>
            <w:hideMark/>
          </w:tcPr>
          <w:p w14:paraId="0DA1D5F7" w14:textId="77777777" w:rsidR="00CA4BFA" w:rsidRDefault="00CA4BFA" w:rsidP="00A3182D">
            <w:pPr>
              <w:spacing w:line="240" w:lineRule="auto"/>
              <w:ind w:firstLine="0"/>
              <w:jc w:val="center"/>
            </w:pPr>
            <w:r>
              <w:t>645</w:t>
            </w:r>
          </w:p>
        </w:tc>
      </w:tr>
      <w:tr w:rsidR="00CA4BFA" w14:paraId="0F4361F8"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79AA77E0" w14:textId="77777777" w:rsidR="00CA4BFA" w:rsidRDefault="00CA4BFA" w:rsidP="00A3182D">
            <w:pPr>
              <w:spacing w:line="240" w:lineRule="auto"/>
              <w:ind w:firstLine="0"/>
              <w:jc w:val="center"/>
            </w:pPr>
            <w:r>
              <w:t>03/23/17-04/21/17</w:t>
            </w:r>
          </w:p>
        </w:tc>
        <w:tc>
          <w:tcPr>
            <w:tcW w:w="2394" w:type="dxa"/>
            <w:tcBorders>
              <w:top w:val="single" w:sz="4" w:space="0" w:color="auto"/>
              <w:left w:val="single" w:sz="4" w:space="0" w:color="auto"/>
              <w:bottom w:val="single" w:sz="4" w:space="0" w:color="auto"/>
              <w:right w:val="single" w:sz="4" w:space="0" w:color="auto"/>
            </w:tcBorders>
            <w:hideMark/>
          </w:tcPr>
          <w:p w14:paraId="1BC5C7DC" w14:textId="77777777" w:rsidR="00CA4BFA" w:rsidRDefault="00CA4BFA" w:rsidP="00A3182D">
            <w:pPr>
              <w:spacing w:line="240" w:lineRule="auto"/>
              <w:ind w:firstLine="0"/>
              <w:jc w:val="center"/>
            </w:pPr>
            <w:r>
              <w:t>541</w:t>
            </w:r>
          </w:p>
        </w:tc>
        <w:tc>
          <w:tcPr>
            <w:tcW w:w="2394" w:type="dxa"/>
            <w:tcBorders>
              <w:top w:val="single" w:sz="4" w:space="0" w:color="auto"/>
              <w:left w:val="single" w:sz="4" w:space="0" w:color="auto"/>
              <w:bottom w:val="single" w:sz="4" w:space="0" w:color="auto"/>
              <w:right w:val="single" w:sz="4" w:space="0" w:color="auto"/>
            </w:tcBorders>
            <w:hideMark/>
          </w:tcPr>
          <w:p w14:paraId="0D910397" w14:textId="77777777" w:rsidR="00CA4BFA" w:rsidRDefault="00CA4BFA" w:rsidP="00A3182D">
            <w:pPr>
              <w:spacing w:line="240" w:lineRule="auto"/>
              <w:ind w:firstLine="0"/>
              <w:jc w:val="center"/>
            </w:pPr>
            <w:r>
              <w:t>300</w:t>
            </w:r>
          </w:p>
        </w:tc>
      </w:tr>
      <w:tr w:rsidR="00CA4BFA" w14:paraId="0724F90C"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27121DB8" w14:textId="77777777" w:rsidR="00CA4BFA" w:rsidRDefault="00CA4BFA" w:rsidP="00A3182D">
            <w:pPr>
              <w:spacing w:line="240" w:lineRule="auto"/>
              <w:ind w:firstLine="0"/>
              <w:jc w:val="center"/>
            </w:pPr>
            <w:r>
              <w:t>10/18/17-11/16/17</w:t>
            </w:r>
          </w:p>
        </w:tc>
        <w:tc>
          <w:tcPr>
            <w:tcW w:w="2394" w:type="dxa"/>
            <w:tcBorders>
              <w:top w:val="single" w:sz="4" w:space="0" w:color="auto"/>
              <w:left w:val="single" w:sz="4" w:space="0" w:color="auto"/>
              <w:bottom w:val="single" w:sz="4" w:space="0" w:color="auto"/>
              <w:right w:val="single" w:sz="4" w:space="0" w:color="auto"/>
            </w:tcBorders>
            <w:hideMark/>
          </w:tcPr>
          <w:p w14:paraId="7D0ADF47" w14:textId="77777777" w:rsidR="00CA4BFA" w:rsidRDefault="00CA4BFA" w:rsidP="00A3182D">
            <w:pPr>
              <w:spacing w:line="240" w:lineRule="auto"/>
              <w:ind w:firstLine="0"/>
              <w:jc w:val="center"/>
            </w:pPr>
            <w:r>
              <w:t>1080</w:t>
            </w:r>
          </w:p>
        </w:tc>
        <w:tc>
          <w:tcPr>
            <w:tcW w:w="2394" w:type="dxa"/>
            <w:tcBorders>
              <w:top w:val="single" w:sz="4" w:space="0" w:color="auto"/>
              <w:left w:val="single" w:sz="4" w:space="0" w:color="auto"/>
              <w:bottom w:val="single" w:sz="4" w:space="0" w:color="auto"/>
              <w:right w:val="single" w:sz="4" w:space="0" w:color="auto"/>
            </w:tcBorders>
            <w:hideMark/>
          </w:tcPr>
          <w:p w14:paraId="252492EB" w14:textId="77777777" w:rsidR="00CA4BFA" w:rsidRDefault="00CA4BFA" w:rsidP="00A3182D">
            <w:pPr>
              <w:spacing w:line="240" w:lineRule="auto"/>
              <w:ind w:firstLine="0"/>
              <w:jc w:val="center"/>
            </w:pPr>
            <w:r>
              <w:t>307</w:t>
            </w:r>
          </w:p>
        </w:tc>
      </w:tr>
      <w:tr w:rsidR="00CA4BFA" w14:paraId="26D29F86"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3072F343" w14:textId="77777777" w:rsidR="00CA4BFA" w:rsidRDefault="00CA4BFA" w:rsidP="00A3182D">
            <w:pPr>
              <w:spacing w:line="240" w:lineRule="auto"/>
              <w:ind w:firstLine="0"/>
              <w:jc w:val="center"/>
            </w:pPr>
            <w:r>
              <w:t>11/16/17-12/20/17</w:t>
            </w:r>
          </w:p>
        </w:tc>
        <w:tc>
          <w:tcPr>
            <w:tcW w:w="2394" w:type="dxa"/>
            <w:tcBorders>
              <w:top w:val="single" w:sz="4" w:space="0" w:color="auto"/>
              <w:left w:val="single" w:sz="4" w:space="0" w:color="auto"/>
              <w:bottom w:val="single" w:sz="4" w:space="0" w:color="auto"/>
              <w:right w:val="single" w:sz="4" w:space="0" w:color="auto"/>
            </w:tcBorders>
            <w:hideMark/>
          </w:tcPr>
          <w:p w14:paraId="44EB2A21" w14:textId="77777777" w:rsidR="00CA4BFA" w:rsidRDefault="00CA4BFA" w:rsidP="00A3182D">
            <w:pPr>
              <w:spacing w:line="240" w:lineRule="auto"/>
              <w:ind w:firstLine="0"/>
              <w:jc w:val="center"/>
            </w:pPr>
            <w:r>
              <w:t>2287</w:t>
            </w:r>
          </w:p>
        </w:tc>
        <w:tc>
          <w:tcPr>
            <w:tcW w:w="2394" w:type="dxa"/>
            <w:tcBorders>
              <w:top w:val="single" w:sz="4" w:space="0" w:color="auto"/>
              <w:left w:val="single" w:sz="4" w:space="0" w:color="auto"/>
              <w:bottom w:val="single" w:sz="4" w:space="0" w:color="auto"/>
              <w:right w:val="single" w:sz="4" w:space="0" w:color="auto"/>
            </w:tcBorders>
            <w:hideMark/>
          </w:tcPr>
          <w:p w14:paraId="0CBC1732" w14:textId="77777777" w:rsidR="00CA4BFA" w:rsidRDefault="00CA4BFA" w:rsidP="00A3182D">
            <w:pPr>
              <w:spacing w:line="240" w:lineRule="auto"/>
              <w:ind w:firstLine="0"/>
              <w:jc w:val="center"/>
            </w:pPr>
            <w:r>
              <w:t>762</w:t>
            </w:r>
          </w:p>
        </w:tc>
      </w:tr>
      <w:tr w:rsidR="00CA4BFA" w14:paraId="55A5FD85"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793EA0A8" w14:textId="77777777" w:rsidR="00CA4BFA" w:rsidRDefault="00CA4BFA" w:rsidP="00A3182D">
            <w:pPr>
              <w:spacing w:line="240" w:lineRule="auto"/>
              <w:ind w:firstLine="0"/>
              <w:jc w:val="center"/>
            </w:pPr>
            <w:r>
              <w:t>12/20/17-01/23/18</w:t>
            </w:r>
          </w:p>
        </w:tc>
        <w:tc>
          <w:tcPr>
            <w:tcW w:w="2394" w:type="dxa"/>
            <w:tcBorders>
              <w:top w:val="single" w:sz="4" w:space="0" w:color="auto"/>
              <w:left w:val="single" w:sz="4" w:space="0" w:color="auto"/>
              <w:bottom w:val="single" w:sz="4" w:space="0" w:color="auto"/>
              <w:right w:val="single" w:sz="4" w:space="0" w:color="auto"/>
            </w:tcBorders>
            <w:hideMark/>
          </w:tcPr>
          <w:p w14:paraId="72A64A15" w14:textId="77777777" w:rsidR="00CA4BFA" w:rsidRDefault="00CA4BFA" w:rsidP="00A3182D">
            <w:pPr>
              <w:spacing w:line="240" w:lineRule="auto"/>
              <w:ind w:firstLine="0"/>
              <w:jc w:val="center"/>
            </w:pPr>
            <w:r>
              <w:t>2614</w:t>
            </w:r>
          </w:p>
        </w:tc>
        <w:tc>
          <w:tcPr>
            <w:tcW w:w="2394" w:type="dxa"/>
            <w:tcBorders>
              <w:top w:val="single" w:sz="4" w:space="0" w:color="auto"/>
              <w:left w:val="single" w:sz="4" w:space="0" w:color="auto"/>
              <w:bottom w:val="single" w:sz="4" w:space="0" w:color="auto"/>
              <w:right w:val="single" w:sz="4" w:space="0" w:color="auto"/>
            </w:tcBorders>
            <w:hideMark/>
          </w:tcPr>
          <w:p w14:paraId="70750DF9" w14:textId="77777777" w:rsidR="00CA4BFA" w:rsidRDefault="00CA4BFA" w:rsidP="00A3182D">
            <w:pPr>
              <w:spacing w:line="240" w:lineRule="auto"/>
              <w:ind w:firstLine="0"/>
              <w:jc w:val="center"/>
            </w:pPr>
            <w:r>
              <w:t>1169</w:t>
            </w:r>
          </w:p>
        </w:tc>
      </w:tr>
      <w:tr w:rsidR="00CA4BFA" w14:paraId="0DE93719"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5BFBBF17" w14:textId="77777777" w:rsidR="00CA4BFA" w:rsidRDefault="00CA4BFA" w:rsidP="00A3182D">
            <w:pPr>
              <w:spacing w:line="240" w:lineRule="auto"/>
              <w:ind w:firstLine="0"/>
              <w:jc w:val="center"/>
            </w:pPr>
            <w:r>
              <w:t>01/23/18-02/21/18</w:t>
            </w:r>
          </w:p>
        </w:tc>
        <w:tc>
          <w:tcPr>
            <w:tcW w:w="2394" w:type="dxa"/>
            <w:tcBorders>
              <w:top w:val="single" w:sz="4" w:space="0" w:color="auto"/>
              <w:left w:val="single" w:sz="4" w:space="0" w:color="auto"/>
              <w:bottom w:val="single" w:sz="4" w:space="0" w:color="auto"/>
              <w:right w:val="single" w:sz="4" w:space="0" w:color="auto"/>
            </w:tcBorders>
            <w:hideMark/>
          </w:tcPr>
          <w:p w14:paraId="63DEC526" w14:textId="77777777" w:rsidR="00CA4BFA" w:rsidRDefault="00CA4BFA" w:rsidP="00A3182D">
            <w:pPr>
              <w:spacing w:line="240" w:lineRule="auto"/>
              <w:ind w:firstLine="0"/>
              <w:jc w:val="center"/>
            </w:pPr>
            <w:r>
              <w:t>1500</w:t>
            </w:r>
          </w:p>
        </w:tc>
        <w:tc>
          <w:tcPr>
            <w:tcW w:w="2394" w:type="dxa"/>
            <w:tcBorders>
              <w:top w:val="single" w:sz="4" w:space="0" w:color="auto"/>
              <w:left w:val="single" w:sz="4" w:space="0" w:color="auto"/>
              <w:bottom w:val="single" w:sz="4" w:space="0" w:color="auto"/>
              <w:right w:val="single" w:sz="4" w:space="0" w:color="auto"/>
            </w:tcBorders>
            <w:hideMark/>
          </w:tcPr>
          <w:p w14:paraId="743E1CF1" w14:textId="77777777" w:rsidR="00CA4BFA" w:rsidRDefault="00CA4BFA" w:rsidP="00A3182D">
            <w:pPr>
              <w:spacing w:line="240" w:lineRule="auto"/>
              <w:ind w:firstLine="0"/>
              <w:jc w:val="center"/>
            </w:pPr>
            <w:r>
              <w:t>740</w:t>
            </w:r>
          </w:p>
        </w:tc>
      </w:tr>
      <w:tr w:rsidR="00CA4BFA" w14:paraId="1D3D51CB"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46F38323" w14:textId="77777777" w:rsidR="00CA4BFA" w:rsidRDefault="00CA4BFA" w:rsidP="00A3182D">
            <w:pPr>
              <w:spacing w:line="240" w:lineRule="auto"/>
              <w:ind w:firstLine="0"/>
              <w:jc w:val="center"/>
            </w:pPr>
            <w:r>
              <w:t>02/21/18-03/23/18</w:t>
            </w:r>
          </w:p>
        </w:tc>
        <w:tc>
          <w:tcPr>
            <w:tcW w:w="2394" w:type="dxa"/>
            <w:tcBorders>
              <w:top w:val="single" w:sz="4" w:space="0" w:color="auto"/>
              <w:left w:val="single" w:sz="4" w:space="0" w:color="auto"/>
              <w:bottom w:val="single" w:sz="4" w:space="0" w:color="auto"/>
              <w:right w:val="single" w:sz="4" w:space="0" w:color="auto"/>
            </w:tcBorders>
            <w:hideMark/>
          </w:tcPr>
          <w:p w14:paraId="06FAB361" w14:textId="77777777" w:rsidR="00CA4BFA" w:rsidRDefault="00CA4BFA" w:rsidP="00A3182D">
            <w:pPr>
              <w:spacing w:line="240" w:lineRule="auto"/>
              <w:ind w:firstLine="0"/>
              <w:jc w:val="center"/>
            </w:pPr>
            <w:r>
              <w:t>1398</w:t>
            </w:r>
          </w:p>
        </w:tc>
        <w:tc>
          <w:tcPr>
            <w:tcW w:w="2394" w:type="dxa"/>
            <w:tcBorders>
              <w:top w:val="single" w:sz="4" w:space="0" w:color="auto"/>
              <w:left w:val="single" w:sz="4" w:space="0" w:color="auto"/>
              <w:bottom w:val="single" w:sz="4" w:space="0" w:color="auto"/>
              <w:right w:val="single" w:sz="4" w:space="0" w:color="auto"/>
            </w:tcBorders>
            <w:hideMark/>
          </w:tcPr>
          <w:p w14:paraId="5AC045A9" w14:textId="77777777" w:rsidR="00CA4BFA" w:rsidRDefault="00CA4BFA" w:rsidP="00A3182D">
            <w:pPr>
              <w:spacing w:line="240" w:lineRule="auto"/>
              <w:ind w:firstLine="0"/>
              <w:jc w:val="center"/>
            </w:pPr>
            <w:r>
              <w:t>742</w:t>
            </w:r>
          </w:p>
        </w:tc>
      </w:tr>
      <w:tr w:rsidR="00CA4BFA" w14:paraId="6AD9D4FD" w14:textId="77777777" w:rsidTr="00CA4BFA">
        <w:tc>
          <w:tcPr>
            <w:tcW w:w="2394" w:type="dxa"/>
            <w:tcBorders>
              <w:top w:val="single" w:sz="4" w:space="0" w:color="auto"/>
              <w:left w:val="single" w:sz="4" w:space="0" w:color="auto"/>
              <w:bottom w:val="single" w:sz="4" w:space="0" w:color="auto"/>
              <w:right w:val="single" w:sz="4" w:space="0" w:color="auto"/>
            </w:tcBorders>
            <w:hideMark/>
          </w:tcPr>
          <w:p w14:paraId="547793B7" w14:textId="77777777" w:rsidR="00CA4BFA" w:rsidRDefault="00CA4BFA" w:rsidP="00A3182D">
            <w:pPr>
              <w:spacing w:line="240" w:lineRule="auto"/>
              <w:ind w:firstLine="0"/>
              <w:jc w:val="center"/>
            </w:pPr>
            <w:r>
              <w:t>03/23/18-04/20/18</w:t>
            </w:r>
          </w:p>
        </w:tc>
        <w:tc>
          <w:tcPr>
            <w:tcW w:w="2394" w:type="dxa"/>
            <w:tcBorders>
              <w:top w:val="single" w:sz="4" w:space="0" w:color="auto"/>
              <w:left w:val="single" w:sz="4" w:space="0" w:color="auto"/>
              <w:bottom w:val="single" w:sz="4" w:space="0" w:color="auto"/>
              <w:right w:val="single" w:sz="4" w:space="0" w:color="auto"/>
            </w:tcBorders>
            <w:hideMark/>
          </w:tcPr>
          <w:p w14:paraId="0A6AAB73" w14:textId="39945952" w:rsidR="00CA4BFA" w:rsidRDefault="00CA4BFA" w:rsidP="00A3182D">
            <w:pPr>
              <w:spacing w:line="240" w:lineRule="auto"/>
              <w:ind w:firstLine="0"/>
              <w:jc w:val="center"/>
            </w:pPr>
            <w:r>
              <w:t>981</w:t>
            </w:r>
          </w:p>
        </w:tc>
        <w:tc>
          <w:tcPr>
            <w:tcW w:w="2394" w:type="dxa"/>
            <w:tcBorders>
              <w:top w:val="single" w:sz="4" w:space="0" w:color="auto"/>
              <w:left w:val="single" w:sz="4" w:space="0" w:color="auto"/>
              <w:bottom w:val="single" w:sz="4" w:space="0" w:color="auto"/>
              <w:right w:val="single" w:sz="4" w:space="0" w:color="auto"/>
            </w:tcBorders>
            <w:hideMark/>
          </w:tcPr>
          <w:p w14:paraId="394017B2" w14:textId="77777777" w:rsidR="00CA4BFA" w:rsidRDefault="00CA4BFA" w:rsidP="00A3182D">
            <w:pPr>
              <w:spacing w:line="240" w:lineRule="auto"/>
              <w:ind w:firstLine="0"/>
              <w:jc w:val="center"/>
            </w:pPr>
            <w:r>
              <w:t>508</w:t>
            </w:r>
          </w:p>
        </w:tc>
      </w:tr>
    </w:tbl>
    <w:p w14:paraId="79C9F438" w14:textId="77777777" w:rsidR="00337647" w:rsidRDefault="00337647" w:rsidP="00BE4E85">
      <w:pPr>
        <w:pStyle w:val="ListParagraph"/>
      </w:pPr>
    </w:p>
    <w:p w14:paraId="06DA24FF" w14:textId="77777777" w:rsidR="00337647" w:rsidRDefault="00337647" w:rsidP="00BE4E85">
      <w:pPr>
        <w:pStyle w:val="ListParagraph"/>
      </w:pPr>
    </w:p>
    <w:p w14:paraId="790CF868" w14:textId="77777777" w:rsidR="002B3F2B" w:rsidRDefault="002B3F2B" w:rsidP="00A37B75">
      <w:pPr>
        <w:pStyle w:val="NoSpacing"/>
        <w:spacing w:line="360" w:lineRule="auto"/>
        <w:jc w:val="center"/>
        <w:rPr>
          <w:u w:val="single"/>
        </w:rPr>
      </w:pPr>
    </w:p>
    <w:p w14:paraId="60E6292D" w14:textId="77777777" w:rsidR="006830F5" w:rsidRDefault="006830F5" w:rsidP="00A37B75">
      <w:pPr>
        <w:pStyle w:val="NoSpacing"/>
        <w:spacing w:line="360" w:lineRule="auto"/>
        <w:jc w:val="center"/>
        <w:rPr>
          <w:u w:val="single"/>
        </w:rPr>
      </w:pPr>
    </w:p>
    <w:p w14:paraId="7560C234" w14:textId="77777777" w:rsidR="006830F5" w:rsidRDefault="006830F5" w:rsidP="00A37B75">
      <w:pPr>
        <w:pStyle w:val="NoSpacing"/>
        <w:spacing w:line="360" w:lineRule="auto"/>
        <w:jc w:val="center"/>
        <w:rPr>
          <w:u w:val="single"/>
        </w:rPr>
      </w:pPr>
    </w:p>
    <w:p w14:paraId="5F066F0C" w14:textId="77777777" w:rsidR="006830F5" w:rsidRDefault="006830F5" w:rsidP="006830F5">
      <w:pPr>
        <w:pStyle w:val="NoSpacing"/>
        <w:spacing w:line="360" w:lineRule="auto"/>
        <w:jc w:val="center"/>
        <w:rPr>
          <w:u w:val="single"/>
        </w:rPr>
      </w:pPr>
    </w:p>
    <w:p w14:paraId="5BCF9F20" w14:textId="77777777" w:rsidR="00C14804" w:rsidRDefault="00C14804" w:rsidP="00A37B75">
      <w:pPr>
        <w:pStyle w:val="NoSpacing"/>
        <w:spacing w:line="360" w:lineRule="auto"/>
        <w:jc w:val="center"/>
        <w:rPr>
          <w:u w:val="single"/>
        </w:rPr>
      </w:pPr>
    </w:p>
    <w:p w14:paraId="10049C8B" w14:textId="77777777" w:rsidR="00C14804" w:rsidRDefault="00C14804" w:rsidP="00A37B75">
      <w:pPr>
        <w:pStyle w:val="NoSpacing"/>
        <w:spacing w:line="360" w:lineRule="auto"/>
        <w:jc w:val="center"/>
        <w:rPr>
          <w:u w:val="single"/>
        </w:rPr>
      </w:pPr>
    </w:p>
    <w:p w14:paraId="7E3E737C" w14:textId="77777777" w:rsidR="00783D0A" w:rsidRDefault="00783D0A" w:rsidP="00A37B75">
      <w:pPr>
        <w:pStyle w:val="NoSpacing"/>
        <w:spacing w:line="360" w:lineRule="auto"/>
        <w:jc w:val="center"/>
        <w:rPr>
          <w:u w:val="single"/>
        </w:rPr>
      </w:pPr>
    </w:p>
    <w:p w14:paraId="29D11547" w14:textId="5529FC17" w:rsidR="00783D0A" w:rsidRDefault="00783D0A" w:rsidP="00A37B75">
      <w:pPr>
        <w:pStyle w:val="NoSpacing"/>
        <w:spacing w:line="360" w:lineRule="auto"/>
        <w:jc w:val="center"/>
        <w:rPr>
          <w:u w:val="single"/>
        </w:rPr>
      </w:pPr>
    </w:p>
    <w:p w14:paraId="46B8DA24" w14:textId="77777777" w:rsidR="00783D0A" w:rsidRDefault="00783D0A" w:rsidP="00A37B75">
      <w:pPr>
        <w:pStyle w:val="NoSpacing"/>
        <w:spacing w:line="360" w:lineRule="auto"/>
        <w:jc w:val="center"/>
        <w:rPr>
          <w:u w:val="single"/>
        </w:rPr>
      </w:pPr>
    </w:p>
    <w:p w14:paraId="46532BE8" w14:textId="3CE14998" w:rsidR="00A37B75" w:rsidRDefault="00A37B75" w:rsidP="00A37B75">
      <w:pPr>
        <w:pStyle w:val="NoSpacing"/>
        <w:spacing w:line="360" w:lineRule="auto"/>
        <w:jc w:val="center"/>
        <w:rPr>
          <w:b/>
          <w:bCs/>
          <w:u w:val="single"/>
        </w:rPr>
      </w:pPr>
      <w:r>
        <w:rPr>
          <w:u w:val="single"/>
        </w:rPr>
        <w:t>DISCUSSION</w:t>
      </w:r>
    </w:p>
    <w:p w14:paraId="7FC84535"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pPr>
    </w:p>
    <w:p w14:paraId="411411F7" w14:textId="0FE26104"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spacing w:line="360" w:lineRule="auto"/>
        <w:ind w:firstLine="1440"/>
      </w:pPr>
      <w:r>
        <w:t xml:space="preserve">The Public Utility Code, 66 Pa.C.S. § 332(a), places the burden of proof upon the proponent of a rule or order.  As the proponent of a rule or order, </w:t>
      </w:r>
      <w:r w:rsidR="00783D0A">
        <w:t>C</w:t>
      </w:r>
      <w:r>
        <w:t xml:space="preserve">omplainant has the burden of proof in this matter pursuant to 66 Pa.C.S. § 332(a).  </w:t>
      </w:r>
    </w:p>
    <w:p w14:paraId="3A02198E"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spacing w:line="360" w:lineRule="auto"/>
        <w:ind w:firstLine="1440"/>
      </w:pPr>
    </w:p>
    <w:p w14:paraId="7D9B3AD8" w14:textId="7AB08EB9"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spacing w:line="360" w:lineRule="auto"/>
        <w:ind w:firstLine="1440"/>
      </w:pPr>
      <w:r>
        <w:t xml:space="preserve">To establish a sufficient case and satisfy the burden of proof, </w:t>
      </w:r>
      <w:r w:rsidR="00783D0A">
        <w:t>C</w:t>
      </w:r>
      <w:r>
        <w:t xml:space="preserve">omplainant must show that the respondent public utility is responsible or accountable for the problem described in the Complaint.  </w:t>
      </w:r>
      <w:r>
        <w:rPr>
          <w:i/>
          <w:iCs/>
        </w:rPr>
        <w:t>Patterson v. Bell Telephone Co. of Pa.</w:t>
      </w:r>
      <w:r>
        <w:rPr>
          <w:lang w:val="it-IT"/>
        </w:rPr>
        <w:t xml:space="preserve">, 72 Pa. PUC 196 (1990), </w:t>
      </w:r>
      <w:r>
        <w:rPr>
          <w:i/>
          <w:iCs/>
          <w:lang w:val="de-DE"/>
        </w:rPr>
        <w:t>Feinstein v. Philadelphia Suburban Water Co.</w:t>
      </w:r>
      <w:r>
        <w:t xml:space="preserve">, 50 Pa. PUC 300 (1976).  Such a showing must be by a preponderance of the evidence.  </w:t>
      </w:r>
      <w:r>
        <w:rPr>
          <w:i/>
          <w:iCs/>
          <w:lang w:val="it-IT"/>
        </w:rPr>
        <w:t>Samuel J. Lansberry, Inc. v. Pa. Pub. Util. Comm</w:t>
      </w:r>
      <w:r>
        <w:rPr>
          <w:i/>
          <w:iCs/>
        </w:rPr>
        <w:t>’n</w:t>
      </w:r>
      <w:r>
        <w:t xml:space="preserve">, 578 A.2d 600, 602 (Pa.Cmwlth. 1990), </w:t>
      </w:r>
      <w:proofErr w:type="spellStart"/>
      <w:r>
        <w:rPr>
          <w:i/>
          <w:iCs/>
        </w:rPr>
        <w:t>alloc</w:t>
      </w:r>
      <w:proofErr w:type="spellEnd"/>
      <w:r>
        <w:rPr>
          <w:i/>
          <w:iCs/>
        </w:rPr>
        <w:t>. den.</w:t>
      </w:r>
      <w:r>
        <w:t xml:space="preserve">, 602 A.2d 863 (Pa. 1992).  That is, by presenting evidence more convincing, by even the smallest amount, than that presented by the other party.  </w:t>
      </w:r>
      <w:r>
        <w:rPr>
          <w:i/>
          <w:iCs/>
        </w:rPr>
        <w:t>Se-Ling Hosiery v. Margulies</w:t>
      </w:r>
      <w:r>
        <w:t xml:space="preserve">, 364 Pa. 45, 70 A.2d 854 (1950).  Additionally, any finding of fact necessary to support the Commission’s adjudication must be based upon substantial evidence.  </w:t>
      </w:r>
      <w:r>
        <w:rPr>
          <w:i/>
          <w:iCs/>
        </w:rPr>
        <w:t>Mill v. Pa. Pub. Util. Comm’n</w:t>
      </w:r>
      <w:r>
        <w:rPr>
          <w:lang w:val="it-IT"/>
        </w:rPr>
        <w:t xml:space="preserve">, 447 A.2d 1100 (Pa.Cmwlth. 1982); </w:t>
      </w:r>
      <w:r>
        <w:rPr>
          <w:i/>
          <w:iCs/>
          <w:lang w:val="it-IT"/>
        </w:rPr>
        <w:t>Edan Transportation Corp. v. Pa. Pub. Util. Comm</w:t>
      </w:r>
      <w:r>
        <w:rPr>
          <w:i/>
          <w:iCs/>
        </w:rPr>
        <w:t>’n</w:t>
      </w:r>
      <w:r>
        <w:rPr>
          <w:lang w:val="it-IT"/>
        </w:rPr>
        <w:t xml:space="preserve">, 623 A.2d 6 (Pa.Cmwlth. 1993); 2 Pa.C.S. </w:t>
      </w:r>
      <w:r>
        <w:t xml:space="preserve">§ 704.  More is required than a mere trace of evidence or a suspicion of the existence of a fact sought to be established.  </w:t>
      </w:r>
      <w:r>
        <w:rPr>
          <w:i/>
          <w:iCs/>
        </w:rPr>
        <w:t>Norfolk and Western Ry. v. Pa. Pub. Util. Comm’n</w:t>
      </w:r>
      <w:r>
        <w:t xml:space="preserve">, 489 Pa. 109, 413 A.2d 1037 (1980); </w:t>
      </w:r>
      <w:r>
        <w:rPr>
          <w:i/>
          <w:iCs/>
        </w:rPr>
        <w:t>Erie Resistor Corp. v. Unemployment Compensation Bd. of Review</w:t>
      </w:r>
      <w:r>
        <w:t xml:space="preserve">, 194 </w:t>
      </w:r>
      <w:proofErr w:type="spellStart"/>
      <w:r>
        <w:t>Pa.Super</w:t>
      </w:r>
      <w:proofErr w:type="spellEnd"/>
      <w:r>
        <w:t xml:space="preserve">. 278, 166 A.2d 96 (1960); </w:t>
      </w:r>
      <w:r>
        <w:rPr>
          <w:i/>
          <w:iCs/>
        </w:rPr>
        <w:t>Murphy v. Commonwealth, Dep’t of Public Welfare, White Haven Center</w:t>
      </w:r>
      <w:r>
        <w:rPr>
          <w:lang w:val="it-IT"/>
        </w:rPr>
        <w:t xml:space="preserve">, 480 A.2d 382 (Pa.Cmwlth. 1984).  </w:t>
      </w:r>
    </w:p>
    <w:p w14:paraId="472D5DA4"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uppressAutoHyphens/>
        <w:spacing w:line="360" w:lineRule="auto"/>
        <w:ind w:firstLine="1440"/>
      </w:pPr>
    </w:p>
    <w:p w14:paraId="326E2915"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ind w:firstLine="1440"/>
      </w:pPr>
      <w: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Pr>
          <w:i/>
          <w:iCs/>
        </w:rPr>
        <w:t>Burleson v. Pa. Pub. Util. Comm’n</w:t>
      </w:r>
      <w:r>
        <w:rPr>
          <w:lang w:val="it-IT"/>
        </w:rPr>
        <w:t xml:space="preserve">, 443 A.2d 1373 (Pa.Cmwlth. 1982), </w:t>
      </w:r>
      <w:r>
        <w:rPr>
          <w:i/>
          <w:iCs/>
        </w:rPr>
        <w:t>aff'd</w:t>
      </w:r>
      <w:r>
        <w:t xml:space="preserve">, 501 Pa. 433, 461 A.2d 1234 (1983).  </w:t>
      </w:r>
    </w:p>
    <w:p w14:paraId="472ACF90"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ind w:firstLine="1440"/>
      </w:pPr>
    </w:p>
    <w:p w14:paraId="5069A559" w14:textId="54BB6FD2"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ind w:firstLine="1440"/>
        <w:rPr>
          <w:lang w:val="it-IT"/>
        </w:rPr>
      </w:pPr>
      <w:r>
        <w:t xml:space="preserve">While the burden of persuasion may shift back and forth during a proceeding, the burden of proof never shifts.  The burden of proof always remains on the party seeking affirmative relief from the Commission.  </w:t>
      </w:r>
      <w:proofErr w:type="spellStart"/>
      <w:r>
        <w:rPr>
          <w:i/>
          <w:iCs/>
        </w:rPr>
        <w:t>Milkie</w:t>
      </w:r>
      <w:proofErr w:type="spellEnd"/>
      <w:r>
        <w:rPr>
          <w:i/>
          <w:iCs/>
        </w:rPr>
        <w:t xml:space="preserve"> v. Pa. Pub. Util. Comm’n</w:t>
      </w:r>
      <w:r>
        <w:rPr>
          <w:lang w:val="it-IT"/>
        </w:rPr>
        <w:t xml:space="preserve">, 768 A.2d 1217 (Pa.Cmwlth. 2001).  </w:t>
      </w:r>
    </w:p>
    <w:p w14:paraId="35BDA49B" w14:textId="47609591" w:rsidR="00C14804" w:rsidRDefault="00C14804"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ind w:firstLine="1440"/>
        <w:rPr>
          <w:lang w:val="it-IT"/>
        </w:rPr>
      </w:pPr>
    </w:p>
    <w:p w14:paraId="5F56AB8C" w14:textId="37BD7815" w:rsidR="00C14804" w:rsidRPr="00C14804" w:rsidRDefault="00C14804" w:rsidP="00C14804">
      <w:pPr>
        <w:pStyle w:val="Body"/>
        <w:tabs>
          <w:tab w:val="left" w:pos="720"/>
          <w:tab w:val="left" w:pos="1440"/>
          <w:tab w:val="left" w:pos="2160"/>
          <w:tab w:val="left" w:pos="2880"/>
          <w:tab w:val="left" w:pos="3600"/>
          <w:tab w:val="left" w:pos="4320"/>
          <w:tab w:val="left" w:pos="5040"/>
          <w:tab w:val="left" w:pos="5760"/>
          <w:tab w:val="left" w:pos="6480"/>
        </w:tabs>
        <w:spacing w:line="360" w:lineRule="auto"/>
        <w:rPr>
          <w:u w:val="single"/>
          <w:lang w:val="it-IT"/>
        </w:rPr>
      </w:pPr>
      <w:r w:rsidRPr="00C14804">
        <w:rPr>
          <w:u w:val="single"/>
          <w:lang w:val="it-IT"/>
        </w:rPr>
        <w:t>Complainant Requests after the Hearing</w:t>
      </w:r>
    </w:p>
    <w:p w14:paraId="7AB494D8" w14:textId="7CBF0CCA" w:rsidR="00C14804" w:rsidRDefault="00C14804" w:rsidP="00C14804">
      <w:pPr>
        <w:pStyle w:val="Body"/>
        <w:tabs>
          <w:tab w:val="left" w:pos="720"/>
          <w:tab w:val="left" w:pos="1440"/>
          <w:tab w:val="left" w:pos="2160"/>
          <w:tab w:val="left" w:pos="2880"/>
          <w:tab w:val="left" w:pos="3600"/>
          <w:tab w:val="left" w:pos="4320"/>
          <w:tab w:val="left" w:pos="5040"/>
          <w:tab w:val="left" w:pos="5760"/>
          <w:tab w:val="left" w:pos="6480"/>
        </w:tabs>
        <w:spacing w:line="360" w:lineRule="auto"/>
        <w:rPr>
          <w:lang w:val="it-IT"/>
        </w:rPr>
      </w:pPr>
    </w:p>
    <w:p w14:paraId="0E455EDB" w14:textId="4C517C30" w:rsidR="00D67D0E" w:rsidRPr="009133A1" w:rsidRDefault="00C14804" w:rsidP="001965D5">
      <w:pPr>
        <w:pStyle w:val="FootnoteText"/>
        <w:rPr>
          <w:sz w:val="24"/>
          <w:szCs w:val="24"/>
        </w:rPr>
      </w:pPr>
      <w:r w:rsidRPr="009133A1">
        <w:rPr>
          <w:sz w:val="24"/>
          <w:szCs w:val="24"/>
        </w:rPr>
        <w:t xml:space="preserve">The Complainant sent multiple letters to my office after the hearing had taken place.  The Complainant had been told at the hearing that if she wished to have further evidence submitted, she would need to file a Motion to Reopen the Record with the Secretary’s Bureau and provide a specific reason </w:t>
      </w:r>
      <w:r w:rsidR="00783D0A" w:rsidRPr="009133A1">
        <w:rPr>
          <w:sz w:val="24"/>
          <w:szCs w:val="24"/>
        </w:rPr>
        <w:t xml:space="preserve">as to why the record should be reopened </w:t>
      </w:r>
      <w:r w:rsidRPr="009133A1">
        <w:rPr>
          <w:sz w:val="24"/>
          <w:szCs w:val="24"/>
        </w:rPr>
        <w:t xml:space="preserve">and what she specifically would want to present at a further hearing in the motion.  Tr. 89-90.  The Complainant has failed to do that in this matter.  Further, the correspondence sent by the Complainant to my office does not contain any specific request to reopen the record nor does it contain what evidence she would wish to present.  The Complainant in her correspondence simply disputes PECO’s position in the case and the evidence that they presented at the hearing and does not indicate that there would be any new evidence which she would provide.  The Complainant had the opportunity to cross examine the witnesses at the hearing in this case.  </w:t>
      </w:r>
      <w:r w:rsidR="00D67D0E" w:rsidRPr="009133A1">
        <w:rPr>
          <w:sz w:val="24"/>
          <w:szCs w:val="24"/>
        </w:rPr>
        <w:t xml:space="preserve">The request is denied because the Complainant failed to present any “reason to believe that conditions of fact or of law have so changed as to require, or that the public interest requires, the reopening of the proceeding.”  </w:t>
      </w:r>
      <w:r w:rsidR="00D67D0E" w:rsidRPr="009133A1">
        <w:rPr>
          <w:i/>
          <w:sz w:val="24"/>
          <w:szCs w:val="24"/>
        </w:rPr>
        <w:t>See</w:t>
      </w:r>
      <w:r w:rsidR="00D67D0E" w:rsidRPr="009133A1">
        <w:rPr>
          <w:sz w:val="24"/>
          <w:szCs w:val="24"/>
        </w:rPr>
        <w:t xml:space="preserve"> 52 Pa.Code </w:t>
      </w:r>
      <w:r w:rsidR="00D67D0E" w:rsidRPr="009133A1">
        <w:rPr>
          <w:spacing w:val="-3"/>
          <w:sz w:val="24"/>
          <w:szCs w:val="24"/>
        </w:rPr>
        <w:t xml:space="preserve">§ 5.571(d).  </w:t>
      </w:r>
    </w:p>
    <w:p w14:paraId="1EA276C6" w14:textId="77777777" w:rsidR="00D67D0E" w:rsidRDefault="00D67D0E"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rPr>
          <w:u w:val="single"/>
        </w:rPr>
      </w:pPr>
      <w:bookmarkStart w:id="1" w:name="bookmark"/>
      <w:bookmarkEnd w:id="1"/>
    </w:p>
    <w:p w14:paraId="133E0960"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rPr>
          <w:u w:val="single"/>
        </w:rPr>
      </w:pPr>
      <w:r>
        <w:rPr>
          <w:u w:val="single"/>
        </w:rPr>
        <w:t>High Bill Dispute</w:t>
      </w:r>
    </w:p>
    <w:p w14:paraId="4DFA64CB"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rPr>
          <w:u w:val="single"/>
        </w:rPr>
      </w:pPr>
    </w:p>
    <w:p w14:paraId="19A8A93A" w14:textId="5133FE5E" w:rsidR="0026102D" w:rsidRDefault="00A37B75" w:rsidP="0026102D">
      <w:pPr>
        <w:pStyle w:val="NoSpacing"/>
        <w:spacing w:line="360" w:lineRule="auto"/>
        <w:ind w:firstLine="1440"/>
      </w:pPr>
      <w:r>
        <w:t xml:space="preserve">The Complainant contends that her bills are out of line for the amount of electricity she is using.  The Complainant asserts that she </w:t>
      </w:r>
      <w:r w:rsidR="007261AD">
        <w:t xml:space="preserve">noticed a </w:t>
      </w:r>
      <w:r w:rsidR="00DF0BBE">
        <w:t>jump in her usage from December 2017 to April 2018</w:t>
      </w:r>
      <w:r>
        <w:t xml:space="preserve">.  </w:t>
      </w:r>
      <w:r w:rsidR="0026102D">
        <w:t xml:space="preserve">The Complainant contends that PECO’s meter malfunctioned in some way.  </w:t>
      </w:r>
    </w:p>
    <w:p w14:paraId="15A5D6C4" w14:textId="77777777" w:rsidR="00A37B75" w:rsidRDefault="00A37B75" w:rsidP="00A37B75">
      <w:pPr>
        <w:pStyle w:val="NoSpacing"/>
        <w:spacing w:line="360" w:lineRule="auto"/>
        <w:ind w:firstLine="1440"/>
      </w:pPr>
    </w:p>
    <w:p w14:paraId="162CCDE9" w14:textId="626038DB" w:rsidR="00A37B75" w:rsidRDefault="00A37B75" w:rsidP="00A3182D">
      <w:pPr>
        <w:pStyle w:val="NoSpacing"/>
        <w:spacing w:before="240" w:line="360" w:lineRule="auto"/>
        <w:ind w:firstLine="1440"/>
      </w:pPr>
      <w:r>
        <w:t xml:space="preserve">The burden of proof for “high bill” complaints has been explained in </w:t>
      </w:r>
      <w:r>
        <w:rPr>
          <w:i/>
          <w:iCs/>
        </w:rPr>
        <w:t>Waldron v. Philadelphia Electric Company,</w:t>
      </w:r>
      <w:r>
        <w:t xml:space="preserve"> 54 Pa. PUC 98 (1980), and its progeny.  In </w:t>
      </w:r>
      <w:r>
        <w:rPr>
          <w:i/>
          <w:iCs/>
        </w:rPr>
        <w:t>Waldron</w:t>
      </w:r>
      <w:r>
        <w:t xml:space="preserve">, the Commission adopted the Michigan Public Service Commission’s (PSC’s) policy annunciated in </w:t>
      </w:r>
      <w:proofErr w:type="spellStart"/>
      <w:r>
        <w:rPr>
          <w:i/>
          <w:iCs/>
        </w:rPr>
        <w:t>Hallifax</w:t>
      </w:r>
      <w:proofErr w:type="spellEnd"/>
      <w:r>
        <w:rPr>
          <w:i/>
          <w:iCs/>
        </w:rPr>
        <w:t xml:space="preserve"> v. O &amp; A Electric Co-Op</w:t>
      </w:r>
      <w:r>
        <w:t xml:space="preserve">, Case No. U-5825, May 1979, which stated that, while the accuracy of the </w:t>
      </w:r>
      <w:r>
        <w:rPr>
          <w:bCs/>
        </w:rPr>
        <w:t>meter</w:t>
      </w:r>
      <w:r>
        <w:rPr>
          <w:b/>
          <w:bCs/>
        </w:rPr>
        <w:t xml:space="preserve"> </w:t>
      </w:r>
      <w:r>
        <w:t xml:space="preserve">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Pr>
          <w:i/>
          <w:iCs/>
        </w:rPr>
        <w:t xml:space="preserve">Waldron </w:t>
      </w:r>
      <w:r>
        <w:t xml:space="preserve">at 100.  </w:t>
      </w:r>
    </w:p>
    <w:p w14:paraId="4FE419AB" w14:textId="77777777" w:rsidR="00A37B75" w:rsidRDefault="00A37B75" w:rsidP="00A37B75">
      <w:pPr>
        <w:pStyle w:val="NoSpacing"/>
        <w:spacing w:line="360" w:lineRule="auto"/>
        <w:ind w:firstLine="1440"/>
      </w:pPr>
    </w:p>
    <w:p w14:paraId="7CB98D88" w14:textId="77777777" w:rsidR="00A37B75" w:rsidRDefault="00A37B75" w:rsidP="00A37B75">
      <w:pPr>
        <w:pStyle w:val="NoSpacing"/>
        <w:spacing w:line="360" w:lineRule="auto"/>
      </w:pPr>
      <w:r>
        <w:tab/>
      </w:r>
      <w:r>
        <w:tab/>
        <w:t xml:space="preserve">The Commission explained the burden of proof set forth in </w:t>
      </w:r>
      <w:r>
        <w:rPr>
          <w:i/>
          <w:iCs/>
        </w:rPr>
        <w:t>Waldron</w:t>
      </w:r>
      <w:r>
        <w:t xml:space="preserve"> as follows: </w:t>
      </w:r>
    </w:p>
    <w:p w14:paraId="7577A77E" w14:textId="77777777" w:rsidR="00A37B75" w:rsidRDefault="00A37B75" w:rsidP="00A37B75">
      <w:pPr>
        <w:pStyle w:val="NoSpacing"/>
        <w:spacing w:line="360" w:lineRule="auto"/>
      </w:pPr>
    </w:p>
    <w:p w14:paraId="0A618E2E" w14:textId="77777777" w:rsidR="00A37B75" w:rsidRDefault="00A37B75" w:rsidP="00A37B75">
      <w:pPr>
        <w:pStyle w:val="NoSpacing"/>
        <w:ind w:left="1440" w:right="1440"/>
      </w:pPr>
      <w:r>
        <w:t xml:space="preserve">[T]he </w:t>
      </w:r>
      <w:r>
        <w:rPr>
          <w:i/>
          <w:iCs/>
        </w:rPr>
        <w:t>Waldron</w:t>
      </w:r>
      <w:r>
        <w:t xml:space="preserve"> Rule allows a complainant to establish a </w:t>
      </w:r>
      <w:r>
        <w:rPr>
          <w:i/>
          <w:iCs/>
        </w:rPr>
        <w:t>prima facie</w:t>
      </w:r>
      <w:r>
        <w:t xml:space="preserve"> case in a “high bill” complaint by showing that the disputed bill is abnormally high when compared to prior usage patterns and his or her pattern of usage has not changed </w:t>
      </w:r>
      <w:r>
        <w:rPr>
          <w:i/>
          <w:iCs/>
        </w:rPr>
        <w:t>or by providing other relevant evidence showing that the disputed bill is unreasonably high</w:t>
      </w:r>
      <w: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Pr>
          <w:i/>
          <w:iCs/>
        </w:rPr>
        <w:t>and any other relevant facts or circumstances that come to light during the proceeding</w:t>
      </w:r>
      <w:r>
        <w:t>.”</w:t>
      </w:r>
    </w:p>
    <w:p w14:paraId="5B98227F" w14:textId="77777777" w:rsidR="00A37B75" w:rsidRDefault="00A37B75" w:rsidP="00A37B75">
      <w:pPr>
        <w:pStyle w:val="NoSpacing"/>
        <w:spacing w:line="360" w:lineRule="auto"/>
        <w:ind w:left="1440" w:right="1440"/>
      </w:pPr>
    </w:p>
    <w:p w14:paraId="76704D48" w14:textId="2164B17B" w:rsidR="00A37B75" w:rsidRDefault="00A37B75" w:rsidP="00A37B75">
      <w:pPr>
        <w:pStyle w:val="NoSpacing"/>
        <w:spacing w:line="360" w:lineRule="auto"/>
      </w:pPr>
      <w:r>
        <w:rPr>
          <w:i/>
          <w:iCs/>
        </w:rPr>
        <w:t>Nehemiah B. Thomas v. PECO Energy Company</w:t>
      </w:r>
      <w:r>
        <w:t>, Docket No. C-2010-2187197, at 5 (Order entered November 15, 2011)</w:t>
      </w:r>
      <w:r w:rsidR="001965D5">
        <w:t xml:space="preserve"> (emphasis in original)</w:t>
      </w:r>
      <w:r>
        <w:t xml:space="preserve">.  </w:t>
      </w:r>
    </w:p>
    <w:p w14:paraId="4D51B99E" w14:textId="77777777" w:rsidR="00A37B75" w:rsidRDefault="00A37B75" w:rsidP="00A37B75">
      <w:pPr>
        <w:pStyle w:val="NoSpacing"/>
        <w:spacing w:line="360" w:lineRule="auto"/>
      </w:pPr>
    </w:p>
    <w:p w14:paraId="294461FB" w14:textId="398D26CB" w:rsidR="005206D6" w:rsidRDefault="005206D6" w:rsidP="005206D6">
      <w:pPr>
        <w:pStyle w:val="NoSpacing"/>
        <w:spacing w:line="360" w:lineRule="auto"/>
        <w:ind w:firstLine="1440"/>
        <w:rPr>
          <w:rFonts w:eastAsia="Arial Unicode MS" w:cs="Arial Unicode MS"/>
        </w:rPr>
      </w:pPr>
      <w:r w:rsidRPr="005206D6">
        <w:rPr>
          <w:rFonts w:eastAsia="Arial Unicode MS" w:cs="Arial Unicode MS"/>
        </w:rPr>
        <w:t xml:space="preserve">The Complainant’s usage for winter months from 2016-2017 and 2017-2018 are indicated in the chart below.  PECO </w:t>
      </w:r>
      <w:proofErr w:type="spellStart"/>
      <w:r w:rsidRPr="005206D6">
        <w:rPr>
          <w:rFonts w:eastAsia="Arial Unicode MS" w:cs="Arial Unicode MS"/>
        </w:rPr>
        <w:t>Exh</w:t>
      </w:r>
      <w:proofErr w:type="spellEnd"/>
      <w:r w:rsidRPr="005206D6">
        <w:rPr>
          <w:rFonts w:eastAsia="Arial Unicode MS" w:cs="Arial Unicode MS"/>
        </w:rPr>
        <w:t xml:space="preserve">. 1.  </w:t>
      </w:r>
    </w:p>
    <w:p w14:paraId="7715F9BB" w14:textId="211A7FC9" w:rsidR="005206D6" w:rsidRDefault="005206D6" w:rsidP="005206D6">
      <w:pPr>
        <w:pStyle w:val="NoSpacing"/>
        <w:spacing w:line="360" w:lineRule="auto"/>
        <w:ind w:firstLine="1440"/>
        <w:rPr>
          <w:rFonts w:eastAsia="Arial Unicode MS" w:cs="Arial Unicode MS"/>
        </w:rPr>
      </w:pPr>
    </w:p>
    <w:tbl>
      <w:tblPr>
        <w:tblStyle w:val="TableGrid"/>
        <w:tblW w:w="0" w:type="auto"/>
        <w:jc w:val="center"/>
        <w:tblInd w:w="0" w:type="dxa"/>
        <w:tblLook w:val="04A0" w:firstRow="1" w:lastRow="0" w:firstColumn="1" w:lastColumn="0" w:noHBand="0" w:noVBand="1"/>
      </w:tblPr>
      <w:tblGrid>
        <w:gridCol w:w="2394"/>
        <w:gridCol w:w="2394"/>
        <w:gridCol w:w="2394"/>
      </w:tblGrid>
      <w:tr w:rsidR="008F0B43" w:rsidRPr="008F0B43" w14:paraId="036FED92"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556F281B" w14:textId="77777777" w:rsidR="008F0B43" w:rsidRPr="00A3182D" w:rsidRDefault="008F0B43" w:rsidP="00A3182D">
            <w:pPr>
              <w:spacing w:line="240" w:lineRule="auto"/>
              <w:ind w:firstLine="0"/>
              <w:jc w:val="center"/>
              <w:rPr>
                <w:b/>
                <w:bCs/>
                <w:sz w:val="22"/>
                <w:szCs w:val="22"/>
              </w:rPr>
            </w:pPr>
            <w:r w:rsidRPr="00A3182D">
              <w:rPr>
                <w:b/>
                <w:bCs/>
              </w:rPr>
              <w:t>Billing Period Dates</w:t>
            </w:r>
          </w:p>
        </w:tc>
        <w:tc>
          <w:tcPr>
            <w:tcW w:w="2394" w:type="dxa"/>
            <w:tcBorders>
              <w:top w:val="single" w:sz="4" w:space="0" w:color="auto"/>
              <w:left w:val="single" w:sz="4" w:space="0" w:color="auto"/>
              <w:bottom w:val="single" w:sz="4" w:space="0" w:color="auto"/>
              <w:right w:val="single" w:sz="4" w:space="0" w:color="auto"/>
            </w:tcBorders>
            <w:hideMark/>
          </w:tcPr>
          <w:p w14:paraId="246269FA" w14:textId="77777777" w:rsidR="008F0B43" w:rsidRPr="00A3182D" w:rsidRDefault="008F0B43" w:rsidP="00A3182D">
            <w:pPr>
              <w:spacing w:line="240" w:lineRule="auto"/>
              <w:ind w:firstLine="0"/>
              <w:jc w:val="center"/>
              <w:rPr>
                <w:b/>
                <w:bCs/>
              </w:rPr>
            </w:pPr>
            <w:proofErr w:type="spellStart"/>
            <w:r w:rsidRPr="00A3182D">
              <w:rPr>
                <w:b/>
                <w:bCs/>
              </w:rPr>
              <w:t>KwH</w:t>
            </w:r>
            <w:proofErr w:type="spellEnd"/>
            <w:r w:rsidRPr="00A3182D">
              <w:rPr>
                <w:b/>
                <w:bCs/>
              </w:rPr>
              <w:t xml:space="preserve"> Used</w:t>
            </w:r>
          </w:p>
        </w:tc>
        <w:tc>
          <w:tcPr>
            <w:tcW w:w="2394" w:type="dxa"/>
            <w:tcBorders>
              <w:top w:val="single" w:sz="4" w:space="0" w:color="auto"/>
              <w:left w:val="single" w:sz="4" w:space="0" w:color="auto"/>
              <w:bottom w:val="single" w:sz="4" w:space="0" w:color="auto"/>
              <w:right w:val="single" w:sz="4" w:space="0" w:color="auto"/>
            </w:tcBorders>
            <w:hideMark/>
          </w:tcPr>
          <w:p w14:paraId="6E887150" w14:textId="77777777" w:rsidR="008F0B43" w:rsidRPr="00A3182D" w:rsidRDefault="008F0B43" w:rsidP="00A3182D">
            <w:pPr>
              <w:spacing w:line="240" w:lineRule="auto"/>
              <w:ind w:firstLine="0"/>
              <w:jc w:val="center"/>
              <w:rPr>
                <w:b/>
                <w:bCs/>
              </w:rPr>
            </w:pPr>
            <w:r w:rsidRPr="00A3182D">
              <w:rPr>
                <w:b/>
                <w:bCs/>
              </w:rPr>
              <w:t>Heating Degree Days</w:t>
            </w:r>
          </w:p>
        </w:tc>
      </w:tr>
      <w:tr w:rsidR="008F0B43" w14:paraId="62D195A1"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77F9B5E7" w14:textId="77777777" w:rsidR="008F0B43" w:rsidRDefault="008F0B43" w:rsidP="00A3182D">
            <w:pPr>
              <w:spacing w:line="240" w:lineRule="auto"/>
              <w:ind w:firstLine="0"/>
              <w:jc w:val="center"/>
            </w:pPr>
            <w:r>
              <w:t>10/16/16-11/17/16</w:t>
            </w:r>
          </w:p>
        </w:tc>
        <w:tc>
          <w:tcPr>
            <w:tcW w:w="2394" w:type="dxa"/>
            <w:tcBorders>
              <w:top w:val="single" w:sz="4" w:space="0" w:color="auto"/>
              <w:left w:val="single" w:sz="4" w:space="0" w:color="auto"/>
              <w:bottom w:val="single" w:sz="4" w:space="0" w:color="auto"/>
              <w:right w:val="single" w:sz="4" w:space="0" w:color="auto"/>
            </w:tcBorders>
            <w:hideMark/>
          </w:tcPr>
          <w:p w14:paraId="41C46424" w14:textId="77777777" w:rsidR="008F0B43" w:rsidRDefault="008F0B43" w:rsidP="00A3182D">
            <w:pPr>
              <w:spacing w:line="240" w:lineRule="auto"/>
              <w:ind w:firstLine="0"/>
              <w:jc w:val="center"/>
            </w:pPr>
            <w:r>
              <w:t>592</w:t>
            </w:r>
          </w:p>
        </w:tc>
        <w:tc>
          <w:tcPr>
            <w:tcW w:w="2394" w:type="dxa"/>
            <w:tcBorders>
              <w:top w:val="single" w:sz="4" w:space="0" w:color="auto"/>
              <w:left w:val="single" w:sz="4" w:space="0" w:color="auto"/>
              <w:bottom w:val="single" w:sz="4" w:space="0" w:color="auto"/>
              <w:right w:val="single" w:sz="4" w:space="0" w:color="auto"/>
            </w:tcBorders>
            <w:hideMark/>
          </w:tcPr>
          <w:p w14:paraId="2642916C" w14:textId="77777777" w:rsidR="008F0B43" w:rsidRDefault="008F0B43" w:rsidP="00A3182D">
            <w:pPr>
              <w:spacing w:line="240" w:lineRule="auto"/>
              <w:ind w:firstLine="0"/>
              <w:jc w:val="center"/>
            </w:pPr>
            <w:r>
              <w:t>290</w:t>
            </w:r>
          </w:p>
        </w:tc>
      </w:tr>
      <w:tr w:rsidR="008F0B43" w14:paraId="0B9F5283"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1D662093" w14:textId="77777777" w:rsidR="008F0B43" w:rsidRDefault="008F0B43" w:rsidP="00A3182D">
            <w:pPr>
              <w:spacing w:line="240" w:lineRule="auto"/>
              <w:ind w:firstLine="0"/>
              <w:jc w:val="center"/>
            </w:pPr>
            <w:r>
              <w:t>11/17/16-12/20/16</w:t>
            </w:r>
          </w:p>
        </w:tc>
        <w:tc>
          <w:tcPr>
            <w:tcW w:w="2394" w:type="dxa"/>
            <w:tcBorders>
              <w:top w:val="single" w:sz="4" w:space="0" w:color="auto"/>
              <w:left w:val="single" w:sz="4" w:space="0" w:color="auto"/>
              <w:bottom w:val="single" w:sz="4" w:space="0" w:color="auto"/>
              <w:right w:val="single" w:sz="4" w:space="0" w:color="auto"/>
            </w:tcBorders>
            <w:hideMark/>
          </w:tcPr>
          <w:p w14:paraId="71FC6E22" w14:textId="77777777" w:rsidR="008F0B43" w:rsidRDefault="008F0B43" w:rsidP="00A3182D">
            <w:pPr>
              <w:spacing w:line="240" w:lineRule="auto"/>
              <w:ind w:firstLine="0"/>
              <w:jc w:val="center"/>
            </w:pPr>
            <w:r>
              <w:t>792</w:t>
            </w:r>
          </w:p>
        </w:tc>
        <w:tc>
          <w:tcPr>
            <w:tcW w:w="2394" w:type="dxa"/>
            <w:tcBorders>
              <w:top w:val="single" w:sz="4" w:space="0" w:color="auto"/>
              <w:left w:val="single" w:sz="4" w:space="0" w:color="auto"/>
              <w:bottom w:val="single" w:sz="4" w:space="0" w:color="auto"/>
              <w:right w:val="single" w:sz="4" w:space="0" w:color="auto"/>
            </w:tcBorders>
            <w:hideMark/>
          </w:tcPr>
          <w:p w14:paraId="7C19FA2C" w14:textId="77777777" w:rsidR="008F0B43" w:rsidRDefault="008F0B43" w:rsidP="00A3182D">
            <w:pPr>
              <w:spacing w:line="240" w:lineRule="auto"/>
              <w:ind w:firstLine="0"/>
              <w:jc w:val="center"/>
            </w:pPr>
            <w:r>
              <w:t>746</w:t>
            </w:r>
          </w:p>
        </w:tc>
      </w:tr>
      <w:tr w:rsidR="008F0B43" w14:paraId="73FB8739"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7A2D2E0C" w14:textId="77777777" w:rsidR="008F0B43" w:rsidRDefault="008F0B43" w:rsidP="00A3182D">
            <w:pPr>
              <w:spacing w:line="240" w:lineRule="auto"/>
              <w:ind w:firstLine="0"/>
              <w:jc w:val="center"/>
            </w:pPr>
            <w:r>
              <w:t>12/20/16-01/24/17</w:t>
            </w:r>
          </w:p>
        </w:tc>
        <w:tc>
          <w:tcPr>
            <w:tcW w:w="2394" w:type="dxa"/>
            <w:tcBorders>
              <w:top w:val="single" w:sz="4" w:space="0" w:color="auto"/>
              <w:left w:val="single" w:sz="4" w:space="0" w:color="auto"/>
              <w:bottom w:val="single" w:sz="4" w:space="0" w:color="auto"/>
              <w:right w:val="single" w:sz="4" w:space="0" w:color="auto"/>
            </w:tcBorders>
            <w:hideMark/>
          </w:tcPr>
          <w:p w14:paraId="324C86FC" w14:textId="77777777" w:rsidR="008F0B43" w:rsidRDefault="008F0B43" w:rsidP="00A3182D">
            <w:pPr>
              <w:spacing w:line="240" w:lineRule="auto"/>
              <w:ind w:firstLine="0"/>
              <w:jc w:val="center"/>
            </w:pPr>
            <w:r>
              <w:t>819</w:t>
            </w:r>
          </w:p>
        </w:tc>
        <w:tc>
          <w:tcPr>
            <w:tcW w:w="2394" w:type="dxa"/>
            <w:tcBorders>
              <w:top w:val="single" w:sz="4" w:space="0" w:color="auto"/>
              <w:left w:val="single" w:sz="4" w:space="0" w:color="auto"/>
              <w:bottom w:val="single" w:sz="4" w:space="0" w:color="auto"/>
              <w:right w:val="single" w:sz="4" w:space="0" w:color="auto"/>
            </w:tcBorders>
            <w:hideMark/>
          </w:tcPr>
          <w:p w14:paraId="3CE33881" w14:textId="77777777" w:rsidR="008F0B43" w:rsidRDefault="008F0B43" w:rsidP="00A3182D">
            <w:pPr>
              <w:spacing w:line="240" w:lineRule="auto"/>
              <w:ind w:firstLine="0"/>
              <w:jc w:val="center"/>
            </w:pPr>
            <w:r>
              <w:t>915</w:t>
            </w:r>
          </w:p>
        </w:tc>
      </w:tr>
      <w:tr w:rsidR="008F0B43" w14:paraId="310C0120"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137F9829" w14:textId="77777777" w:rsidR="008F0B43" w:rsidRDefault="008F0B43" w:rsidP="00A3182D">
            <w:pPr>
              <w:spacing w:line="240" w:lineRule="auto"/>
              <w:ind w:firstLine="0"/>
              <w:jc w:val="center"/>
            </w:pPr>
            <w:r>
              <w:t>01/24/17-02/22/17</w:t>
            </w:r>
          </w:p>
        </w:tc>
        <w:tc>
          <w:tcPr>
            <w:tcW w:w="2394" w:type="dxa"/>
            <w:tcBorders>
              <w:top w:val="single" w:sz="4" w:space="0" w:color="auto"/>
              <w:left w:val="single" w:sz="4" w:space="0" w:color="auto"/>
              <w:bottom w:val="single" w:sz="4" w:space="0" w:color="auto"/>
              <w:right w:val="single" w:sz="4" w:space="0" w:color="auto"/>
            </w:tcBorders>
            <w:hideMark/>
          </w:tcPr>
          <w:p w14:paraId="20FD1984" w14:textId="77777777" w:rsidR="008F0B43" w:rsidRDefault="008F0B43" w:rsidP="00A3182D">
            <w:pPr>
              <w:spacing w:line="240" w:lineRule="auto"/>
              <w:ind w:firstLine="0"/>
              <w:jc w:val="center"/>
            </w:pPr>
            <w:r>
              <w:t>737</w:t>
            </w:r>
          </w:p>
        </w:tc>
        <w:tc>
          <w:tcPr>
            <w:tcW w:w="2394" w:type="dxa"/>
            <w:tcBorders>
              <w:top w:val="single" w:sz="4" w:space="0" w:color="auto"/>
              <w:left w:val="single" w:sz="4" w:space="0" w:color="auto"/>
              <w:bottom w:val="single" w:sz="4" w:space="0" w:color="auto"/>
              <w:right w:val="single" w:sz="4" w:space="0" w:color="auto"/>
            </w:tcBorders>
            <w:hideMark/>
          </w:tcPr>
          <w:p w14:paraId="28C88E68" w14:textId="77777777" w:rsidR="008F0B43" w:rsidRDefault="008F0B43" w:rsidP="00A3182D">
            <w:pPr>
              <w:spacing w:line="240" w:lineRule="auto"/>
              <w:ind w:firstLine="0"/>
              <w:jc w:val="center"/>
            </w:pPr>
            <w:r>
              <w:t>713</w:t>
            </w:r>
          </w:p>
        </w:tc>
      </w:tr>
      <w:tr w:rsidR="008F0B43" w14:paraId="5F15645D"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3493FE32" w14:textId="77777777" w:rsidR="008F0B43" w:rsidRDefault="008F0B43" w:rsidP="00A3182D">
            <w:pPr>
              <w:spacing w:line="240" w:lineRule="auto"/>
              <w:ind w:firstLine="0"/>
              <w:jc w:val="center"/>
            </w:pPr>
            <w:r>
              <w:t>02/22/17-03/23/17</w:t>
            </w:r>
          </w:p>
        </w:tc>
        <w:tc>
          <w:tcPr>
            <w:tcW w:w="2394" w:type="dxa"/>
            <w:tcBorders>
              <w:top w:val="single" w:sz="4" w:space="0" w:color="auto"/>
              <w:left w:val="single" w:sz="4" w:space="0" w:color="auto"/>
              <w:bottom w:val="single" w:sz="4" w:space="0" w:color="auto"/>
              <w:right w:val="single" w:sz="4" w:space="0" w:color="auto"/>
            </w:tcBorders>
            <w:hideMark/>
          </w:tcPr>
          <w:p w14:paraId="2C8B8847" w14:textId="77777777" w:rsidR="008F0B43" w:rsidRDefault="008F0B43" w:rsidP="00A3182D">
            <w:pPr>
              <w:spacing w:line="240" w:lineRule="auto"/>
              <w:ind w:firstLine="0"/>
              <w:jc w:val="center"/>
            </w:pPr>
            <w:r>
              <w:t>672</w:t>
            </w:r>
          </w:p>
        </w:tc>
        <w:tc>
          <w:tcPr>
            <w:tcW w:w="2394" w:type="dxa"/>
            <w:tcBorders>
              <w:top w:val="single" w:sz="4" w:space="0" w:color="auto"/>
              <w:left w:val="single" w:sz="4" w:space="0" w:color="auto"/>
              <w:bottom w:val="single" w:sz="4" w:space="0" w:color="auto"/>
              <w:right w:val="single" w:sz="4" w:space="0" w:color="auto"/>
            </w:tcBorders>
            <w:hideMark/>
          </w:tcPr>
          <w:p w14:paraId="7FF7C389" w14:textId="77777777" w:rsidR="008F0B43" w:rsidRDefault="008F0B43" w:rsidP="00A3182D">
            <w:pPr>
              <w:spacing w:line="240" w:lineRule="auto"/>
              <w:ind w:firstLine="0"/>
              <w:jc w:val="center"/>
            </w:pPr>
            <w:r>
              <w:t>645</w:t>
            </w:r>
          </w:p>
        </w:tc>
      </w:tr>
      <w:tr w:rsidR="008F0B43" w14:paraId="6E25E9C1"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52B83EE4" w14:textId="77777777" w:rsidR="008F0B43" w:rsidRDefault="008F0B43" w:rsidP="00A3182D">
            <w:pPr>
              <w:spacing w:line="240" w:lineRule="auto"/>
              <w:ind w:firstLine="0"/>
              <w:jc w:val="center"/>
            </w:pPr>
            <w:r>
              <w:t>03/23/17-04/21/17</w:t>
            </w:r>
          </w:p>
        </w:tc>
        <w:tc>
          <w:tcPr>
            <w:tcW w:w="2394" w:type="dxa"/>
            <w:tcBorders>
              <w:top w:val="single" w:sz="4" w:space="0" w:color="auto"/>
              <w:left w:val="single" w:sz="4" w:space="0" w:color="auto"/>
              <w:bottom w:val="single" w:sz="4" w:space="0" w:color="auto"/>
              <w:right w:val="single" w:sz="4" w:space="0" w:color="auto"/>
            </w:tcBorders>
            <w:hideMark/>
          </w:tcPr>
          <w:p w14:paraId="01519B61" w14:textId="77777777" w:rsidR="008F0B43" w:rsidRDefault="008F0B43" w:rsidP="00A3182D">
            <w:pPr>
              <w:spacing w:line="240" w:lineRule="auto"/>
              <w:ind w:firstLine="0"/>
              <w:jc w:val="center"/>
            </w:pPr>
            <w:r>
              <w:t>541</w:t>
            </w:r>
          </w:p>
        </w:tc>
        <w:tc>
          <w:tcPr>
            <w:tcW w:w="2394" w:type="dxa"/>
            <w:tcBorders>
              <w:top w:val="single" w:sz="4" w:space="0" w:color="auto"/>
              <w:left w:val="single" w:sz="4" w:space="0" w:color="auto"/>
              <w:bottom w:val="single" w:sz="4" w:space="0" w:color="auto"/>
              <w:right w:val="single" w:sz="4" w:space="0" w:color="auto"/>
            </w:tcBorders>
            <w:hideMark/>
          </w:tcPr>
          <w:p w14:paraId="32C296F4" w14:textId="77777777" w:rsidR="008F0B43" w:rsidRDefault="008F0B43" w:rsidP="00A3182D">
            <w:pPr>
              <w:spacing w:line="240" w:lineRule="auto"/>
              <w:ind w:firstLine="0"/>
              <w:jc w:val="center"/>
            </w:pPr>
            <w:r>
              <w:t>300</w:t>
            </w:r>
          </w:p>
        </w:tc>
      </w:tr>
      <w:tr w:rsidR="008F0B43" w14:paraId="730A9B7F"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3F8571A9" w14:textId="77777777" w:rsidR="008F0B43" w:rsidRDefault="008F0B43" w:rsidP="00A3182D">
            <w:pPr>
              <w:spacing w:line="240" w:lineRule="auto"/>
              <w:ind w:firstLine="0"/>
              <w:jc w:val="center"/>
            </w:pPr>
            <w:r>
              <w:t>10/18/17-11/16/17</w:t>
            </w:r>
          </w:p>
        </w:tc>
        <w:tc>
          <w:tcPr>
            <w:tcW w:w="2394" w:type="dxa"/>
            <w:tcBorders>
              <w:top w:val="single" w:sz="4" w:space="0" w:color="auto"/>
              <w:left w:val="single" w:sz="4" w:space="0" w:color="auto"/>
              <w:bottom w:val="single" w:sz="4" w:space="0" w:color="auto"/>
              <w:right w:val="single" w:sz="4" w:space="0" w:color="auto"/>
            </w:tcBorders>
            <w:hideMark/>
          </w:tcPr>
          <w:p w14:paraId="7D6628D9" w14:textId="77777777" w:rsidR="008F0B43" w:rsidRDefault="008F0B43" w:rsidP="00A3182D">
            <w:pPr>
              <w:spacing w:line="240" w:lineRule="auto"/>
              <w:ind w:firstLine="0"/>
              <w:jc w:val="center"/>
            </w:pPr>
            <w:r>
              <w:t>1080</w:t>
            </w:r>
          </w:p>
        </w:tc>
        <w:tc>
          <w:tcPr>
            <w:tcW w:w="2394" w:type="dxa"/>
            <w:tcBorders>
              <w:top w:val="single" w:sz="4" w:space="0" w:color="auto"/>
              <w:left w:val="single" w:sz="4" w:space="0" w:color="auto"/>
              <w:bottom w:val="single" w:sz="4" w:space="0" w:color="auto"/>
              <w:right w:val="single" w:sz="4" w:space="0" w:color="auto"/>
            </w:tcBorders>
            <w:hideMark/>
          </w:tcPr>
          <w:p w14:paraId="5339FF79" w14:textId="77777777" w:rsidR="008F0B43" w:rsidRDefault="008F0B43" w:rsidP="00A3182D">
            <w:pPr>
              <w:spacing w:line="240" w:lineRule="auto"/>
              <w:ind w:firstLine="0"/>
              <w:jc w:val="center"/>
            </w:pPr>
            <w:r>
              <w:t>307</w:t>
            </w:r>
          </w:p>
        </w:tc>
      </w:tr>
      <w:tr w:rsidR="008F0B43" w14:paraId="6A4EB6A9"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78FC4F78" w14:textId="77777777" w:rsidR="008F0B43" w:rsidRDefault="008F0B43" w:rsidP="00A3182D">
            <w:pPr>
              <w:spacing w:line="240" w:lineRule="auto"/>
              <w:ind w:firstLine="0"/>
              <w:jc w:val="center"/>
            </w:pPr>
            <w:r>
              <w:t>11/16/17-12/20/17</w:t>
            </w:r>
          </w:p>
        </w:tc>
        <w:tc>
          <w:tcPr>
            <w:tcW w:w="2394" w:type="dxa"/>
            <w:tcBorders>
              <w:top w:val="single" w:sz="4" w:space="0" w:color="auto"/>
              <w:left w:val="single" w:sz="4" w:space="0" w:color="auto"/>
              <w:bottom w:val="single" w:sz="4" w:space="0" w:color="auto"/>
              <w:right w:val="single" w:sz="4" w:space="0" w:color="auto"/>
            </w:tcBorders>
            <w:hideMark/>
          </w:tcPr>
          <w:p w14:paraId="0281A403" w14:textId="77777777" w:rsidR="008F0B43" w:rsidRDefault="008F0B43" w:rsidP="00A3182D">
            <w:pPr>
              <w:spacing w:line="240" w:lineRule="auto"/>
              <w:ind w:firstLine="0"/>
              <w:jc w:val="center"/>
            </w:pPr>
            <w:r>
              <w:t>2287</w:t>
            </w:r>
          </w:p>
        </w:tc>
        <w:tc>
          <w:tcPr>
            <w:tcW w:w="2394" w:type="dxa"/>
            <w:tcBorders>
              <w:top w:val="single" w:sz="4" w:space="0" w:color="auto"/>
              <w:left w:val="single" w:sz="4" w:space="0" w:color="auto"/>
              <w:bottom w:val="single" w:sz="4" w:space="0" w:color="auto"/>
              <w:right w:val="single" w:sz="4" w:space="0" w:color="auto"/>
            </w:tcBorders>
            <w:hideMark/>
          </w:tcPr>
          <w:p w14:paraId="427DAC7B" w14:textId="77777777" w:rsidR="008F0B43" w:rsidRDefault="008F0B43" w:rsidP="00A3182D">
            <w:pPr>
              <w:spacing w:line="240" w:lineRule="auto"/>
              <w:ind w:firstLine="0"/>
              <w:jc w:val="center"/>
            </w:pPr>
            <w:r>
              <w:t>762</w:t>
            </w:r>
          </w:p>
        </w:tc>
      </w:tr>
      <w:tr w:rsidR="008F0B43" w14:paraId="29BD3515"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68C26947" w14:textId="77777777" w:rsidR="008F0B43" w:rsidRDefault="008F0B43" w:rsidP="00A3182D">
            <w:pPr>
              <w:spacing w:line="240" w:lineRule="auto"/>
              <w:ind w:firstLine="0"/>
              <w:jc w:val="center"/>
            </w:pPr>
            <w:r>
              <w:t>12/20/17-01/23/18</w:t>
            </w:r>
          </w:p>
        </w:tc>
        <w:tc>
          <w:tcPr>
            <w:tcW w:w="2394" w:type="dxa"/>
            <w:tcBorders>
              <w:top w:val="single" w:sz="4" w:space="0" w:color="auto"/>
              <w:left w:val="single" w:sz="4" w:space="0" w:color="auto"/>
              <w:bottom w:val="single" w:sz="4" w:space="0" w:color="auto"/>
              <w:right w:val="single" w:sz="4" w:space="0" w:color="auto"/>
            </w:tcBorders>
            <w:hideMark/>
          </w:tcPr>
          <w:p w14:paraId="054DBA9D" w14:textId="77777777" w:rsidR="008F0B43" w:rsidRDefault="008F0B43" w:rsidP="00A3182D">
            <w:pPr>
              <w:spacing w:line="240" w:lineRule="auto"/>
              <w:ind w:firstLine="0"/>
              <w:jc w:val="center"/>
            </w:pPr>
            <w:r>
              <w:t>2614</w:t>
            </w:r>
          </w:p>
        </w:tc>
        <w:tc>
          <w:tcPr>
            <w:tcW w:w="2394" w:type="dxa"/>
            <w:tcBorders>
              <w:top w:val="single" w:sz="4" w:space="0" w:color="auto"/>
              <w:left w:val="single" w:sz="4" w:space="0" w:color="auto"/>
              <w:bottom w:val="single" w:sz="4" w:space="0" w:color="auto"/>
              <w:right w:val="single" w:sz="4" w:space="0" w:color="auto"/>
            </w:tcBorders>
            <w:hideMark/>
          </w:tcPr>
          <w:p w14:paraId="11FCC924" w14:textId="77777777" w:rsidR="008F0B43" w:rsidRDefault="008F0B43" w:rsidP="00A3182D">
            <w:pPr>
              <w:spacing w:line="240" w:lineRule="auto"/>
              <w:ind w:firstLine="0"/>
              <w:jc w:val="center"/>
            </w:pPr>
            <w:r>
              <w:t>1169</w:t>
            </w:r>
          </w:p>
        </w:tc>
      </w:tr>
      <w:tr w:rsidR="008F0B43" w14:paraId="34A5BB7E"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5AAA39A6" w14:textId="77777777" w:rsidR="008F0B43" w:rsidRDefault="008F0B43" w:rsidP="00A3182D">
            <w:pPr>
              <w:spacing w:line="240" w:lineRule="auto"/>
              <w:ind w:firstLine="0"/>
              <w:jc w:val="center"/>
            </w:pPr>
            <w:r>
              <w:t>01/23/18-02/21/18</w:t>
            </w:r>
          </w:p>
        </w:tc>
        <w:tc>
          <w:tcPr>
            <w:tcW w:w="2394" w:type="dxa"/>
            <w:tcBorders>
              <w:top w:val="single" w:sz="4" w:space="0" w:color="auto"/>
              <w:left w:val="single" w:sz="4" w:space="0" w:color="auto"/>
              <w:bottom w:val="single" w:sz="4" w:space="0" w:color="auto"/>
              <w:right w:val="single" w:sz="4" w:space="0" w:color="auto"/>
            </w:tcBorders>
            <w:hideMark/>
          </w:tcPr>
          <w:p w14:paraId="4F727909" w14:textId="77777777" w:rsidR="008F0B43" w:rsidRDefault="008F0B43" w:rsidP="00A3182D">
            <w:pPr>
              <w:spacing w:line="240" w:lineRule="auto"/>
              <w:ind w:firstLine="0"/>
              <w:jc w:val="center"/>
            </w:pPr>
            <w:r>
              <w:t>1500</w:t>
            </w:r>
          </w:p>
        </w:tc>
        <w:tc>
          <w:tcPr>
            <w:tcW w:w="2394" w:type="dxa"/>
            <w:tcBorders>
              <w:top w:val="single" w:sz="4" w:space="0" w:color="auto"/>
              <w:left w:val="single" w:sz="4" w:space="0" w:color="auto"/>
              <w:bottom w:val="single" w:sz="4" w:space="0" w:color="auto"/>
              <w:right w:val="single" w:sz="4" w:space="0" w:color="auto"/>
            </w:tcBorders>
            <w:hideMark/>
          </w:tcPr>
          <w:p w14:paraId="759A1F0A" w14:textId="77777777" w:rsidR="008F0B43" w:rsidRDefault="008F0B43" w:rsidP="00A3182D">
            <w:pPr>
              <w:spacing w:line="240" w:lineRule="auto"/>
              <w:ind w:firstLine="0"/>
              <w:jc w:val="center"/>
            </w:pPr>
            <w:r>
              <w:t>740</w:t>
            </w:r>
          </w:p>
        </w:tc>
      </w:tr>
      <w:tr w:rsidR="008F0B43" w14:paraId="1C865774"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5516AA29" w14:textId="77777777" w:rsidR="008F0B43" w:rsidRDefault="008F0B43" w:rsidP="00A3182D">
            <w:pPr>
              <w:spacing w:line="240" w:lineRule="auto"/>
              <w:ind w:firstLine="0"/>
              <w:jc w:val="center"/>
            </w:pPr>
            <w:r>
              <w:t>02/21/18-03/23/18</w:t>
            </w:r>
          </w:p>
        </w:tc>
        <w:tc>
          <w:tcPr>
            <w:tcW w:w="2394" w:type="dxa"/>
            <w:tcBorders>
              <w:top w:val="single" w:sz="4" w:space="0" w:color="auto"/>
              <w:left w:val="single" w:sz="4" w:space="0" w:color="auto"/>
              <w:bottom w:val="single" w:sz="4" w:space="0" w:color="auto"/>
              <w:right w:val="single" w:sz="4" w:space="0" w:color="auto"/>
            </w:tcBorders>
            <w:hideMark/>
          </w:tcPr>
          <w:p w14:paraId="618ADB7B" w14:textId="77777777" w:rsidR="008F0B43" w:rsidRDefault="008F0B43" w:rsidP="00A3182D">
            <w:pPr>
              <w:spacing w:line="240" w:lineRule="auto"/>
              <w:ind w:firstLine="0"/>
              <w:jc w:val="center"/>
            </w:pPr>
            <w:r>
              <w:t>1398</w:t>
            </w:r>
          </w:p>
        </w:tc>
        <w:tc>
          <w:tcPr>
            <w:tcW w:w="2394" w:type="dxa"/>
            <w:tcBorders>
              <w:top w:val="single" w:sz="4" w:space="0" w:color="auto"/>
              <w:left w:val="single" w:sz="4" w:space="0" w:color="auto"/>
              <w:bottom w:val="single" w:sz="4" w:space="0" w:color="auto"/>
              <w:right w:val="single" w:sz="4" w:space="0" w:color="auto"/>
            </w:tcBorders>
            <w:hideMark/>
          </w:tcPr>
          <w:p w14:paraId="2712EFCD" w14:textId="77777777" w:rsidR="008F0B43" w:rsidRDefault="008F0B43" w:rsidP="00A3182D">
            <w:pPr>
              <w:spacing w:line="240" w:lineRule="auto"/>
              <w:ind w:firstLine="0"/>
              <w:jc w:val="center"/>
            </w:pPr>
            <w:r>
              <w:t>742</w:t>
            </w:r>
          </w:p>
        </w:tc>
      </w:tr>
      <w:tr w:rsidR="008F0B43" w14:paraId="049491C0" w14:textId="77777777" w:rsidTr="008F0B43">
        <w:trPr>
          <w:jc w:val="center"/>
        </w:trPr>
        <w:tc>
          <w:tcPr>
            <w:tcW w:w="2394" w:type="dxa"/>
            <w:tcBorders>
              <w:top w:val="single" w:sz="4" w:space="0" w:color="auto"/>
              <w:left w:val="single" w:sz="4" w:space="0" w:color="auto"/>
              <w:bottom w:val="single" w:sz="4" w:space="0" w:color="auto"/>
              <w:right w:val="single" w:sz="4" w:space="0" w:color="auto"/>
            </w:tcBorders>
            <w:hideMark/>
          </w:tcPr>
          <w:p w14:paraId="68D5B7A8" w14:textId="77777777" w:rsidR="008F0B43" w:rsidRDefault="008F0B43" w:rsidP="00A3182D">
            <w:pPr>
              <w:spacing w:line="240" w:lineRule="auto"/>
              <w:ind w:firstLine="0"/>
              <w:jc w:val="center"/>
            </w:pPr>
            <w:r>
              <w:t>03/23/18-04/20/18</w:t>
            </w:r>
          </w:p>
        </w:tc>
        <w:tc>
          <w:tcPr>
            <w:tcW w:w="2394" w:type="dxa"/>
            <w:tcBorders>
              <w:top w:val="single" w:sz="4" w:space="0" w:color="auto"/>
              <w:left w:val="single" w:sz="4" w:space="0" w:color="auto"/>
              <w:bottom w:val="single" w:sz="4" w:space="0" w:color="auto"/>
              <w:right w:val="single" w:sz="4" w:space="0" w:color="auto"/>
            </w:tcBorders>
            <w:hideMark/>
          </w:tcPr>
          <w:p w14:paraId="69F3A2E9" w14:textId="77777777" w:rsidR="008F0B43" w:rsidRDefault="008F0B43" w:rsidP="00A3182D">
            <w:pPr>
              <w:spacing w:line="240" w:lineRule="auto"/>
              <w:ind w:firstLine="0"/>
              <w:jc w:val="center"/>
            </w:pPr>
            <w:r>
              <w:t>981</w:t>
            </w:r>
          </w:p>
        </w:tc>
        <w:tc>
          <w:tcPr>
            <w:tcW w:w="2394" w:type="dxa"/>
            <w:tcBorders>
              <w:top w:val="single" w:sz="4" w:space="0" w:color="auto"/>
              <w:left w:val="single" w:sz="4" w:space="0" w:color="auto"/>
              <w:bottom w:val="single" w:sz="4" w:space="0" w:color="auto"/>
              <w:right w:val="single" w:sz="4" w:space="0" w:color="auto"/>
            </w:tcBorders>
            <w:hideMark/>
          </w:tcPr>
          <w:p w14:paraId="42BDC0A7" w14:textId="77777777" w:rsidR="008F0B43" w:rsidRDefault="008F0B43" w:rsidP="00A3182D">
            <w:pPr>
              <w:spacing w:line="240" w:lineRule="auto"/>
              <w:ind w:firstLine="0"/>
              <w:jc w:val="center"/>
            </w:pPr>
            <w:r>
              <w:t>508</w:t>
            </w:r>
          </w:p>
        </w:tc>
      </w:tr>
    </w:tbl>
    <w:p w14:paraId="2C261E9B" w14:textId="77777777" w:rsidR="00A37B75" w:rsidRDefault="00A37B75" w:rsidP="00A37B75">
      <w:pPr>
        <w:pStyle w:val="NoSpacing"/>
        <w:spacing w:line="360" w:lineRule="auto"/>
      </w:pPr>
    </w:p>
    <w:p w14:paraId="7463129B" w14:textId="3AEBE36A" w:rsidR="00BE4E85" w:rsidRDefault="00BE4E85">
      <w:r>
        <w:t xml:space="preserve">On January 23, 2018, Aaron Saunders, field service technician, visited the Service Address on a high bill investigation.  Tr. 43-44; PECO </w:t>
      </w:r>
      <w:proofErr w:type="spellStart"/>
      <w:r>
        <w:t>Exh</w:t>
      </w:r>
      <w:proofErr w:type="spellEnd"/>
      <w:r>
        <w:t xml:space="preserve">. 3.  Mr. Saunders was able to idle the meter.  Tr. 44; PECO </w:t>
      </w:r>
      <w:proofErr w:type="spellStart"/>
      <w:r>
        <w:t>Exh</w:t>
      </w:r>
      <w:proofErr w:type="spellEnd"/>
      <w:r>
        <w:t xml:space="preserve">. 3.  Mr. Saunders also performed a passing load test with a 1500-watt space heater and found that the meter recorded 1494 watts out of the 1500-watt potential.  Tr. 46; PECO </w:t>
      </w:r>
      <w:proofErr w:type="spellStart"/>
      <w:r>
        <w:t>Exh</w:t>
      </w:r>
      <w:proofErr w:type="spellEnd"/>
      <w:r>
        <w:t xml:space="preserve">. 3.  Mr. Saunders also performed a partial appliance analysis, which found a furnace fan, baseboard heaters, and two space heaters with a total potential usage of 4,125 </w:t>
      </w:r>
      <w:proofErr w:type="spellStart"/>
      <w:r>
        <w:t>KwH</w:t>
      </w:r>
      <w:proofErr w:type="spellEnd"/>
      <w:r>
        <w:t xml:space="preserve">.  Tr. 45; PECO </w:t>
      </w:r>
      <w:proofErr w:type="spellStart"/>
      <w:r>
        <w:t>Exh</w:t>
      </w:r>
      <w:proofErr w:type="spellEnd"/>
      <w:r>
        <w:t xml:space="preserve">. 3.  Mr. Saunders found that the Complainant’s usage was within her potential usage at the Service Address and </w:t>
      </w:r>
      <w:r w:rsidR="00602A2F">
        <w:t xml:space="preserve">he stated that </w:t>
      </w:r>
      <w:r>
        <w:t xml:space="preserve">there were no high bill issues.  Tr. 47-48.  </w:t>
      </w:r>
      <w:r w:rsidR="00E32B3B">
        <w:t xml:space="preserve">Mr. Saunders </w:t>
      </w:r>
      <w:r w:rsidR="0084690C">
        <w:t>testified that i</w:t>
      </w:r>
      <w:r>
        <w:t xml:space="preserve">t is not possible for a meter to malfunction and then correct itself.  Tr. 47.  As a courtesy, Mr. Saunders issued a one-time credit of 800 kilowatts on the Complainant’s account, based on the Complainant’s assertions that her usage was abnormal.  Tr. 48; PECO </w:t>
      </w:r>
      <w:proofErr w:type="spellStart"/>
      <w:r>
        <w:t>Exh</w:t>
      </w:r>
      <w:proofErr w:type="spellEnd"/>
      <w:r>
        <w:t xml:space="preserve">. 3.  </w:t>
      </w:r>
    </w:p>
    <w:p w14:paraId="17CDA9FD" w14:textId="77777777" w:rsidR="00BE4E85" w:rsidRDefault="00BE4E85" w:rsidP="00BE4E85">
      <w:pPr>
        <w:pStyle w:val="ListParagraph"/>
        <w:ind w:firstLine="1440"/>
      </w:pPr>
    </w:p>
    <w:p w14:paraId="406D68C5" w14:textId="0EAF09DF" w:rsidR="00BE4E85" w:rsidRDefault="00BE4E85">
      <w:r>
        <w:t xml:space="preserve">On April 13, 2018, another PECO technician visited the Service Address to do an instrument meter test and found that the meter was testing at 99.98% accurate on the first test and 99.96% accurate on the second test.  Tr. 49-50; PECO </w:t>
      </w:r>
      <w:proofErr w:type="spellStart"/>
      <w:r>
        <w:t>Exh</w:t>
      </w:r>
      <w:proofErr w:type="spellEnd"/>
      <w:r>
        <w:t xml:space="preserve">. 5.  The technician also performed an idle meter test and passing load test on the meter and found the meter to be accurate.  PECO </w:t>
      </w:r>
      <w:proofErr w:type="spellStart"/>
      <w:r>
        <w:t>Exh</w:t>
      </w:r>
      <w:proofErr w:type="spellEnd"/>
      <w:r>
        <w:t xml:space="preserve">. 5.  The technician found no foreign wiring or meter mix up at the Service Address.  PECO </w:t>
      </w:r>
      <w:proofErr w:type="spellStart"/>
      <w:r>
        <w:t>Exh</w:t>
      </w:r>
      <w:proofErr w:type="spellEnd"/>
      <w:r>
        <w:t xml:space="preserve">. 5.  </w:t>
      </w:r>
      <w:r w:rsidR="009F4894">
        <w:t>The meter tested within Commission standards.</w:t>
      </w:r>
      <w:r w:rsidR="00C017B7">
        <w:rPr>
          <w:rStyle w:val="FootnoteReference"/>
        </w:rPr>
        <w:footnoteReference w:id="6"/>
      </w:r>
    </w:p>
    <w:p w14:paraId="40593544" w14:textId="77777777" w:rsidR="00BE4E85" w:rsidRDefault="00BE4E85" w:rsidP="00BE4E85">
      <w:pPr>
        <w:pStyle w:val="ListParagraph"/>
        <w:ind w:firstLine="1440"/>
      </w:pPr>
    </w:p>
    <w:p w14:paraId="23AFF1F1" w14:textId="3A39991D" w:rsidR="00BE4E85" w:rsidRDefault="00397C0E">
      <w:r>
        <w:t xml:space="preserve">PECO also presented the testimony of Glenn Pritchard, who is manager of </w:t>
      </w:r>
      <w:r w:rsidR="00B25102">
        <w:t>the smart grid operations and technology group.  Mr. Pritchard testified that s</w:t>
      </w:r>
      <w:r w:rsidR="00BE4E85">
        <w:t xml:space="preserve">mart meters allow for two-way communications as indicated in Pennsylvania Act 129 of 2008.  Tr. 61.  Two-way communications </w:t>
      </w:r>
      <w:r w:rsidR="0034277D">
        <w:t>mean</w:t>
      </w:r>
      <w:r w:rsidR="00BE4E85">
        <w:t xml:space="preserve"> that the meter can send usage information to PECO and PECO can send commands to the meter, such as operation of the disconnect switch.  Tr. 61.  PECO can also ensure the encryption of data from the meter and do firmware upgrades to the meter remotely.  Tr. 62.  </w:t>
      </w:r>
      <w:r w:rsidR="00BD5E40">
        <w:t xml:space="preserve">Mr. Pritchard noted that </w:t>
      </w:r>
      <w:r w:rsidR="00BE4E85">
        <w:t xml:space="preserve">PECO cannot alter or change the meter readings.  Tr. 62.  The smart meters only register the amount of energy that is being consumed and does not interface with appliances in the residence.  Tr. 63.  </w:t>
      </w:r>
      <w:r w:rsidR="00BD5E40">
        <w:t>Mr. Pritchard stated that t</w:t>
      </w:r>
      <w:r w:rsidR="00BE4E85">
        <w:t xml:space="preserve">he Complainant’s usage increases with temperature drops.  Tr. 64; PECO </w:t>
      </w:r>
      <w:proofErr w:type="spellStart"/>
      <w:r w:rsidR="00BE4E85">
        <w:t>Exh</w:t>
      </w:r>
      <w:proofErr w:type="spellEnd"/>
      <w:r w:rsidR="00BE4E85">
        <w:t xml:space="preserve">. 6.  </w:t>
      </w:r>
      <w:r w:rsidR="00BD5E40">
        <w:t>Mr. Pritchard also noted that i</w:t>
      </w:r>
      <w:r w:rsidR="00BE4E85">
        <w:t>n January 2018, the average daily temperature was 31 degrees Fahrenheit</w:t>
      </w:r>
      <w:r w:rsidR="00BD5E40">
        <w:t>, while i</w:t>
      </w:r>
      <w:r w:rsidR="00BE4E85">
        <w:t xml:space="preserve">n January 2017, the average daily temperature was 39 degrees Fahrenheit.  Tr. 65.  </w:t>
      </w:r>
      <w:r w:rsidR="00BD5E40">
        <w:t>Mr. Pritchard testified that u</w:t>
      </w:r>
      <w:r w:rsidR="00BE4E85">
        <w:t xml:space="preserve">sage data from the meter at the Service Address was transmitted and received by PECO with no signs of tampering or any other irregularities.  Tr. 68.  </w:t>
      </w:r>
      <w:r w:rsidR="0093784E">
        <w:t>He also noted that t</w:t>
      </w:r>
      <w:r w:rsidR="00BE4E85">
        <w:t xml:space="preserve">here is no multiplier used in residential meters, only commercial properties that use more power.  Tr. 75-76.  </w:t>
      </w:r>
    </w:p>
    <w:p w14:paraId="75F86DC2" w14:textId="77777777" w:rsidR="00A37B75" w:rsidRDefault="00A37B75" w:rsidP="00BE4E85">
      <w:pPr>
        <w:pStyle w:val="ListParagraph"/>
        <w:ind w:left="0" w:firstLine="1440"/>
      </w:pPr>
    </w:p>
    <w:p w14:paraId="11DEB857" w14:textId="695C0C10" w:rsidR="00A37B75" w:rsidRDefault="00A37B75" w:rsidP="00BE4E85">
      <w:pPr>
        <w:pStyle w:val="ListParagraph"/>
        <w:ind w:left="0" w:firstLine="1440"/>
      </w:pPr>
      <w:r>
        <w:t xml:space="preserve">While </w:t>
      </w:r>
      <w:r w:rsidR="00E91F27">
        <w:t xml:space="preserve">there does seem to be </w:t>
      </w:r>
      <w:r w:rsidR="004C54E1">
        <w:t xml:space="preserve">an increase in the Complainant’s usage at the Service address </w:t>
      </w:r>
      <w:r w:rsidR="00FE648C">
        <w:t xml:space="preserve">from the winter period of </w:t>
      </w:r>
      <w:r w:rsidR="00E850C0">
        <w:t xml:space="preserve">2016-2017 </w:t>
      </w:r>
      <w:r w:rsidR="008F6002">
        <w:t>to</w:t>
      </w:r>
      <w:r w:rsidR="00E850C0">
        <w:t xml:space="preserve"> 2017-2018</w:t>
      </w:r>
      <w:r>
        <w:t xml:space="preserve">, it is clear that the electricity that the Complainant is using is within her energy usage potential.  </w:t>
      </w:r>
      <w:r w:rsidR="00A279C6">
        <w:t>It should</w:t>
      </w:r>
      <w:r w:rsidR="00C72EBF">
        <w:t xml:space="preserve"> also</w:t>
      </w:r>
      <w:r w:rsidR="00A279C6">
        <w:t xml:space="preserve"> be noted that the </w:t>
      </w:r>
      <w:r w:rsidR="00B00FA9">
        <w:t>temperatures were colder</w:t>
      </w:r>
      <w:r w:rsidR="004E7BAF">
        <w:t xml:space="preserve"> and there were more heating degree </w:t>
      </w:r>
      <w:r w:rsidR="006034F2">
        <w:t xml:space="preserve">days in the winter of 2017-2018 as compared to the winter of 2016-2017.  </w:t>
      </w:r>
      <w:r w:rsidR="00C72EBF">
        <w:t xml:space="preserve">Further, </w:t>
      </w:r>
      <w:r>
        <w:t>PECO performed t</w:t>
      </w:r>
      <w:r w:rsidR="008B3D51">
        <w:t xml:space="preserve">wo </w:t>
      </w:r>
      <w:r>
        <w:t xml:space="preserve">high bill investigations at the Service Address.  </w:t>
      </w:r>
      <w:r w:rsidR="00C72EBF">
        <w:t>Mr. Saunders</w:t>
      </w:r>
      <w:r>
        <w:t xml:space="preserve"> performed a potential usage survey and found that the Complainant was using within her potential usage and had not exceeded her potential usage at the Service Address.  Further, </w:t>
      </w:r>
      <w:r w:rsidR="00D20904">
        <w:t>both</w:t>
      </w:r>
      <w:r>
        <w:t xml:space="preserve"> technicians also performed testing on the meter</w:t>
      </w:r>
      <w:r w:rsidR="00D20904">
        <w:t>, including instrument testing,</w:t>
      </w:r>
      <w:r>
        <w:t xml:space="preserve"> which established that it was running properly and that there was no meter mix up or foreign wiring.  </w:t>
      </w:r>
    </w:p>
    <w:p w14:paraId="28529D66" w14:textId="77777777" w:rsidR="00A37B75" w:rsidRDefault="00A37B75" w:rsidP="00BE4E85">
      <w:pPr>
        <w:pStyle w:val="ListParagraph"/>
        <w:ind w:left="0" w:firstLine="1440"/>
      </w:pPr>
    </w:p>
    <w:p w14:paraId="046D29F3" w14:textId="341B6344" w:rsidR="00A37B75" w:rsidRDefault="00F44976">
      <w:pPr>
        <w:rPr>
          <w:snapToGrid w:val="0"/>
          <w:spacing w:val="-3"/>
        </w:rPr>
      </w:pPr>
      <w:r>
        <w:t xml:space="preserve">The Complainant also alleged during the hearing that there may have </w:t>
      </w:r>
      <w:r w:rsidR="00F74E01">
        <w:t xml:space="preserve">been a security breach of the smart meter or </w:t>
      </w:r>
      <w:r w:rsidR="00D53059">
        <w:t>some type of malfunction of the meter</w:t>
      </w:r>
      <w:r w:rsidR="00A37B75">
        <w:t xml:space="preserve">.  </w:t>
      </w:r>
      <w:r w:rsidR="007F6AC0">
        <w:t>However, Ms. Walden did not allege that there were any issues with the meter before or after the winter period of 2017-2018.  Moreover</w:t>
      </w:r>
      <w:r w:rsidR="00D53059">
        <w:t>, Mr.</w:t>
      </w:r>
      <w:r w:rsidR="00907A41">
        <w:t> </w:t>
      </w:r>
      <w:r w:rsidR="00D53059">
        <w:t xml:space="preserve">Saunders testified </w:t>
      </w:r>
      <w:r w:rsidR="00DA4E74">
        <w:t xml:space="preserve">that a meter cannot malfunction and then correct itself.  Further, Mr. Pritchard </w:t>
      </w:r>
      <w:r w:rsidR="00703AC8">
        <w:t>testified that while there is two</w:t>
      </w:r>
      <w:r w:rsidR="00F16855">
        <w:t>-</w:t>
      </w:r>
      <w:r w:rsidR="00703AC8">
        <w:t xml:space="preserve">way communication between PECO and the meter, this is in accordance the </w:t>
      </w:r>
      <w:r w:rsidR="008D252C">
        <w:t xml:space="preserve">Act 129 of 2008 and so that </w:t>
      </w:r>
      <w:r w:rsidR="00F178D1">
        <w:t xml:space="preserve">the meter can send usage information to PECO and PECO can send commands to the meter, such as operation of the disconnect switch.  Moreover, </w:t>
      </w:r>
      <w:r w:rsidR="00007EEE">
        <w:t>PECO cannot alter or change the meter readings</w:t>
      </w:r>
      <w:r w:rsidR="00AA4B2C">
        <w:t>,</w:t>
      </w:r>
      <w:r w:rsidR="003B7F16">
        <w:t xml:space="preserve"> and in this particular instance, </w:t>
      </w:r>
      <w:r w:rsidR="001B75EA">
        <w:t xml:space="preserve">the usage data from the meter at the Service Address was transmitted and received by PECO with no signs of tampering or any other irregularities.  </w:t>
      </w:r>
      <w:r w:rsidR="004C2667">
        <w:t xml:space="preserve">Based on all of the above, the Complainant has not met her burden of </w:t>
      </w:r>
      <w:r w:rsidR="00D111C4">
        <w:t xml:space="preserve">demonstrating that there were irregularities in her bills from PECO </w:t>
      </w:r>
      <w:r w:rsidR="007F6AC0">
        <w:t xml:space="preserve">or that she was experiencing any safety or reliability issues at the Service Address, </w:t>
      </w:r>
      <w:r w:rsidR="00D111C4">
        <w:t xml:space="preserve">and as such, </w:t>
      </w:r>
      <w:r w:rsidR="00EF1A68">
        <w:t xml:space="preserve">her Complaint is dismissed.  </w:t>
      </w:r>
    </w:p>
    <w:p w14:paraId="6AEF0539" w14:textId="77777777" w:rsidR="00A37B75" w:rsidRDefault="00A37B75" w:rsidP="00BE4E85">
      <w:pPr>
        <w:pStyle w:val="ListParagraph"/>
      </w:pPr>
      <w:bookmarkStart w:id="2" w:name="bookmark1"/>
      <w:bookmarkEnd w:id="2"/>
    </w:p>
    <w:p w14:paraId="6EA85384"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jc w:val="center"/>
        <w:rPr>
          <w:u w:val="single"/>
        </w:rPr>
      </w:pPr>
      <w:r>
        <w:rPr>
          <w:u w:val="single"/>
        </w:rPr>
        <w:t>CONCLUSIONS OF LAW</w:t>
      </w:r>
    </w:p>
    <w:p w14:paraId="4A98D9E0"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jc w:val="center"/>
      </w:pPr>
    </w:p>
    <w:p w14:paraId="64EB4801" w14:textId="77777777" w:rsidR="00A37B75" w:rsidRDefault="00A37B75" w:rsidP="00A37B75">
      <w:pPr>
        <w:pStyle w:val="Body"/>
        <w:numPr>
          <w:ilvl w:val="0"/>
          <w:numId w:val="2"/>
        </w:numPr>
        <w:tabs>
          <w:tab w:val="left" w:pos="0"/>
        </w:tabs>
        <w:spacing w:line="360" w:lineRule="auto"/>
        <w:ind w:left="0" w:firstLine="1440"/>
      </w:pPr>
      <w:r>
        <w:t xml:space="preserve">The Commission has jurisdiction over the parties to and subject matter of this proceeding.  </w:t>
      </w:r>
      <w:r>
        <w:rPr>
          <w:lang w:val="it-IT"/>
        </w:rPr>
        <w:t xml:space="preserve">66 Pa.C.S. </w:t>
      </w:r>
      <w:r>
        <w:t xml:space="preserve">§ 701.  </w:t>
      </w:r>
    </w:p>
    <w:p w14:paraId="31364234" w14:textId="77777777" w:rsidR="00A37B75" w:rsidRDefault="00A37B75" w:rsidP="00A37B75">
      <w:pPr>
        <w:pStyle w:val="Body"/>
        <w:tabs>
          <w:tab w:val="left" w:pos="0"/>
          <w:tab w:val="left" w:pos="1440"/>
          <w:tab w:val="left" w:pos="2160"/>
          <w:tab w:val="left" w:pos="2880"/>
          <w:tab w:val="left" w:pos="3600"/>
          <w:tab w:val="left" w:pos="4320"/>
          <w:tab w:val="left" w:pos="5040"/>
          <w:tab w:val="left" w:pos="5760"/>
          <w:tab w:val="left" w:pos="6480"/>
        </w:tabs>
        <w:spacing w:line="360" w:lineRule="auto"/>
        <w:ind w:firstLine="1440"/>
      </w:pPr>
    </w:p>
    <w:p w14:paraId="099697B1" w14:textId="7CEB22D5" w:rsidR="00A37B75" w:rsidRDefault="00A37B75" w:rsidP="00A37B75">
      <w:pPr>
        <w:pStyle w:val="Body"/>
        <w:numPr>
          <w:ilvl w:val="0"/>
          <w:numId w:val="2"/>
        </w:numPr>
        <w:tabs>
          <w:tab w:val="left" w:pos="0"/>
        </w:tabs>
        <w:spacing w:line="360" w:lineRule="auto"/>
        <w:ind w:left="0" w:firstLine="1440"/>
      </w:pPr>
      <w:r>
        <w:t xml:space="preserve">Pursuant to 66 Pa.C.S. § 332(a), the burden of proof in this proceeding is upon the </w:t>
      </w:r>
      <w:r w:rsidR="002C5D70">
        <w:t>C</w:t>
      </w:r>
      <w:r>
        <w:t xml:space="preserve">omplainant.  </w:t>
      </w:r>
    </w:p>
    <w:p w14:paraId="127D8C09" w14:textId="77777777" w:rsidR="001D7B70" w:rsidRDefault="001D7B70" w:rsidP="007F6AC0">
      <w:pPr>
        <w:pStyle w:val="Body"/>
        <w:tabs>
          <w:tab w:val="left" w:pos="0"/>
          <w:tab w:val="left" w:pos="720"/>
          <w:tab w:val="left" w:pos="1440"/>
          <w:tab w:val="left" w:pos="2880"/>
          <w:tab w:val="left" w:pos="3600"/>
          <w:tab w:val="left" w:pos="4320"/>
          <w:tab w:val="left" w:pos="5040"/>
          <w:tab w:val="left" w:pos="5760"/>
          <w:tab w:val="left" w:pos="6480"/>
        </w:tabs>
        <w:spacing w:line="360" w:lineRule="auto"/>
      </w:pPr>
    </w:p>
    <w:p w14:paraId="26F15AFA" w14:textId="77777777" w:rsidR="00A37B75" w:rsidRDefault="00A37B75" w:rsidP="00A37B75">
      <w:pPr>
        <w:pStyle w:val="Body"/>
        <w:numPr>
          <w:ilvl w:val="0"/>
          <w:numId w:val="2"/>
        </w:numPr>
        <w:tabs>
          <w:tab w:val="left" w:pos="0"/>
        </w:tabs>
        <w:spacing w:line="360" w:lineRule="auto"/>
        <w:ind w:left="0" w:firstLine="1440"/>
      </w:pPr>
      <w:r>
        <w:t xml:space="preserve">Any finding of fact necessary to support the Commission’s adjudication must be based upon substantial evidence.  </w:t>
      </w:r>
      <w:r>
        <w:rPr>
          <w:i/>
          <w:iCs/>
        </w:rPr>
        <w:t>Mill v. Pa. Pub. Util. Comm’n</w:t>
      </w:r>
      <w:r>
        <w:rPr>
          <w:lang w:val="it-IT"/>
        </w:rPr>
        <w:t xml:space="preserve">, 447 A.2d 1100 (Pa.Cmwlth. 1982); </w:t>
      </w:r>
      <w:r>
        <w:rPr>
          <w:i/>
          <w:iCs/>
          <w:lang w:val="it-IT"/>
        </w:rPr>
        <w:t>Edan Transportation Corp. v. Pa. Pub. Util. Comm</w:t>
      </w:r>
      <w:r>
        <w:rPr>
          <w:i/>
          <w:iCs/>
        </w:rPr>
        <w:t>’n</w:t>
      </w:r>
      <w:r>
        <w:rPr>
          <w:lang w:val="it-IT"/>
        </w:rPr>
        <w:t xml:space="preserve">, 623 A.2d 6 (Pa.Cmwlth. 1993); 2 Pa.C.S. </w:t>
      </w:r>
      <w:r>
        <w:t xml:space="preserve">§ 704.  </w:t>
      </w:r>
    </w:p>
    <w:p w14:paraId="143BFA45" w14:textId="77777777" w:rsidR="00A37B75" w:rsidRDefault="00A37B75" w:rsidP="00BE4E85">
      <w:pPr>
        <w:pStyle w:val="ListParagraph"/>
      </w:pPr>
    </w:p>
    <w:p w14:paraId="5BFCED8D" w14:textId="77777777" w:rsidR="00A37B75" w:rsidRDefault="00A37B75" w:rsidP="00A37B75">
      <w:pPr>
        <w:pStyle w:val="Body"/>
        <w:numPr>
          <w:ilvl w:val="0"/>
          <w:numId w:val="2"/>
        </w:numPr>
        <w:tabs>
          <w:tab w:val="left" w:pos="0"/>
        </w:tabs>
        <w:spacing w:line="360" w:lineRule="auto"/>
        <w:ind w:left="0" w:firstLine="1440"/>
      </w:pPr>
      <w:r>
        <w:t xml:space="preserve">The accuracy of the </w:t>
      </w:r>
      <w:r>
        <w:rPr>
          <w:bCs/>
        </w:rPr>
        <w:t>meter</w:t>
      </w:r>
      <w:r>
        <w:rPr>
          <w:b/>
          <w:bCs/>
        </w:rPr>
        <w:t xml:space="preserve"> </w:t>
      </w:r>
      <w:r>
        <w:t xml:space="preserve">is an important factor in resolving billing disputes, but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Pr>
          <w:i/>
          <w:iCs/>
        </w:rPr>
        <w:t>Waldron v. Philadelphia Electric Company,</w:t>
      </w:r>
      <w:r>
        <w:t xml:space="preserve"> 54 Pa. PUC 98 (1980).  </w:t>
      </w:r>
    </w:p>
    <w:p w14:paraId="113214D0" w14:textId="77777777" w:rsidR="00A37B75" w:rsidRDefault="00A37B75" w:rsidP="00BE4E85">
      <w:pPr>
        <w:pStyle w:val="ListParagraph"/>
      </w:pPr>
    </w:p>
    <w:p w14:paraId="49553A31" w14:textId="4EB3B0D2" w:rsidR="00A37B75" w:rsidRDefault="005A4FB0" w:rsidP="00A37B75">
      <w:pPr>
        <w:pStyle w:val="Body"/>
        <w:numPr>
          <w:ilvl w:val="0"/>
          <w:numId w:val="2"/>
        </w:numPr>
        <w:tabs>
          <w:tab w:val="left" w:pos="0"/>
        </w:tabs>
        <w:spacing w:line="360" w:lineRule="auto"/>
        <w:ind w:left="0" w:firstLine="1440"/>
      </w:pPr>
      <w:r>
        <w:t>In evaluating a “high bill” complaint, t</w:t>
      </w:r>
      <w:r w:rsidR="00A37B75">
        <w:t xml:space="preserve">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w:t>
      </w:r>
      <w:r w:rsidR="00A37B75">
        <w:rPr>
          <w:i/>
          <w:iCs/>
        </w:rPr>
        <w:t>Nehemiah B. Thomas v. PECO Energy Company</w:t>
      </w:r>
      <w:r w:rsidR="00A37B75">
        <w:t xml:space="preserve">, Docket No. C-2010-2187197, at 5 (Order entered November 15, 2011).  </w:t>
      </w:r>
    </w:p>
    <w:p w14:paraId="73CF3358" w14:textId="77777777" w:rsidR="009C66EB" w:rsidRDefault="009C66EB" w:rsidP="00BE4E85">
      <w:pPr>
        <w:pStyle w:val="ListParagraph"/>
      </w:pPr>
    </w:p>
    <w:p w14:paraId="21206BAB" w14:textId="5E934679" w:rsidR="009C66EB" w:rsidRDefault="002C5D70" w:rsidP="00A37B75">
      <w:pPr>
        <w:pStyle w:val="Body"/>
        <w:numPr>
          <w:ilvl w:val="0"/>
          <w:numId w:val="2"/>
        </w:numPr>
        <w:tabs>
          <w:tab w:val="left" w:pos="0"/>
        </w:tabs>
        <w:spacing w:line="360" w:lineRule="auto"/>
        <w:ind w:left="0" w:firstLine="1440"/>
      </w:pPr>
      <w:r>
        <w:t xml:space="preserve">The </w:t>
      </w:r>
      <w:r w:rsidR="009C66EB">
        <w:t>Complainant has failed to meet her burden to demonstrate that</w:t>
      </w:r>
      <w:r w:rsidR="008512EF">
        <w:t xml:space="preserve"> her bills were inaccurate or too high in violations of </w:t>
      </w:r>
      <w:r w:rsidR="00AA4162">
        <w:t xml:space="preserve">the Public Utility Code, Commission regulations or order.  </w:t>
      </w:r>
    </w:p>
    <w:p w14:paraId="65A64057" w14:textId="77777777" w:rsidR="00A37B75" w:rsidRDefault="00A37B75" w:rsidP="00BE4E85">
      <w:pPr>
        <w:pStyle w:val="ListParagraph"/>
      </w:pPr>
    </w:p>
    <w:p w14:paraId="35FF41F1" w14:textId="77777777" w:rsidR="00A37B75" w:rsidRDefault="00A37B75" w:rsidP="00A37B75">
      <w:pPr>
        <w:pStyle w:val="NoSpacing"/>
        <w:spacing w:line="360" w:lineRule="auto"/>
        <w:jc w:val="center"/>
        <w:rPr>
          <w:u w:val="single"/>
        </w:rPr>
      </w:pPr>
      <w:r>
        <w:rPr>
          <w:u w:val="single"/>
        </w:rPr>
        <w:t>ORDER</w:t>
      </w:r>
    </w:p>
    <w:p w14:paraId="1C918974" w14:textId="77777777" w:rsidR="00A37B75" w:rsidRDefault="00A37B75" w:rsidP="00A37B75">
      <w:pPr>
        <w:pStyle w:val="NoSpacing"/>
        <w:spacing w:line="360" w:lineRule="auto"/>
        <w:jc w:val="center"/>
        <w:rPr>
          <w:u w:val="single"/>
        </w:rPr>
      </w:pPr>
    </w:p>
    <w:p w14:paraId="1652E4E2" w14:textId="77777777" w:rsidR="00A37B75" w:rsidRDefault="00A37B75" w:rsidP="00A37B75">
      <w:pPr>
        <w:pStyle w:val="NoSpacing"/>
        <w:spacing w:line="360" w:lineRule="auto"/>
      </w:pPr>
    </w:p>
    <w:p w14:paraId="05237F5B"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pPr>
      <w:r>
        <w:rPr>
          <w:lang w:val="de-DE"/>
        </w:rPr>
        <w:tab/>
      </w:r>
      <w:r>
        <w:rPr>
          <w:lang w:val="de-DE"/>
        </w:rPr>
        <w:tab/>
        <w:t xml:space="preserve">THEREFORE, </w:t>
      </w:r>
    </w:p>
    <w:p w14:paraId="3DD983F3"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pPr>
    </w:p>
    <w:p w14:paraId="5CA7DC77"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rPr>
          <w:lang w:val="de-DE"/>
        </w:rPr>
      </w:pPr>
      <w:r>
        <w:rPr>
          <w:lang w:val="de-DE"/>
        </w:rPr>
        <w:tab/>
      </w:r>
      <w:r>
        <w:rPr>
          <w:lang w:val="de-DE"/>
        </w:rPr>
        <w:tab/>
        <w:t>IT IS ORDERED:</w:t>
      </w:r>
    </w:p>
    <w:p w14:paraId="2EC19D3E" w14:textId="77777777" w:rsidR="00A37B75" w:rsidRDefault="00A37B75" w:rsidP="00A37B75">
      <w:pPr>
        <w:pStyle w:val="Body"/>
        <w:tabs>
          <w:tab w:val="left" w:pos="720"/>
          <w:tab w:val="left" w:pos="1440"/>
          <w:tab w:val="left" w:pos="2160"/>
          <w:tab w:val="left" w:pos="2880"/>
          <w:tab w:val="left" w:pos="3600"/>
          <w:tab w:val="left" w:pos="4320"/>
          <w:tab w:val="left" w:pos="5040"/>
          <w:tab w:val="left" w:pos="5760"/>
          <w:tab w:val="left" w:pos="6480"/>
        </w:tabs>
        <w:spacing w:line="360" w:lineRule="auto"/>
      </w:pPr>
    </w:p>
    <w:p w14:paraId="54BA2F76" w14:textId="52EF3447" w:rsidR="00A37B75" w:rsidRDefault="00A37B75" w:rsidP="00C14804">
      <w:pPr>
        <w:pStyle w:val="Body"/>
        <w:numPr>
          <w:ilvl w:val="0"/>
          <w:numId w:val="5"/>
        </w:numPr>
        <w:tabs>
          <w:tab w:val="left" w:pos="720"/>
          <w:tab w:val="left" w:pos="1440"/>
          <w:tab w:val="left" w:pos="2160"/>
          <w:tab w:val="left" w:pos="2880"/>
          <w:tab w:val="left" w:pos="3600"/>
          <w:tab w:val="left" w:pos="4320"/>
          <w:tab w:val="left" w:pos="5040"/>
          <w:tab w:val="left" w:pos="5760"/>
          <w:tab w:val="left" w:pos="6480"/>
        </w:tabs>
        <w:spacing w:line="360" w:lineRule="auto"/>
        <w:ind w:left="0" w:firstLine="1440"/>
      </w:pPr>
      <w:r>
        <w:t xml:space="preserve">That the </w:t>
      </w:r>
      <w:r w:rsidR="00F72579">
        <w:t xml:space="preserve">Amended </w:t>
      </w:r>
      <w:r>
        <w:t xml:space="preserve">Complaint of Eileen Walden against PECO Energy Company at Docket No. F-2019-3011507 is denied and </w:t>
      </w:r>
      <w:proofErr w:type="gramStart"/>
      <w:r>
        <w:t>dismissed;</w:t>
      </w:r>
      <w:proofErr w:type="gramEnd"/>
    </w:p>
    <w:p w14:paraId="4DADBAB7" w14:textId="77777777" w:rsidR="00C14804" w:rsidRDefault="00C14804" w:rsidP="00C14804">
      <w:pPr>
        <w:pStyle w:val="Body"/>
        <w:tabs>
          <w:tab w:val="left" w:pos="720"/>
          <w:tab w:val="left" w:pos="1440"/>
          <w:tab w:val="left" w:pos="1800"/>
          <w:tab w:val="left" w:pos="2160"/>
          <w:tab w:val="left" w:pos="2880"/>
          <w:tab w:val="left" w:pos="3600"/>
          <w:tab w:val="left" w:pos="4320"/>
          <w:tab w:val="left" w:pos="5040"/>
          <w:tab w:val="left" w:pos="5760"/>
          <w:tab w:val="left" w:pos="6480"/>
        </w:tabs>
        <w:spacing w:line="360" w:lineRule="auto"/>
        <w:ind w:left="1800"/>
      </w:pPr>
    </w:p>
    <w:p w14:paraId="089668D6" w14:textId="561C211E" w:rsidR="00A37B75" w:rsidRDefault="00A37B75" w:rsidP="00B133C8">
      <w:pPr>
        <w:pStyle w:val="ListParagraph"/>
        <w:tabs>
          <w:tab w:val="left" w:pos="1800"/>
        </w:tabs>
      </w:pPr>
      <w:r>
        <w:t>2.</w:t>
      </w:r>
      <w:r w:rsidR="00B133C8">
        <w:tab/>
      </w:r>
      <w:r>
        <w:t xml:space="preserve">That the record at Docket No. F-2019-3011507 be marked closed.  </w:t>
      </w:r>
    </w:p>
    <w:p w14:paraId="0D408C19" w14:textId="77777777" w:rsidR="00A37B75" w:rsidRDefault="00A37B75" w:rsidP="00A37B75">
      <w:pPr>
        <w:pStyle w:val="ParaTab1"/>
        <w:tabs>
          <w:tab w:val="left" w:pos="720"/>
          <w:tab w:val="left" w:pos="1440"/>
          <w:tab w:val="left" w:pos="2160"/>
          <w:tab w:val="left" w:pos="2880"/>
          <w:tab w:val="left" w:pos="3600"/>
          <w:tab w:val="left" w:pos="4320"/>
          <w:tab w:val="left" w:pos="5040"/>
          <w:tab w:val="left" w:pos="5760"/>
          <w:tab w:val="left" w:pos="6480"/>
        </w:tabs>
        <w:spacing w:line="360" w:lineRule="auto"/>
      </w:pPr>
    </w:p>
    <w:p w14:paraId="004B50F6" w14:textId="77777777" w:rsidR="00A37B75" w:rsidRDefault="00A37B75" w:rsidP="00A37B75">
      <w:pPr>
        <w:pStyle w:val="ParaTab1"/>
        <w:tabs>
          <w:tab w:val="left" w:pos="720"/>
          <w:tab w:val="left" w:pos="1440"/>
          <w:tab w:val="left" w:pos="2160"/>
          <w:tab w:val="left" w:pos="2880"/>
          <w:tab w:val="left" w:pos="3600"/>
          <w:tab w:val="left" w:pos="4320"/>
          <w:tab w:val="left" w:pos="5040"/>
          <w:tab w:val="left" w:pos="5760"/>
          <w:tab w:val="left" w:pos="6480"/>
        </w:tabs>
        <w:spacing w:line="360" w:lineRule="auto"/>
      </w:pPr>
    </w:p>
    <w:p w14:paraId="646D917B" w14:textId="6DCAEE05" w:rsidR="00A37B75" w:rsidRDefault="00A37B75" w:rsidP="00A37B75">
      <w:pPr>
        <w:pStyle w:val="NoSpacing"/>
        <w:rPr>
          <w:u w:val="single"/>
        </w:rPr>
      </w:pPr>
      <w:r>
        <w:t>Date:</w:t>
      </w:r>
      <w:r>
        <w:tab/>
      </w:r>
      <w:r w:rsidR="007E0D58">
        <w:rPr>
          <w:u w:val="single"/>
        </w:rPr>
        <w:t>March 3</w:t>
      </w:r>
      <w:r>
        <w:rPr>
          <w:u w:val="single"/>
        </w:rPr>
        <w:t>, 2020</w:t>
      </w:r>
      <w:r>
        <w:rPr>
          <w:u w:val="single"/>
        </w:rPr>
        <w:tab/>
      </w:r>
      <w:r>
        <w:tab/>
      </w:r>
      <w:r>
        <w:tab/>
      </w:r>
      <w:r>
        <w:tab/>
      </w:r>
      <w:r>
        <w:rPr>
          <w:u w:val="single"/>
        </w:rPr>
        <w:tab/>
      </w:r>
      <w:r>
        <w:rPr>
          <w:u w:val="single"/>
        </w:rPr>
        <w:tab/>
        <w:t>/s/</w:t>
      </w:r>
      <w:r>
        <w:rPr>
          <w:u w:val="single"/>
        </w:rPr>
        <w:tab/>
      </w:r>
      <w:r>
        <w:rPr>
          <w:u w:val="single"/>
        </w:rPr>
        <w:tab/>
      </w:r>
      <w:r>
        <w:rPr>
          <w:u w:val="single"/>
        </w:rPr>
        <w:tab/>
      </w:r>
    </w:p>
    <w:p w14:paraId="5A730AA7" w14:textId="77777777" w:rsidR="00A37B75" w:rsidRDefault="00A37B75" w:rsidP="00A37B75">
      <w:pPr>
        <w:pStyle w:val="NoSpacing"/>
      </w:pPr>
      <w:r>
        <w:tab/>
      </w:r>
      <w:r>
        <w:tab/>
      </w:r>
      <w:r>
        <w:tab/>
      </w:r>
      <w:r>
        <w:tab/>
      </w:r>
      <w:r>
        <w:tab/>
      </w:r>
      <w:r>
        <w:tab/>
      </w:r>
      <w:r>
        <w:tab/>
        <w:t>Marta Guhl</w:t>
      </w:r>
    </w:p>
    <w:p w14:paraId="0A6C9145" w14:textId="77777777" w:rsidR="00A37B75" w:rsidRDefault="00A37B75" w:rsidP="00A37B75">
      <w:pPr>
        <w:pStyle w:val="NoSpacing"/>
      </w:pPr>
      <w:r>
        <w:tab/>
      </w:r>
      <w:r>
        <w:tab/>
      </w:r>
      <w:r>
        <w:tab/>
      </w:r>
      <w:r>
        <w:tab/>
      </w:r>
      <w:r>
        <w:tab/>
      </w:r>
      <w:r>
        <w:tab/>
      </w:r>
      <w:r>
        <w:tab/>
        <w:t>Administrative Law Judge</w:t>
      </w:r>
    </w:p>
    <w:p w14:paraId="020DCD6D" w14:textId="77777777" w:rsidR="003B6687" w:rsidRDefault="003B6687" w:rsidP="001965D5"/>
    <w:sectPr w:rsidR="003B6687" w:rsidSect="00F52723">
      <w:footerReference w:type="default" r:id="rId8"/>
      <w:pgSz w:w="12240" w:h="15840"/>
      <w:pgMar w:top="1440" w:right="1440" w:bottom="1440" w:left="1440" w:header="720" w:footer="2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82B8" w14:textId="77777777" w:rsidR="00C0098C" w:rsidRDefault="00C0098C" w:rsidP="001965D5">
      <w:r>
        <w:separator/>
      </w:r>
    </w:p>
  </w:endnote>
  <w:endnote w:type="continuationSeparator" w:id="0">
    <w:p w14:paraId="5DB4E61F" w14:textId="77777777" w:rsidR="00C0098C" w:rsidRDefault="00C0098C" w:rsidP="0019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39221"/>
      <w:docPartObj>
        <w:docPartGallery w:val="Page Numbers (Bottom of Page)"/>
        <w:docPartUnique/>
      </w:docPartObj>
    </w:sdtPr>
    <w:sdtEndPr>
      <w:rPr>
        <w:noProof/>
        <w:sz w:val="20"/>
        <w:szCs w:val="20"/>
      </w:rPr>
    </w:sdtEndPr>
    <w:sdtContent>
      <w:p w14:paraId="5439AB2E" w14:textId="77777777" w:rsidR="00F52723" w:rsidRDefault="00F52723" w:rsidP="00F52723">
        <w:pPr>
          <w:pStyle w:val="Footer"/>
          <w:ind w:firstLine="0"/>
          <w:jc w:val="center"/>
        </w:pPr>
      </w:p>
      <w:p w14:paraId="0E18C6F4" w14:textId="59FCD9BA" w:rsidR="001563F5" w:rsidRPr="00F52723" w:rsidRDefault="001563F5" w:rsidP="00F52723">
        <w:pPr>
          <w:pStyle w:val="Footer"/>
          <w:ind w:firstLine="0"/>
          <w:jc w:val="center"/>
          <w:rPr>
            <w:sz w:val="20"/>
            <w:szCs w:val="20"/>
          </w:rPr>
        </w:pPr>
        <w:r w:rsidRPr="00F52723">
          <w:rPr>
            <w:sz w:val="20"/>
            <w:szCs w:val="20"/>
          </w:rPr>
          <w:fldChar w:fldCharType="begin"/>
        </w:r>
        <w:r w:rsidRPr="00F52723">
          <w:rPr>
            <w:sz w:val="20"/>
            <w:szCs w:val="20"/>
          </w:rPr>
          <w:instrText xml:space="preserve"> PAGE   \* MERGEFORMAT </w:instrText>
        </w:r>
        <w:r w:rsidRPr="00F52723">
          <w:rPr>
            <w:sz w:val="20"/>
            <w:szCs w:val="20"/>
          </w:rPr>
          <w:fldChar w:fldCharType="separate"/>
        </w:r>
        <w:r w:rsidRPr="00F52723">
          <w:rPr>
            <w:noProof/>
            <w:sz w:val="20"/>
            <w:szCs w:val="20"/>
          </w:rPr>
          <w:t>2</w:t>
        </w:r>
        <w:r w:rsidRPr="00F52723">
          <w:rPr>
            <w:noProof/>
            <w:sz w:val="20"/>
            <w:szCs w:val="20"/>
          </w:rPr>
          <w:fldChar w:fldCharType="end"/>
        </w:r>
      </w:p>
    </w:sdtContent>
  </w:sdt>
  <w:p w14:paraId="54432E4E" w14:textId="77777777" w:rsidR="001563F5" w:rsidRDefault="00156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CA4E3" w14:textId="77777777" w:rsidR="00C0098C" w:rsidRPr="001563F5" w:rsidRDefault="00C0098C" w:rsidP="001563F5">
      <w:pPr>
        <w:pStyle w:val="Footer"/>
        <w:ind w:firstLine="0"/>
      </w:pPr>
      <w:r>
        <w:t>_________________________________________</w:t>
      </w:r>
    </w:p>
  </w:footnote>
  <w:footnote w:type="continuationSeparator" w:id="0">
    <w:p w14:paraId="3CE47D44" w14:textId="77777777" w:rsidR="00C0098C" w:rsidRPr="00BE05DC" w:rsidRDefault="00C0098C" w:rsidP="00BE05DC">
      <w:pPr>
        <w:pStyle w:val="Footer"/>
        <w:ind w:firstLine="0"/>
      </w:pPr>
      <w:r>
        <w:t>_________________________________</w:t>
      </w:r>
    </w:p>
  </w:footnote>
  <w:footnote w:type="continuationNotice" w:id="1">
    <w:p w14:paraId="224C3A6B" w14:textId="77777777" w:rsidR="00C0098C" w:rsidRDefault="00C0098C">
      <w:pPr>
        <w:spacing w:line="240" w:lineRule="auto"/>
      </w:pPr>
    </w:p>
  </w:footnote>
  <w:footnote w:id="2">
    <w:p w14:paraId="3446073E" w14:textId="72B186CB" w:rsidR="004D21D2" w:rsidRDefault="004D21D2" w:rsidP="002A44FB">
      <w:pPr>
        <w:pStyle w:val="FootnoteText"/>
        <w:spacing w:line="240" w:lineRule="auto"/>
        <w:ind w:firstLine="0"/>
      </w:pPr>
      <w:r>
        <w:rPr>
          <w:rStyle w:val="FootnoteReference"/>
        </w:rPr>
        <w:footnoteRef/>
      </w:r>
      <w:r>
        <w:t xml:space="preserve"> </w:t>
      </w:r>
      <w:r>
        <w:tab/>
      </w:r>
      <w:r w:rsidR="00A73450">
        <w:t xml:space="preserve">The Complainant requested that I reconsider this ruling </w:t>
      </w:r>
      <w:r w:rsidR="002F5376">
        <w:t xml:space="preserve">excluding Complainant Exhibit Nos. 2 and 7 </w:t>
      </w:r>
      <w:r w:rsidR="00A73450">
        <w:t xml:space="preserve">in a letter dated October 23, 2019.  </w:t>
      </w:r>
      <w:r w:rsidR="00492B01">
        <w:t xml:space="preserve">However, the Complainant did not provide any legal reason as to why my initial ruling excluding the </w:t>
      </w:r>
      <w:r w:rsidR="002F5376">
        <w:t>documents was incorrect</w:t>
      </w:r>
      <w:r w:rsidR="002A44FB">
        <w:t>;</w:t>
      </w:r>
      <w:r w:rsidR="00A16A1F">
        <w:t xml:space="preserve"> </w:t>
      </w:r>
      <w:r w:rsidR="004A199C">
        <w:t xml:space="preserve">therefore, </w:t>
      </w:r>
      <w:r w:rsidR="002F5376">
        <w:t xml:space="preserve">the ruling will stand.  </w:t>
      </w:r>
    </w:p>
  </w:footnote>
  <w:footnote w:id="3">
    <w:p w14:paraId="4FF01D1E" w14:textId="77777777" w:rsidR="008A0D54" w:rsidRDefault="008A0D54" w:rsidP="00B73399">
      <w:pPr>
        <w:pStyle w:val="FootnoteText"/>
        <w:spacing w:line="240" w:lineRule="auto"/>
        <w:ind w:firstLine="0"/>
      </w:pPr>
      <w:r>
        <w:rPr>
          <w:rStyle w:val="FootnoteReference"/>
        </w:rPr>
        <w:footnoteRef/>
      </w:r>
      <w:r>
        <w:t xml:space="preserve"> </w:t>
      </w:r>
      <w:r>
        <w:tab/>
        <w:t xml:space="preserve">Mr. Saunders also calculated potential usage for lighting for eight rooms in the Service Address of 65 </w:t>
      </w:r>
      <w:proofErr w:type="spellStart"/>
      <w:r>
        <w:t>KwH</w:t>
      </w:r>
      <w:proofErr w:type="spellEnd"/>
      <w:r>
        <w:t xml:space="preserve"> which is also included in the total potential usage.  PECO </w:t>
      </w:r>
      <w:proofErr w:type="spellStart"/>
      <w:r>
        <w:t>Exh</w:t>
      </w:r>
      <w:proofErr w:type="spellEnd"/>
      <w:r>
        <w:t xml:space="preserve">. 3.  </w:t>
      </w:r>
    </w:p>
  </w:footnote>
  <w:footnote w:id="4">
    <w:p w14:paraId="445441BF" w14:textId="081977AB" w:rsidR="0036530D" w:rsidRDefault="0036530D">
      <w:pPr>
        <w:pStyle w:val="FootnoteText"/>
        <w:spacing w:line="240" w:lineRule="auto"/>
      </w:pPr>
      <w:r>
        <w:rPr>
          <w:rStyle w:val="FootnoteReference"/>
        </w:rPr>
        <w:footnoteRef/>
      </w:r>
      <w:r>
        <w:t xml:space="preserve"> </w:t>
      </w:r>
      <w:r>
        <w:tab/>
        <w:t>A multiplier is a safety feature for commercial customers’ meters.  Due to the amount of power used by commercial customers, it would be unsafe to have instruments inside the meter reading usage.  Instead, the system uses instrument outside the meter called external current and potential transformers.  These devices change the amount of energy, the voltage levels</w:t>
      </w:r>
      <w:r w:rsidR="007F6AC0">
        <w:t xml:space="preserve">, by known ratios or constants, to levels that could be safely measured by the meter.  Tr. 75-76.  </w:t>
      </w:r>
    </w:p>
    <w:p w14:paraId="5410A081" w14:textId="77777777" w:rsidR="009133A1" w:rsidRDefault="009133A1" w:rsidP="009133A1">
      <w:pPr>
        <w:pStyle w:val="FootnoteText"/>
        <w:spacing w:line="240" w:lineRule="auto"/>
      </w:pPr>
    </w:p>
  </w:footnote>
  <w:footnote w:id="5">
    <w:p w14:paraId="5D216E04" w14:textId="77777777" w:rsidR="00914699" w:rsidRDefault="00914699" w:rsidP="009133A1">
      <w:pPr>
        <w:pStyle w:val="FootnoteText"/>
        <w:spacing w:line="240" w:lineRule="auto"/>
      </w:pPr>
      <w:r>
        <w:rPr>
          <w:rStyle w:val="FootnoteReference"/>
        </w:rPr>
        <w:footnoteRef/>
      </w:r>
      <w:r>
        <w:t xml:space="preserve"> </w:t>
      </w:r>
      <w:r>
        <w:tab/>
        <w:t xml:space="preserve">Degree Day – A unit measuring the extent to which the outdoor mean (average of maximum and minimum) daily dry-bulb temperature falls below (in the case of heating) or rises above (in the case of cooling) an assumed base.  The base is normally taken as 65°F for heating and for cooling unless otherwise designated.  One degree-day is counted for each degree of deficiency below (for heating) or excess over (for cooling) the assumed base, for each calendar day on which such deficiency or excess occurs.  James H. Cawley and Norman Kennard, </w:t>
      </w:r>
      <w:r>
        <w:rPr>
          <w:i/>
        </w:rPr>
        <w:t>Rate Case Handbook, A Guide to Utility Ratemaking before the Pennsylvania Public Utility Commission</w:t>
      </w:r>
      <w:r>
        <w:t>, Glossary of Terms, Appendix Q (Pa. PUC 1983).</w:t>
      </w:r>
    </w:p>
    <w:p w14:paraId="1CD8DD80" w14:textId="66867760" w:rsidR="00914699" w:rsidRDefault="00914699" w:rsidP="001965D5">
      <w:pPr>
        <w:pStyle w:val="FootnoteText"/>
      </w:pPr>
    </w:p>
  </w:footnote>
  <w:footnote w:id="6">
    <w:p w14:paraId="6C1A697B" w14:textId="1446E337" w:rsidR="00C017B7" w:rsidRDefault="00C017B7" w:rsidP="002C5D70">
      <w:pPr>
        <w:pStyle w:val="FootnoteText"/>
        <w:spacing w:line="240" w:lineRule="auto"/>
        <w:ind w:firstLine="0"/>
      </w:pPr>
      <w:r>
        <w:rPr>
          <w:rStyle w:val="FootnoteReference"/>
        </w:rPr>
        <w:footnoteRef/>
      </w:r>
      <w:r>
        <w:t xml:space="preserve"> </w:t>
      </w:r>
      <w:r>
        <w:tab/>
      </w:r>
      <w:r w:rsidRPr="00C017B7">
        <w:t>No watthour meter which has an error in registration of more than 2.0% at light load or heavy load may be placed in service or allowed to remain in service without adjustment.  If, upon installation, periodic or other tests, a watthour meter is found to exceed these limits, it shall be adjusted or removed from service.  52 Pa.Code § 57.20.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894EE875"/>
    <w:lvl w:ilvl="0" w:tplc="FFFFFFFF">
      <w:start w:val="1"/>
      <w:numFmt w:val="decimal"/>
      <w:lvlText w:val="%1."/>
      <w:lvlJc w:val="left"/>
      <w:pPr>
        <w:tabs>
          <w:tab w:val="left" w:pos="720"/>
          <w:tab w:val="left" w:pos="1440"/>
          <w:tab w:val="num" w:pos="2160"/>
          <w:tab w:val="left" w:pos="2880"/>
          <w:tab w:val="left" w:pos="3600"/>
          <w:tab w:val="left" w:pos="4320"/>
          <w:tab w:val="left" w:pos="5040"/>
          <w:tab w:val="left" w:pos="5760"/>
          <w:tab w:val="left" w:pos="6480"/>
        </w:tabs>
        <w:ind w:left="720" w:firstLine="72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left" w:pos="720"/>
          <w:tab w:val="left" w:pos="1440"/>
          <w:tab w:val="num" w:pos="2160"/>
          <w:tab w:val="left" w:pos="2880"/>
          <w:tab w:val="left" w:pos="3600"/>
          <w:tab w:val="left" w:pos="4320"/>
          <w:tab w:val="left" w:pos="5040"/>
          <w:tab w:val="left" w:pos="5760"/>
          <w:tab w:val="left" w:pos="6480"/>
        </w:tabs>
        <w:ind w:left="720" w:firstLine="72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tabs>
          <w:tab w:val="left" w:pos="720"/>
          <w:tab w:val="left" w:pos="1440"/>
          <w:tab w:val="left" w:pos="2160"/>
          <w:tab w:val="num" w:pos="2880"/>
          <w:tab w:val="left" w:pos="3600"/>
          <w:tab w:val="left" w:pos="4320"/>
          <w:tab w:val="left" w:pos="5040"/>
          <w:tab w:val="left" w:pos="5760"/>
          <w:tab w:val="left" w:pos="6480"/>
        </w:tabs>
        <w:ind w:left="1440" w:firstLine="78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20"/>
          <w:tab w:val="left" w:pos="1440"/>
          <w:tab w:val="left" w:pos="2160"/>
          <w:tab w:val="left" w:pos="2880"/>
          <w:tab w:val="num" w:pos="3600"/>
          <w:tab w:val="left" w:pos="4320"/>
          <w:tab w:val="left" w:pos="5040"/>
          <w:tab w:val="left" w:pos="5760"/>
          <w:tab w:val="left" w:pos="6480"/>
        </w:tabs>
        <w:ind w:left="2160" w:firstLine="72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tabs>
          <w:tab w:val="left" w:pos="720"/>
          <w:tab w:val="left" w:pos="1440"/>
          <w:tab w:val="left" w:pos="2160"/>
          <w:tab w:val="left" w:pos="2880"/>
          <w:tab w:val="left" w:pos="3600"/>
          <w:tab w:val="num" w:pos="4320"/>
          <w:tab w:val="left" w:pos="5040"/>
          <w:tab w:val="left" w:pos="5760"/>
          <w:tab w:val="left" w:pos="6480"/>
        </w:tabs>
        <w:ind w:left="2880" w:firstLine="72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tabs>
          <w:tab w:val="left" w:pos="720"/>
          <w:tab w:val="left" w:pos="1440"/>
          <w:tab w:val="left" w:pos="2160"/>
          <w:tab w:val="left" w:pos="2880"/>
          <w:tab w:val="left" w:pos="3600"/>
          <w:tab w:val="left" w:pos="4320"/>
          <w:tab w:val="num" w:pos="5040"/>
          <w:tab w:val="left" w:pos="5760"/>
          <w:tab w:val="left" w:pos="6480"/>
        </w:tabs>
        <w:ind w:left="3600" w:firstLine="78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20"/>
          <w:tab w:val="left" w:pos="1440"/>
          <w:tab w:val="left" w:pos="2160"/>
          <w:tab w:val="left" w:pos="2880"/>
          <w:tab w:val="left" w:pos="3600"/>
          <w:tab w:val="left" w:pos="4320"/>
          <w:tab w:val="left" w:pos="5040"/>
          <w:tab w:val="num" w:pos="5760"/>
          <w:tab w:val="left" w:pos="6480"/>
        </w:tabs>
        <w:ind w:left="4320" w:firstLine="72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tabs>
          <w:tab w:val="left" w:pos="720"/>
          <w:tab w:val="left" w:pos="1440"/>
          <w:tab w:val="left" w:pos="2160"/>
          <w:tab w:val="left" w:pos="2880"/>
          <w:tab w:val="left" w:pos="3600"/>
          <w:tab w:val="left" w:pos="4320"/>
          <w:tab w:val="left" w:pos="5040"/>
          <w:tab w:val="left" w:pos="5760"/>
          <w:tab w:val="num" w:pos="6480"/>
        </w:tabs>
        <w:ind w:left="5040" w:firstLine="72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num" w:pos="7200"/>
        </w:tabs>
        <w:ind w:left="5760" w:firstLine="780"/>
      </w:pPr>
      <w:rPr>
        <w:rFonts w:hAnsi="Arial Unicode MS"/>
        <w:caps w:val="0"/>
        <w:smallCaps w:val="0"/>
        <w:strike w:val="0"/>
        <w:dstrike w:val="0"/>
        <w:color w:val="000000"/>
        <w:spacing w:val="0"/>
        <w:w w:val="100"/>
        <w:kern w:val="0"/>
        <w:position w:val="0"/>
        <w:highlight w:val="none"/>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A858DE"/>
    <w:multiLevelType w:val="hybridMultilevel"/>
    <w:tmpl w:val="1C3EFD64"/>
    <w:lvl w:ilvl="0" w:tplc="AAE2267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2B1926AB"/>
    <w:multiLevelType w:val="hybridMultilevel"/>
    <w:tmpl w:val="1C3EFD64"/>
    <w:lvl w:ilvl="0" w:tplc="AAE2267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516A245F"/>
    <w:multiLevelType w:val="hybridMultilevel"/>
    <w:tmpl w:val="8C60DCF2"/>
    <w:lvl w:ilvl="0" w:tplc="147C4B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75"/>
    <w:rsid w:val="00007EEE"/>
    <w:rsid w:val="00014709"/>
    <w:rsid w:val="000178E2"/>
    <w:rsid w:val="00036038"/>
    <w:rsid w:val="00054270"/>
    <w:rsid w:val="000877FA"/>
    <w:rsid w:val="000A10EE"/>
    <w:rsid w:val="000B4160"/>
    <w:rsid w:val="000C6367"/>
    <w:rsid w:val="000C64FC"/>
    <w:rsid w:val="000C7398"/>
    <w:rsid w:val="000D3306"/>
    <w:rsid w:val="000D41F4"/>
    <w:rsid w:val="00103A82"/>
    <w:rsid w:val="001135C2"/>
    <w:rsid w:val="00121BC9"/>
    <w:rsid w:val="00125F27"/>
    <w:rsid w:val="00150AA8"/>
    <w:rsid w:val="00151135"/>
    <w:rsid w:val="00154ED2"/>
    <w:rsid w:val="001563F5"/>
    <w:rsid w:val="00195FF5"/>
    <w:rsid w:val="001965D5"/>
    <w:rsid w:val="0019675F"/>
    <w:rsid w:val="001B62DE"/>
    <w:rsid w:val="001B75EA"/>
    <w:rsid w:val="001C6FD7"/>
    <w:rsid w:val="001D7B70"/>
    <w:rsid w:val="0020462A"/>
    <w:rsid w:val="00207E77"/>
    <w:rsid w:val="00215386"/>
    <w:rsid w:val="002574AC"/>
    <w:rsid w:val="0026102D"/>
    <w:rsid w:val="00276A76"/>
    <w:rsid w:val="00297745"/>
    <w:rsid w:val="002A44FB"/>
    <w:rsid w:val="002B3F2B"/>
    <w:rsid w:val="002C2259"/>
    <w:rsid w:val="002C5D70"/>
    <w:rsid w:val="002C7D1C"/>
    <w:rsid w:val="002D3AB4"/>
    <w:rsid w:val="002E0B7B"/>
    <w:rsid w:val="002E362B"/>
    <w:rsid w:val="002F5376"/>
    <w:rsid w:val="002F6B84"/>
    <w:rsid w:val="0030672C"/>
    <w:rsid w:val="003266C1"/>
    <w:rsid w:val="00333152"/>
    <w:rsid w:val="00337475"/>
    <w:rsid w:val="00337647"/>
    <w:rsid w:val="0034277D"/>
    <w:rsid w:val="0035536E"/>
    <w:rsid w:val="00360FE3"/>
    <w:rsid w:val="00362081"/>
    <w:rsid w:val="0036530D"/>
    <w:rsid w:val="00376BD9"/>
    <w:rsid w:val="0038021B"/>
    <w:rsid w:val="00397C0E"/>
    <w:rsid w:val="003B6687"/>
    <w:rsid w:val="003B7F16"/>
    <w:rsid w:val="003D72C0"/>
    <w:rsid w:val="003F0A12"/>
    <w:rsid w:val="003F1A19"/>
    <w:rsid w:val="003F5601"/>
    <w:rsid w:val="00400472"/>
    <w:rsid w:val="00400C8C"/>
    <w:rsid w:val="00423493"/>
    <w:rsid w:val="004273A7"/>
    <w:rsid w:val="00443C9B"/>
    <w:rsid w:val="00477F68"/>
    <w:rsid w:val="00481A5E"/>
    <w:rsid w:val="00486910"/>
    <w:rsid w:val="00490621"/>
    <w:rsid w:val="00492B01"/>
    <w:rsid w:val="00494479"/>
    <w:rsid w:val="004A199C"/>
    <w:rsid w:val="004A1EEF"/>
    <w:rsid w:val="004A2ABE"/>
    <w:rsid w:val="004A4BC6"/>
    <w:rsid w:val="004B35C0"/>
    <w:rsid w:val="004C2667"/>
    <w:rsid w:val="004C54E1"/>
    <w:rsid w:val="004C6862"/>
    <w:rsid w:val="004D21D2"/>
    <w:rsid w:val="004E3D30"/>
    <w:rsid w:val="004E7BAF"/>
    <w:rsid w:val="004F28AE"/>
    <w:rsid w:val="004F29B1"/>
    <w:rsid w:val="00504B85"/>
    <w:rsid w:val="00513A75"/>
    <w:rsid w:val="005206D6"/>
    <w:rsid w:val="00534FB2"/>
    <w:rsid w:val="00551BC8"/>
    <w:rsid w:val="00553B98"/>
    <w:rsid w:val="0055413A"/>
    <w:rsid w:val="00563C52"/>
    <w:rsid w:val="00565E3D"/>
    <w:rsid w:val="00576408"/>
    <w:rsid w:val="00580FE6"/>
    <w:rsid w:val="00590057"/>
    <w:rsid w:val="00594599"/>
    <w:rsid w:val="005A0C54"/>
    <w:rsid w:val="005A1A1C"/>
    <w:rsid w:val="005A4FB0"/>
    <w:rsid w:val="005A6B4B"/>
    <w:rsid w:val="005B25A1"/>
    <w:rsid w:val="005D764C"/>
    <w:rsid w:val="005E0F5B"/>
    <w:rsid w:val="005F3F75"/>
    <w:rsid w:val="00602738"/>
    <w:rsid w:val="00602A2F"/>
    <w:rsid w:val="006034F2"/>
    <w:rsid w:val="0061709D"/>
    <w:rsid w:val="006343B0"/>
    <w:rsid w:val="006409F9"/>
    <w:rsid w:val="006830F5"/>
    <w:rsid w:val="006A0C18"/>
    <w:rsid w:val="006B4615"/>
    <w:rsid w:val="006B6403"/>
    <w:rsid w:val="006C4033"/>
    <w:rsid w:val="006C4BE1"/>
    <w:rsid w:val="006E09C2"/>
    <w:rsid w:val="006E302F"/>
    <w:rsid w:val="006F456D"/>
    <w:rsid w:val="006F7399"/>
    <w:rsid w:val="00703AC8"/>
    <w:rsid w:val="0070506F"/>
    <w:rsid w:val="007261AD"/>
    <w:rsid w:val="007364A4"/>
    <w:rsid w:val="007463E0"/>
    <w:rsid w:val="0076170A"/>
    <w:rsid w:val="00765A80"/>
    <w:rsid w:val="0077030E"/>
    <w:rsid w:val="00783D0A"/>
    <w:rsid w:val="007B27E2"/>
    <w:rsid w:val="007B7DC0"/>
    <w:rsid w:val="007C0009"/>
    <w:rsid w:val="007C4F6F"/>
    <w:rsid w:val="007D5C32"/>
    <w:rsid w:val="007E0D58"/>
    <w:rsid w:val="007E0E8A"/>
    <w:rsid w:val="007F3DE7"/>
    <w:rsid w:val="007F6AC0"/>
    <w:rsid w:val="007F7B70"/>
    <w:rsid w:val="008036D4"/>
    <w:rsid w:val="008064AD"/>
    <w:rsid w:val="008132FC"/>
    <w:rsid w:val="008243BB"/>
    <w:rsid w:val="008433A3"/>
    <w:rsid w:val="0084690C"/>
    <w:rsid w:val="008512EF"/>
    <w:rsid w:val="0085298E"/>
    <w:rsid w:val="00857161"/>
    <w:rsid w:val="00857A04"/>
    <w:rsid w:val="00860E0B"/>
    <w:rsid w:val="00874E17"/>
    <w:rsid w:val="008832BB"/>
    <w:rsid w:val="00895E07"/>
    <w:rsid w:val="00897A62"/>
    <w:rsid w:val="008A0D54"/>
    <w:rsid w:val="008A0DC2"/>
    <w:rsid w:val="008A47D3"/>
    <w:rsid w:val="008A7DBF"/>
    <w:rsid w:val="008B3D51"/>
    <w:rsid w:val="008D068D"/>
    <w:rsid w:val="008D252C"/>
    <w:rsid w:val="008D32E8"/>
    <w:rsid w:val="008E615C"/>
    <w:rsid w:val="008F0B43"/>
    <w:rsid w:val="008F6002"/>
    <w:rsid w:val="00903D69"/>
    <w:rsid w:val="00907A41"/>
    <w:rsid w:val="009133A1"/>
    <w:rsid w:val="00914127"/>
    <w:rsid w:val="00914699"/>
    <w:rsid w:val="00931D2E"/>
    <w:rsid w:val="0093784E"/>
    <w:rsid w:val="009524AC"/>
    <w:rsid w:val="00966D3F"/>
    <w:rsid w:val="00970B7D"/>
    <w:rsid w:val="009B3FEA"/>
    <w:rsid w:val="009C66EB"/>
    <w:rsid w:val="009D5C7C"/>
    <w:rsid w:val="009E2002"/>
    <w:rsid w:val="009E3BF0"/>
    <w:rsid w:val="009F4894"/>
    <w:rsid w:val="00A01833"/>
    <w:rsid w:val="00A161B2"/>
    <w:rsid w:val="00A16A1F"/>
    <w:rsid w:val="00A279C6"/>
    <w:rsid w:val="00A3078E"/>
    <w:rsid w:val="00A3182D"/>
    <w:rsid w:val="00A31A6E"/>
    <w:rsid w:val="00A37B75"/>
    <w:rsid w:val="00A6421E"/>
    <w:rsid w:val="00A73450"/>
    <w:rsid w:val="00AA4162"/>
    <w:rsid w:val="00AA4B2C"/>
    <w:rsid w:val="00AB30F3"/>
    <w:rsid w:val="00AB7FCD"/>
    <w:rsid w:val="00B00FA9"/>
    <w:rsid w:val="00B02E22"/>
    <w:rsid w:val="00B05DA6"/>
    <w:rsid w:val="00B133C8"/>
    <w:rsid w:val="00B25102"/>
    <w:rsid w:val="00B3508D"/>
    <w:rsid w:val="00B40C84"/>
    <w:rsid w:val="00B63BFF"/>
    <w:rsid w:val="00B73399"/>
    <w:rsid w:val="00B973A3"/>
    <w:rsid w:val="00BA0FAE"/>
    <w:rsid w:val="00BA2E8A"/>
    <w:rsid w:val="00BB305A"/>
    <w:rsid w:val="00BC4FA0"/>
    <w:rsid w:val="00BD5E40"/>
    <w:rsid w:val="00BE05DC"/>
    <w:rsid w:val="00BE1ABE"/>
    <w:rsid w:val="00BE4E85"/>
    <w:rsid w:val="00BF1AC4"/>
    <w:rsid w:val="00C0098C"/>
    <w:rsid w:val="00C017B7"/>
    <w:rsid w:val="00C06223"/>
    <w:rsid w:val="00C14804"/>
    <w:rsid w:val="00C148B2"/>
    <w:rsid w:val="00C36A86"/>
    <w:rsid w:val="00C43ADD"/>
    <w:rsid w:val="00C52842"/>
    <w:rsid w:val="00C56DFF"/>
    <w:rsid w:val="00C72EBF"/>
    <w:rsid w:val="00C776BC"/>
    <w:rsid w:val="00C83131"/>
    <w:rsid w:val="00C958EC"/>
    <w:rsid w:val="00CA4BFA"/>
    <w:rsid w:val="00CA75FE"/>
    <w:rsid w:val="00CB5410"/>
    <w:rsid w:val="00CC5B5F"/>
    <w:rsid w:val="00CE1084"/>
    <w:rsid w:val="00CE1FE4"/>
    <w:rsid w:val="00CE4191"/>
    <w:rsid w:val="00CE47A7"/>
    <w:rsid w:val="00CE775B"/>
    <w:rsid w:val="00CF0F46"/>
    <w:rsid w:val="00CF69FB"/>
    <w:rsid w:val="00D0425A"/>
    <w:rsid w:val="00D04CC9"/>
    <w:rsid w:val="00D10BD3"/>
    <w:rsid w:val="00D111C4"/>
    <w:rsid w:val="00D16377"/>
    <w:rsid w:val="00D20904"/>
    <w:rsid w:val="00D53059"/>
    <w:rsid w:val="00D67236"/>
    <w:rsid w:val="00D67D0E"/>
    <w:rsid w:val="00D730B1"/>
    <w:rsid w:val="00DA4E74"/>
    <w:rsid w:val="00DE739C"/>
    <w:rsid w:val="00DE75AF"/>
    <w:rsid w:val="00DF0BBE"/>
    <w:rsid w:val="00DF1728"/>
    <w:rsid w:val="00E05EAC"/>
    <w:rsid w:val="00E17538"/>
    <w:rsid w:val="00E32B3B"/>
    <w:rsid w:val="00E44E82"/>
    <w:rsid w:val="00E663F0"/>
    <w:rsid w:val="00E70DEA"/>
    <w:rsid w:val="00E73223"/>
    <w:rsid w:val="00E850C0"/>
    <w:rsid w:val="00E91F27"/>
    <w:rsid w:val="00ED0AA4"/>
    <w:rsid w:val="00ED4DFE"/>
    <w:rsid w:val="00EF1A68"/>
    <w:rsid w:val="00EF6D1E"/>
    <w:rsid w:val="00F01E46"/>
    <w:rsid w:val="00F02984"/>
    <w:rsid w:val="00F166D6"/>
    <w:rsid w:val="00F16855"/>
    <w:rsid w:val="00F178D1"/>
    <w:rsid w:val="00F44976"/>
    <w:rsid w:val="00F477AB"/>
    <w:rsid w:val="00F52723"/>
    <w:rsid w:val="00F536A8"/>
    <w:rsid w:val="00F5391B"/>
    <w:rsid w:val="00F64FBE"/>
    <w:rsid w:val="00F72298"/>
    <w:rsid w:val="00F72579"/>
    <w:rsid w:val="00F74E01"/>
    <w:rsid w:val="00F863C3"/>
    <w:rsid w:val="00F86C29"/>
    <w:rsid w:val="00FA70AB"/>
    <w:rsid w:val="00FB1F42"/>
    <w:rsid w:val="00FD0E0D"/>
    <w:rsid w:val="00FD3FE4"/>
    <w:rsid w:val="00FE648C"/>
    <w:rsid w:val="00FF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965D5"/>
    <w:pPr>
      <w:spacing w:after="0" w:line="360" w:lineRule="auto"/>
      <w:ind w:firstLine="144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37B75"/>
    <w:pPr>
      <w:spacing w:after="0" w:line="240" w:lineRule="auto"/>
    </w:pPr>
    <w:rPr>
      <w:rFonts w:ascii="Times New Roman" w:eastAsia="Times New Roman" w:hAnsi="Times New Roman" w:cs="Times New Roman"/>
      <w:color w:val="000000"/>
      <w:sz w:val="24"/>
      <w:szCs w:val="24"/>
      <w:u w:color="000000"/>
    </w:rPr>
  </w:style>
  <w:style w:type="paragraph" w:styleId="ListParagraph">
    <w:name w:val="List Paragraph"/>
    <w:autoRedefine/>
    <w:qFormat/>
    <w:rsid w:val="00BE4E85"/>
    <w:pPr>
      <w:tabs>
        <w:tab w:val="num" w:pos="360"/>
        <w:tab w:val="left" w:pos="720"/>
      </w:tabs>
      <w:spacing w:after="0" w:line="360" w:lineRule="auto"/>
      <w:ind w:left="1440"/>
    </w:pPr>
    <w:rPr>
      <w:rFonts w:ascii="Times New Roman" w:eastAsia="Arial Unicode MS" w:hAnsi="Times New Roman" w:cs="Arial Unicode MS"/>
      <w:color w:val="000000"/>
      <w:sz w:val="24"/>
      <w:szCs w:val="24"/>
      <w:u w:color="000000"/>
    </w:rPr>
  </w:style>
  <w:style w:type="paragraph" w:customStyle="1" w:styleId="Body">
    <w:name w:val="Body"/>
    <w:rsid w:val="00A37B75"/>
    <w:pPr>
      <w:spacing w:after="0" w:line="240" w:lineRule="auto"/>
    </w:pPr>
    <w:rPr>
      <w:rFonts w:ascii="Times New Roman" w:eastAsia="Arial Unicode MS" w:hAnsi="Times New Roman" w:cs="Arial Unicode MS"/>
      <w:color w:val="000000"/>
      <w:sz w:val="24"/>
      <w:szCs w:val="24"/>
      <w:u w:color="000000"/>
    </w:rPr>
  </w:style>
  <w:style w:type="paragraph" w:customStyle="1" w:styleId="TxBrc2">
    <w:name w:val="TxBr_c2"/>
    <w:rsid w:val="00A37B75"/>
    <w:pPr>
      <w:widowControl w:val="0"/>
      <w:spacing w:after="0" w:line="240" w:lineRule="atLeast"/>
      <w:jc w:val="center"/>
    </w:pPr>
    <w:rPr>
      <w:rFonts w:ascii="Times New Roman" w:eastAsia="Arial Unicode MS" w:hAnsi="Times New Roman" w:cs="Arial Unicode MS"/>
      <w:color w:val="000000"/>
      <w:sz w:val="24"/>
      <w:szCs w:val="24"/>
      <w:u w:color="000000"/>
    </w:rPr>
  </w:style>
  <w:style w:type="paragraph" w:customStyle="1" w:styleId="ParaTab1">
    <w:name w:val="ParaTab 1"/>
    <w:rsid w:val="00A37B75"/>
    <w:pPr>
      <w:suppressAutoHyphens/>
      <w:spacing w:after="0" w:line="240" w:lineRule="auto"/>
      <w:ind w:firstLine="1440"/>
    </w:pPr>
    <w:rPr>
      <w:rFonts w:ascii="Times New Roman" w:eastAsia="Times New Roman" w:hAnsi="Times New Roman" w:cs="Times New Roman"/>
      <w:color w:val="000000"/>
      <w:sz w:val="24"/>
      <w:szCs w:val="24"/>
      <w:u w:color="000000"/>
    </w:rPr>
  </w:style>
  <w:style w:type="paragraph" w:customStyle="1" w:styleId="FootnoteText1">
    <w:name w:val="Footnote Text1"/>
    <w:rsid w:val="00A37B75"/>
    <w:pPr>
      <w:spacing w:after="0" w:line="240" w:lineRule="auto"/>
    </w:pPr>
    <w:rPr>
      <w:rFonts w:ascii="Times New Roman" w:eastAsia="Times New Roman" w:hAnsi="Times New Roman" w:cs="Times New Roman"/>
      <w:color w:val="000000"/>
      <w:sz w:val="24"/>
      <w:szCs w:val="24"/>
      <w:u w:color="000000"/>
    </w:rPr>
  </w:style>
  <w:style w:type="paragraph" w:customStyle="1" w:styleId="BodyText1">
    <w:name w:val="Body Text1"/>
    <w:rsid w:val="00A37B75"/>
    <w:pPr>
      <w:widowControl w:val="0"/>
      <w:suppressAutoHyphens/>
      <w:spacing w:after="0" w:line="240" w:lineRule="auto"/>
      <w:jc w:val="both"/>
    </w:pPr>
    <w:rPr>
      <w:rFonts w:ascii="Courier" w:eastAsia="Courier" w:hAnsi="Courier" w:cs="Courier"/>
      <w:color w:val="000000"/>
      <w:spacing w:val="-3"/>
      <w:sz w:val="24"/>
      <w:szCs w:val="24"/>
      <w:u w:color="000000"/>
    </w:rPr>
  </w:style>
  <w:style w:type="paragraph" w:styleId="BalloonText">
    <w:name w:val="Balloon Text"/>
    <w:basedOn w:val="Normal"/>
    <w:link w:val="BalloonTextChar"/>
    <w:uiPriority w:val="99"/>
    <w:semiHidden/>
    <w:unhideWhenUsed/>
    <w:rsid w:val="00A37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B75"/>
    <w:rPr>
      <w:rFonts w:ascii="Segoe UI" w:eastAsia="Times New Roman" w:hAnsi="Segoe UI" w:cs="Segoe UI"/>
      <w:sz w:val="18"/>
      <w:szCs w:val="18"/>
    </w:rPr>
  </w:style>
  <w:style w:type="paragraph" w:styleId="FootnoteText">
    <w:name w:val="footnote text"/>
    <w:basedOn w:val="Normal"/>
    <w:link w:val="FootnoteTextChar"/>
    <w:unhideWhenUsed/>
    <w:rsid w:val="004D21D2"/>
    <w:rPr>
      <w:sz w:val="20"/>
      <w:szCs w:val="20"/>
    </w:rPr>
  </w:style>
  <w:style w:type="character" w:customStyle="1" w:styleId="FootnoteTextChar">
    <w:name w:val="Footnote Text Char"/>
    <w:basedOn w:val="DefaultParagraphFont"/>
    <w:link w:val="FootnoteText"/>
    <w:rsid w:val="004D21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21D2"/>
    <w:rPr>
      <w:vertAlign w:val="superscript"/>
    </w:rPr>
  </w:style>
  <w:style w:type="table" w:styleId="TableGrid">
    <w:name w:val="Table Grid"/>
    <w:basedOn w:val="TableNormal"/>
    <w:uiPriority w:val="59"/>
    <w:rsid w:val="00CA4B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10EE"/>
    <w:pPr>
      <w:tabs>
        <w:tab w:val="center" w:pos="4680"/>
        <w:tab w:val="right" w:pos="9360"/>
      </w:tabs>
    </w:pPr>
  </w:style>
  <w:style w:type="character" w:customStyle="1" w:styleId="HeaderChar">
    <w:name w:val="Header Char"/>
    <w:basedOn w:val="DefaultParagraphFont"/>
    <w:link w:val="Header"/>
    <w:uiPriority w:val="99"/>
    <w:rsid w:val="000A10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10EE"/>
    <w:pPr>
      <w:tabs>
        <w:tab w:val="center" w:pos="4680"/>
        <w:tab w:val="right" w:pos="9360"/>
      </w:tabs>
    </w:pPr>
  </w:style>
  <w:style w:type="character" w:customStyle="1" w:styleId="FooterChar">
    <w:name w:val="Footer Char"/>
    <w:basedOn w:val="DefaultParagraphFont"/>
    <w:link w:val="Footer"/>
    <w:uiPriority w:val="99"/>
    <w:rsid w:val="000A10E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E0F5B"/>
    <w:rPr>
      <w:sz w:val="16"/>
      <w:szCs w:val="16"/>
    </w:rPr>
  </w:style>
  <w:style w:type="paragraph" w:styleId="CommentText">
    <w:name w:val="annotation text"/>
    <w:basedOn w:val="Normal"/>
    <w:link w:val="CommentTextChar"/>
    <w:uiPriority w:val="99"/>
    <w:semiHidden/>
    <w:unhideWhenUsed/>
    <w:rsid w:val="005E0F5B"/>
    <w:rPr>
      <w:sz w:val="20"/>
      <w:szCs w:val="20"/>
    </w:rPr>
  </w:style>
  <w:style w:type="character" w:customStyle="1" w:styleId="CommentTextChar">
    <w:name w:val="Comment Text Char"/>
    <w:basedOn w:val="DefaultParagraphFont"/>
    <w:link w:val="CommentText"/>
    <w:uiPriority w:val="99"/>
    <w:semiHidden/>
    <w:rsid w:val="005E0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0F5B"/>
    <w:rPr>
      <w:b/>
      <w:bCs/>
    </w:rPr>
  </w:style>
  <w:style w:type="character" w:customStyle="1" w:styleId="CommentSubjectChar">
    <w:name w:val="Comment Subject Char"/>
    <w:basedOn w:val="CommentTextChar"/>
    <w:link w:val="CommentSubject"/>
    <w:uiPriority w:val="99"/>
    <w:semiHidden/>
    <w:rsid w:val="005E0F5B"/>
    <w:rPr>
      <w:rFonts w:ascii="Times New Roman" w:eastAsia="Times New Roman" w:hAnsi="Times New Roman" w:cs="Times New Roman"/>
      <w:b/>
      <w:bCs/>
      <w:sz w:val="20"/>
      <w:szCs w:val="20"/>
    </w:rPr>
  </w:style>
  <w:style w:type="paragraph" w:styleId="Revision">
    <w:name w:val="Revision"/>
    <w:hidden/>
    <w:uiPriority w:val="99"/>
    <w:semiHidden/>
    <w:rsid w:val="00B05D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9998">
      <w:bodyDiv w:val="1"/>
      <w:marLeft w:val="0"/>
      <w:marRight w:val="0"/>
      <w:marTop w:val="0"/>
      <w:marBottom w:val="0"/>
      <w:divBdr>
        <w:top w:val="none" w:sz="0" w:space="0" w:color="auto"/>
        <w:left w:val="none" w:sz="0" w:space="0" w:color="auto"/>
        <w:bottom w:val="none" w:sz="0" w:space="0" w:color="auto"/>
        <w:right w:val="none" w:sz="0" w:space="0" w:color="auto"/>
      </w:divBdr>
    </w:div>
    <w:div w:id="767892412">
      <w:bodyDiv w:val="1"/>
      <w:marLeft w:val="0"/>
      <w:marRight w:val="0"/>
      <w:marTop w:val="0"/>
      <w:marBottom w:val="0"/>
      <w:divBdr>
        <w:top w:val="none" w:sz="0" w:space="0" w:color="auto"/>
        <w:left w:val="none" w:sz="0" w:space="0" w:color="auto"/>
        <w:bottom w:val="none" w:sz="0" w:space="0" w:color="auto"/>
        <w:right w:val="none" w:sz="0" w:space="0" w:color="auto"/>
      </w:divBdr>
    </w:div>
    <w:div w:id="1037511765">
      <w:bodyDiv w:val="1"/>
      <w:marLeft w:val="0"/>
      <w:marRight w:val="0"/>
      <w:marTop w:val="0"/>
      <w:marBottom w:val="0"/>
      <w:divBdr>
        <w:top w:val="none" w:sz="0" w:space="0" w:color="auto"/>
        <w:left w:val="none" w:sz="0" w:space="0" w:color="auto"/>
        <w:bottom w:val="none" w:sz="0" w:space="0" w:color="auto"/>
        <w:right w:val="none" w:sz="0" w:space="0" w:color="auto"/>
      </w:divBdr>
    </w:div>
    <w:div w:id="1520121947">
      <w:bodyDiv w:val="1"/>
      <w:marLeft w:val="0"/>
      <w:marRight w:val="0"/>
      <w:marTop w:val="0"/>
      <w:marBottom w:val="0"/>
      <w:divBdr>
        <w:top w:val="none" w:sz="0" w:space="0" w:color="auto"/>
        <w:left w:val="none" w:sz="0" w:space="0" w:color="auto"/>
        <w:bottom w:val="none" w:sz="0" w:space="0" w:color="auto"/>
        <w:right w:val="none" w:sz="0" w:space="0" w:color="auto"/>
      </w:divBdr>
    </w:div>
    <w:div w:id="1602882487">
      <w:bodyDiv w:val="1"/>
      <w:marLeft w:val="0"/>
      <w:marRight w:val="0"/>
      <w:marTop w:val="0"/>
      <w:marBottom w:val="0"/>
      <w:divBdr>
        <w:top w:val="none" w:sz="0" w:space="0" w:color="auto"/>
        <w:left w:val="none" w:sz="0" w:space="0" w:color="auto"/>
        <w:bottom w:val="none" w:sz="0" w:space="0" w:color="auto"/>
        <w:right w:val="none" w:sz="0" w:space="0" w:color="auto"/>
      </w:divBdr>
    </w:div>
    <w:div w:id="16924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6FCD-DF35-4C6F-B056-905C3877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2020-03-04T18:01:00Z</dcterms:created>
  <dcterms:modified xsi:type="dcterms:W3CDTF">2020-03-04T18:01:00Z</dcterms:modified>
</cp:coreProperties>
</file>