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45D3D" w14:textId="77777777" w:rsidR="00456181" w:rsidRDefault="00456181" w:rsidP="00C22EA2">
      <w:pPr>
        <w:pStyle w:val="Title"/>
        <w:tabs>
          <w:tab w:val="clear" w:pos="360"/>
          <w:tab w:val="left" w:pos="0"/>
        </w:tabs>
        <w:spacing w:line="240" w:lineRule="auto"/>
      </w:pPr>
      <w:r>
        <w:t>BEFORE THE</w:t>
      </w:r>
    </w:p>
    <w:p w14:paraId="6419D276" w14:textId="77777777" w:rsidR="00456181" w:rsidRDefault="00456181" w:rsidP="00C22EA2">
      <w:pPr>
        <w:spacing w:line="240" w:lineRule="auto"/>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14:paraId="4DABE8E2" w14:textId="77777777" w:rsidR="00456181" w:rsidRDefault="00456181" w:rsidP="00C22EA2">
      <w:pPr>
        <w:spacing w:line="240" w:lineRule="auto"/>
        <w:jc w:val="both"/>
        <w:rPr>
          <w:b/>
        </w:rPr>
      </w:pPr>
    </w:p>
    <w:p w14:paraId="57121525" w14:textId="77777777" w:rsidR="00456181" w:rsidRDefault="00456181" w:rsidP="00C22EA2">
      <w:pPr>
        <w:spacing w:line="240" w:lineRule="auto"/>
        <w:jc w:val="both"/>
        <w:rPr>
          <w:b/>
        </w:rPr>
      </w:pPr>
    </w:p>
    <w:p w14:paraId="6BC20D9F" w14:textId="77777777" w:rsidR="00456181" w:rsidRDefault="00456181" w:rsidP="00C22EA2">
      <w:pPr>
        <w:spacing w:line="240" w:lineRule="auto"/>
        <w:jc w:val="both"/>
        <w:rPr>
          <w:b/>
        </w:rPr>
      </w:pPr>
    </w:p>
    <w:p w14:paraId="0E917D28" w14:textId="77777777" w:rsidR="00456181" w:rsidRDefault="00456181" w:rsidP="00C22EA2">
      <w:pPr>
        <w:spacing w:line="240" w:lineRule="auto"/>
        <w:jc w:val="both"/>
        <w:rPr>
          <w:b/>
        </w:rPr>
      </w:pPr>
      <w:r>
        <w:t>Deborah A. Redman</w:t>
      </w:r>
      <w:r>
        <w:tab/>
      </w:r>
      <w:r>
        <w:tab/>
      </w:r>
      <w:r>
        <w:tab/>
      </w:r>
      <w:r>
        <w:tab/>
      </w:r>
      <w:r>
        <w:tab/>
      </w:r>
      <w:r w:rsidRPr="00560DC5">
        <w:t>:</w:t>
      </w:r>
    </w:p>
    <w:p w14:paraId="7E7B2CB0" w14:textId="77777777" w:rsidR="00456181" w:rsidRPr="00560DC5" w:rsidRDefault="00456181" w:rsidP="00C22EA2">
      <w:pPr>
        <w:spacing w:line="240" w:lineRule="auto"/>
        <w:jc w:val="both"/>
      </w:pPr>
      <w:r>
        <w:rPr>
          <w:b/>
        </w:rPr>
        <w:tab/>
      </w:r>
      <w:r>
        <w:rPr>
          <w:b/>
        </w:rPr>
        <w:tab/>
      </w:r>
      <w:r>
        <w:rPr>
          <w:b/>
        </w:rPr>
        <w:tab/>
      </w:r>
      <w:r>
        <w:rPr>
          <w:b/>
        </w:rPr>
        <w:tab/>
      </w:r>
      <w:r>
        <w:rPr>
          <w:b/>
        </w:rPr>
        <w:tab/>
      </w:r>
      <w:r>
        <w:rPr>
          <w:b/>
        </w:rPr>
        <w:tab/>
      </w:r>
      <w:r>
        <w:rPr>
          <w:b/>
        </w:rPr>
        <w:tab/>
      </w:r>
      <w:r w:rsidRPr="00560DC5">
        <w:t>:</w:t>
      </w:r>
    </w:p>
    <w:p w14:paraId="566E4EE0" w14:textId="77777777" w:rsidR="00456181" w:rsidRDefault="00456181" w:rsidP="00C22EA2">
      <w:pPr>
        <w:spacing w:line="240" w:lineRule="auto"/>
        <w:jc w:val="both"/>
      </w:pPr>
      <w:r>
        <w:tab/>
        <w:t>v.</w:t>
      </w:r>
      <w:r>
        <w:tab/>
      </w:r>
      <w:r>
        <w:tab/>
      </w:r>
      <w:r>
        <w:tab/>
      </w:r>
      <w:r>
        <w:tab/>
      </w:r>
      <w:r>
        <w:tab/>
      </w:r>
      <w:r>
        <w:tab/>
      </w:r>
      <w:r w:rsidRPr="00560DC5">
        <w:t>:</w:t>
      </w:r>
      <w:r>
        <w:rPr>
          <w:b/>
        </w:rPr>
        <w:tab/>
      </w:r>
      <w:r>
        <w:rPr>
          <w:b/>
        </w:rPr>
        <w:tab/>
      </w:r>
      <w:r>
        <w:t>C-2019-3013582</w:t>
      </w:r>
    </w:p>
    <w:p w14:paraId="60D4D9CA" w14:textId="77777777" w:rsidR="00456181" w:rsidRPr="00560DC5" w:rsidRDefault="00456181" w:rsidP="00C22EA2">
      <w:pPr>
        <w:spacing w:line="240" w:lineRule="auto"/>
        <w:jc w:val="both"/>
      </w:pPr>
      <w:r>
        <w:tab/>
      </w:r>
      <w:r>
        <w:tab/>
      </w:r>
      <w:r>
        <w:tab/>
      </w:r>
      <w:r>
        <w:tab/>
      </w:r>
      <w:r>
        <w:tab/>
      </w:r>
      <w:r>
        <w:tab/>
      </w:r>
      <w:r>
        <w:tab/>
      </w:r>
      <w:r w:rsidRPr="00560DC5">
        <w:t>:</w:t>
      </w:r>
    </w:p>
    <w:p w14:paraId="60B4023B" w14:textId="77777777" w:rsidR="00456181" w:rsidRDefault="00456181" w:rsidP="00C22EA2">
      <w:pPr>
        <w:spacing w:line="240" w:lineRule="auto"/>
        <w:jc w:val="both"/>
      </w:pPr>
      <w:r>
        <w:t>Pennsylvania Electric Company</w:t>
      </w:r>
      <w:r>
        <w:tab/>
      </w:r>
      <w:r>
        <w:tab/>
      </w:r>
      <w:r>
        <w:tab/>
      </w:r>
      <w:r w:rsidRPr="00560DC5">
        <w:t>:</w:t>
      </w:r>
    </w:p>
    <w:p w14:paraId="74C68831" w14:textId="77777777" w:rsidR="00456181" w:rsidRDefault="00456181" w:rsidP="00C22EA2">
      <w:pPr>
        <w:tabs>
          <w:tab w:val="left" w:pos="0"/>
        </w:tabs>
        <w:spacing w:line="240" w:lineRule="auto"/>
        <w:jc w:val="both"/>
        <w:rPr>
          <w:b/>
        </w:rPr>
      </w:pPr>
    </w:p>
    <w:p w14:paraId="7F63BC2E" w14:textId="77777777" w:rsidR="00456181" w:rsidRDefault="00456181" w:rsidP="00C22EA2">
      <w:pPr>
        <w:spacing w:line="240" w:lineRule="auto"/>
      </w:pPr>
    </w:p>
    <w:p w14:paraId="65DA7FEB" w14:textId="77777777" w:rsidR="00836057" w:rsidRDefault="00836057" w:rsidP="00C22EA2">
      <w:pPr>
        <w:spacing w:line="240" w:lineRule="auto"/>
      </w:pPr>
    </w:p>
    <w:p w14:paraId="0A6A34D0" w14:textId="77777777" w:rsidR="00836057" w:rsidRPr="00683A06" w:rsidRDefault="00836057" w:rsidP="00C22EA2">
      <w:pPr>
        <w:spacing w:line="240" w:lineRule="auto"/>
        <w:jc w:val="center"/>
        <w:rPr>
          <w:b/>
          <w:bCs/>
        </w:rPr>
      </w:pPr>
      <w:r w:rsidRPr="00683A06">
        <w:rPr>
          <w:b/>
          <w:bCs/>
        </w:rPr>
        <w:t>INTERIM ORDER</w:t>
      </w:r>
    </w:p>
    <w:p w14:paraId="2778CC42" w14:textId="77777777" w:rsidR="00836057" w:rsidRPr="00683A06" w:rsidRDefault="00836057" w:rsidP="00C22EA2">
      <w:pPr>
        <w:spacing w:line="240" w:lineRule="auto"/>
        <w:jc w:val="center"/>
        <w:rPr>
          <w:b/>
          <w:bCs/>
          <w:u w:val="single"/>
        </w:rPr>
      </w:pPr>
      <w:r w:rsidRPr="00683A06">
        <w:rPr>
          <w:b/>
          <w:bCs/>
          <w:u w:val="single"/>
        </w:rPr>
        <w:t>DENYING MOTION FOR DISQUALIFICATION</w:t>
      </w:r>
    </w:p>
    <w:p w14:paraId="6040B865" w14:textId="77777777" w:rsidR="00836057" w:rsidRDefault="00836057"/>
    <w:p w14:paraId="42D163BC" w14:textId="77777777" w:rsidR="000B396E" w:rsidRDefault="000B396E" w:rsidP="000B396E">
      <w:r>
        <w:tab/>
      </w:r>
      <w:r>
        <w:tab/>
        <w:t xml:space="preserve">On October 15, 2019, Deborah A. Redman (Complainant) filed a Formal Complaint against Pennsylvania Electric Company (Penelec) alleging a safety and reliability issue.  The Complainant referenced her “October letter and my complaints.”  Attached to her complaint is a letter dated October 9, 2019, which further references a letter dated September 16, 2019.  Specifically, the Complainant alleges that Penelec refuses to remove a wisteria which she claims, among other things, is life-threatening and a danger to the power lines.  According to the Complainant, the wisteria vines and runners on the power lines cause daily interruptions to her electricity service.  She also complains that she has been improperly billed for interrupted service and that Penelec employees have mocked her.  </w:t>
      </w:r>
    </w:p>
    <w:p w14:paraId="75EC0A3F" w14:textId="77777777" w:rsidR="00FC1A46" w:rsidRDefault="00FC1A46" w:rsidP="00FC1A46"/>
    <w:p w14:paraId="7B5202C0" w14:textId="77777777" w:rsidR="00FC1A46" w:rsidRDefault="00FC1A46" w:rsidP="00FC1A46">
      <w:r>
        <w:tab/>
      </w:r>
      <w:r>
        <w:tab/>
        <w:t>On November 6, 2019, Penelec filed an Answer and New Matter.  Penelec’s Answer denied the material allegations of the Complaint.  In New Matter, Penelec requested that the Complaint be referred to the Commission’s mediation unit.</w:t>
      </w:r>
    </w:p>
    <w:p w14:paraId="1440874C" w14:textId="77777777" w:rsidR="00FC1A46" w:rsidRDefault="00FC1A46" w:rsidP="00FC1A46"/>
    <w:p w14:paraId="0A9338B8" w14:textId="77777777" w:rsidR="00FC1A46" w:rsidRDefault="00FC1A46" w:rsidP="00FC1A46">
      <w:r>
        <w:tab/>
      </w:r>
      <w:r>
        <w:tab/>
        <w:t>On December 16, 2019, the Complainant filed a Response to Respondent’s Answer and Opposition to Respondent’s Request for Mediation and Motion for Summary Judgment.  Penelec filed a response to the Motion for Summary Judgment on January 6, 2020.  By notice dated January 16, 2020, the motion was assigned to me for disposition.</w:t>
      </w:r>
    </w:p>
    <w:p w14:paraId="4CF3909B" w14:textId="77777777" w:rsidR="00836057" w:rsidRDefault="00836057"/>
    <w:p w14:paraId="36FF7921" w14:textId="2D5ACBDB" w:rsidR="00FC1A46" w:rsidRDefault="00FC1A46">
      <w:r>
        <w:lastRenderedPageBreak/>
        <w:tab/>
      </w:r>
      <w:r>
        <w:tab/>
        <w:t>On January 30, 2020, I denied the Complainant’s motion for summary judgement.  After reviewing the Complainant’s motion and Penelec’s answer, I determined that the relevant facts were disputed and that a hearing was necessary.  I also denied the Complainant’s request to transfer the complaint to “a lay body of Meadville/Erie residents willing to hear it,”</w:t>
      </w:r>
      <w:r>
        <w:rPr>
          <w:rStyle w:val="FootnoteReference"/>
        </w:rPr>
        <w:footnoteReference w:id="1"/>
      </w:r>
      <w:r>
        <w:t xml:space="preserve"> because the Commission does not have the authority to transfer a complaint to another tribunal.</w:t>
      </w:r>
      <w:r>
        <w:rPr>
          <w:rStyle w:val="FootnoteReference"/>
        </w:rPr>
        <w:footnoteReference w:id="2"/>
      </w:r>
      <w:r>
        <w:t xml:space="preserve">  I also directed that the complaint shall be scheduled for a hearing by telephone.</w:t>
      </w:r>
    </w:p>
    <w:p w14:paraId="01D6B345" w14:textId="77777777" w:rsidR="00FC1A46" w:rsidRDefault="00FC1A46"/>
    <w:p w14:paraId="24A80E19" w14:textId="77777777" w:rsidR="00FC1A46" w:rsidRDefault="00FC1A46">
      <w:r>
        <w:tab/>
      </w:r>
      <w:r>
        <w:tab/>
        <w:t>By notice dated February 3, 2020, a telephonic hearing was scheduled to take place on March 24, 2020.  A prehearing order was also issued on February 3, 2020, which provided instructions for calling to participate in the hearing and also explained the procedures for the conduct of the hearing.</w:t>
      </w:r>
    </w:p>
    <w:p w14:paraId="5E31991E" w14:textId="77777777" w:rsidR="00FC1A46" w:rsidRDefault="00FC1A46"/>
    <w:p w14:paraId="2FCC020B" w14:textId="62DDAFAC" w:rsidR="00FC1A46" w:rsidRDefault="00FC1A46">
      <w:r>
        <w:tab/>
      </w:r>
      <w:r>
        <w:tab/>
      </w:r>
      <w:r w:rsidR="007C137B">
        <w:t>On March 3, 2020, I received Complainant’s Motion for Recusal of Administrative Law Judge.</w:t>
      </w:r>
      <w:r w:rsidR="007C137B">
        <w:rPr>
          <w:rStyle w:val="FootnoteReference"/>
        </w:rPr>
        <w:footnoteReference w:id="3"/>
      </w:r>
      <w:r w:rsidR="007C137B">
        <w:t xml:space="preserve">  The Complainant states:</w:t>
      </w:r>
      <w:r w:rsidR="006303A8">
        <w:br/>
      </w:r>
    </w:p>
    <w:p w14:paraId="40773A49" w14:textId="3CC4BF4D" w:rsidR="007C137B" w:rsidRDefault="007C137B" w:rsidP="00144450">
      <w:pPr>
        <w:spacing w:line="240" w:lineRule="auto"/>
        <w:ind w:left="1440" w:right="720"/>
      </w:pPr>
      <w:r>
        <w:t xml:space="preserve">This motion is based on the reasoning in Judge Long’s Interim Order Denying Motion for Summary Judgment (hereinafter Interim Order), dated 30 January 2020, which displays a striking bias against Dr. Redman and for Penelec, FirstEnergy, and CEO Jones that makes a mockery of the quasi-judicial process of the Pennsylvania Public Utility Commission (PUC), violates the Americans with Disability Act (ACA), and will not serve the Defendants, whose opposition to Complainant will open them up to an outpouring of wrath from the public and state and federal </w:t>
      </w:r>
      <w:r w:rsidR="00E62207">
        <w:t>offices</w:t>
      </w:r>
      <w:r>
        <w:t xml:space="preserve"> when the circumstances become public, that is, when the public learns that the ALJ and power companies’ refusal to eradicate the wisteria vines means that the sewage lines to the house remain clogged, forcing the mobility-impaired Complainant to stand and use the plunger on a daily basis in cold weather and to endure</w:t>
      </w:r>
    </w:p>
    <w:p w14:paraId="3903D7A4" w14:textId="77777777" w:rsidR="007C137B" w:rsidRDefault="007C137B" w:rsidP="00144450">
      <w:pPr>
        <w:spacing w:line="240" w:lineRule="auto"/>
        <w:ind w:left="1440" w:right="720"/>
      </w:pPr>
    </w:p>
    <w:p w14:paraId="63746F3D" w14:textId="77777777" w:rsidR="007C137B" w:rsidRDefault="007C137B" w:rsidP="00144450">
      <w:pPr>
        <w:spacing w:line="240" w:lineRule="auto"/>
        <w:ind w:left="1440" w:right="720"/>
      </w:pPr>
      <w:r>
        <w:tab/>
        <w:t>-- sewage water splashing up on her (legs, torso) and</w:t>
      </w:r>
    </w:p>
    <w:p w14:paraId="04DC6E00" w14:textId="77777777" w:rsidR="007C137B" w:rsidRDefault="007C137B" w:rsidP="00144450">
      <w:pPr>
        <w:spacing w:line="240" w:lineRule="auto"/>
        <w:ind w:left="1440" w:right="720"/>
      </w:pPr>
      <w:r>
        <w:tab/>
        <w:t>-- aerosolized sewage covering her and the bathroom.</w:t>
      </w:r>
    </w:p>
    <w:p w14:paraId="1774ACA0" w14:textId="77777777" w:rsidR="00144450" w:rsidRDefault="00144450" w:rsidP="00144450">
      <w:pPr>
        <w:spacing w:line="240" w:lineRule="auto"/>
        <w:ind w:left="1440" w:right="720"/>
      </w:pPr>
    </w:p>
    <w:p w14:paraId="720F398F" w14:textId="77777777" w:rsidR="00144450" w:rsidRDefault="00144450" w:rsidP="00144450">
      <w:r>
        <w:t>(Complainant’s Motion, pp. 1-2 (footnote omitted)).  The Complainant also provides the following additional reasons:</w:t>
      </w:r>
    </w:p>
    <w:p w14:paraId="4D200F12" w14:textId="77777777" w:rsidR="00144450" w:rsidRDefault="00144450" w:rsidP="00144450"/>
    <w:p w14:paraId="61EF0393" w14:textId="77777777" w:rsidR="00144450" w:rsidRDefault="00144450" w:rsidP="00144450">
      <w:pPr>
        <w:spacing w:line="240" w:lineRule="auto"/>
        <w:ind w:left="1440" w:right="1440"/>
      </w:pPr>
      <w:r>
        <w:t>(1) The ALJ accepts falsehoods as facts when making her decision to deny Dr. Redman’s Motion for Summary Judgement;</w:t>
      </w:r>
      <w:r>
        <w:br/>
      </w:r>
    </w:p>
    <w:p w14:paraId="2968F6AB" w14:textId="77777777" w:rsidR="00144450" w:rsidRDefault="00144450" w:rsidP="00144450">
      <w:pPr>
        <w:spacing w:line="240" w:lineRule="auto"/>
        <w:ind w:left="1440" w:right="1440"/>
      </w:pPr>
      <w:r>
        <w:t>(2)</w:t>
      </w:r>
      <w:r>
        <w:tab/>
        <w:t>The ALJ changes the Defendants without any explanation, clearly prejudicing Complainant;</w:t>
      </w:r>
      <w:r>
        <w:br/>
      </w:r>
    </w:p>
    <w:p w14:paraId="3ACBD6E9" w14:textId="3F6EBF93" w:rsidR="00144450" w:rsidRDefault="00144450" w:rsidP="00144450">
      <w:pPr>
        <w:spacing w:line="240" w:lineRule="auto"/>
        <w:ind w:left="1440" w:right="1440"/>
      </w:pPr>
      <w:r>
        <w:t xml:space="preserve">(3) </w:t>
      </w:r>
      <w:r w:rsidR="005829C0">
        <w:tab/>
      </w:r>
      <w:r>
        <w:t xml:space="preserve">The ALJ misrepresents Dr. Redman’s arguments in her Interim Order; </w:t>
      </w:r>
      <w:r>
        <w:br/>
      </w:r>
    </w:p>
    <w:p w14:paraId="39008BDA" w14:textId="16B84A50" w:rsidR="00144450" w:rsidRDefault="00144450" w:rsidP="00144450">
      <w:pPr>
        <w:spacing w:line="240" w:lineRule="auto"/>
        <w:ind w:left="1440" w:right="1440"/>
      </w:pPr>
      <w:r>
        <w:t xml:space="preserve">(4) </w:t>
      </w:r>
      <w:r w:rsidR="005829C0">
        <w:tab/>
      </w:r>
      <w:r>
        <w:t>The ALJ’s Interim Order never mentions that Dr. Redman is disabled or that the conditions caused by the Defendants endanger her life. It instead advises Dr. Redman to “withdraw” from the proceedings rather than strengthen Dr. Redman’s ability to participate, which is the spirit of the PUC law and the ADA law;</w:t>
      </w:r>
      <w:r>
        <w:br/>
      </w:r>
    </w:p>
    <w:p w14:paraId="6501F08D" w14:textId="4FAF5B2F" w:rsidR="00144450" w:rsidRDefault="00144450" w:rsidP="00144450">
      <w:pPr>
        <w:spacing w:line="240" w:lineRule="auto"/>
        <w:ind w:left="1440" w:right="1440"/>
      </w:pPr>
      <w:r>
        <w:t>(5)</w:t>
      </w:r>
      <w:r>
        <w:tab/>
        <w:t>The ALJ refuses to transfer Complainant’s case to a neutral tribunal even though there is precedent and the ADA would require it without precedent.</w:t>
      </w:r>
      <w:r w:rsidR="002109A6">
        <w:rPr>
          <w:rStyle w:val="FootnoteReference"/>
        </w:rPr>
        <w:footnoteReference w:id="4"/>
      </w:r>
    </w:p>
    <w:p w14:paraId="16764092" w14:textId="77777777" w:rsidR="00144450" w:rsidRDefault="00144450" w:rsidP="004B001B">
      <w:pPr>
        <w:ind w:left="1440" w:right="1440"/>
      </w:pPr>
    </w:p>
    <w:p w14:paraId="5197D15E" w14:textId="77777777" w:rsidR="00151739" w:rsidRDefault="00151739" w:rsidP="00144450">
      <w:pPr>
        <w:autoSpaceDE w:val="0"/>
        <w:autoSpaceDN w:val="0"/>
        <w:ind w:firstLine="1440"/>
        <w:rPr>
          <w:rFonts w:eastAsia="Times New Roman"/>
          <w:szCs w:val="24"/>
        </w:rPr>
      </w:pPr>
      <w:r>
        <w:rPr>
          <w:rFonts w:eastAsia="Times New Roman"/>
          <w:szCs w:val="24"/>
        </w:rPr>
        <w:t>The Complainant represents that she contacted counsel for Penelec, and that Penelec opposes the motion.</w:t>
      </w:r>
    </w:p>
    <w:p w14:paraId="4847E30E" w14:textId="77777777" w:rsidR="00151739" w:rsidRDefault="00151739" w:rsidP="00144450">
      <w:pPr>
        <w:autoSpaceDE w:val="0"/>
        <w:autoSpaceDN w:val="0"/>
        <w:ind w:firstLine="1440"/>
        <w:rPr>
          <w:rFonts w:eastAsia="Times New Roman"/>
          <w:szCs w:val="24"/>
        </w:rPr>
      </w:pPr>
    </w:p>
    <w:p w14:paraId="08DE7D1C" w14:textId="35BE7C89" w:rsidR="00144450" w:rsidRPr="00144450" w:rsidRDefault="00144450" w:rsidP="00144450">
      <w:pPr>
        <w:autoSpaceDE w:val="0"/>
        <w:autoSpaceDN w:val="0"/>
        <w:ind w:firstLine="1440"/>
        <w:rPr>
          <w:rFonts w:eastAsia="Times New Roman"/>
          <w:szCs w:val="24"/>
        </w:rPr>
      </w:pPr>
      <w:r w:rsidRPr="00144450">
        <w:rPr>
          <w:rFonts w:eastAsia="Times New Roman"/>
          <w:szCs w:val="24"/>
        </w:rPr>
        <w:t>The Commission’s Rules of Practice and Procedure permit parties to file a m</w:t>
      </w:r>
      <w:r w:rsidRPr="00144450">
        <w:rPr>
          <w:rFonts w:eastAsia="Times New Roman" w:cs="CG Times"/>
          <w:szCs w:val="24"/>
        </w:rPr>
        <w:t xml:space="preserve">otion for disqualification of a presiding officer, pursuant to 52 Pa.Code </w:t>
      </w:r>
      <w:r w:rsidRPr="00144450">
        <w:rPr>
          <w:rFonts w:eastAsia="Times New Roman" w:cs="CG Times"/>
          <w:bCs/>
          <w:szCs w:val="24"/>
        </w:rPr>
        <w:t>§ 5.482, which states as follows</w:t>
      </w:r>
      <w:r w:rsidRPr="00144450">
        <w:rPr>
          <w:rFonts w:eastAsia="Times New Roman" w:cs="CG Times"/>
          <w:szCs w:val="24"/>
        </w:rPr>
        <w:t>:</w:t>
      </w:r>
    </w:p>
    <w:p w14:paraId="5A7259A9" w14:textId="77777777" w:rsidR="00144450" w:rsidRPr="00144450" w:rsidRDefault="00144450" w:rsidP="00144450">
      <w:pPr>
        <w:autoSpaceDE w:val="0"/>
        <w:autoSpaceDN w:val="0"/>
        <w:spacing w:line="240" w:lineRule="auto"/>
        <w:rPr>
          <w:rFonts w:eastAsia="Times New Roman" w:cs="CG Times"/>
          <w:szCs w:val="24"/>
        </w:rPr>
      </w:pPr>
    </w:p>
    <w:p w14:paraId="6FE694F7" w14:textId="77777777" w:rsidR="00144450" w:rsidRPr="00144450" w:rsidRDefault="00144450" w:rsidP="00144450">
      <w:pPr>
        <w:autoSpaceDE w:val="0"/>
        <w:autoSpaceDN w:val="0"/>
        <w:spacing w:line="240" w:lineRule="auto"/>
        <w:ind w:left="720" w:hanging="720"/>
        <w:rPr>
          <w:rFonts w:eastAsia="Times New Roman" w:cs="CG Times"/>
          <w:b/>
          <w:bCs/>
          <w:szCs w:val="24"/>
        </w:rPr>
      </w:pPr>
      <w:r w:rsidRPr="00144450">
        <w:rPr>
          <w:rFonts w:eastAsia="Times New Roman" w:cs="CG Times"/>
          <w:b/>
          <w:bCs/>
          <w:szCs w:val="24"/>
        </w:rPr>
        <w:tab/>
      </w:r>
      <w:r w:rsidRPr="00144450">
        <w:rPr>
          <w:rFonts w:eastAsia="Times New Roman" w:cs="CG Times"/>
          <w:b/>
          <w:bCs/>
          <w:szCs w:val="24"/>
        </w:rPr>
        <w:tab/>
        <w:t>§ 5.482. Disqualification of a presiding officer.</w:t>
      </w:r>
      <w:r>
        <w:rPr>
          <w:rFonts w:eastAsia="Times New Roman" w:cs="CG Times"/>
          <w:b/>
          <w:bCs/>
          <w:szCs w:val="24"/>
        </w:rPr>
        <w:br/>
      </w:r>
    </w:p>
    <w:p w14:paraId="7BEDA922" w14:textId="77777777" w:rsidR="00144450" w:rsidRPr="00144450" w:rsidRDefault="00144450" w:rsidP="00144450">
      <w:pPr>
        <w:autoSpaceDE w:val="0"/>
        <w:autoSpaceDN w:val="0"/>
        <w:spacing w:line="240" w:lineRule="auto"/>
        <w:ind w:left="1440" w:right="1440"/>
        <w:rPr>
          <w:rFonts w:eastAsia="Times New Roman" w:cs="CG Times"/>
          <w:szCs w:val="24"/>
        </w:rPr>
      </w:pPr>
      <w:r w:rsidRPr="00144450">
        <w:rPr>
          <w:rFonts w:eastAsia="Times New Roman" w:cs="CG Times"/>
          <w:szCs w:val="24"/>
        </w:rPr>
        <w:t xml:space="preserve"> (a)  A party may file a motion for disqualification of a presiding officer which shall be accompanied by affidavits alleging personal bias or other disqualification. </w:t>
      </w:r>
      <w:r>
        <w:rPr>
          <w:rFonts w:eastAsia="Times New Roman" w:cs="CG Times"/>
          <w:szCs w:val="24"/>
        </w:rPr>
        <w:br/>
      </w:r>
    </w:p>
    <w:p w14:paraId="677E82A6" w14:textId="77777777" w:rsidR="00144450" w:rsidRPr="00144450" w:rsidRDefault="00144450" w:rsidP="00144450">
      <w:pPr>
        <w:autoSpaceDE w:val="0"/>
        <w:autoSpaceDN w:val="0"/>
        <w:spacing w:line="240" w:lineRule="auto"/>
        <w:ind w:left="1440" w:right="1440"/>
        <w:rPr>
          <w:rFonts w:eastAsia="Times New Roman" w:cs="CG Times"/>
          <w:szCs w:val="24"/>
        </w:rPr>
      </w:pPr>
      <w:r w:rsidRPr="00144450">
        <w:rPr>
          <w:rFonts w:eastAsia="Times New Roman" w:cs="CG Times"/>
          <w:szCs w:val="24"/>
        </w:rPr>
        <w:t xml:space="preserve"> (b)  A presiding officer may withdraw from a proceeding when deemed disqualified in accordance with law. </w:t>
      </w:r>
      <w:r>
        <w:rPr>
          <w:rFonts w:eastAsia="Times New Roman" w:cs="CG Times"/>
          <w:szCs w:val="24"/>
        </w:rPr>
        <w:br/>
      </w:r>
    </w:p>
    <w:p w14:paraId="7B66F989" w14:textId="77777777" w:rsidR="00144450" w:rsidRPr="00144450" w:rsidRDefault="00144450" w:rsidP="00144450">
      <w:pPr>
        <w:autoSpaceDE w:val="0"/>
        <w:autoSpaceDN w:val="0"/>
        <w:spacing w:line="240" w:lineRule="auto"/>
        <w:ind w:left="1440" w:right="1440"/>
        <w:rPr>
          <w:rFonts w:eastAsia="Times New Roman" w:cs="CG Times"/>
          <w:szCs w:val="24"/>
        </w:rPr>
      </w:pPr>
      <w:r w:rsidRPr="00144450">
        <w:rPr>
          <w:rFonts w:eastAsia="Times New Roman" w:cs="CG Times"/>
          <w:szCs w:val="24"/>
        </w:rPr>
        <w:lastRenderedPageBreak/>
        <w:t xml:space="preserve"> (c)  A motion for disqualification shall be served on the presiding officer and the parties to the proceeding. </w:t>
      </w:r>
      <w:r>
        <w:rPr>
          <w:rFonts w:eastAsia="Times New Roman" w:cs="CG Times"/>
          <w:szCs w:val="24"/>
        </w:rPr>
        <w:br/>
      </w:r>
    </w:p>
    <w:p w14:paraId="387FF7CD" w14:textId="77777777" w:rsidR="00144450" w:rsidRPr="00144450" w:rsidRDefault="00144450" w:rsidP="00144450">
      <w:pPr>
        <w:autoSpaceDE w:val="0"/>
        <w:autoSpaceDN w:val="0"/>
        <w:spacing w:line="240" w:lineRule="auto"/>
        <w:ind w:left="1440" w:right="1440"/>
        <w:rPr>
          <w:rFonts w:eastAsia="Times New Roman" w:cs="CG Times"/>
          <w:szCs w:val="24"/>
        </w:rPr>
      </w:pPr>
      <w:r w:rsidRPr="00144450">
        <w:rPr>
          <w:rFonts w:eastAsia="Times New Roman" w:cs="CG Times"/>
          <w:szCs w:val="24"/>
        </w:rPr>
        <w:t xml:space="preserve"> (d)  The presiding officer will rule upon a motion for disqualification within 30 days of receipt. Failure to rule upon a motion for disqualification within 30 days of its receipt will be deemed to be a denial of the motion. </w:t>
      </w:r>
      <w:r>
        <w:rPr>
          <w:rFonts w:eastAsia="Times New Roman" w:cs="CG Times"/>
          <w:szCs w:val="24"/>
        </w:rPr>
        <w:br/>
      </w:r>
    </w:p>
    <w:p w14:paraId="20525734" w14:textId="77777777" w:rsidR="00144450" w:rsidRPr="00144450" w:rsidRDefault="00144450" w:rsidP="000325FB">
      <w:pPr>
        <w:autoSpaceDE w:val="0"/>
        <w:autoSpaceDN w:val="0"/>
        <w:spacing w:line="240" w:lineRule="auto"/>
        <w:ind w:left="1440" w:right="1440"/>
        <w:rPr>
          <w:rFonts w:eastAsia="Times New Roman"/>
          <w:szCs w:val="24"/>
        </w:rPr>
      </w:pPr>
      <w:r w:rsidRPr="00144450">
        <w:rPr>
          <w:rFonts w:eastAsia="Times New Roman" w:cs="CG Times"/>
          <w:szCs w:val="24"/>
        </w:rPr>
        <w:t>(e)  The ruling of the presiding officer on a motion for disqualification is subject to the interlocutory appeal procedure in §  5.303 (relating to Commission action on petition for interlocutory review and answer).</w:t>
      </w:r>
    </w:p>
    <w:p w14:paraId="11E836AB" w14:textId="77777777" w:rsidR="00144450" w:rsidRPr="00144450" w:rsidRDefault="00144450" w:rsidP="00144450">
      <w:pPr>
        <w:autoSpaceDE w:val="0"/>
        <w:autoSpaceDN w:val="0"/>
        <w:spacing w:line="240" w:lineRule="auto"/>
        <w:rPr>
          <w:rFonts w:eastAsia="Times New Roman"/>
          <w:szCs w:val="24"/>
        </w:rPr>
      </w:pPr>
    </w:p>
    <w:p w14:paraId="1485EA42" w14:textId="77777777" w:rsidR="00144450" w:rsidRPr="00144450" w:rsidRDefault="00144450" w:rsidP="00144450">
      <w:pPr>
        <w:autoSpaceDE w:val="0"/>
        <w:autoSpaceDN w:val="0"/>
        <w:rPr>
          <w:rFonts w:eastAsia="Times New Roman"/>
          <w:szCs w:val="24"/>
        </w:rPr>
      </w:pPr>
    </w:p>
    <w:p w14:paraId="707898ED" w14:textId="24AEFE64" w:rsidR="00144450" w:rsidRPr="00144450" w:rsidRDefault="00144450" w:rsidP="00144450">
      <w:pPr>
        <w:autoSpaceDE w:val="0"/>
        <w:autoSpaceDN w:val="0"/>
        <w:ind w:firstLine="1440"/>
        <w:rPr>
          <w:rFonts w:eastAsia="Times New Roman" w:cs="CG Times"/>
          <w:szCs w:val="24"/>
        </w:rPr>
      </w:pPr>
      <w:r>
        <w:rPr>
          <w:rFonts w:eastAsia="Times New Roman" w:cs="CG Times"/>
          <w:szCs w:val="24"/>
        </w:rPr>
        <w:t xml:space="preserve">Although styled as a motion for recusal, </w:t>
      </w:r>
      <w:r w:rsidRPr="00144450">
        <w:rPr>
          <w:rFonts w:eastAsia="Times New Roman" w:cs="CG Times"/>
          <w:szCs w:val="24"/>
        </w:rPr>
        <w:t>I will treat the Complainant</w:t>
      </w:r>
      <w:r>
        <w:rPr>
          <w:rFonts w:eastAsia="Times New Roman" w:cs="CG Times"/>
          <w:szCs w:val="24"/>
        </w:rPr>
        <w:t>’</w:t>
      </w:r>
      <w:r w:rsidRPr="00144450">
        <w:rPr>
          <w:rFonts w:eastAsia="Times New Roman" w:cs="CG Times"/>
          <w:szCs w:val="24"/>
        </w:rPr>
        <w:t xml:space="preserve">s’ motion as a motion for disqualification.  </w:t>
      </w:r>
      <w:r w:rsidR="00A27A13" w:rsidRPr="00144450">
        <w:rPr>
          <w:rFonts w:eastAsia="Times New Roman" w:cs="CG Times"/>
          <w:szCs w:val="24"/>
        </w:rPr>
        <w:t>It is presumed that the judge has the ability to determine whether he will be able to rule impartially and without prejudice.</w:t>
      </w:r>
      <w:r w:rsidR="00A27A13">
        <w:rPr>
          <w:rStyle w:val="FootnoteReference"/>
          <w:rFonts w:eastAsia="Times New Roman" w:cs="CG Times"/>
          <w:szCs w:val="24"/>
        </w:rPr>
        <w:footnoteReference w:id="5"/>
      </w:r>
      <w:r w:rsidR="00A27A13" w:rsidRPr="00144450">
        <w:rPr>
          <w:rFonts w:eastAsia="Times New Roman" w:cs="CG Times"/>
          <w:szCs w:val="24"/>
        </w:rPr>
        <w:t xml:space="preserve"> </w:t>
      </w:r>
      <w:r w:rsidRPr="00144450">
        <w:rPr>
          <w:rFonts w:eastAsia="Times New Roman" w:cs="CG Times"/>
          <w:szCs w:val="24"/>
        </w:rPr>
        <w:t xml:space="preserve">The Supreme Court of Pennsylvania has stated that once a </w:t>
      </w:r>
      <w:r w:rsidRPr="00144450">
        <w:rPr>
          <w:rFonts w:eastAsia="Times New Roman" w:cs="CG Times"/>
          <w:bCs/>
          <w:szCs w:val="24"/>
        </w:rPr>
        <w:t>motion</w:t>
      </w:r>
      <w:r w:rsidRPr="00144450">
        <w:rPr>
          <w:rFonts w:eastAsia="Times New Roman" w:cs="CG Times"/>
          <w:szCs w:val="24"/>
        </w:rPr>
        <w:t xml:space="preserve"> for </w:t>
      </w:r>
      <w:r w:rsidRPr="00144450">
        <w:rPr>
          <w:rFonts w:eastAsia="Times New Roman" w:cs="CG Times"/>
          <w:bCs/>
          <w:szCs w:val="24"/>
        </w:rPr>
        <w:t>recusal</w:t>
      </w:r>
      <w:r w:rsidRPr="00144450">
        <w:rPr>
          <w:rFonts w:eastAsia="Times New Roman" w:cs="CG Times"/>
          <w:szCs w:val="24"/>
        </w:rPr>
        <w:t xml:space="preserve"> has been made, "it is the duty of the judge to decide whether he feels he can hear and dispose of the case fairly and without prejudice  . . . ."</w:t>
      </w:r>
      <w:r>
        <w:rPr>
          <w:rStyle w:val="FootnoteReference"/>
          <w:rFonts w:eastAsia="Times New Roman" w:cs="CG Times"/>
          <w:szCs w:val="24"/>
        </w:rPr>
        <w:footnoteReference w:id="6"/>
      </w:r>
      <w:r w:rsidRPr="00144450">
        <w:rPr>
          <w:rFonts w:eastAsia="Times New Roman" w:cs="CG Times"/>
          <w:szCs w:val="24"/>
        </w:rPr>
        <w:t xml:space="preserve">  </w:t>
      </w:r>
      <w:r w:rsidR="00A27A13">
        <w:rPr>
          <w:rFonts w:eastAsia="Times New Roman" w:cs="CG Times"/>
          <w:szCs w:val="24"/>
        </w:rPr>
        <w:t>However, it is also a duty of a judge to preside where there is no valid reason for disqualification.</w:t>
      </w:r>
      <w:r w:rsidR="00F8436C">
        <w:rPr>
          <w:rStyle w:val="FootnoteReference"/>
          <w:rFonts w:eastAsia="Times New Roman" w:cs="CG Times"/>
          <w:szCs w:val="24"/>
        </w:rPr>
        <w:footnoteReference w:id="7"/>
      </w:r>
      <w:r w:rsidR="00A27A13">
        <w:rPr>
          <w:rFonts w:eastAsia="Times New Roman" w:cs="CG Times"/>
          <w:szCs w:val="24"/>
        </w:rPr>
        <w:t xml:space="preserve">  </w:t>
      </w:r>
    </w:p>
    <w:p w14:paraId="5D8FA9B7" w14:textId="77777777" w:rsidR="00144450" w:rsidRPr="00144450" w:rsidRDefault="00144450" w:rsidP="00144450">
      <w:pPr>
        <w:autoSpaceDE w:val="0"/>
        <w:autoSpaceDN w:val="0"/>
        <w:spacing w:line="240" w:lineRule="auto"/>
        <w:rPr>
          <w:rFonts w:eastAsia="Times New Roman" w:cs="CG Times"/>
          <w:szCs w:val="24"/>
        </w:rPr>
      </w:pPr>
    </w:p>
    <w:p w14:paraId="3B6D68B3" w14:textId="77777777" w:rsidR="005829C0" w:rsidRDefault="00525570" w:rsidP="000D3789">
      <w:pPr>
        <w:ind w:firstLine="1440"/>
        <w:rPr>
          <w:rFonts w:eastAsia="Times New Roman" w:cs="CG Times"/>
          <w:szCs w:val="24"/>
        </w:rPr>
      </w:pPr>
      <w:r>
        <w:rPr>
          <w:rFonts w:eastAsia="Times New Roman" w:cs="CG Times"/>
          <w:szCs w:val="24"/>
        </w:rPr>
        <w:t>The Complaint did not include the affidavit required by Section 5.482, showing facts which support her motion.  However, the Commission’s rules permit me to overlook this procedural defect.</w:t>
      </w:r>
      <w:r>
        <w:rPr>
          <w:rStyle w:val="FootnoteReference"/>
          <w:rFonts w:eastAsia="Times New Roman" w:cs="CG Times"/>
          <w:szCs w:val="24"/>
        </w:rPr>
        <w:footnoteReference w:id="8"/>
      </w:r>
      <w:r>
        <w:rPr>
          <w:rFonts w:eastAsia="Times New Roman" w:cs="CG Times"/>
          <w:szCs w:val="24"/>
        </w:rPr>
        <w:t xml:space="preserve">  It is readily apparent from the Complainant’s motion that she believes I will be personally biased in favor of Penelec and against her</w:t>
      </w:r>
      <w:r w:rsidR="000D3789">
        <w:rPr>
          <w:rFonts w:eastAsia="Times New Roman" w:cs="CG Times"/>
          <w:szCs w:val="24"/>
        </w:rPr>
        <w:t>,</w:t>
      </w:r>
      <w:r>
        <w:rPr>
          <w:rFonts w:eastAsia="Times New Roman" w:cs="CG Times"/>
          <w:szCs w:val="24"/>
        </w:rPr>
        <w:t xml:space="preserve"> </w:t>
      </w:r>
      <w:r w:rsidR="000D3789">
        <w:rPr>
          <w:rFonts w:eastAsia="Times New Roman" w:cs="CG Times"/>
          <w:szCs w:val="24"/>
        </w:rPr>
        <w:t xml:space="preserve">in large part, </w:t>
      </w:r>
      <w:r>
        <w:rPr>
          <w:rFonts w:eastAsia="Times New Roman" w:cs="CG Times"/>
          <w:szCs w:val="24"/>
        </w:rPr>
        <w:t xml:space="preserve">because I denied her motion for summary judgment.  </w:t>
      </w:r>
    </w:p>
    <w:p w14:paraId="5FDD1C34" w14:textId="77777777" w:rsidR="005829C0" w:rsidRDefault="005829C0" w:rsidP="000D3789">
      <w:pPr>
        <w:ind w:firstLine="1440"/>
        <w:rPr>
          <w:rFonts w:eastAsia="Times New Roman" w:cs="CG Times"/>
          <w:szCs w:val="24"/>
        </w:rPr>
      </w:pPr>
    </w:p>
    <w:p w14:paraId="5AC0C43C" w14:textId="3C7381D6" w:rsidR="00525570" w:rsidRDefault="000D3789" w:rsidP="00572940">
      <w:pPr>
        <w:ind w:firstLine="1440"/>
      </w:pPr>
      <w:r w:rsidRPr="00273411">
        <w:lastRenderedPageBreak/>
        <w:t>A party moving for recusal must show facts that demonstrate personal bias or prejudgment on the part of the presiding officer exist.</w:t>
      </w:r>
      <w:r>
        <w:rPr>
          <w:rStyle w:val="FootnoteReference"/>
        </w:rPr>
        <w:footnoteReference w:id="9"/>
      </w:r>
      <w:r w:rsidR="001A0294">
        <w:t xml:space="preserve">  </w:t>
      </w:r>
      <w:r>
        <w:t xml:space="preserve">Merely questioning my impartiality is not sufficient to warrant recusal.  </w:t>
      </w:r>
      <w:r w:rsidRPr="00273411">
        <w:t xml:space="preserve">If that was so, then any judge may be compelled to recuse him or herself just because the issue was raised.  </w:t>
      </w:r>
      <w:r w:rsidR="005829C0">
        <w:t xml:space="preserve">Only </w:t>
      </w:r>
      <w:r w:rsidRPr="00273411">
        <w:t xml:space="preserve">facts, not conclusions, are relevant in deciding </w:t>
      </w:r>
      <w:r w:rsidR="005829C0">
        <w:t>a</w:t>
      </w:r>
      <w:r w:rsidRPr="00273411">
        <w:t xml:space="preserve"> motion</w:t>
      </w:r>
      <w:r w:rsidR="005829C0">
        <w:t xml:space="preserve"> for disqualification</w:t>
      </w:r>
      <w:r w:rsidRPr="00273411">
        <w:t>.</w:t>
      </w:r>
      <w:r>
        <w:rPr>
          <w:rStyle w:val="FootnoteReference"/>
        </w:rPr>
        <w:footnoteReference w:id="10"/>
      </w:r>
      <w:r w:rsidRPr="00273411">
        <w:t xml:space="preserve">  </w:t>
      </w:r>
      <w:r w:rsidRPr="006C427F">
        <w:t xml:space="preserve">The </w:t>
      </w:r>
      <w:r>
        <w:t>C</w:t>
      </w:r>
      <w:r w:rsidRPr="006C427F">
        <w:t xml:space="preserve">omplainant has provided no factual support for a claim that I am personally biased towards or against any party in this case or that I have prejudged these proceedings.  </w:t>
      </w:r>
    </w:p>
    <w:p w14:paraId="3648C283" w14:textId="77777777" w:rsidR="00CF32B7" w:rsidRDefault="00CF32B7" w:rsidP="00572940">
      <w:pPr>
        <w:ind w:firstLine="1440"/>
        <w:rPr>
          <w:rFonts w:eastAsia="Times New Roman" w:cs="CG Times"/>
          <w:szCs w:val="24"/>
        </w:rPr>
      </w:pPr>
    </w:p>
    <w:p w14:paraId="303518E6" w14:textId="7CAF8FAC" w:rsidR="00B56B62" w:rsidRDefault="00525570" w:rsidP="00B13E71">
      <w:pPr>
        <w:ind w:firstLine="1440"/>
      </w:pPr>
      <w:r w:rsidRPr="00273411">
        <w:t>“Personal bias,” has been defined as attitudes, opinions, or comments which are "based on purely personal feelings towards the parties in a case."</w:t>
      </w:r>
      <w:r>
        <w:rPr>
          <w:rStyle w:val="FootnoteReference"/>
        </w:rPr>
        <w:footnoteReference w:id="11"/>
      </w:r>
      <w:r w:rsidRPr="00273411">
        <w:t xml:space="preserve">  It is a personal feeling about a party that causes the decision-maker to favor or disfavor that party.  To be disqualifying, personal bias must result in an opinion on the merits of a case not supported by the record.</w:t>
      </w:r>
      <w:r w:rsidR="00B56B62">
        <w:rPr>
          <w:rStyle w:val="FootnoteReference"/>
        </w:rPr>
        <w:footnoteReference w:id="12"/>
      </w:r>
      <w:r w:rsidRPr="00273411">
        <w:t xml:space="preserve">  That personal bias must be pronounced, as even intemperate or vehement statements do not require disqualification.</w:t>
      </w:r>
      <w:r w:rsidR="00B56B62">
        <w:rPr>
          <w:rStyle w:val="FootnoteReference"/>
        </w:rPr>
        <w:footnoteReference w:id="13"/>
      </w:r>
      <w:r w:rsidRPr="00273411">
        <w:t xml:space="preserve">  </w:t>
      </w:r>
      <w:r w:rsidR="001A0294">
        <w:t>An adverse ruling is not sufficient to establish a personal bias.</w:t>
      </w:r>
      <w:r w:rsidR="001A0294">
        <w:rPr>
          <w:rStyle w:val="FootnoteReference"/>
        </w:rPr>
        <w:footnoteReference w:id="14"/>
      </w:r>
    </w:p>
    <w:p w14:paraId="00090700" w14:textId="77777777" w:rsidR="00B13E71" w:rsidRDefault="00B13E71" w:rsidP="00B13E71">
      <w:pPr>
        <w:ind w:firstLine="1440"/>
      </w:pPr>
    </w:p>
    <w:p w14:paraId="766659CB" w14:textId="09D7E3AF" w:rsidR="00B13E71" w:rsidRDefault="00B13E71" w:rsidP="00B13E71">
      <w:pPr>
        <w:ind w:firstLine="1440"/>
      </w:pPr>
      <w:r w:rsidRPr="006C427F">
        <w:t>In this case, I have no doubt about my ability to be impartial.</w:t>
      </w:r>
      <w:r w:rsidR="00572940">
        <w:rPr>
          <w:rStyle w:val="FootnoteReference"/>
        </w:rPr>
        <w:footnoteReference w:id="15"/>
      </w:r>
      <w:r w:rsidRPr="006C427F">
        <w:t xml:space="preserve">  My impartiality has not been reasonably questioned because the </w:t>
      </w:r>
      <w:r w:rsidR="005829C0">
        <w:t>C</w:t>
      </w:r>
      <w:r w:rsidRPr="006C427F">
        <w:t>omplainant has failed to provide any factual support for her assertion</w:t>
      </w:r>
      <w:r w:rsidR="005829C0">
        <w:t xml:space="preserve"> that she cannot receive a fair hearing </w:t>
      </w:r>
      <w:r w:rsidR="005829C0" w:rsidRPr="00144450">
        <w:rPr>
          <w:rFonts w:eastAsia="Times New Roman" w:cs="CG Times"/>
          <w:szCs w:val="24"/>
        </w:rPr>
        <w:t>without bias, hostility, or prejudgment.</w:t>
      </w:r>
      <w:r w:rsidR="005829C0">
        <w:rPr>
          <w:rStyle w:val="FootnoteReference"/>
          <w:rFonts w:eastAsia="Times New Roman" w:cs="CG Times"/>
          <w:szCs w:val="24"/>
        </w:rPr>
        <w:footnoteReference w:id="16"/>
      </w:r>
      <w:r w:rsidR="005829C0" w:rsidRPr="00144450">
        <w:rPr>
          <w:rFonts w:eastAsia="Times New Roman" w:cs="CG Times"/>
          <w:szCs w:val="24"/>
        </w:rPr>
        <w:t xml:space="preserve">  </w:t>
      </w:r>
      <w:r w:rsidR="001A0294">
        <w:t xml:space="preserve">Merely denying her motion for summary judgement is not sufficient to </w:t>
      </w:r>
      <w:r w:rsidR="001A0294">
        <w:lastRenderedPageBreak/>
        <w:t>demonstrate that I have prejudged her dispute in favor of Penelec.  The crux of the ruling was simply that both parties averred facts in support of their positions which precluded me from entering a judgement in the Complainant’s favor solely on the basis of her motion.  Indeed, a hearing has been scheduled which will provide the Complainant with ample opportunity to present her evidence and establish the facts in support of the allegations made in her complaint.</w:t>
      </w:r>
      <w:r w:rsidR="005829C0">
        <w:t xml:space="preserve"> </w:t>
      </w:r>
      <w:r w:rsidR="001A0294">
        <w:t xml:space="preserve">  </w:t>
      </w:r>
      <w:r w:rsidRPr="006C427F">
        <w:t xml:space="preserve">Accordingly, the </w:t>
      </w:r>
      <w:r>
        <w:t>C</w:t>
      </w:r>
      <w:r w:rsidRPr="006C427F">
        <w:t xml:space="preserve">omplainant’s </w:t>
      </w:r>
      <w:r>
        <w:t>Motion for Recusal of Administrative Law Judge</w:t>
      </w:r>
      <w:r w:rsidR="00FD5370">
        <w:t xml:space="preserve"> is denied</w:t>
      </w:r>
      <w:bookmarkStart w:id="1" w:name="_GoBack"/>
      <w:bookmarkEnd w:id="1"/>
      <w:r>
        <w:t>.</w:t>
      </w:r>
    </w:p>
    <w:p w14:paraId="4F8FB9AE" w14:textId="77777777" w:rsidR="00B13E71" w:rsidRDefault="00B13E71" w:rsidP="00B13E71">
      <w:pPr>
        <w:ind w:firstLine="1440"/>
      </w:pPr>
    </w:p>
    <w:p w14:paraId="57D328A4" w14:textId="46B73F59" w:rsidR="00B13E71" w:rsidRDefault="00B13E71" w:rsidP="00B13E71">
      <w:pPr>
        <w:ind w:firstLine="1440"/>
      </w:pPr>
      <w:r>
        <w:t xml:space="preserve">The Complainant alleges in her motion that her disability has not been considered.  The Complainant represents that she has mobility issues.  </w:t>
      </w:r>
      <w:r w:rsidR="00B43A04">
        <w:t>Although she did not make any specific request for a particular acco</w:t>
      </w:r>
      <w:r w:rsidR="00C006C1">
        <w:t>m</w:t>
      </w:r>
      <w:r w:rsidR="00B43A04">
        <w:t>modation</w:t>
      </w:r>
      <w:r w:rsidR="00C006C1">
        <w:t xml:space="preserve">, </w:t>
      </w:r>
      <w:r>
        <w:t xml:space="preserve">her hearing was scheduled to take place by telephone. </w:t>
      </w:r>
      <w:r w:rsidR="00C006C1">
        <w:t xml:space="preserve"> Based on the information gleaned from her filings, it did not appear that her mobility issues would preclude her participation in her hearing by telephone.</w:t>
      </w:r>
      <w:r>
        <w:t xml:space="preserve"> </w:t>
      </w:r>
      <w:r w:rsidR="00C006C1">
        <w:t xml:space="preserve"> However, w</w:t>
      </w:r>
      <w:r w:rsidR="00151739" w:rsidRPr="00151739">
        <w:t xml:space="preserve">here a litigant’s requested accommodation does not impose an undue hardship to the Commission or to other litigants involved in any case before the Commission, the requested accommodation </w:t>
      </w:r>
      <w:r w:rsidR="00C006C1">
        <w:t>may be considered</w:t>
      </w:r>
      <w:r w:rsidR="00151739" w:rsidRPr="00151739">
        <w:t xml:space="preserve">.  Where, in the judgment of the Commission, </w:t>
      </w:r>
      <w:r w:rsidR="00C006C1">
        <w:t xml:space="preserve">a </w:t>
      </w:r>
      <w:r w:rsidR="00151739" w:rsidRPr="00151739">
        <w:t>requested accommodation may either pose an undue hardship to the Commission or to other litigants involved in any case before the Commission, the Commission will attempt, where possible, to find a reasonable alternative accommodation.</w:t>
      </w:r>
      <w:r w:rsidR="00F4371F">
        <w:rPr>
          <w:rStyle w:val="FootnoteReference"/>
        </w:rPr>
        <w:footnoteReference w:id="17"/>
      </w:r>
      <w:r w:rsidR="00151739">
        <w:t xml:space="preserve">  Accordingly, if the Complainant wishes to request a reasonable accommodation, she may make the request as set forth in the ordering paragraphs below.</w:t>
      </w:r>
    </w:p>
    <w:p w14:paraId="3E548CA9" w14:textId="7E9E9327" w:rsidR="004E104B" w:rsidRDefault="004E104B" w:rsidP="00B13E71">
      <w:pPr>
        <w:ind w:firstLine="1440"/>
      </w:pPr>
    </w:p>
    <w:p w14:paraId="248040DF" w14:textId="7F06150A" w:rsidR="004E104B" w:rsidRDefault="004E104B" w:rsidP="00B13E71">
      <w:pPr>
        <w:ind w:firstLine="1440"/>
      </w:pPr>
      <w:r>
        <w:t>THEREFORE</w:t>
      </w:r>
    </w:p>
    <w:p w14:paraId="27622D6D" w14:textId="77777777" w:rsidR="00C006C1" w:rsidRDefault="00C006C1" w:rsidP="00B13E71">
      <w:pPr>
        <w:ind w:firstLine="1440"/>
      </w:pPr>
    </w:p>
    <w:p w14:paraId="6462795B" w14:textId="213F2D1B" w:rsidR="004E104B" w:rsidRDefault="004E104B" w:rsidP="00B13E71">
      <w:pPr>
        <w:ind w:firstLine="1440"/>
      </w:pPr>
      <w:r>
        <w:t>IT IS ORDERED:</w:t>
      </w:r>
    </w:p>
    <w:p w14:paraId="0FB23822" w14:textId="4320233A" w:rsidR="004E104B" w:rsidRDefault="004E104B" w:rsidP="00B13E71">
      <w:pPr>
        <w:ind w:firstLine="1440"/>
      </w:pPr>
    </w:p>
    <w:p w14:paraId="42F44EB9" w14:textId="0E05705A" w:rsidR="004E104B" w:rsidRDefault="004E104B" w:rsidP="00B13E71">
      <w:pPr>
        <w:ind w:firstLine="1440"/>
      </w:pPr>
      <w:r>
        <w:t>1.</w:t>
      </w:r>
      <w:r>
        <w:tab/>
        <w:t>That the Complainant’s Motion for Recusal of Administrative Law Judge is denied.</w:t>
      </w:r>
      <w:r w:rsidR="00F732F1">
        <w:br/>
      </w:r>
    </w:p>
    <w:p w14:paraId="4476459E" w14:textId="77777777" w:rsidR="00E44191" w:rsidRDefault="004E104B" w:rsidP="00B13E71">
      <w:pPr>
        <w:ind w:firstLine="1440"/>
        <w:rPr>
          <w:szCs w:val="24"/>
        </w:rPr>
      </w:pPr>
      <w:r>
        <w:t>2.</w:t>
      </w:r>
      <w:r>
        <w:tab/>
      </w:r>
      <w:r>
        <w:rPr>
          <w:szCs w:val="24"/>
        </w:rPr>
        <w:t>That to the extent Complainant is seeking any specific accommodations</w:t>
      </w:r>
      <w:r w:rsidR="00F732F1">
        <w:rPr>
          <w:szCs w:val="24"/>
        </w:rPr>
        <w:t xml:space="preserve"> regarding the March 24, 2020 hearing,</w:t>
      </w:r>
      <w:r>
        <w:rPr>
          <w:szCs w:val="24"/>
        </w:rPr>
        <w:t xml:space="preserve"> in consideration of her health condition or limitations, </w:t>
      </w:r>
      <w:r>
        <w:rPr>
          <w:szCs w:val="24"/>
        </w:rPr>
        <w:lastRenderedPageBreak/>
        <w:t xml:space="preserve">Complainant shall provide specific information and documentation substantiating her disability, as well as the specific accommodation which she is seeking with as much specificity as possible, along with any documentation supporting such request, to counsel for Respondent and the undersigned presiding officer, on or before </w:t>
      </w:r>
      <w:r w:rsidRPr="004E104B">
        <w:rPr>
          <w:b/>
          <w:bCs/>
          <w:szCs w:val="24"/>
        </w:rPr>
        <w:t>Friday, March 13, 2020</w:t>
      </w:r>
      <w:r>
        <w:rPr>
          <w:szCs w:val="24"/>
        </w:rPr>
        <w:t>. </w:t>
      </w:r>
    </w:p>
    <w:p w14:paraId="6DED87F4" w14:textId="77777777" w:rsidR="00E44191" w:rsidRDefault="00E44191" w:rsidP="00B13E71">
      <w:pPr>
        <w:ind w:firstLine="1440"/>
        <w:rPr>
          <w:szCs w:val="24"/>
        </w:rPr>
      </w:pPr>
    </w:p>
    <w:p w14:paraId="3C022FAE" w14:textId="2A869B97" w:rsidR="004E104B" w:rsidRDefault="00E44191" w:rsidP="00B13E71">
      <w:pPr>
        <w:ind w:firstLine="1440"/>
        <w:rPr>
          <w:szCs w:val="24"/>
        </w:rPr>
      </w:pPr>
      <w:r>
        <w:rPr>
          <w:szCs w:val="24"/>
        </w:rPr>
        <w:t>3.</w:t>
      </w:r>
      <w:r>
        <w:rPr>
          <w:szCs w:val="24"/>
        </w:rPr>
        <w:tab/>
        <w:t xml:space="preserve">That the Respondent may file a response to a request by  the Complainant on or before </w:t>
      </w:r>
      <w:r w:rsidRPr="00E44191">
        <w:rPr>
          <w:b/>
          <w:bCs/>
          <w:szCs w:val="24"/>
        </w:rPr>
        <w:t>March 18, 2020</w:t>
      </w:r>
      <w:r>
        <w:rPr>
          <w:szCs w:val="24"/>
        </w:rPr>
        <w:t>.</w:t>
      </w:r>
      <w:r w:rsidR="00F732F1">
        <w:rPr>
          <w:szCs w:val="24"/>
        </w:rPr>
        <w:br/>
      </w:r>
    </w:p>
    <w:p w14:paraId="6A5C9D48" w14:textId="0FFDE5F7" w:rsidR="004E104B" w:rsidRDefault="004E104B" w:rsidP="00B13E71">
      <w:pPr>
        <w:ind w:firstLine="1440"/>
        <w:rPr>
          <w:szCs w:val="24"/>
        </w:rPr>
      </w:pPr>
      <w:r>
        <w:rPr>
          <w:szCs w:val="24"/>
        </w:rPr>
        <w:t>3.</w:t>
      </w:r>
      <w:r>
        <w:rPr>
          <w:szCs w:val="24"/>
        </w:rPr>
        <w:tab/>
        <w:t xml:space="preserve">The parties are reminded that any correspondence or motions should be served </w:t>
      </w:r>
      <w:r w:rsidR="00F732F1">
        <w:rPr>
          <w:szCs w:val="24"/>
        </w:rPr>
        <w:t>on me directly, on Respondent’s counsel and filed with the Commission’s Secretary’s Bureau</w:t>
      </w:r>
      <w:r w:rsidR="00C22EA2">
        <w:rPr>
          <w:szCs w:val="24"/>
        </w:rPr>
        <w:t xml:space="preserve">.  </w:t>
      </w:r>
      <w:r w:rsidR="00F732F1">
        <w:rPr>
          <w:szCs w:val="24"/>
        </w:rPr>
        <w:br/>
      </w:r>
    </w:p>
    <w:p w14:paraId="57594B89" w14:textId="2CE9C6A5" w:rsidR="00F732F1" w:rsidRDefault="00F732F1" w:rsidP="00B13E71">
      <w:pPr>
        <w:ind w:firstLine="1440"/>
        <w:rPr>
          <w:szCs w:val="24"/>
        </w:rPr>
      </w:pPr>
      <w:r>
        <w:rPr>
          <w:szCs w:val="24"/>
        </w:rPr>
        <w:t>4.</w:t>
      </w:r>
      <w:r>
        <w:rPr>
          <w:szCs w:val="24"/>
        </w:rPr>
        <w:tab/>
        <w:t>That all other provisions of the February 3, 2020 Prehearing Order remain in effect.</w:t>
      </w:r>
    </w:p>
    <w:p w14:paraId="1F766AC8" w14:textId="1CEB2F09" w:rsidR="00C22EA2" w:rsidRDefault="00C22EA2" w:rsidP="00B13E71">
      <w:pPr>
        <w:ind w:firstLine="1440"/>
        <w:rPr>
          <w:szCs w:val="24"/>
        </w:rPr>
      </w:pPr>
    </w:p>
    <w:p w14:paraId="05781E7A" w14:textId="6C35D641" w:rsidR="00C22EA2" w:rsidRDefault="00C22EA2" w:rsidP="00B13E71">
      <w:pPr>
        <w:ind w:firstLine="1440"/>
        <w:rPr>
          <w:szCs w:val="24"/>
        </w:rPr>
      </w:pPr>
    </w:p>
    <w:p w14:paraId="07281381" w14:textId="49549FF4" w:rsidR="00C22EA2" w:rsidRPr="00C22EA2" w:rsidRDefault="00C22EA2" w:rsidP="00C22EA2">
      <w:pPr>
        <w:spacing w:line="240" w:lineRule="auto"/>
        <w:rPr>
          <w:rFonts w:eastAsia="Times New Roman"/>
          <w:szCs w:val="24"/>
        </w:rPr>
      </w:pPr>
      <w:bookmarkStart w:id="2" w:name="_Hlk505862083"/>
      <w:r w:rsidRPr="00C22EA2">
        <w:rPr>
          <w:rFonts w:eastAsia="Times New Roman"/>
          <w:szCs w:val="24"/>
        </w:rPr>
        <w:t xml:space="preserve">Date:  </w:t>
      </w:r>
      <w:r>
        <w:rPr>
          <w:rFonts w:eastAsia="Times New Roman"/>
          <w:szCs w:val="24"/>
          <w:u w:val="single"/>
        </w:rPr>
        <w:t>March 4, 2020</w:t>
      </w:r>
      <w:r>
        <w:rPr>
          <w:rFonts w:eastAsia="Times New Roman"/>
          <w:szCs w:val="24"/>
        </w:rPr>
        <w:tab/>
      </w:r>
      <w:r w:rsidRPr="00C22EA2">
        <w:rPr>
          <w:rFonts w:eastAsia="Times New Roman"/>
          <w:szCs w:val="24"/>
        </w:rPr>
        <w:tab/>
      </w:r>
      <w:r w:rsidRPr="00C22EA2">
        <w:rPr>
          <w:rFonts w:eastAsia="Times New Roman"/>
          <w:szCs w:val="24"/>
        </w:rPr>
        <w:tab/>
      </w:r>
      <w:r w:rsidRPr="00C22EA2">
        <w:rPr>
          <w:rFonts w:eastAsia="Times New Roman"/>
          <w:szCs w:val="24"/>
        </w:rPr>
        <w:tab/>
      </w:r>
      <w:r w:rsidRPr="00C22EA2">
        <w:rPr>
          <w:rFonts w:eastAsia="Times New Roman"/>
          <w:szCs w:val="24"/>
        </w:rPr>
        <w:tab/>
      </w:r>
      <w:r w:rsidRPr="00C22EA2">
        <w:rPr>
          <w:rFonts w:eastAsia="Times New Roman"/>
          <w:szCs w:val="24"/>
          <w:u w:val="single"/>
        </w:rPr>
        <w:tab/>
      </w:r>
      <w:r w:rsidRPr="00C22EA2">
        <w:rPr>
          <w:rFonts w:eastAsia="Times New Roman"/>
          <w:szCs w:val="24"/>
          <w:u w:val="single"/>
        </w:rPr>
        <w:tab/>
        <w:t>/s/</w:t>
      </w:r>
      <w:r w:rsidRPr="00C22EA2">
        <w:rPr>
          <w:rFonts w:eastAsia="Times New Roman"/>
          <w:szCs w:val="24"/>
          <w:u w:val="single"/>
        </w:rPr>
        <w:tab/>
      </w:r>
      <w:r w:rsidRPr="00C22EA2">
        <w:rPr>
          <w:rFonts w:eastAsia="Times New Roman"/>
          <w:szCs w:val="24"/>
          <w:u w:val="single"/>
        </w:rPr>
        <w:tab/>
      </w:r>
      <w:r w:rsidRPr="00C22EA2">
        <w:rPr>
          <w:rFonts w:eastAsia="Times New Roman"/>
          <w:szCs w:val="24"/>
          <w:u w:val="single"/>
        </w:rPr>
        <w:tab/>
      </w:r>
      <w:r w:rsidRPr="00C22EA2">
        <w:rPr>
          <w:rFonts w:eastAsia="Times New Roman"/>
          <w:szCs w:val="24"/>
          <w:u w:val="single"/>
        </w:rPr>
        <w:tab/>
      </w:r>
    </w:p>
    <w:p w14:paraId="2780F82F" w14:textId="77777777" w:rsidR="00C22EA2" w:rsidRPr="00C22EA2" w:rsidRDefault="00C22EA2" w:rsidP="00C22EA2">
      <w:pPr>
        <w:spacing w:line="240" w:lineRule="auto"/>
        <w:rPr>
          <w:rFonts w:eastAsia="Times New Roman"/>
          <w:szCs w:val="24"/>
        </w:rPr>
      </w:pPr>
      <w:r w:rsidRPr="00C22EA2">
        <w:rPr>
          <w:rFonts w:eastAsia="Times New Roman"/>
          <w:szCs w:val="24"/>
        </w:rPr>
        <w:tab/>
      </w:r>
      <w:r w:rsidRPr="00C22EA2">
        <w:rPr>
          <w:rFonts w:eastAsia="Times New Roman"/>
          <w:szCs w:val="24"/>
        </w:rPr>
        <w:tab/>
      </w:r>
      <w:r w:rsidRPr="00C22EA2">
        <w:rPr>
          <w:rFonts w:eastAsia="Times New Roman"/>
          <w:szCs w:val="24"/>
        </w:rPr>
        <w:tab/>
      </w:r>
      <w:r w:rsidRPr="00C22EA2">
        <w:rPr>
          <w:rFonts w:eastAsia="Times New Roman"/>
          <w:szCs w:val="24"/>
        </w:rPr>
        <w:tab/>
      </w:r>
      <w:r w:rsidRPr="00C22EA2">
        <w:rPr>
          <w:rFonts w:eastAsia="Times New Roman"/>
          <w:szCs w:val="24"/>
        </w:rPr>
        <w:tab/>
      </w:r>
      <w:r w:rsidRPr="00C22EA2">
        <w:rPr>
          <w:rFonts w:eastAsia="Times New Roman"/>
          <w:szCs w:val="24"/>
        </w:rPr>
        <w:tab/>
      </w:r>
      <w:r w:rsidRPr="00C22EA2">
        <w:rPr>
          <w:rFonts w:eastAsia="Times New Roman"/>
          <w:szCs w:val="24"/>
        </w:rPr>
        <w:tab/>
        <w:t>Mary D. Long</w:t>
      </w:r>
    </w:p>
    <w:p w14:paraId="19BDDF05" w14:textId="77777777" w:rsidR="00C22EA2" w:rsidRPr="00C22EA2" w:rsidRDefault="00C22EA2" w:rsidP="00C22EA2">
      <w:pPr>
        <w:spacing w:line="240" w:lineRule="auto"/>
        <w:rPr>
          <w:rFonts w:eastAsia="Times New Roman"/>
          <w:szCs w:val="24"/>
        </w:rPr>
      </w:pPr>
      <w:r w:rsidRPr="00C22EA2">
        <w:rPr>
          <w:rFonts w:eastAsia="Times New Roman"/>
          <w:szCs w:val="24"/>
        </w:rPr>
        <w:tab/>
      </w:r>
      <w:r w:rsidRPr="00C22EA2">
        <w:rPr>
          <w:rFonts w:eastAsia="Times New Roman"/>
          <w:szCs w:val="24"/>
        </w:rPr>
        <w:tab/>
      </w:r>
      <w:r w:rsidRPr="00C22EA2">
        <w:rPr>
          <w:rFonts w:eastAsia="Times New Roman"/>
          <w:szCs w:val="24"/>
        </w:rPr>
        <w:tab/>
      </w:r>
      <w:r w:rsidRPr="00C22EA2">
        <w:rPr>
          <w:rFonts w:eastAsia="Times New Roman"/>
          <w:szCs w:val="24"/>
        </w:rPr>
        <w:tab/>
      </w:r>
      <w:r w:rsidRPr="00C22EA2">
        <w:rPr>
          <w:rFonts w:eastAsia="Times New Roman"/>
          <w:szCs w:val="24"/>
        </w:rPr>
        <w:tab/>
      </w:r>
      <w:r w:rsidRPr="00C22EA2">
        <w:rPr>
          <w:rFonts w:eastAsia="Times New Roman"/>
          <w:szCs w:val="24"/>
        </w:rPr>
        <w:tab/>
      </w:r>
      <w:r w:rsidRPr="00C22EA2">
        <w:rPr>
          <w:rFonts w:eastAsia="Times New Roman"/>
          <w:szCs w:val="24"/>
        </w:rPr>
        <w:tab/>
        <w:t>Administrative Law Judge</w:t>
      </w:r>
    </w:p>
    <w:bookmarkEnd w:id="2"/>
    <w:p w14:paraId="686974B2" w14:textId="77777777" w:rsidR="00C22EA2" w:rsidRPr="006C427F" w:rsidRDefault="00C22EA2" w:rsidP="00C22EA2"/>
    <w:p w14:paraId="5ACB1303" w14:textId="77777777" w:rsidR="00B56B62" w:rsidRDefault="00B56B62" w:rsidP="00144450">
      <w:pPr>
        <w:autoSpaceDE w:val="0"/>
        <w:autoSpaceDN w:val="0"/>
      </w:pPr>
    </w:p>
    <w:p w14:paraId="3BA54876" w14:textId="77777777" w:rsidR="00B56B62" w:rsidRPr="00144450" w:rsidRDefault="00B56B62" w:rsidP="00144450">
      <w:pPr>
        <w:autoSpaceDE w:val="0"/>
        <w:autoSpaceDN w:val="0"/>
        <w:rPr>
          <w:rFonts w:eastAsia="Times New Roman" w:cs="CG Times"/>
          <w:szCs w:val="24"/>
        </w:rPr>
      </w:pPr>
    </w:p>
    <w:p w14:paraId="3B5B5803" w14:textId="77777777" w:rsidR="00C22EA2" w:rsidRDefault="00C22EA2" w:rsidP="00144450">
      <w:pPr>
        <w:sectPr w:rsidR="00C22EA2" w:rsidSect="00144450">
          <w:footerReference w:type="default" r:id="rId8"/>
          <w:pgSz w:w="12240" w:h="15840"/>
          <w:pgMar w:top="1440" w:right="1440" w:bottom="1440" w:left="1440" w:header="720" w:footer="720" w:gutter="0"/>
          <w:cols w:space="720"/>
          <w:titlePg/>
          <w:docGrid w:linePitch="360"/>
        </w:sectPr>
      </w:pPr>
    </w:p>
    <w:p w14:paraId="3A4C3126" w14:textId="77777777" w:rsidR="00C22EA2" w:rsidRPr="00C22EA2" w:rsidRDefault="00C22EA2" w:rsidP="00C22EA2">
      <w:pPr>
        <w:spacing w:after="160" w:line="259" w:lineRule="auto"/>
        <w:rPr>
          <w:rFonts w:ascii="Calibri" w:eastAsia="Times New Roman" w:hAnsi="Calibri"/>
          <w:sz w:val="22"/>
        </w:rPr>
      </w:pPr>
      <w:r w:rsidRPr="00C22EA2">
        <w:rPr>
          <w:rFonts w:ascii="Microsoft Sans Serif" w:eastAsia="Microsoft Sans Serif" w:hAnsi="Microsoft Sans Serif" w:cs="Microsoft Sans Serif"/>
          <w:b/>
          <w:u w:val="single"/>
        </w:rPr>
        <w:lastRenderedPageBreak/>
        <w:t>C-2019-3013582 – DEBORAH A. REDMAN v. PENNSYLVANIA ELECTRIC COMPANY</w:t>
      </w:r>
      <w:r w:rsidRPr="00C22EA2">
        <w:rPr>
          <w:rFonts w:ascii="Microsoft Sans Serif" w:eastAsia="Microsoft Sans Serif" w:hAnsi="Microsoft Sans Serif" w:cs="Microsoft Sans Serif"/>
          <w:b/>
          <w:u w:val="single"/>
        </w:rPr>
        <w:cr/>
      </w:r>
      <w:r w:rsidRPr="00C22EA2">
        <w:rPr>
          <w:rFonts w:ascii="Microsoft Sans Serif" w:eastAsia="Microsoft Sans Serif" w:hAnsi="Microsoft Sans Serif" w:cs="Microsoft Sans Serif"/>
          <w:b/>
          <w:u w:val="single"/>
        </w:rPr>
        <w:cr/>
      </w:r>
      <w:bookmarkStart w:id="3" w:name="_Hlk34217629"/>
      <w:r w:rsidRPr="00C22EA2">
        <w:rPr>
          <w:rFonts w:ascii="Microsoft Sans Serif" w:eastAsia="Microsoft Sans Serif" w:hAnsi="Microsoft Sans Serif" w:cs="Microsoft Sans Serif"/>
        </w:rPr>
        <w:t>DEBORAH A. REDMAN</w:t>
      </w:r>
      <w:r w:rsidRPr="00C22EA2">
        <w:rPr>
          <w:rFonts w:ascii="Microsoft Sans Serif" w:eastAsia="Microsoft Sans Serif" w:hAnsi="Microsoft Sans Serif" w:cs="Microsoft Sans Serif"/>
        </w:rPr>
        <w:cr/>
        <w:t>414 PARK AVE</w:t>
      </w:r>
      <w:r w:rsidRPr="00C22EA2">
        <w:rPr>
          <w:rFonts w:ascii="Microsoft Sans Serif" w:eastAsia="Microsoft Sans Serif" w:hAnsi="Microsoft Sans Serif" w:cs="Microsoft Sans Serif"/>
        </w:rPr>
        <w:cr/>
        <w:t>MEADVILLE PA  16335</w:t>
      </w:r>
      <w:bookmarkEnd w:id="3"/>
      <w:r w:rsidRPr="00C22EA2">
        <w:rPr>
          <w:rFonts w:ascii="Microsoft Sans Serif" w:eastAsia="Microsoft Sans Serif" w:hAnsi="Microsoft Sans Serif" w:cs="Microsoft Sans Serif"/>
        </w:rPr>
        <w:cr/>
      </w:r>
      <w:r w:rsidRPr="00C22EA2">
        <w:rPr>
          <w:rFonts w:ascii="Microsoft Sans Serif" w:eastAsia="Microsoft Sans Serif" w:hAnsi="Microsoft Sans Serif" w:cs="Microsoft Sans Serif"/>
          <w:b/>
          <w:bCs/>
        </w:rPr>
        <w:t>814.853.3770</w:t>
      </w:r>
      <w:r w:rsidRPr="00C22EA2">
        <w:rPr>
          <w:rFonts w:ascii="Microsoft Sans Serif" w:eastAsia="Microsoft Sans Serif" w:hAnsi="Microsoft Sans Serif" w:cs="Microsoft Sans Serif"/>
          <w:b/>
          <w:bCs/>
        </w:rPr>
        <w:cr/>
      </w:r>
      <w:r w:rsidRPr="00C22EA2">
        <w:rPr>
          <w:rFonts w:ascii="Microsoft Sans Serif" w:eastAsia="Microsoft Sans Serif" w:hAnsi="Microsoft Sans Serif" w:cs="Microsoft Sans Serif"/>
          <w:b/>
          <w:bCs/>
        </w:rPr>
        <w:cr/>
      </w:r>
      <w:r w:rsidRPr="00C22EA2">
        <w:rPr>
          <w:rFonts w:ascii="Microsoft Sans Serif" w:eastAsia="Microsoft Sans Serif" w:hAnsi="Microsoft Sans Serif" w:cs="Microsoft Sans Serif"/>
        </w:rPr>
        <w:t>MARGARET MORRIS ESQUIRE</w:t>
      </w:r>
      <w:r w:rsidRPr="00C22EA2">
        <w:rPr>
          <w:rFonts w:ascii="Microsoft Sans Serif" w:eastAsia="Microsoft Sans Serif" w:hAnsi="Microsoft Sans Serif" w:cs="Microsoft Sans Serif"/>
        </w:rPr>
        <w:cr/>
        <w:t>REGER RIZZO &amp; DARNALL</w:t>
      </w:r>
      <w:r w:rsidRPr="00C22EA2">
        <w:rPr>
          <w:rFonts w:ascii="Microsoft Sans Serif" w:eastAsia="Microsoft Sans Serif" w:hAnsi="Microsoft Sans Serif" w:cs="Microsoft Sans Serif"/>
        </w:rPr>
        <w:cr/>
        <w:t>CIRA CENTRE 13th FL</w:t>
      </w:r>
      <w:r w:rsidRPr="00C22EA2">
        <w:rPr>
          <w:rFonts w:ascii="Microsoft Sans Serif" w:eastAsia="Microsoft Sans Serif" w:hAnsi="Microsoft Sans Serif" w:cs="Microsoft Sans Serif"/>
        </w:rPr>
        <w:cr/>
        <w:t>2929 ARCH STREET</w:t>
      </w:r>
      <w:r w:rsidRPr="00C22EA2">
        <w:rPr>
          <w:rFonts w:ascii="Microsoft Sans Serif" w:eastAsia="Microsoft Sans Serif" w:hAnsi="Microsoft Sans Serif" w:cs="Microsoft Sans Serif"/>
        </w:rPr>
        <w:cr/>
        <w:t>PHILADELPHIA PA  19104</w:t>
      </w:r>
      <w:r w:rsidRPr="00C22EA2">
        <w:rPr>
          <w:rFonts w:ascii="Microsoft Sans Serif" w:eastAsia="Microsoft Sans Serif" w:hAnsi="Microsoft Sans Serif" w:cs="Microsoft Sans Serif"/>
        </w:rPr>
        <w:cr/>
      </w:r>
      <w:r w:rsidRPr="00C22EA2">
        <w:rPr>
          <w:rFonts w:ascii="Microsoft Sans Serif" w:eastAsia="Microsoft Sans Serif" w:hAnsi="Microsoft Sans Serif" w:cs="Microsoft Sans Serif"/>
          <w:b/>
          <w:bCs/>
        </w:rPr>
        <w:t>215.495.6524</w:t>
      </w:r>
      <w:r w:rsidRPr="00C22EA2">
        <w:rPr>
          <w:rFonts w:ascii="Microsoft Sans Serif" w:eastAsia="Microsoft Sans Serif" w:hAnsi="Microsoft Sans Serif" w:cs="Microsoft Sans Serif"/>
          <w:b/>
          <w:bCs/>
        </w:rPr>
        <w:br/>
      </w:r>
      <w:r w:rsidRPr="00C22EA2">
        <w:rPr>
          <w:rFonts w:ascii="Microsoft Sans Serif" w:eastAsia="Microsoft Sans Serif" w:hAnsi="Microsoft Sans Serif" w:cs="Microsoft Sans Serif"/>
          <w:b/>
          <w:bCs/>
          <w:i/>
          <w:iCs/>
          <w:u w:val="single"/>
        </w:rPr>
        <w:t>ACCEPTS E-SERVICE</w:t>
      </w:r>
      <w:r w:rsidRPr="00C22EA2">
        <w:rPr>
          <w:rFonts w:ascii="Microsoft Sans Serif" w:eastAsia="Microsoft Sans Serif" w:hAnsi="Microsoft Sans Serif" w:cs="Microsoft Sans Serif"/>
        </w:rPr>
        <w:cr/>
      </w:r>
    </w:p>
    <w:p w14:paraId="4ED99FB2" w14:textId="0C51DB6B" w:rsidR="00144450" w:rsidRDefault="00144450" w:rsidP="00144450"/>
    <w:sectPr w:rsidR="00144450" w:rsidSect="0014445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B6155" w14:textId="77777777" w:rsidR="00EB4354" w:rsidRDefault="00EB4354" w:rsidP="00FC1A46">
      <w:pPr>
        <w:spacing w:line="240" w:lineRule="auto"/>
      </w:pPr>
      <w:r>
        <w:separator/>
      </w:r>
    </w:p>
  </w:endnote>
  <w:endnote w:type="continuationSeparator" w:id="0">
    <w:p w14:paraId="5EDA794C" w14:textId="77777777" w:rsidR="00EB4354" w:rsidRDefault="00EB4354" w:rsidP="00FC1A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18"/>
      </w:rPr>
      <w:id w:val="1816217816"/>
      <w:docPartObj>
        <w:docPartGallery w:val="Page Numbers (Bottom of Page)"/>
        <w:docPartUnique/>
      </w:docPartObj>
    </w:sdtPr>
    <w:sdtEndPr>
      <w:rPr>
        <w:noProof/>
      </w:rPr>
    </w:sdtEndPr>
    <w:sdtContent>
      <w:p w14:paraId="0FF5C524" w14:textId="77777777" w:rsidR="00144450" w:rsidRPr="00C22EA2" w:rsidRDefault="00144450">
        <w:pPr>
          <w:pStyle w:val="Footer"/>
          <w:jc w:val="center"/>
          <w:rPr>
            <w:sz w:val="20"/>
            <w:szCs w:val="18"/>
          </w:rPr>
        </w:pPr>
        <w:r w:rsidRPr="00C22EA2">
          <w:rPr>
            <w:sz w:val="20"/>
            <w:szCs w:val="18"/>
          </w:rPr>
          <w:fldChar w:fldCharType="begin"/>
        </w:r>
        <w:r w:rsidRPr="00C22EA2">
          <w:rPr>
            <w:sz w:val="20"/>
            <w:szCs w:val="18"/>
          </w:rPr>
          <w:instrText xml:space="preserve"> PAGE   \* MERGEFORMAT </w:instrText>
        </w:r>
        <w:r w:rsidRPr="00C22EA2">
          <w:rPr>
            <w:sz w:val="20"/>
            <w:szCs w:val="18"/>
          </w:rPr>
          <w:fldChar w:fldCharType="separate"/>
        </w:r>
        <w:r w:rsidRPr="00C22EA2">
          <w:rPr>
            <w:noProof/>
            <w:sz w:val="20"/>
            <w:szCs w:val="18"/>
          </w:rPr>
          <w:t>2</w:t>
        </w:r>
        <w:r w:rsidRPr="00C22EA2">
          <w:rPr>
            <w:noProof/>
            <w:sz w:val="20"/>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03AB5" w14:textId="77777777" w:rsidR="00EB4354" w:rsidRDefault="00EB4354" w:rsidP="00FC1A46">
      <w:pPr>
        <w:spacing w:line="240" w:lineRule="auto"/>
      </w:pPr>
      <w:r>
        <w:separator/>
      </w:r>
    </w:p>
  </w:footnote>
  <w:footnote w:type="continuationSeparator" w:id="0">
    <w:p w14:paraId="50D55064" w14:textId="77777777" w:rsidR="00EB4354" w:rsidRDefault="00EB4354" w:rsidP="00FC1A46">
      <w:pPr>
        <w:spacing w:line="240" w:lineRule="auto"/>
      </w:pPr>
      <w:r>
        <w:continuationSeparator/>
      </w:r>
    </w:p>
  </w:footnote>
  <w:footnote w:id="1">
    <w:p w14:paraId="2081F682" w14:textId="3C4CDE1A" w:rsidR="00FC1A46" w:rsidRDefault="00FC1A46">
      <w:pPr>
        <w:pStyle w:val="FootnoteText"/>
      </w:pPr>
      <w:r>
        <w:rPr>
          <w:rStyle w:val="FootnoteReference"/>
        </w:rPr>
        <w:footnoteRef/>
      </w:r>
      <w:r>
        <w:t xml:space="preserve"> </w:t>
      </w:r>
      <w:r>
        <w:tab/>
        <w:t>Complainant’s Opposition to Respondent’s Request for Mediation and Motion for Summary Judgement, ¶</w:t>
      </w:r>
      <w:r w:rsidR="00C22EA2">
        <w:t> </w:t>
      </w:r>
      <w:r>
        <w:t>4.</w:t>
      </w:r>
    </w:p>
    <w:p w14:paraId="6BF15433" w14:textId="77777777" w:rsidR="002F3555" w:rsidRDefault="002F3555">
      <w:pPr>
        <w:pStyle w:val="FootnoteText"/>
      </w:pPr>
    </w:p>
  </w:footnote>
  <w:footnote w:id="2">
    <w:p w14:paraId="34DAACC6" w14:textId="77777777" w:rsidR="00FC1A46" w:rsidRDefault="00FC1A46">
      <w:pPr>
        <w:pStyle w:val="FootnoteText"/>
      </w:pPr>
      <w:r>
        <w:rPr>
          <w:rStyle w:val="FootnoteReference"/>
        </w:rPr>
        <w:footnoteRef/>
      </w:r>
      <w:r>
        <w:t xml:space="preserve"> </w:t>
      </w:r>
      <w:r>
        <w:tab/>
        <w:t>Interim Order Denying Motion for Summary Judgment (January 30, 2020).</w:t>
      </w:r>
      <w:r w:rsidR="00042AFC">
        <w:br/>
      </w:r>
    </w:p>
  </w:footnote>
  <w:footnote w:id="3">
    <w:p w14:paraId="4422EFB6" w14:textId="77777777" w:rsidR="007C137B" w:rsidRDefault="007C137B">
      <w:pPr>
        <w:pStyle w:val="FootnoteText"/>
      </w:pPr>
      <w:r>
        <w:rPr>
          <w:rStyle w:val="FootnoteReference"/>
        </w:rPr>
        <w:footnoteRef/>
      </w:r>
      <w:r>
        <w:t xml:space="preserve"> </w:t>
      </w:r>
      <w:r>
        <w:tab/>
        <w:t xml:space="preserve">The certificate of service indicates that the Complainant’s motion was served on counsel for Penelec.  However, it does not appear that the motion was filed with the Commission’s Secretary’s Bureau.  52 Pa.Code § </w:t>
      </w:r>
      <w:r w:rsidR="00042AFC">
        <w:t>1.4.  As a one-time courtesy the Complainant’s motion will be forwarded to the Secretary’s Bureau for filing.</w:t>
      </w:r>
    </w:p>
  </w:footnote>
  <w:footnote w:id="4">
    <w:p w14:paraId="1549F14B" w14:textId="5A6898BB" w:rsidR="002109A6" w:rsidRDefault="002109A6">
      <w:pPr>
        <w:pStyle w:val="FootnoteText"/>
      </w:pPr>
      <w:r>
        <w:rPr>
          <w:rStyle w:val="FootnoteReference"/>
        </w:rPr>
        <w:footnoteRef/>
      </w:r>
      <w:r>
        <w:t xml:space="preserve"> </w:t>
      </w:r>
      <w:r w:rsidR="00964814">
        <w:tab/>
      </w:r>
      <w:r>
        <w:t>Complainant’s Motion at pp. 3, 6, 7, 8, 10.</w:t>
      </w:r>
    </w:p>
  </w:footnote>
  <w:footnote w:id="5">
    <w:p w14:paraId="43254DF0" w14:textId="054762B9" w:rsidR="00A27A13" w:rsidRDefault="00A27A13">
      <w:pPr>
        <w:pStyle w:val="FootnoteText"/>
      </w:pPr>
      <w:r>
        <w:rPr>
          <w:rStyle w:val="FootnoteReference"/>
        </w:rPr>
        <w:footnoteRef/>
      </w:r>
      <w:r>
        <w:t xml:space="preserve"> </w:t>
      </w:r>
      <w:r>
        <w:tab/>
      </w:r>
      <w:r w:rsidRPr="00144450">
        <w:rPr>
          <w:rFonts w:cs="CG Times"/>
          <w:i/>
          <w:iCs/>
          <w:szCs w:val="24"/>
        </w:rPr>
        <w:t>Commonwealth v. Druce</w:t>
      </w:r>
      <w:r w:rsidRPr="00144450">
        <w:rPr>
          <w:rFonts w:cs="CG Times"/>
          <w:szCs w:val="24"/>
        </w:rPr>
        <w:t>, 848 A.2d 104, 108 (Pa. 2004).</w:t>
      </w:r>
      <w:r>
        <w:rPr>
          <w:rFonts w:cs="CG Times"/>
          <w:szCs w:val="24"/>
        </w:rPr>
        <w:br/>
      </w:r>
    </w:p>
  </w:footnote>
  <w:footnote w:id="6">
    <w:p w14:paraId="0B52F369" w14:textId="064CFC1C" w:rsidR="00144450" w:rsidRDefault="00144450">
      <w:pPr>
        <w:pStyle w:val="FootnoteText"/>
      </w:pPr>
      <w:r>
        <w:rPr>
          <w:rStyle w:val="FootnoteReference"/>
        </w:rPr>
        <w:footnoteRef/>
      </w:r>
      <w:r>
        <w:t xml:space="preserve"> </w:t>
      </w:r>
      <w:r w:rsidR="00042AFC">
        <w:tab/>
      </w:r>
      <w:r w:rsidR="00F8436C" w:rsidRPr="00F8436C">
        <w:rPr>
          <w:i/>
          <w:iCs/>
        </w:rPr>
        <w:t>Commonwealth v. Travaglia</w:t>
      </w:r>
      <w:r w:rsidR="00F8436C" w:rsidRPr="00F8436C">
        <w:t>, 661 A.2d 352, 369-370 (Pa. 1995)</w:t>
      </w:r>
      <w:r w:rsidR="00F8436C">
        <w:t xml:space="preserve">; </w:t>
      </w:r>
      <w:r w:rsidRPr="000325FB">
        <w:rPr>
          <w:rFonts w:cs="CG Times"/>
          <w:i/>
          <w:iCs/>
          <w:szCs w:val="24"/>
        </w:rPr>
        <w:t>Reilly v. Southeastern Pennsylvania Transportation Authority</w:t>
      </w:r>
      <w:r w:rsidRPr="00144450">
        <w:rPr>
          <w:rFonts w:cs="CG Times"/>
          <w:szCs w:val="24"/>
        </w:rPr>
        <w:t>, 489 A.2d 1291, 1300 (1985)</w:t>
      </w:r>
      <w:r w:rsidR="00F8436C">
        <w:rPr>
          <w:rFonts w:cs="CG Times"/>
          <w:szCs w:val="24"/>
        </w:rPr>
        <w:t>.</w:t>
      </w:r>
      <w:r w:rsidR="00042AFC">
        <w:rPr>
          <w:rFonts w:cs="CG Times"/>
          <w:szCs w:val="24"/>
        </w:rPr>
        <w:br/>
      </w:r>
    </w:p>
  </w:footnote>
  <w:footnote w:id="7">
    <w:p w14:paraId="25CB42B4" w14:textId="4FDB642D" w:rsidR="00F8436C" w:rsidRDefault="00F8436C">
      <w:pPr>
        <w:pStyle w:val="FootnoteText"/>
      </w:pPr>
      <w:r>
        <w:rPr>
          <w:rStyle w:val="FootnoteReference"/>
        </w:rPr>
        <w:footnoteRef/>
      </w:r>
      <w:r>
        <w:t xml:space="preserve"> </w:t>
      </w:r>
      <w:r>
        <w:tab/>
      </w:r>
      <w:r w:rsidRPr="00F8436C">
        <w:rPr>
          <w:i/>
          <w:iCs/>
          <w:color w:val="373739"/>
          <w:sz w:val="21"/>
          <w:szCs w:val="21"/>
        </w:rPr>
        <w:t>Sharp v. Johnson</w:t>
      </w:r>
      <w:r w:rsidRPr="00A066C6">
        <w:rPr>
          <w:color w:val="373739"/>
          <w:sz w:val="21"/>
          <w:szCs w:val="21"/>
        </w:rPr>
        <w:t>, 2007 U.S. Dist. LEXIS 76254, *9</w:t>
      </w:r>
      <w:r>
        <w:rPr>
          <w:color w:val="373739"/>
          <w:sz w:val="21"/>
          <w:szCs w:val="21"/>
        </w:rPr>
        <w:t xml:space="preserve">, (W.D. Pa. 2007)(citing </w:t>
      </w:r>
      <w:r w:rsidRPr="00F8436C">
        <w:rPr>
          <w:i/>
          <w:iCs/>
          <w:color w:val="373739"/>
          <w:sz w:val="21"/>
          <w:szCs w:val="21"/>
        </w:rPr>
        <w:t>Edwards v. U.S</w:t>
      </w:r>
      <w:r w:rsidRPr="00F8436C">
        <w:rPr>
          <w:color w:val="373739"/>
          <w:sz w:val="21"/>
          <w:szCs w:val="21"/>
        </w:rPr>
        <w:t>., 334 F.2d 360, 362 n.2 (5th Cir. 1964)</w:t>
      </w:r>
      <w:r>
        <w:rPr>
          <w:color w:val="373739"/>
          <w:sz w:val="21"/>
          <w:szCs w:val="21"/>
        </w:rPr>
        <w:t xml:space="preserve">; </w:t>
      </w:r>
      <w:r w:rsidRPr="00F8436C">
        <w:rPr>
          <w:i/>
          <w:iCs/>
          <w:color w:val="373739"/>
          <w:sz w:val="21"/>
          <w:szCs w:val="21"/>
        </w:rPr>
        <w:t>United States v. Hall</w:t>
      </w:r>
      <w:r w:rsidRPr="00F8436C">
        <w:rPr>
          <w:color w:val="373739"/>
          <w:sz w:val="21"/>
          <w:szCs w:val="21"/>
        </w:rPr>
        <w:t>, 424 F. Supp. 508, 534 (W.D. Ok. 1975</w:t>
      </w:r>
      <w:r>
        <w:rPr>
          <w:color w:val="373739"/>
          <w:sz w:val="21"/>
          <w:szCs w:val="21"/>
        </w:rPr>
        <w:t xml:space="preserve">), </w:t>
      </w:r>
      <w:r w:rsidRPr="00F8436C">
        <w:rPr>
          <w:i/>
          <w:iCs/>
          <w:color w:val="373739"/>
          <w:sz w:val="21"/>
          <w:szCs w:val="21"/>
        </w:rPr>
        <w:t>aff'd</w:t>
      </w:r>
      <w:r w:rsidRPr="00F8436C">
        <w:rPr>
          <w:color w:val="373739"/>
          <w:sz w:val="21"/>
          <w:szCs w:val="21"/>
        </w:rPr>
        <w:t>, 536 F.2d 313 (10th Cir. 1976)).</w:t>
      </w:r>
      <w:r w:rsidR="00572940">
        <w:rPr>
          <w:color w:val="373739"/>
          <w:sz w:val="21"/>
          <w:szCs w:val="21"/>
        </w:rPr>
        <w:t xml:space="preserve">  </w:t>
      </w:r>
      <w:r w:rsidR="00572940">
        <w:rPr>
          <w:i/>
          <w:iCs/>
          <w:color w:val="373739"/>
          <w:sz w:val="21"/>
          <w:szCs w:val="21"/>
        </w:rPr>
        <w:t>See also</w:t>
      </w:r>
      <w:r w:rsidR="00572940">
        <w:rPr>
          <w:color w:val="373739"/>
          <w:sz w:val="21"/>
          <w:szCs w:val="21"/>
        </w:rPr>
        <w:t xml:space="preserve"> 66 Pa.C.S. § 334(a).</w:t>
      </w:r>
      <w:r w:rsidR="00572940">
        <w:rPr>
          <w:color w:val="373739"/>
          <w:sz w:val="21"/>
          <w:szCs w:val="21"/>
        </w:rPr>
        <w:br/>
      </w:r>
    </w:p>
  </w:footnote>
  <w:footnote w:id="8">
    <w:p w14:paraId="0419531A" w14:textId="77777777" w:rsidR="00525570" w:rsidRDefault="00525570">
      <w:pPr>
        <w:pStyle w:val="FootnoteText"/>
      </w:pPr>
      <w:r>
        <w:rPr>
          <w:rStyle w:val="FootnoteReference"/>
        </w:rPr>
        <w:footnoteRef/>
      </w:r>
      <w:r>
        <w:t xml:space="preserve"> </w:t>
      </w:r>
      <w:r>
        <w:tab/>
        <w:t>52 Pa.Code § 1.2.</w:t>
      </w:r>
      <w:r w:rsidR="0067044C">
        <w:br/>
      </w:r>
    </w:p>
  </w:footnote>
  <w:footnote w:id="9">
    <w:p w14:paraId="7F3A3C64" w14:textId="05BEB84C" w:rsidR="000D3789" w:rsidRDefault="000D3789" w:rsidP="000D3789">
      <w:pPr>
        <w:pStyle w:val="FootnoteText"/>
      </w:pPr>
      <w:r>
        <w:rPr>
          <w:rStyle w:val="FootnoteReference"/>
        </w:rPr>
        <w:footnoteRef/>
      </w:r>
      <w:r>
        <w:tab/>
        <w:t xml:space="preserve"> </w:t>
      </w:r>
      <w:r w:rsidRPr="00273411">
        <w:t xml:space="preserve">52 Pa.Code </w:t>
      </w:r>
      <w:r w:rsidRPr="00273411">
        <w:rPr>
          <w:bCs/>
        </w:rPr>
        <w:t>§ 5.482</w:t>
      </w:r>
      <w:r w:rsidRPr="00273411">
        <w:t xml:space="preserve"> (a); </w:t>
      </w:r>
      <w:r>
        <w:rPr>
          <w:i/>
          <w:iCs/>
        </w:rPr>
        <w:t xml:space="preserve">See DeLone v. PECO Energy Company, </w:t>
      </w:r>
      <w:r>
        <w:t xml:space="preserve">Docket C-20066721 (Opinion and Order entered July 18, 2008); </w:t>
      </w:r>
      <w:r w:rsidRPr="006C427F">
        <w:rPr>
          <w:i/>
        </w:rPr>
        <w:t>United States v. Thomas</w:t>
      </w:r>
      <w:r w:rsidRPr="006C427F">
        <w:t>, 299 F. Supp. 494, 499 (E.D. Missouri 1968).</w:t>
      </w:r>
      <w:r>
        <w:br/>
      </w:r>
    </w:p>
  </w:footnote>
  <w:footnote w:id="10">
    <w:p w14:paraId="782BCFDF" w14:textId="77777777" w:rsidR="000D3789" w:rsidRDefault="000D3789" w:rsidP="000D3789">
      <w:pPr>
        <w:pStyle w:val="FootnoteText"/>
      </w:pPr>
      <w:r>
        <w:rPr>
          <w:rStyle w:val="FootnoteReference"/>
        </w:rPr>
        <w:footnoteRef/>
      </w:r>
      <w:r>
        <w:tab/>
        <w:t xml:space="preserve"> </w:t>
      </w:r>
      <w:r w:rsidRPr="000325FB">
        <w:rPr>
          <w:i/>
          <w:iCs/>
        </w:rPr>
        <w:t>United States v. Thomas</w:t>
      </w:r>
      <w:r w:rsidRPr="00273411">
        <w:t xml:space="preserve">.  </w:t>
      </w:r>
      <w:r>
        <w:br/>
      </w:r>
    </w:p>
  </w:footnote>
  <w:footnote w:id="11">
    <w:p w14:paraId="5A95C40A" w14:textId="77777777" w:rsidR="00525570" w:rsidRDefault="00525570">
      <w:pPr>
        <w:pStyle w:val="FootnoteText"/>
      </w:pPr>
      <w:r>
        <w:rPr>
          <w:rStyle w:val="FootnoteReference"/>
        </w:rPr>
        <w:footnoteRef/>
      </w:r>
      <w:r>
        <w:t xml:space="preserve"> </w:t>
      </w:r>
      <w:r w:rsidR="0067044C">
        <w:tab/>
      </w:r>
      <w:r w:rsidRPr="000325FB">
        <w:rPr>
          <w:i/>
          <w:iCs/>
        </w:rPr>
        <w:t>Johnson v. Trueblood</w:t>
      </w:r>
      <w:r w:rsidRPr="00273411">
        <w:t>, 629 F.2d 287, 291 (3d Cir. 1980).</w:t>
      </w:r>
      <w:r w:rsidR="0067044C">
        <w:br/>
      </w:r>
    </w:p>
  </w:footnote>
  <w:footnote w:id="12">
    <w:p w14:paraId="3E8EAB4B" w14:textId="799F703E" w:rsidR="00B56B62" w:rsidRDefault="00B56B62">
      <w:pPr>
        <w:pStyle w:val="FootnoteText"/>
      </w:pPr>
      <w:r>
        <w:rPr>
          <w:rStyle w:val="FootnoteReference"/>
        </w:rPr>
        <w:footnoteRef/>
      </w:r>
      <w:r>
        <w:t xml:space="preserve"> </w:t>
      </w:r>
      <w:r w:rsidR="0067044C">
        <w:tab/>
      </w:r>
      <w:r w:rsidRPr="000325FB">
        <w:rPr>
          <w:i/>
          <w:iCs/>
        </w:rPr>
        <w:t>United States v. Grinnell Corp</w:t>
      </w:r>
      <w:r w:rsidRPr="00273411">
        <w:t>., 384 U.S. 563, 583, 86 S.Ct. 1698, 1710 (1966).</w:t>
      </w:r>
      <w:r w:rsidR="00F361EB">
        <w:t xml:space="preserve">  </w:t>
      </w:r>
      <w:r w:rsidR="00F361EB">
        <w:rPr>
          <w:i/>
          <w:iCs/>
        </w:rPr>
        <w:t>See Zied v. PECO Energy Company,</w:t>
      </w:r>
      <w:r w:rsidR="00F361EB">
        <w:t xml:space="preserve"> Docket </w:t>
      </w:r>
      <w:r w:rsidR="00CF32B7">
        <w:t xml:space="preserve">No. </w:t>
      </w:r>
      <w:r w:rsidR="00F361EB">
        <w:t>F-2015-2500342 (Opinion and Order entered September 15, 2016).</w:t>
      </w:r>
      <w:r w:rsidR="0067044C">
        <w:br/>
      </w:r>
    </w:p>
  </w:footnote>
  <w:footnote w:id="13">
    <w:p w14:paraId="024E3929" w14:textId="7548C6C1" w:rsidR="00B56B62" w:rsidRDefault="00B56B62">
      <w:pPr>
        <w:pStyle w:val="FootnoteText"/>
      </w:pPr>
      <w:r>
        <w:rPr>
          <w:rStyle w:val="FootnoteReference"/>
        </w:rPr>
        <w:footnoteRef/>
      </w:r>
      <w:r>
        <w:t xml:space="preserve"> </w:t>
      </w:r>
      <w:r w:rsidR="0067044C">
        <w:tab/>
      </w:r>
      <w:r w:rsidRPr="000325FB">
        <w:rPr>
          <w:i/>
          <w:iCs/>
        </w:rPr>
        <w:t>Johnson</w:t>
      </w:r>
      <w:r w:rsidRPr="00B56B62">
        <w:t xml:space="preserve">, 629 F.2d at 291;  </w:t>
      </w:r>
      <w:r w:rsidRPr="000325FB">
        <w:rPr>
          <w:i/>
          <w:iCs/>
        </w:rPr>
        <w:t>Knapp v. Kinsey</w:t>
      </w:r>
      <w:r w:rsidRPr="00B56B62">
        <w:t xml:space="preserve">, 232 F.2d 458 (6th Cir. 1956).  </w:t>
      </w:r>
    </w:p>
  </w:footnote>
  <w:footnote w:id="14">
    <w:p w14:paraId="7627A767" w14:textId="40493DED" w:rsidR="001A0294" w:rsidRDefault="001A0294" w:rsidP="005B1DCF">
      <w:pPr>
        <w:spacing w:before="100" w:beforeAutospacing="1" w:after="100" w:afterAutospacing="1" w:line="240" w:lineRule="auto"/>
      </w:pPr>
      <w:r>
        <w:rPr>
          <w:rStyle w:val="FootnoteReference"/>
        </w:rPr>
        <w:footnoteRef/>
      </w:r>
      <w:r>
        <w:tab/>
        <w:t xml:space="preserve"> </w:t>
      </w:r>
      <w:bookmarkStart w:id="0" w:name="_Hlk34207957"/>
      <w:r w:rsidRPr="00A066C6">
        <w:rPr>
          <w:rFonts w:eastAsia="Times New Roman"/>
          <w:i/>
          <w:iCs/>
          <w:color w:val="373739"/>
          <w:sz w:val="20"/>
          <w:szCs w:val="20"/>
        </w:rPr>
        <w:t>Berger v. United States</w:t>
      </w:r>
      <w:r w:rsidRPr="00A066C6">
        <w:rPr>
          <w:rFonts w:eastAsia="Times New Roman"/>
          <w:color w:val="373739"/>
          <w:sz w:val="20"/>
          <w:szCs w:val="20"/>
        </w:rPr>
        <w:t xml:space="preserve">, 255 U.S. 22, 41 S. Ct. 230, 65 L. Ed. 481 (1921); </w:t>
      </w:r>
      <w:r w:rsidRPr="00A066C6">
        <w:rPr>
          <w:rFonts w:eastAsia="Times New Roman"/>
          <w:i/>
          <w:iCs/>
          <w:color w:val="373739"/>
          <w:sz w:val="20"/>
          <w:szCs w:val="20"/>
        </w:rPr>
        <w:t>United States v. Beneke</w:t>
      </w:r>
      <w:r w:rsidRPr="00A066C6">
        <w:rPr>
          <w:rFonts w:eastAsia="Times New Roman"/>
          <w:color w:val="373739"/>
          <w:sz w:val="20"/>
          <w:szCs w:val="20"/>
        </w:rPr>
        <w:t>, 449 F.2d 1259 (Eighth Cir. 1971)</w:t>
      </w:r>
      <w:r>
        <w:rPr>
          <w:rFonts w:eastAsia="Times New Roman"/>
          <w:color w:val="373739"/>
          <w:sz w:val="20"/>
          <w:szCs w:val="20"/>
        </w:rPr>
        <w:t>.</w:t>
      </w:r>
      <w:bookmarkEnd w:id="0"/>
    </w:p>
  </w:footnote>
  <w:footnote w:id="15">
    <w:p w14:paraId="1D1B79B1" w14:textId="1FCC2457" w:rsidR="00572940" w:rsidRDefault="00572940">
      <w:pPr>
        <w:pStyle w:val="FootnoteText"/>
      </w:pPr>
      <w:r>
        <w:rPr>
          <w:rStyle w:val="FootnoteReference"/>
        </w:rPr>
        <w:footnoteRef/>
      </w:r>
      <w:r>
        <w:t xml:space="preserve"> </w:t>
      </w:r>
      <w:r>
        <w:tab/>
        <w:t>66 Pa.C.S. § 331(c).</w:t>
      </w:r>
      <w:r>
        <w:br/>
      </w:r>
    </w:p>
  </w:footnote>
  <w:footnote w:id="16">
    <w:p w14:paraId="1D38A8E2" w14:textId="4EE1F5DC" w:rsidR="005829C0" w:rsidRDefault="005829C0" w:rsidP="005829C0">
      <w:pPr>
        <w:pStyle w:val="FootnoteText"/>
      </w:pPr>
      <w:r>
        <w:rPr>
          <w:rStyle w:val="FootnoteReference"/>
        </w:rPr>
        <w:footnoteRef/>
      </w:r>
      <w:r>
        <w:t xml:space="preserve"> </w:t>
      </w:r>
      <w:r>
        <w:tab/>
      </w:r>
      <w:r w:rsidRPr="000325FB">
        <w:rPr>
          <w:rFonts w:cs="CG Times"/>
          <w:i/>
          <w:iCs/>
          <w:szCs w:val="24"/>
        </w:rPr>
        <w:t>Pennsylvania Publications v. Public Utility Commission</w:t>
      </w:r>
      <w:r w:rsidRPr="00144450">
        <w:rPr>
          <w:rFonts w:cs="CG Times"/>
          <w:szCs w:val="24"/>
        </w:rPr>
        <w:t>, 152 Pa.Super</w:t>
      </w:r>
      <w:r w:rsidR="00CF32B7">
        <w:rPr>
          <w:rFonts w:cs="CG Times"/>
          <w:szCs w:val="24"/>
        </w:rPr>
        <w:t>.</w:t>
      </w:r>
      <w:r w:rsidRPr="00144450">
        <w:rPr>
          <w:rFonts w:cs="CG Times"/>
          <w:szCs w:val="24"/>
        </w:rPr>
        <w:t xml:space="preserve"> 279, 32 A.2d 40, </w:t>
      </w:r>
      <w:r w:rsidRPr="000325FB">
        <w:rPr>
          <w:rFonts w:cs="CG Times"/>
          <w:i/>
          <w:iCs/>
          <w:szCs w:val="24"/>
        </w:rPr>
        <w:t>reversed on other grounds</w:t>
      </w:r>
      <w:r w:rsidRPr="000325FB">
        <w:rPr>
          <w:rFonts w:cs="CG Times"/>
          <w:szCs w:val="24"/>
        </w:rPr>
        <w:t>,</w:t>
      </w:r>
      <w:r w:rsidRPr="00144450">
        <w:rPr>
          <w:rFonts w:cs="CG Times"/>
          <w:szCs w:val="24"/>
        </w:rPr>
        <w:t xml:space="preserve"> 349 Pa. 184, 36 A.2d 777, 153 ALR 457 (1943)</w:t>
      </w:r>
      <w:r w:rsidR="00C22EA2" w:rsidRPr="00144450">
        <w:rPr>
          <w:rFonts w:cs="CG Times"/>
          <w:szCs w:val="24"/>
        </w:rPr>
        <w:t xml:space="preserve">.  </w:t>
      </w:r>
      <w:r>
        <w:rPr>
          <w:rFonts w:cs="CG Times"/>
          <w:szCs w:val="24"/>
        </w:rPr>
        <w:br/>
      </w:r>
      <w:r w:rsidRPr="00144450">
        <w:rPr>
          <w:rFonts w:cs="CG Times"/>
          <w:szCs w:val="24"/>
        </w:rPr>
        <w:t xml:space="preserve"> </w:t>
      </w:r>
    </w:p>
  </w:footnote>
  <w:footnote w:id="17">
    <w:p w14:paraId="1F506959" w14:textId="77777777" w:rsidR="00F4371F" w:rsidRPr="0058510B" w:rsidRDefault="00F4371F">
      <w:pPr>
        <w:pStyle w:val="FootnoteText"/>
      </w:pPr>
      <w:r>
        <w:rPr>
          <w:rStyle w:val="FootnoteReference"/>
        </w:rPr>
        <w:footnoteRef/>
      </w:r>
      <w:r>
        <w:t xml:space="preserve"> </w:t>
      </w:r>
      <w:r w:rsidR="0058510B">
        <w:tab/>
      </w:r>
      <w:r w:rsidR="0058510B">
        <w:rPr>
          <w:i/>
          <w:iCs/>
        </w:rPr>
        <w:t>Zied v. PECO Energy Company,</w:t>
      </w:r>
      <w:r w:rsidR="0058510B">
        <w:t xml:space="preserve"> Docket F-2015-2500342 (Opinion and Order entered September 15,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8"/>
  </w:num>
  <w:num w:numId="2">
    <w:abstractNumId w:val="19"/>
  </w:num>
  <w:num w:numId="3">
    <w:abstractNumId w:val="26"/>
  </w:num>
  <w:num w:numId="4">
    <w:abstractNumId w:val="30"/>
  </w:num>
  <w:num w:numId="5">
    <w:abstractNumId w:val="11"/>
  </w:num>
  <w:num w:numId="6">
    <w:abstractNumId w:val="8"/>
  </w:num>
  <w:num w:numId="7">
    <w:abstractNumId w:val="6"/>
  </w:num>
  <w:num w:numId="8">
    <w:abstractNumId w:val="29"/>
  </w:num>
  <w:num w:numId="9">
    <w:abstractNumId w:val="3"/>
  </w:num>
  <w:num w:numId="10">
    <w:abstractNumId w:val="21"/>
  </w:num>
  <w:num w:numId="11">
    <w:abstractNumId w:val="25"/>
  </w:num>
  <w:num w:numId="12">
    <w:abstractNumId w:val="15"/>
  </w:num>
  <w:num w:numId="13">
    <w:abstractNumId w:val="22"/>
  </w:num>
  <w:num w:numId="14">
    <w:abstractNumId w:val="27"/>
  </w:num>
  <w:num w:numId="15">
    <w:abstractNumId w:val="0"/>
  </w:num>
  <w:num w:numId="16">
    <w:abstractNumId w:val="20"/>
  </w:num>
  <w:num w:numId="17">
    <w:abstractNumId w:val="20"/>
  </w:num>
  <w:num w:numId="18">
    <w:abstractNumId w:val="10"/>
  </w:num>
  <w:num w:numId="19">
    <w:abstractNumId w:val="16"/>
  </w:num>
  <w:num w:numId="20">
    <w:abstractNumId w:val="31"/>
  </w:num>
  <w:num w:numId="21">
    <w:abstractNumId w:val="13"/>
  </w:num>
  <w:num w:numId="22">
    <w:abstractNumId w:val="5"/>
  </w:num>
  <w:num w:numId="23">
    <w:abstractNumId w:val="14"/>
  </w:num>
  <w:num w:numId="24">
    <w:abstractNumId w:val="34"/>
  </w:num>
  <w:num w:numId="25">
    <w:abstractNumId w:val="1"/>
  </w:num>
  <w:num w:numId="26">
    <w:abstractNumId w:val="7"/>
  </w:num>
  <w:num w:numId="27">
    <w:abstractNumId w:val="24"/>
  </w:num>
  <w:num w:numId="28">
    <w:abstractNumId w:val="12"/>
  </w:num>
  <w:num w:numId="29">
    <w:abstractNumId w:val="9"/>
  </w:num>
  <w:num w:numId="30">
    <w:abstractNumId w:val="18"/>
  </w:num>
  <w:num w:numId="31">
    <w:abstractNumId w:val="32"/>
  </w:num>
  <w:num w:numId="32">
    <w:abstractNumId w:val="33"/>
  </w:num>
  <w:num w:numId="33">
    <w:abstractNumId w:val="23"/>
  </w:num>
  <w:num w:numId="34">
    <w:abstractNumId w:val="4"/>
  </w:num>
  <w:num w:numId="35">
    <w:abstractNumId w:val="17"/>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057"/>
    <w:rsid w:val="00004C37"/>
    <w:rsid w:val="000066B3"/>
    <w:rsid w:val="000325FB"/>
    <w:rsid w:val="00042AFC"/>
    <w:rsid w:val="00066D87"/>
    <w:rsid w:val="000743E8"/>
    <w:rsid w:val="00083973"/>
    <w:rsid w:val="000B396E"/>
    <w:rsid w:val="000D3789"/>
    <w:rsid w:val="000E3EDE"/>
    <w:rsid w:val="00107E82"/>
    <w:rsid w:val="00144450"/>
    <w:rsid w:val="00151739"/>
    <w:rsid w:val="001A0294"/>
    <w:rsid w:val="001A21B6"/>
    <w:rsid w:val="001B1CBA"/>
    <w:rsid w:val="001D2AF7"/>
    <w:rsid w:val="00207743"/>
    <w:rsid w:val="002109A6"/>
    <w:rsid w:val="00213167"/>
    <w:rsid w:val="002512F9"/>
    <w:rsid w:val="00267405"/>
    <w:rsid w:val="002F3555"/>
    <w:rsid w:val="003145FA"/>
    <w:rsid w:val="00367A41"/>
    <w:rsid w:val="00393C92"/>
    <w:rsid w:val="003A1A41"/>
    <w:rsid w:val="003A3E09"/>
    <w:rsid w:val="00417566"/>
    <w:rsid w:val="00456181"/>
    <w:rsid w:val="004852A6"/>
    <w:rsid w:val="004B001B"/>
    <w:rsid w:val="004D523C"/>
    <w:rsid w:val="004E104B"/>
    <w:rsid w:val="00525570"/>
    <w:rsid w:val="00572940"/>
    <w:rsid w:val="005829C0"/>
    <w:rsid w:val="0058510B"/>
    <w:rsid w:val="005A1C17"/>
    <w:rsid w:val="005A2ABA"/>
    <w:rsid w:val="005B1DCF"/>
    <w:rsid w:val="005D180A"/>
    <w:rsid w:val="005E7B69"/>
    <w:rsid w:val="00600CF7"/>
    <w:rsid w:val="0061775F"/>
    <w:rsid w:val="006303A8"/>
    <w:rsid w:val="0067044C"/>
    <w:rsid w:val="00683A06"/>
    <w:rsid w:val="00696C0D"/>
    <w:rsid w:val="006C6A0D"/>
    <w:rsid w:val="006F0329"/>
    <w:rsid w:val="00700807"/>
    <w:rsid w:val="00712E58"/>
    <w:rsid w:val="007407AC"/>
    <w:rsid w:val="00755D72"/>
    <w:rsid w:val="00792796"/>
    <w:rsid w:val="00796B64"/>
    <w:rsid w:val="007C137B"/>
    <w:rsid w:val="007E6779"/>
    <w:rsid w:val="00820B4C"/>
    <w:rsid w:val="0083239D"/>
    <w:rsid w:val="00836057"/>
    <w:rsid w:val="008529D2"/>
    <w:rsid w:val="0088105E"/>
    <w:rsid w:val="009047FB"/>
    <w:rsid w:val="00917DCA"/>
    <w:rsid w:val="00926DE3"/>
    <w:rsid w:val="00964814"/>
    <w:rsid w:val="00A27A13"/>
    <w:rsid w:val="00A47096"/>
    <w:rsid w:val="00AA2EC5"/>
    <w:rsid w:val="00AB4C73"/>
    <w:rsid w:val="00AD27C0"/>
    <w:rsid w:val="00AE6F47"/>
    <w:rsid w:val="00B13E71"/>
    <w:rsid w:val="00B43A04"/>
    <w:rsid w:val="00B56B62"/>
    <w:rsid w:val="00B91E47"/>
    <w:rsid w:val="00BA1F98"/>
    <w:rsid w:val="00BC6B21"/>
    <w:rsid w:val="00C006C1"/>
    <w:rsid w:val="00C04D8A"/>
    <w:rsid w:val="00C22EA2"/>
    <w:rsid w:val="00C87E57"/>
    <w:rsid w:val="00CF32B7"/>
    <w:rsid w:val="00CF6143"/>
    <w:rsid w:val="00D14843"/>
    <w:rsid w:val="00DD5C37"/>
    <w:rsid w:val="00DF35D9"/>
    <w:rsid w:val="00E4239A"/>
    <w:rsid w:val="00E44191"/>
    <w:rsid w:val="00E62207"/>
    <w:rsid w:val="00EB027A"/>
    <w:rsid w:val="00EB4354"/>
    <w:rsid w:val="00EC1CBA"/>
    <w:rsid w:val="00EE7801"/>
    <w:rsid w:val="00F11A19"/>
    <w:rsid w:val="00F16554"/>
    <w:rsid w:val="00F361EB"/>
    <w:rsid w:val="00F4371F"/>
    <w:rsid w:val="00F544E1"/>
    <w:rsid w:val="00F732F1"/>
    <w:rsid w:val="00F8436C"/>
    <w:rsid w:val="00FC1A46"/>
    <w:rsid w:val="00FD5370"/>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DAD2520"/>
  <w15:chartTrackingRefBased/>
  <w15:docId w15:val="{71420944-667E-4D51-BAEE-EEDA3564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405"/>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926DE3"/>
    <w:pPr>
      <w:numPr>
        <w:numId w:val="36"/>
      </w:numPr>
    </w:pPr>
  </w:style>
  <w:style w:type="paragraph" w:styleId="FootnoteText">
    <w:name w:val="footnote text"/>
    <w:basedOn w:val="Normal"/>
    <w:link w:val="FootnoteTextChar"/>
    <w:autoRedefine/>
    <w:uiPriority w:val="99"/>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semiHidden/>
    <w:unhideWhenUsed/>
    <w:rsid w:val="00FC1A46"/>
    <w:rPr>
      <w:vertAlign w:val="superscript"/>
    </w:rPr>
  </w:style>
  <w:style w:type="paragraph" w:styleId="Header">
    <w:name w:val="header"/>
    <w:basedOn w:val="Normal"/>
    <w:link w:val="HeaderChar"/>
    <w:uiPriority w:val="99"/>
    <w:unhideWhenUsed/>
    <w:rsid w:val="00144450"/>
    <w:pPr>
      <w:tabs>
        <w:tab w:val="center" w:pos="4680"/>
        <w:tab w:val="right" w:pos="9360"/>
      </w:tabs>
      <w:spacing w:line="240" w:lineRule="auto"/>
    </w:pPr>
  </w:style>
  <w:style w:type="character" w:customStyle="1" w:styleId="HeaderChar">
    <w:name w:val="Header Char"/>
    <w:basedOn w:val="DefaultParagraphFont"/>
    <w:link w:val="Header"/>
    <w:uiPriority w:val="99"/>
    <w:rsid w:val="00144450"/>
    <w:rPr>
      <w:szCs w:val="22"/>
    </w:rPr>
  </w:style>
  <w:style w:type="paragraph" w:styleId="Footer">
    <w:name w:val="footer"/>
    <w:basedOn w:val="Normal"/>
    <w:link w:val="FooterChar"/>
    <w:uiPriority w:val="99"/>
    <w:unhideWhenUsed/>
    <w:rsid w:val="00144450"/>
    <w:pPr>
      <w:tabs>
        <w:tab w:val="center" w:pos="4680"/>
        <w:tab w:val="right" w:pos="9360"/>
      </w:tabs>
      <w:spacing w:line="240" w:lineRule="auto"/>
    </w:pPr>
  </w:style>
  <w:style w:type="character" w:customStyle="1" w:styleId="FooterChar">
    <w:name w:val="Footer Char"/>
    <w:basedOn w:val="DefaultParagraphFont"/>
    <w:link w:val="Footer"/>
    <w:uiPriority w:val="99"/>
    <w:rsid w:val="00144450"/>
    <w:rPr>
      <w:szCs w:val="22"/>
    </w:rPr>
  </w:style>
  <w:style w:type="character" w:customStyle="1" w:styleId="ssrfcpassagedeactivated">
    <w:name w:val="ss_rfcpassage_deactivated"/>
    <w:basedOn w:val="DefaultParagraphFont"/>
    <w:rsid w:val="00A27A13"/>
  </w:style>
  <w:style w:type="character" w:customStyle="1" w:styleId="ssun2">
    <w:name w:val="ss_un2"/>
    <w:basedOn w:val="DefaultParagraphFont"/>
    <w:rsid w:val="00A27A13"/>
    <w:rPr>
      <w:u w:val="single"/>
    </w:rPr>
  </w:style>
  <w:style w:type="paragraph" w:styleId="Title">
    <w:name w:val="Title"/>
    <w:basedOn w:val="Normal"/>
    <w:link w:val="TitleChar"/>
    <w:qFormat/>
    <w:rsid w:val="00456181"/>
    <w:pPr>
      <w:tabs>
        <w:tab w:val="left" w:pos="360"/>
      </w:tabs>
      <w:spacing w:line="233" w:lineRule="auto"/>
      <w:jc w:val="center"/>
    </w:pPr>
    <w:rPr>
      <w:rFonts w:eastAsia="Times New Roman"/>
      <w:b/>
      <w:szCs w:val="20"/>
    </w:rPr>
  </w:style>
  <w:style w:type="character" w:customStyle="1" w:styleId="TitleChar">
    <w:name w:val="Title Char"/>
    <w:basedOn w:val="DefaultParagraphFont"/>
    <w:link w:val="Title"/>
    <w:rsid w:val="00456181"/>
    <w:rPr>
      <w:rFonts w:eastAsia="Times New Roman"/>
      <w:b/>
    </w:rPr>
  </w:style>
  <w:style w:type="paragraph" w:styleId="BalloonText">
    <w:name w:val="Balloon Text"/>
    <w:basedOn w:val="Normal"/>
    <w:link w:val="BalloonTextChar"/>
    <w:uiPriority w:val="99"/>
    <w:semiHidden/>
    <w:unhideWhenUsed/>
    <w:rsid w:val="00FD537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3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F0DD7-F9AC-416B-8341-0BB041097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1647</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3</cp:revision>
  <cp:lastPrinted>2020-03-04T18:38:00Z</cp:lastPrinted>
  <dcterms:created xsi:type="dcterms:W3CDTF">2020-03-04T18:38:00Z</dcterms:created>
  <dcterms:modified xsi:type="dcterms:W3CDTF">2020-03-04T18:47:00Z</dcterms:modified>
</cp:coreProperties>
</file>