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4A51" w14:paraId="2C91D4A9" w14:textId="77777777">
        <w:trPr>
          <w:trHeight w:val="990"/>
        </w:trPr>
        <w:tc>
          <w:tcPr>
            <w:tcW w:w="1363" w:type="dxa"/>
          </w:tcPr>
          <w:p w14:paraId="1C8EF4BA" w14:textId="77777777" w:rsidR="00C74A51" w:rsidRDefault="005B7F53">
            <w:pPr>
              <w:rPr>
                <w:sz w:val="24"/>
              </w:rPr>
            </w:pPr>
            <w:r>
              <w:rPr>
                <w:noProof/>
                <w:spacing w:val="-2"/>
              </w:rPr>
              <w:drawing>
                <wp:inline distT="0" distB="0" distL="0" distR="0" wp14:anchorId="75478D57" wp14:editId="550625F6">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334F5013" w14:textId="77777777" w:rsidR="00C74A51" w:rsidRDefault="00C74A51">
            <w:pPr>
              <w:suppressAutoHyphens/>
              <w:spacing w:line="204" w:lineRule="auto"/>
              <w:jc w:val="center"/>
              <w:rPr>
                <w:rFonts w:ascii="Arial" w:hAnsi="Arial"/>
                <w:color w:val="000080"/>
                <w:spacing w:val="-3"/>
                <w:sz w:val="26"/>
              </w:rPr>
            </w:pPr>
          </w:p>
          <w:p w14:paraId="04BFC4D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BEF411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4A04EFE"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05033EFE"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68944C25" w14:textId="4DC1B1A9" w:rsidR="00C74A51" w:rsidRDefault="00C74A51" w:rsidP="0062751C">
            <w:pPr>
              <w:jc w:val="center"/>
              <w:rPr>
                <w:rFonts w:ascii="Arial" w:hAnsi="Arial"/>
                <w:sz w:val="12"/>
              </w:rPr>
            </w:pPr>
            <w:r>
              <w:rPr>
                <w:rFonts w:ascii="Arial" w:hAnsi="Arial"/>
                <w:color w:val="000080"/>
                <w:spacing w:val="-3"/>
                <w:sz w:val="26"/>
              </w:rPr>
              <w:t>HARRISBURG, PA 17</w:t>
            </w:r>
            <w:r w:rsidR="00A60BA8">
              <w:rPr>
                <w:rFonts w:ascii="Arial" w:hAnsi="Arial"/>
                <w:color w:val="000080"/>
                <w:spacing w:val="-3"/>
                <w:sz w:val="26"/>
              </w:rPr>
              <w:t>105</w:t>
            </w:r>
          </w:p>
        </w:tc>
        <w:tc>
          <w:tcPr>
            <w:tcW w:w="1452" w:type="dxa"/>
          </w:tcPr>
          <w:p w14:paraId="1C3A1849" w14:textId="77777777" w:rsidR="00C74A51" w:rsidRDefault="00C74A51">
            <w:pPr>
              <w:rPr>
                <w:rFonts w:ascii="Arial" w:hAnsi="Arial"/>
                <w:sz w:val="12"/>
              </w:rPr>
            </w:pPr>
          </w:p>
          <w:p w14:paraId="7BC2711F" w14:textId="77777777" w:rsidR="00C74A51" w:rsidRDefault="00C74A51">
            <w:pPr>
              <w:rPr>
                <w:rFonts w:ascii="Arial" w:hAnsi="Arial"/>
                <w:sz w:val="12"/>
              </w:rPr>
            </w:pPr>
          </w:p>
          <w:p w14:paraId="6D7AB2D6" w14:textId="77777777" w:rsidR="00C74A51" w:rsidRDefault="00C74A51">
            <w:pPr>
              <w:rPr>
                <w:rFonts w:ascii="Arial" w:hAnsi="Arial"/>
                <w:sz w:val="12"/>
              </w:rPr>
            </w:pPr>
          </w:p>
          <w:p w14:paraId="172BB042" w14:textId="77777777" w:rsidR="00C74A51" w:rsidRDefault="00C74A51">
            <w:pPr>
              <w:rPr>
                <w:rFonts w:ascii="Arial" w:hAnsi="Arial"/>
                <w:sz w:val="12"/>
              </w:rPr>
            </w:pPr>
          </w:p>
          <w:p w14:paraId="021598D7" w14:textId="77777777" w:rsidR="00C74A51" w:rsidRDefault="00C74A51">
            <w:pPr>
              <w:rPr>
                <w:rFonts w:ascii="Arial" w:hAnsi="Arial"/>
                <w:sz w:val="12"/>
              </w:rPr>
            </w:pPr>
          </w:p>
          <w:p w14:paraId="119520D0" w14:textId="77777777" w:rsidR="00C74A51" w:rsidRDefault="00C74A51">
            <w:pPr>
              <w:rPr>
                <w:rFonts w:ascii="Arial" w:hAnsi="Arial"/>
                <w:sz w:val="12"/>
              </w:rPr>
            </w:pPr>
          </w:p>
          <w:p w14:paraId="21188197"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443046E9" w14:textId="22C66A2C" w:rsidR="00827532" w:rsidRDefault="00A60BA8">
            <w:pPr>
              <w:jc w:val="right"/>
              <w:rPr>
                <w:rFonts w:ascii="Arial" w:hAnsi="Arial"/>
                <w:spacing w:val="-1"/>
                <w:sz w:val="16"/>
                <w:szCs w:val="16"/>
              </w:rPr>
            </w:pPr>
            <w:r>
              <w:rPr>
                <w:rFonts w:ascii="Arial" w:hAnsi="Arial"/>
                <w:spacing w:val="-1"/>
                <w:sz w:val="16"/>
                <w:szCs w:val="16"/>
              </w:rPr>
              <w:t>R-2019-3008208</w:t>
            </w:r>
          </w:p>
          <w:p w14:paraId="7AB92A1F" w14:textId="77777777" w:rsidR="00153FD8" w:rsidRPr="006266EC" w:rsidRDefault="00153FD8" w:rsidP="008A5EE3">
            <w:pPr>
              <w:jc w:val="right"/>
              <w:rPr>
                <w:rFonts w:ascii="Arial" w:hAnsi="Arial"/>
                <w:sz w:val="14"/>
                <w:szCs w:val="14"/>
              </w:rPr>
            </w:pPr>
          </w:p>
        </w:tc>
      </w:tr>
    </w:tbl>
    <w:p w14:paraId="3D8A51BA" w14:textId="218F1A6E" w:rsidR="00C74A51" w:rsidRDefault="001667E5" w:rsidP="001667E5">
      <w:pPr>
        <w:jc w:val="center"/>
        <w:rPr>
          <w:sz w:val="24"/>
        </w:rPr>
      </w:pPr>
      <w:r>
        <w:rPr>
          <w:sz w:val="24"/>
        </w:rPr>
        <w:t>March 6, 2020</w:t>
      </w:r>
    </w:p>
    <w:p w14:paraId="7198125C" w14:textId="665CED38" w:rsidR="001667E5" w:rsidRPr="001667E5" w:rsidRDefault="001667E5" w:rsidP="001667E5">
      <w:pPr>
        <w:tabs>
          <w:tab w:val="center" w:pos="4680"/>
        </w:tabs>
        <w:rPr>
          <w:sz w:val="24"/>
        </w:rPr>
        <w:sectPr w:rsidR="001667E5" w:rsidRPr="001667E5" w:rsidSect="004A0AEC">
          <w:footerReference w:type="default" r:id="rId9"/>
          <w:pgSz w:w="12240" w:h="15840"/>
          <w:pgMar w:top="504" w:right="1440" w:bottom="1440" w:left="1440" w:header="720" w:footer="720" w:gutter="0"/>
          <w:cols w:space="720"/>
          <w:titlePg/>
          <w:docGrid w:linePitch="272"/>
        </w:sectPr>
      </w:pPr>
      <w:r>
        <w:rPr>
          <w:sz w:val="24"/>
        </w:rPr>
        <w:tab/>
      </w:r>
    </w:p>
    <w:p w14:paraId="720551C0" w14:textId="77777777" w:rsidR="00C74A51" w:rsidRDefault="00C74A51">
      <w:r>
        <w:tab/>
      </w:r>
    </w:p>
    <w:p w14:paraId="3098BC4F" w14:textId="77777777" w:rsidR="007972BC" w:rsidRPr="0008045A" w:rsidRDefault="007972BC" w:rsidP="00FA7D17">
      <w:pPr>
        <w:spacing w:after="58"/>
        <w:ind w:left="720" w:hanging="720"/>
        <w:rPr>
          <w:sz w:val="26"/>
          <w:szCs w:val="26"/>
        </w:rPr>
      </w:pPr>
    </w:p>
    <w:p w14:paraId="57F9F237" w14:textId="77777777" w:rsidR="00A60BA8" w:rsidRPr="004A0AEC" w:rsidRDefault="00E528E4" w:rsidP="004A0AEC">
      <w:pPr>
        <w:ind w:left="720" w:hanging="720"/>
        <w:rPr>
          <w:sz w:val="26"/>
          <w:szCs w:val="26"/>
        </w:rPr>
      </w:pPr>
      <w:r w:rsidRPr="004A0AEC">
        <w:rPr>
          <w:sz w:val="26"/>
          <w:szCs w:val="26"/>
        </w:rPr>
        <w:t>Re:</w:t>
      </w:r>
      <w:r w:rsidR="009A090F" w:rsidRPr="004A0AEC">
        <w:rPr>
          <w:sz w:val="26"/>
          <w:szCs w:val="26"/>
        </w:rPr>
        <w:tab/>
      </w:r>
      <w:r w:rsidR="00A60BA8" w:rsidRPr="004A0AEC">
        <w:rPr>
          <w:sz w:val="26"/>
          <w:szCs w:val="26"/>
        </w:rPr>
        <w:t>Pennsylvania Public Utility Commission v. Wellsboro Electric Company</w:t>
      </w:r>
    </w:p>
    <w:p w14:paraId="6E7CF664" w14:textId="36D94D93" w:rsidR="00FA7D17" w:rsidRPr="004A0AEC" w:rsidRDefault="00A60BA8" w:rsidP="004A0AEC">
      <w:pPr>
        <w:ind w:left="720" w:hanging="720"/>
        <w:rPr>
          <w:sz w:val="26"/>
          <w:szCs w:val="26"/>
        </w:rPr>
      </w:pPr>
      <w:r w:rsidRPr="004A0AEC">
        <w:rPr>
          <w:sz w:val="26"/>
          <w:szCs w:val="26"/>
        </w:rPr>
        <w:tab/>
        <w:t>Supplement No. 125 to Tariff Electric – Pa. PUC No. 8</w:t>
      </w:r>
      <w:r w:rsidR="008A5EE3" w:rsidRPr="004A0AEC">
        <w:rPr>
          <w:sz w:val="26"/>
          <w:szCs w:val="26"/>
        </w:rPr>
        <w:t xml:space="preserve"> </w:t>
      </w:r>
    </w:p>
    <w:p w14:paraId="4B055669" w14:textId="4D570350" w:rsidR="00827532" w:rsidRPr="004A0AEC" w:rsidRDefault="00827532" w:rsidP="004A0AEC">
      <w:pPr>
        <w:ind w:left="720" w:hanging="720"/>
        <w:rPr>
          <w:sz w:val="26"/>
          <w:szCs w:val="26"/>
        </w:rPr>
      </w:pPr>
      <w:r w:rsidRPr="004A0AEC">
        <w:rPr>
          <w:sz w:val="26"/>
          <w:szCs w:val="26"/>
        </w:rPr>
        <w:tab/>
        <w:t xml:space="preserve">Docket No. </w:t>
      </w:r>
      <w:r w:rsidR="00A60BA8" w:rsidRPr="004A0AEC">
        <w:rPr>
          <w:sz w:val="26"/>
          <w:szCs w:val="26"/>
        </w:rPr>
        <w:t>R-2019-3008208</w:t>
      </w:r>
    </w:p>
    <w:p w14:paraId="26D0CC31" w14:textId="77777777" w:rsidR="009A090F" w:rsidRPr="0008045A" w:rsidRDefault="009A090F" w:rsidP="00FA7D17">
      <w:pPr>
        <w:spacing w:after="58"/>
        <w:ind w:left="720" w:hanging="720"/>
        <w:rPr>
          <w:sz w:val="26"/>
          <w:szCs w:val="26"/>
        </w:rPr>
      </w:pPr>
    </w:p>
    <w:p w14:paraId="4244450F" w14:textId="0D34C1CC" w:rsidR="00E229FE" w:rsidRPr="0008045A" w:rsidRDefault="009A090F" w:rsidP="008A5EE3">
      <w:pPr>
        <w:spacing w:after="58"/>
        <w:ind w:left="720" w:hanging="720"/>
        <w:rPr>
          <w:sz w:val="26"/>
          <w:szCs w:val="26"/>
        </w:rPr>
      </w:pPr>
      <w:r w:rsidRPr="0008045A">
        <w:rPr>
          <w:bCs/>
          <w:sz w:val="26"/>
          <w:szCs w:val="26"/>
        </w:rPr>
        <w:tab/>
      </w:r>
    </w:p>
    <w:p w14:paraId="501A171B" w14:textId="77777777" w:rsidR="00E528E4" w:rsidRPr="0008045A" w:rsidRDefault="001C1E78" w:rsidP="00E528E4">
      <w:pPr>
        <w:rPr>
          <w:sz w:val="26"/>
          <w:szCs w:val="26"/>
        </w:rPr>
      </w:pPr>
      <w:r w:rsidRPr="0008045A">
        <w:rPr>
          <w:sz w:val="26"/>
          <w:szCs w:val="26"/>
        </w:rPr>
        <w:t>TO ALL PARTIES</w:t>
      </w:r>
      <w:r w:rsidR="00430047" w:rsidRPr="0008045A">
        <w:rPr>
          <w:sz w:val="26"/>
          <w:szCs w:val="26"/>
        </w:rPr>
        <w:t>:</w:t>
      </w:r>
    </w:p>
    <w:p w14:paraId="13F54BAA" w14:textId="77777777" w:rsidR="006B6701" w:rsidRPr="0008045A" w:rsidRDefault="006B6701" w:rsidP="006B6701">
      <w:pPr>
        <w:ind w:firstLine="1440"/>
        <w:rPr>
          <w:sz w:val="26"/>
          <w:szCs w:val="26"/>
        </w:rPr>
      </w:pPr>
    </w:p>
    <w:p w14:paraId="3E8FF3F2" w14:textId="550F090F" w:rsidR="00EE7625" w:rsidRDefault="00EE7625" w:rsidP="00EE7625">
      <w:pPr>
        <w:ind w:firstLine="1440"/>
        <w:rPr>
          <w:sz w:val="26"/>
          <w:szCs w:val="26"/>
        </w:rPr>
      </w:pPr>
      <w:r>
        <w:rPr>
          <w:sz w:val="26"/>
          <w:szCs w:val="26"/>
        </w:rPr>
        <w:t xml:space="preserve">By Secretarial Letter dated </w:t>
      </w:r>
      <w:r w:rsidR="00A60BA8">
        <w:rPr>
          <w:sz w:val="26"/>
          <w:szCs w:val="26"/>
        </w:rPr>
        <w:t>February 28</w:t>
      </w:r>
      <w:r>
        <w:rPr>
          <w:sz w:val="26"/>
          <w:szCs w:val="26"/>
        </w:rPr>
        <w:t>, 20</w:t>
      </w:r>
      <w:r w:rsidR="00A60BA8">
        <w:rPr>
          <w:sz w:val="26"/>
          <w:szCs w:val="26"/>
        </w:rPr>
        <w:t>20</w:t>
      </w:r>
      <w:r>
        <w:rPr>
          <w:sz w:val="26"/>
          <w:szCs w:val="26"/>
        </w:rPr>
        <w:t xml:space="preserve">, the Commission issued the </w:t>
      </w:r>
      <w:r w:rsidR="00A60BA8">
        <w:rPr>
          <w:sz w:val="26"/>
          <w:szCs w:val="26"/>
        </w:rPr>
        <w:t>Recommended</w:t>
      </w:r>
      <w:r>
        <w:rPr>
          <w:sz w:val="26"/>
          <w:szCs w:val="26"/>
        </w:rPr>
        <w:t xml:space="preserve"> Decision of Administrative Law Judge</w:t>
      </w:r>
      <w:r w:rsidR="00A60BA8">
        <w:rPr>
          <w:sz w:val="26"/>
          <w:szCs w:val="26"/>
        </w:rPr>
        <w:t>s</w:t>
      </w:r>
      <w:r>
        <w:rPr>
          <w:sz w:val="26"/>
          <w:szCs w:val="26"/>
        </w:rPr>
        <w:t xml:space="preserve"> </w:t>
      </w:r>
      <w:r w:rsidR="00A60BA8">
        <w:rPr>
          <w:sz w:val="26"/>
          <w:szCs w:val="26"/>
        </w:rPr>
        <w:t xml:space="preserve">Steven K. Haas and Benjamin J. Myers </w:t>
      </w:r>
      <w:r>
        <w:rPr>
          <w:sz w:val="26"/>
          <w:szCs w:val="26"/>
        </w:rPr>
        <w:t xml:space="preserve">in this matter.  Exceptions were due </w:t>
      </w:r>
      <w:r w:rsidR="00A60BA8">
        <w:rPr>
          <w:sz w:val="26"/>
          <w:szCs w:val="26"/>
        </w:rPr>
        <w:t>March 11, 2020</w:t>
      </w:r>
      <w:r>
        <w:rPr>
          <w:sz w:val="26"/>
          <w:szCs w:val="26"/>
        </w:rPr>
        <w:t xml:space="preserve">.  Reply Exceptions were due </w:t>
      </w:r>
      <w:r w:rsidR="00A60BA8">
        <w:rPr>
          <w:sz w:val="26"/>
          <w:szCs w:val="26"/>
        </w:rPr>
        <w:t>March 18, 2020</w:t>
      </w:r>
      <w:r>
        <w:rPr>
          <w:sz w:val="26"/>
          <w:szCs w:val="26"/>
        </w:rPr>
        <w:t>.</w:t>
      </w:r>
    </w:p>
    <w:p w14:paraId="338E5445" w14:textId="77777777" w:rsidR="00EE7625" w:rsidRDefault="00EE7625" w:rsidP="00EE7625">
      <w:pPr>
        <w:ind w:firstLine="1440"/>
        <w:rPr>
          <w:sz w:val="26"/>
          <w:szCs w:val="26"/>
        </w:rPr>
      </w:pPr>
    </w:p>
    <w:p w14:paraId="6F779C40" w14:textId="3C344A16" w:rsidR="00A60BA8" w:rsidRDefault="00EE7625" w:rsidP="00D62731">
      <w:pPr>
        <w:rPr>
          <w:sz w:val="26"/>
          <w:szCs w:val="26"/>
        </w:rPr>
      </w:pPr>
      <w:r>
        <w:rPr>
          <w:sz w:val="26"/>
          <w:szCs w:val="26"/>
        </w:rPr>
        <w:tab/>
      </w:r>
      <w:r>
        <w:rPr>
          <w:sz w:val="26"/>
          <w:szCs w:val="26"/>
        </w:rPr>
        <w:tab/>
        <w:t xml:space="preserve">On </w:t>
      </w:r>
      <w:r w:rsidR="00A60BA8">
        <w:rPr>
          <w:sz w:val="26"/>
          <w:szCs w:val="26"/>
        </w:rPr>
        <w:t>March 2</w:t>
      </w:r>
      <w:r>
        <w:rPr>
          <w:sz w:val="26"/>
          <w:szCs w:val="26"/>
        </w:rPr>
        <w:t>, 20</w:t>
      </w:r>
      <w:r w:rsidR="00A60BA8">
        <w:rPr>
          <w:sz w:val="26"/>
          <w:szCs w:val="26"/>
        </w:rPr>
        <w:t>20</w:t>
      </w:r>
      <w:r>
        <w:rPr>
          <w:sz w:val="26"/>
          <w:szCs w:val="26"/>
        </w:rPr>
        <w:t xml:space="preserve">, the </w:t>
      </w:r>
      <w:r w:rsidR="00A60BA8">
        <w:rPr>
          <w:sz w:val="26"/>
          <w:szCs w:val="26"/>
        </w:rPr>
        <w:t xml:space="preserve">Commission’s Bureau of Investigation and Enforcement (I&amp;E) </w:t>
      </w:r>
      <w:r>
        <w:rPr>
          <w:sz w:val="26"/>
          <w:szCs w:val="26"/>
        </w:rPr>
        <w:t>filed a Petition for</w:t>
      </w:r>
      <w:r w:rsidR="009330DE">
        <w:rPr>
          <w:sz w:val="26"/>
          <w:szCs w:val="26"/>
        </w:rPr>
        <w:t xml:space="preserve"> Extension of </w:t>
      </w:r>
      <w:r>
        <w:rPr>
          <w:sz w:val="26"/>
          <w:szCs w:val="26"/>
        </w:rPr>
        <w:t>Time to File Exceptions</w:t>
      </w:r>
      <w:r w:rsidR="008D1669">
        <w:rPr>
          <w:sz w:val="26"/>
          <w:szCs w:val="26"/>
        </w:rPr>
        <w:t xml:space="preserve"> and Reply Exceptions</w:t>
      </w:r>
      <w:r>
        <w:rPr>
          <w:sz w:val="26"/>
          <w:szCs w:val="26"/>
        </w:rPr>
        <w:t xml:space="preserve">.  </w:t>
      </w:r>
      <w:r w:rsidR="00A60BA8">
        <w:rPr>
          <w:sz w:val="26"/>
          <w:szCs w:val="26"/>
        </w:rPr>
        <w:t xml:space="preserve">The </w:t>
      </w:r>
      <w:r w:rsidR="009330DE">
        <w:rPr>
          <w:sz w:val="26"/>
          <w:szCs w:val="26"/>
        </w:rPr>
        <w:t>Office of Consumer Advocate (</w:t>
      </w:r>
      <w:r w:rsidR="00A60BA8">
        <w:rPr>
          <w:sz w:val="26"/>
          <w:szCs w:val="26"/>
        </w:rPr>
        <w:t>OCA</w:t>
      </w:r>
      <w:r w:rsidR="009330DE">
        <w:rPr>
          <w:sz w:val="26"/>
          <w:szCs w:val="26"/>
        </w:rPr>
        <w:t>)</w:t>
      </w:r>
      <w:r w:rsidR="00A60BA8">
        <w:rPr>
          <w:sz w:val="26"/>
          <w:szCs w:val="26"/>
        </w:rPr>
        <w:t xml:space="preserve"> and </w:t>
      </w:r>
      <w:r w:rsidR="009330DE">
        <w:rPr>
          <w:sz w:val="26"/>
          <w:szCs w:val="26"/>
        </w:rPr>
        <w:t>the Office of Small Business Advocate (</w:t>
      </w:r>
      <w:r w:rsidR="00A60BA8">
        <w:rPr>
          <w:sz w:val="26"/>
          <w:szCs w:val="26"/>
        </w:rPr>
        <w:t>OSBA</w:t>
      </w:r>
      <w:r w:rsidR="009330DE">
        <w:rPr>
          <w:sz w:val="26"/>
          <w:szCs w:val="26"/>
        </w:rPr>
        <w:t>)</w:t>
      </w:r>
      <w:r w:rsidR="00A60BA8">
        <w:rPr>
          <w:sz w:val="26"/>
          <w:szCs w:val="26"/>
        </w:rPr>
        <w:t xml:space="preserve"> support, and Wellsboro Electric Company does not oppose, this request.  I&amp;E notes that this additional time is requested because of the need to coordinate three separate Exceptions and Replies to Exceptions to three separate Recommended Decisions in this consolidated proceeding (Docket Nos. R-2019-3008208, R-2019-3008209, and R-2019-3008212).  </w:t>
      </w:r>
    </w:p>
    <w:p w14:paraId="01FB201A" w14:textId="77777777" w:rsidR="00A60BA8" w:rsidRDefault="00A60BA8" w:rsidP="00D62731">
      <w:pPr>
        <w:rPr>
          <w:sz w:val="26"/>
          <w:szCs w:val="26"/>
        </w:rPr>
      </w:pPr>
    </w:p>
    <w:p w14:paraId="7BEFEE62" w14:textId="4B4E89C2" w:rsidR="00C21F2E" w:rsidRPr="00310D16" w:rsidRDefault="00775628" w:rsidP="00C21F2E">
      <w:pPr>
        <w:ind w:firstLine="720"/>
        <w:rPr>
          <w:sz w:val="26"/>
          <w:szCs w:val="26"/>
        </w:rPr>
      </w:pPr>
      <w:r w:rsidRPr="0008045A">
        <w:rPr>
          <w:sz w:val="26"/>
          <w:szCs w:val="26"/>
        </w:rPr>
        <w:t>The Commission’s Regulation at 52 Pa. Code § 1.15 permits the Commission to grant an extension of time</w:t>
      </w:r>
      <w:r w:rsidR="000B3E1D" w:rsidRPr="0008045A">
        <w:rPr>
          <w:sz w:val="26"/>
          <w:szCs w:val="26"/>
        </w:rPr>
        <w:t xml:space="preserve"> for </w:t>
      </w:r>
      <w:r w:rsidRPr="0008045A">
        <w:rPr>
          <w:sz w:val="26"/>
          <w:szCs w:val="26"/>
        </w:rPr>
        <w:t xml:space="preserve">good cause shown before the </w:t>
      </w:r>
      <w:r w:rsidR="000B3E1D" w:rsidRPr="0008045A">
        <w:rPr>
          <w:sz w:val="26"/>
          <w:szCs w:val="26"/>
        </w:rPr>
        <w:t xml:space="preserve">pertinent </w:t>
      </w:r>
      <w:r w:rsidRPr="0008045A">
        <w:rPr>
          <w:sz w:val="26"/>
          <w:szCs w:val="26"/>
        </w:rPr>
        <w:t>time period has expired.</w:t>
      </w:r>
      <w:r w:rsidR="006C5F3C" w:rsidRPr="0008045A">
        <w:rPr>
          <w:sz w:val="26"/>
          <w:szCs w:val="26"/>
        </w:rPr>
        <w:t xml:space="preserve">  The Commission finds that </w:t>
      </w:r>
      <w:r w:rsidR="007C200B">
        <w:rPr>
          <w:sz w:val="26"/>
          <w:szCs w:val="26"/>
        </w:rPr>
        <w:t xml:space="preserve">I&amp;E </w:t>
      </w:r>
      <w:r w:rsidR="006C5F3C" w:rsidRPr="0008045A">
        <w:rPr>
          <w:sz w:val="26"/>
          <w:szCs w:val="26"/>
        </w:rPr>
        <w:t xml:space="preserve">has </w:t>
      </w:r>
      <w:r w:rsidR="00D62731">
        <w:rPr>
          <w:sz w:val="26"/>
          <w:szCs w:val="26"/>
        </w:rPr>
        <w:t xml:space="preserve">established good cause </w:t>
      </w:r>
      <w:r w:rsidR="00F22617">
        <w:rPr>
          <w:sz w:val="26"/>
          <w:szCs w:val="26"/>
        </w:rPr>
        <w:t xml:space="preserve">for the requested extension of time, and therefore, </w:t>
      </w:r>
      <w:r w:rsidR="00425A58">
        <w:rPr>
          <w:sz w:val="26"/>
          <w:szCs w:val="26"/>
        </w:rPr>
        <w:t xml:space="preserve">we </w:t>
      </w:r>
      <w:r w:rsidR="00D62731">
        <w:rPr>
          <w:sz w:val="26"/>
          <w:szCs w:val="26"/>
        </w:rPr>
        <w:t xml:space="preserve">will extend the period for </w:t>
      </w:r>
      <w:r w:rsidR="00425A58">
        <w:rPr>
          <w:sz w:val="26"/>
          <w:szCs w:val="26"/>
        </w:rPr>
        <w:t>filing.</w:t>
      </w:r>
      <w:r w:rsidR="009330DE">
        <w:rPr>
          <w:sz w:val="26"/>
          <w:szCs w:val="26"/>
        </w:rPr>
        <w:t xml:space="preserve">  </w:t>
      </w:r>
      <w:r w:rsidR="00C21F2E" w:rsidRPr="00310D16">
        <w:rPr>
          <w:sz w:val="26"/>
          <w:szCs w:val="26"/>
        </w:rPr>
        <w:t>In addition to filing Exceptions with the Secretary of the Commission, a courtesy copy of Exceptions and Reply Exceptions in PDF and Word formats should be emailed to the Commission’s Office of Special Assistants (OSA) at ra-OSA@pa.gov.</w:t>
      </w:r>
    </w:p>
    <w:p w14:paraId="2C0B43ED" w14:textId="3E9923DB" w:rsidR="00425A58" w:rsidRDefault="00425A58" w:rsidP="00425A58">
      <w:pPr>
        <w:ind w:firstLine="720"/>
        <w:rPr>
          <w:sz w:val="26"/>
          <w:szCs w:val="26"/>
        </w:rPr>
      </w:pPr>
    </w:p>
    <w:p w14:paraId="7729E05C" w14:textId="0F7377EE" w:rsidR="00425A58" w:rsidRDefault="00425A58" w:rsidP="00425A58">
      <w:pPr>
        <w:ind w:firstLine="720"/>
        <w:rPr>
          <w:sz w:val="26"/>
          <w:szCs w:val="26"/>
        </w:rPr>
      </w:pPr>
    </w:p>
    <w:p w14:paraId="52EBC2AB" w14:textId="77777777" w:rsidR="00425A58" w:rsidRPr="00310D16" w:rsidRDefault="00425A58" w:rsidP="00425A58">
      <w:pPr>
        <w:ind w:firstLine="720"/>
        <w:rPr>
          <w:sz w:val="26"/>
          <w:szCs w:val="26"/>
        </w:rPr>
      </w:pPr>
      <w:r w:rsidRPr="00310D16">
        <w:rPr>
          <w:sz w:val="26"/>
          <w:szCs w:val="26"/>
        </w:rPr>
        <w:t>Accordingly, the new deadlines are as follows:</w:t>
      </w:r>
    </w:p>
    <w:p w14:paraId="399806D8" w14:textId="77777777" w:rsidR="00425A58" w:rsidRPr="00310D16" w:rsidRDefault="00425A58" w:rsidP="00425A58">
      <w:pPr>
        <w:ind w:firstLine="720"/>
        <w:rPr>
          <w:sz w:val="24"/>
          <w:szCs w:val="24"/>
        </w:rPr>
      </w:pPr>
    </w:p>
    <w:tbl>
      <w:tblPr>
        <w:tblStyle w:val="TableGrid"/>
        <w:tblW w:w="0" w:type="auto"/>
        <w:tblLook w:val="04A0" w:firstRow="1" w:lastRow="0" w:firstColumn="1" w:lastColumn="0" w:noHBand="0" w:noVBand="1"/>
      </w:tblPr>
      <w:tblGrid>
        <w:gridCol w:w="4675"/>
        <w:gridCol w:w="4675"/>
      </w:tblGrid>
      <w:tr w:rsidR="00425A58" w:rsidRPr="00425A58" w14:paraId="079E2281" w14:textId="77777777" w:rsidTr="009D1B47">
        <w:tc>
          <w:tcPr>
            <w:tcW w:w="4675" w:type="dxa"/>
          </w:tcPr>
          <w:p w14:paraId="184B5574" w14:textId="77777777" w:rsidR="00425A58" w:rsidRPr="00310D16" w:rsidRDefault="00425A58" w:rsidP="009D1B47">
            <w:pPr>
              <w:jc w:val="center"/>
              <w:rPr>
                <w:sz w:val="24"/>
                <w:szCs w:val="24"/>
              </w:rPr>
            </w:pPr>
            <w:r w:rsidRPr="00310D16">
              <w:rPr>
                <w:sz w:val="24"/>
                <w:szCs w:val="24"/>
              </w:rPr>
              <w:t>EXCEPTIONS</w:t>
            </w:r>
          </w:p>
        </w:tc>
        <w:tc>
          <w:tcPr>
            <w:tcW w:w="4675" w:type="dxa"/>
          </w:tcPr>
          <w:p w14:paraId="1D19F379" w14:textId="77777777" w:rsidR="00425A58" w:rsidRPr="00310D16" w:rsidRDefault="00425A58" w:rsidP="009D1B47">
            <w:pPr>
              <w:jc w:val="center"/>
              <w:rPr>
                <w:sz w:val="24"/>
                <w:szCs w:val="24"/>
              </w:rPr>
            </w:pPr>
            <w:r w:rsidRPr="00310D16">
              <w:rPr>
                <w:sz w:val="24"/>
                <w:szCs w:val="24"/>
              </w:rPr>
              <w:t>MARCH 13, 2020</w:t>
            </w:r>
          </w:p>
        </w:tc>
      </w:tr>
      <w:tr w:rsidR="00425A58" w:rsidRPr="00425A58" w14:paraId="311CE232" w14:textId="77777777" w:rsidTr="009D1B47">
        <w:tc>
          <w:tcPr>
            <w:tcW w:w="4675" w:type="dxa"/>
          </w:tcPr>
          <w:p w14:paraId="589E7585" w14:textId="77777777" w:rsidR="00425A58" w:rsidRPr="00310D16" w:rsidRDefault="00425A58" w:rsidP="009D1B47">
            <w:pPr>
              <w:jc w:val="center"/>
              <w:rPr>
                <w:sz w:val="24"/>
                <w:szCs w:val="24"/>
              </w:rPr>
            </w:pPr>
            <w:r w:rsidRPr="00310D16">
              <w:rPr>
                <w:sz w:val="24"/>
                <w:szCs w:val="24"/>
              </w:rPr>
              <w:t>REPLY EXCEPTIONS</w:t>
            </w:r>
          </w:p>
        </w:tc>
        <w:tc>
          <w:tcPr>
            <w:tcW w:w="4675" w:type="dxa"/>
          </w:tcPr>
          <w:p w14:paraId="520F542B" w14:textId="77777777" w:rsidR="00425A58" w:rsidRPr="00310D16" w:rsidRDefault="00425A58" w:rsidP="009D1B47">
            <w:pPr>
              <w:jc w:val="center"/>
              <w:rPr>
                <w:sz w:val="24"/>
                <w:szCs w:val="24"/>
              </w:rPr>
            </w:pPr>
            <w:r w:rsidRPr="00310D16">
              <w:rPr>
                <w:sz w:val="24"/>
                <w:szCs w:val="24"/>
              </w:rPr>
              <w:t>MARCH 23, 2020</w:t>
            </w:r>
          </w:p>
        </w:tc>
      </w:tr>
    </w:tbl>
    <w:p w14:paraId="3C1E5335" w14:textId="77777777" w:rsidR="00425A58" w:rsidRPr="00310D16" w:rsidRDefault="00425A58" w:rsidP="00425A58">
      <w:pPr>
        <w:ind w:firstLine="1440"/>
        <w:jc w:val="center"/>
        <w:rPr>
          <w:sz w:val="24"/>
          <w:szCs w:val="24"/>
        </w:rPr>
      </w:pPr>
    </w:p>
    <w:p w14:paraId="5BCC97E3" w14:textId="77777777" w:rsidR="00425A58" w:rsidRPr="00310D16" w:rsidRDefault="00425A58" w:rsidP="00425A58">
      <w:pPr>
        <w:ind w:firstLine="720"/>
        <w:rPr>
          <w:sz w:val="26"/>
          <w:szCs w:val="26"/>
        </w:rPr>
      </w:pPr>
    </w:p>
    <w:p w14:paraId="5EAC8B76" w14:textId="4739B310" w:rsidR="00C452DE" w:rsidRPr="00425A58" w:rsidRDefault="00C452DE" w:rsidP="006B6701">
      <w:pPr>
        <w:ind w:firstLine="1440"/>
        <w:rPr>
          <w:sz w:val="26"/>
          <w:szCs w:val="26"/>
        </w:rPr>
      </w:pPr>
    </w:p>
    <w:p w14:paraId="1C6F21EF" w14:textId="77777777" w:rsidR="00C452DE" w:rsidRPr="0008045A" w:rsidRDefault="00C452DE" w:rsidP="006B6701">
      <w:pPr>
        <w:ind w:firstLine="1440"/>
        <w:rPr>
          <w:sz w:val="26"/>
          <w:szCs w:val="26"/>
        </w:rPr>
      </w:pPr>
    </w:p>
    <w:p w14:paraId="10A8C4B1" w14:textId="77777777" w:rsidR="004A0AEC" w:rsidRDefault="004A0AEC" w:rsidP="00850F1D">
      <w:pPr>
        <w:ind w:firstLine="1440"/>
        <w:rPr>
          <w:sz w:val="26"/>
          <w:szCs w:val="26"/>
        </w:rPr>
        <w:sectPr w:rsidR="004A0AEC" w:rsidSect="004A0AEC">
          <w:type w:val="continuous"/>
          <w:pgSz w:w="12240" w:h="15840"/>
          <w:pgMar w:top="504" w:right="1440" w:bottom="1440" w:left="1440" w:header="720" w:footer="720" w:gutter="0"/>
          <w:cols w:space="720"/>
          <w:titlePg/>
          <w:docGrid w:linePitch="272"/>
        </w:sectPr>
      </w:pPr>
    </w:p>
    <w:p w14:paraId="6E758F29" w14:textId="46B45EE1" w:rsidR="00850F1D" w:rsidRPr="0008045A" w:rsidRDefault="00850F1D" w:rsidP="00850F1D">
      <w:pPr>
        <w:ind w:firstLine="1440"/>
        <w:rPr>
          <w:sz w:val="26"/>
          <w:szCs w:val="26"/>
        </w:rPr>
      </w:pPr>
      <w:r w:rsidRPr="0008045A">
        <w:rPr>
          <w:sz w:val="26"/>
          <w:szCs w:val="26"/>
        </w:rPr>
        <w:t xml:space="preserve">Should you have any questions you may contact the Office of Special Assistants, </w:t>
      </w:r>
      <w:r w:rsidR="007C200B">
        <w:rPr>
          <w:sz w:val="26"/>
          <w:szCs w:val="26"/>
        </w:rPr>
        <w:t>Kath</w:t>
      </w:r>
      <w:r w:rsidR="00425A58">
        <w:rPr>
          <w:sz w:val="26"/>
          <w:szCs w:val="26"/>
        </w:rPr>
        <w:t>ryn G.</w:t>
      </w:r>
      <w:r w:rsidR="007C200B">
        <w:rPr>
          <w:sz w:val="26"/>
          <w:szCs w:val="26"/>
        </w:rPr>
        <w:t xml:space="preserve"> Sophy</w:t>
      </w:r>
      <w:r w:rsidRPr="0008045A">
        <w:rPr>
          <w:sz w:val="26"/>
          <w:szCs w:val="26"/>
        </w:rPr>
        <w:t xml:space="preserve">, Director.  Please direct your inquiry to </w:t>
      </w:r>
      <w:r w:rsidR="00BC01DD">
        <w:rPr>
          <w:sz w:val="26"/>
          <w:szCs w:val="26"/>
        </w:rPr>
        <w:t>Yasmin Snowberger</w:t>
      </w:r>
      <w:r w:rsidRPr="0008045A">
        <w:rPr>
          <w:sz w:val="26"/>
          <w:szCs w:val="26"/>
        </w:rPr>
        <w:t xml:space="preserve">, </w:t>
      </w:r>
      <w:r w:rsidR="00BC01DD">
        <w:rPr>
          <w:sz w:val="26"/>
          <w:szCs w:val="26"/>
        </w:rPr>
        <w:t xml:space="preserve">Rate Case Review Specialist, </w:t>
      </w:r>
      <w:r w:rsidRPr="0008045A">
        <w:rPr>
          <w:sz w:val="26"/>
          <w:szCs w:val="26"/>
        </w:rPr>
        <w:t xml:space="preserve">at (717) </w:t>
      </w:r>
      <w:r w:rsidR="00BC01DD">
        <w:rPr>
          <w:sz w:val="26"/>
          <w:szCs w:val="26"/>
        </w:rPr>
        <w:t>425</w:t>
      </w:r>
      <w:r w:rsidR="00E16246" w:rsidRPr="0008045A">
        <w:rPr>
          <w:sz w:val="26"/>
          <w:szCs w:val="26"/>
        </w:rPr>
        <w:t>-</w:t>
      </w:r>
      <w:r w:rsidR="00BC01DD">
        <w:rPr>
          <w:sz w:val="26"/>
          <w:szCs w:val="26"/>
        </w:rPr>
        <w:t>5540</w:t>
      </w:r>
      <w:r w:rsidRPr="0008045A">
        <w:rPr>
          <w:sz w:val="26"/>
          <w:szCs w:val="26"/>
        </w:rPr>
        <w:t xml:space="preserve"> or </w:t>
      </w:r>
      <w:hyperlink r:id="rId10" w:history="1">
        <w:r w:rsidR="00C3346E" w:rsidRPr="009A3A48">
          <w:rPr>
            <w:rStyle w:val="Hyperlink"/>
            <w:sz w:val="26"/>
            <w:szCs w:val="26"/>
          </w:rPr>
          <w:t>ysnowberge@pa.gov</w:t>
        </w:r>
      </w:hyperlink>
      <w:r w:rsidRPr="0008045A">
        <w:rPr>
          <w:sz w:val="26"/>
          <w:szCs w:val="26"/>
        </w:rPr>
        <w:t>.</w:t>
      </w:r>
    </w:p>
    <w:p w14:paraId="2F0200B8" w14:textId="08FE68B1" w:rsidR="00D17649" w:rsidRPr="0008045A" w:rsidRDefault="00105E0E" w:rsidP="006B6701">
      <w:pPr>
        <w:ind w:firstLine="1440"/>
        <w:rPr>
          <w:sz w:val="26"/>
          <w:szCs w:val="26"/>
        </w:rPr>
      </w:pPr>
      <w:r w:rsidRPr="0008045A">
        <w:rPr>
          <w:sz w:val="26"/>
          <w:szCs w:val="26"/>
        </w:rPr>
        <w:t xml:space="preserve"> </w:t>
      </w:r>
    </w:p>
    <w:p w14:paraId="7AE2712D" w14:textId="230312F0" w:rsidR="003A072B" w:rsidRPr="0008045A" w:rsidRDefault="001667E5" w:rsidP="004A0AEC">
      <w:pPr>
        <w:ind w:firstLine="5040"/>
        <w:rPr>
          <w:sz w:val="26"/>
          <w:szCs w:val="26"/>
        </w:rPr>
      </w:pPr>
      <w:r>
        <w:rPr>
          <w:noProof/>
        </w:rPr>
        <w:drawing>
          <wp:anchor distT="0" distB="0" distL="114300" distR="114300" simplePos="0" relativeHeight="251659264" behindDoc="1" locked="0" layoutInCell="1" allowOverlap="1" wp14:anchorId="26685DCB" wp14:editId="3AF2663E">
            <wp:simplePos x="0" y="0"/>
            <wp:positionH relativeFrom="column">
              <wp:posOffset>3162300</wp:posOffset>
            </wp:positionH>
            <wp:positionV relativeFrom="paragraph">
              <wp:posOffset>123825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72B" w:rsidRPr="0008045A">
        <w:rPr>
          <w:sz w:val="26"/>
          <w:szCs w:val="26"/>
        </w:rPr>
        <w:t>Very truly yours,</w:t>
      </w:r>
    </w:p>
    <w:p w14:paraId="5C1CBF7C" w14:textId="77777777" w:rsidR="003A072B" w:rsidRPr="0008045A" w:rsidRDefault="003A072B" w:rsidP="00E528E4">
      <w:pPr>
        <w:rPr>
          <w:sz w:val="26"/>
          <w:szCs w:val="26"/>
        </w:rPr>
      </w:pPr>
    </w:p>
    <w:p w14:paraId="55EAE6DD" w14:textId="77777777" w:rsidR="00D12C93" w:rsidRPr="0008045A" w:rsidRDefault="00D12C93" w:rsidP="00E528E4">
      <w:pPr>
        <w:rPr>
          <w:sz w:val="26"/>
          <w:szCs w:val="26"/>
        </w:rPr>
      </w:pPr>
    </w:p>
    <w:p w14:paraId="2FA79EED" w14:textId="77777777" w:rsidR="003A072B" w:rsidRPr="0008045A" w:rsidRDefault="003A072B" w:rsidP="00E528E4">
      <w:pPr>
        <w:rPr>
          <w:sz w:val="26"/>
          <w:szCs w:val="26"/>
        </w:rPr>
      </w:pPr>
      <w:bookmarkStart w:id="0" w:name="_GoBack"/>
      <w:bookmarkEnd w:id="0"/>
    </w:p>
    <w:p w14:paraId="4C88C07D" w14:textId="77777777" w:rsidR="003A072B" w:rsidRPr="0008045A" w:rsidRDefault="00EB6F1D" w:rsidP="004A0AEC">
      <w:pPr>
        <w:ind w:firstLine="5040"/>
        <w:rPr>
          <w:sz w:val="26"/>
          <w:szCs w:val="26"/>
        </w:rPr>
      </w:pPr>
      <w:r w:rsidRPr="0008045A">
        <w:rPr>
          <w:sz w:val="26"/>
          <w:szCs w:val="26"/>
        </w:rPr>
        <w:t>Rosemary Chiavetta</w:t>
      </w:r>
    </w:p>
    <w:p w14:paraId="354D65CF" w14:textId="77777777" w:rsidR="005B5AA7" w:rsidRPr="0008045A" w:rsidRDefault="003A072B" w:rsidP="004A0AEC">
      <w:pPr>
        <w:ind w:firstLine="5040"/>
        <w:rPr>
          <w:sz w:val="26"/>
          <w:szCs w:val="26"/>
        </w:rPr>
      </w:pPr>
      <w:r w:rsidRPr="0008045A">
        <w:rPr>
          <w:sz w:val="26"/>
          <w:szCs w:val="26"/>
        </w:rPr>
        <w:t>Secretary</w:t>
      </w:r>
    </w:p>
    <w:sectPr w:rsidR="005B5AA7" w:rsidRPr="0008045A" w:rsidSect="004A0AE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4F660" w14:textId="77777777" w:rsidR="002D2282" w:rsidRDefault="002D2282">
      <w:r>
        <w:separator/>
      </w:r>
    </w:p>
  </w:endnote>
  <w:endnote w:type="continuationSeparator" w:id="0">
    <w:p w14:paraId="72FBA75B" w14:textId="77777777" w:rsidR="002D2282" w:rsidRDefault="002D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837963"/>
      <w:docPartObj>
        <w:docPartGallery w:val="Page Numbers (Bottom of Page)"/>
        <w:docPartUnique/>
      </w:docPartObj>
    </w:sdtPr>
    <w:sdtEndPr>
      <w:rPr>
        <w:noProof/>
        <w:sz w:val="26"/>
        <w:szCs w:val="26"/>
      </w:rPr>
    </w:sdtEndPr>
    <w:sdtContent>
      <w:p w14:paraId="047E279E" w14:textId="12A7851F" w:rsidR="004A0AEC" w:rsidRPr="004A0AEC" w:rsidRDefault="004A0AEC" w:rsidP="004A0AEC">
        <w:pPr>
          <w:pStyle w:val="Footer"/>
          <w:jc w:val="center"/>
          <w:rPr>
            <w:sz w:val="26"/>
            <w:szCs w:val="26"/>
          </w:rPr>
        </w:pPr>
        <w:r w:rsidRPr="004A0AEC">
          <w:rPr>
            <w:sz w:val="26"/>
            <w:szCs w:val="26"/>
          </w:rPr>
          <w:fldChar w:fldCharType="begin"/>
        </w:r>
        <w:r w:rsidRPr="004A0AEC">
          <w:rPr>
            <w:sz w:val="26"/>
            <w:szCs w:val="26"/>
          </w:rPr>
          <w:instrText xml:space="preserve"> PAGE   \* MERGEFORMAT </w:instrText>
        </w:r>
        <w:r w:rsidRPr="004A0AEC">
          <w:rPr>
            <w:sz w:val="26"/>
            <w:szCs w:val="26"/>
          </w:rPr>
          <w:fldChar w:fldCharType="separate"/>
        </w:r>
        <w:r w:rsidRPr="004A0AEC">
          <w:rPr>
            <w:noProof/>
            <w:sz w:val="26"/>
            <w:szCs w:val="26"/>
          </w:rPr>
          <w:t>2</w:t>
        </w:r>
        <w:r w:rsidRPr="004A0AE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16B46" w14:textId="77777777" w:rsidR="002D2282" w:rsidRDefault="002D2282">
      <w:r>
        <w:separator/>
      </w:r>
    </w:p>
  </w:footnote>
  <w:footnote w:type="continuationSeparator" w:id="0">
    <w:p w14:paraId="379C177F" w14:textId="77777777" w:rsidR="002D2282" w:rsidRDefault="002D2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05E86"/>
    <w:rsid w:val="00016185"/>
    <w:rsid w:val="00016793"/>
    <w:rsid w:val="00071153"/>
    <w:rsid w:val="0008029B"/>
    <w:rsid w:val="0008045A"/>
    <w:rsid w:val="000928B1"/>
    <w:rsid w:val="000A5ADF"/>
    <w:rsid w:val="000A659E"/>
    <w:rsid w:val="000B3E1D"/>
    <w:rsid w:val="000D020B"/>
    <w:rsid w:val="000D23D8"/>
    <w:rsid w:val="000D26F3"/>
    <w:rsid w:val="000D6753"/>
    <w:rsid w:val="000E32E1"/>
    <w:rsid w:val="000E3737"/>
    <w:rsid w:val="000F03BA"/>
    <w:rsid w:val="00105E0E"/>
    <w:rsid w:val="001147C1"/>
    <w:rsid w:val="001209F1"/>
    <w:rsid w:val="00124DE5"/>
    <w:rsid w:val="00127D9A"/>
    <w:rsid w:val="001352D9"/>
    <w:rsid w:val="00136BAB"/>
    <w:rsid w:val="00145471"/>
    <w:rsid w:val="00153FD8"/>
    <w:rsid w:val="00157590"/>
    <w:rsid w:val="001656B6"/>
    <w:rsid w:val="001667E5"/>
    <w:rsid w:val="001737A8"/>
    <w:rsid w:val="0018285B"/>
    <w:rsid w:val="001A3FDC"/>
    <w:rsid w:val="001C1E78"/>
    <w:rsid w:val="001E06EC"/>
    <w:rsid w:val="00201518"/>
    <w:rsid w:val="0021794B"/>
    <w:rsid w:val="002229C3"/>
    <w:rsid w:val="002462B6"/>
    <w:rsid w:val="00247D39"/>
    <w:rsid w:val="00253E27"/>
    <w:rsid w:val="00264944"/>
    <w:rsid w:val="0026602D"/>
    <w:rsid w:val="00280CC0"/>
    <w:rsid w:val="00287550"/>
    <w:rsid w:val="0029471C"/>
    <w:rsid w:val="00295B24"/>
    <w:rsid w:val="002C5B4B"/>
    <w:rsid w:val="002D2282"/>
    <w:rsid w:val="002D695B"/>
    <w:rsid w:val="002E28AA"/>
    <w:rsid w:val="00302FCD"/>
    <w:rsid w:val="00310D16"/>
    <w:rsid w:val="003267D4"/>
    <w:rsid w:val="00334913"/>
    <w:rsid w:val="0033643A"/>
    <w:rsid w:val="0033738E"/>
    <w:rsid w:val="0034399B"/>
    <w:rsid w:val="003677ED"/>
    <w:rsid w:val="003757F9"/>
    <w:rsid w:val="003845AC"/>
    <w:rsid w:val="0039048B"/>
    <w:rsid w:val="00390D01"/>
    <w:rsid w:val="00391858"/>
    <w:rsid w:val="00392F08"/>
    <w:rsid w:val="00395B7C"/>
    <w:rsid w:val="003A072B"/>
    <w:rsid w:val="003A3D25"/>
    <w:rsid w:val="003A50C3"/>
    <w:rsid w:val="003B7871"/>
    <w:rsid w:val="003D2057"/>
    <w:rsid w:val="003E3BF1"/>
    <w:rsid w:val="00411822"/>
    <w:rsid w:val="004131E7"/>
    <w:rsid w:val="00425A58"/>
    <w:rsid w:val="00430047"/>
    <w:rsid w:val="00430574"/>
    <w:rsid w:val="004446DC"/>
    <w:rsid w:val="00466663"/>
    <w:rsid w:val="004808DD"/>
    <w:rsid w:val="004954D1"/>
    <w:rsid w:val="004A0AEC"/>
    <w:rsid w:val="004D1180"/>
    <w:rsid w:val="004E1206"/>
    <w:rsid w:val="004E7F64"/>
    <w:rsid w:val="00501CC5"/>
    <w:rsid w:val="00507EE1"/>
    <w:rsid w:val="00514B10"/>
    <w:rsid w:val="00545234"/>
    <w:rsid w:val="00546357"/>
    <w:rsid w:val="00547B7C"/>
    <w:rsid w:val="005A11FD"/>
    <w:rsid w:val="005A37A2"/>
    <w:rsid w:val="005B1096"/>
    <w:rsid w:val="005B5AA7"/>
    <w:rsid w:val="005B7F53"/>
    <w:rsid w:val="005C43DC"/>
    <w:rsid w:val="005E25C5"/>
    <w:rsid w:val="0060010C"/>
    <w:rsid w:val="00601B8D"/>
    <w:rsid w:val="006266EC"/>
    <w:rsid w:val="0062751C"/>
    <w:rsid w:val="00636D03"/>
    <w:rsid w:val="006430DB"/>
    <w:rsid w:val="006465FA"/>
    <w:rsid w:val="006755C0"/>
    <w:rsid w:val="00683D7A"/>
    <w:rsid w:val="006A1B5E"/>
    <w:rsid w:val="006B0DE7"/>
    <w:rsid w:val="006B6701"/>
    <w:rsid w:val="006C5F3C"/>
    <w:rsid w:val="006D0288"/>
    <w:rsid w:val="006D2C48"/>
    <w:rsid w:val="006D3665"/>
    <w:rsid w:val="006F6031"/>
    <w:rsid w:val="007049E8"/>
    <w:rsid w:val="00706FBE"/>
    <w:rsid w:val="0071398D"/>
    <w:rsid w:val="00726821"/>
    <w:rsid w:val="0076116B"/>
    <w:rsid w:val="00762E1D"/>
    <w:rsid w:val="00763442"/>
    <w:rsid w:val="00771E83"/>
    <w:rsid w:val="007726C0"/>
    <w:rsid w:val="00775628"/>
    <w:rsid w:val="00785BF5"/>
    <w:rsid w:val="00796D7F"/>
    <w:rsid w:val="007972BC"/>
    <w:rsid w:val="007A17BA"/>
    <w:rsid w:val="007C200B"/>
    <w:rsid w:val="007D0B2A"/>
    <w:rsid w:val="007D1483"/>
    <w:rsid w:val="007D663A"/>
    <w:rsid w:val="00807300"/>
    <w:rsid w:val="0082172C"/>
    <w:rsid w:val="00827532"/>
    <w:rsid w:val="00850F1D"/>
    <w:rsid w:val="00885E81"/>
    <w:rsid w:val="00887C03"/>
    <w:rsid w:val="0089411B"/>
    <w:rsid w:val="00895AF3"/>
    <w:rsid w:val="008A5EE3"/>
    <w:rsid w:val="008C3AEA"/>
    <w:rsid w:val="008C410F"/>
    <w:rsid w:val="008C645A"/>
    <w:rsid w:val="008D060A"/>
    <w:rsid w:val="008D13AA"/>
    <w:rsid w:val="008D1669"/>
    <w:rsid w:val="008D17D5"/>
    <w:rsid w:val="008E2BC0"/>
    <w:rsid w:val="00905B9F"/>
    <w:rsid w:val="00914D71"/>
    <w:rsid w:val="009330DE"/>
    <w:rsid w:val="00942F70"/>
    <w:rsid w:val="009520ED"/>
    <w:rsid w:val="00983A4D"/>
    <w:rsid w:val="009A090F"/>
    <w:rsid w:val="009F5F66"/>
    <w:rsid w:val="009F723A"/>
    <w:rsid w:val="00A16BD8"/>
    <w:rsid w:val="00A2061F"/>
    <w:rsid w:val="00A27815"/>
    <w:rsid w:val="00A4617F"/>
    <w:rsid w:val="00A52C46"/>
    <w:rsid w:val="00A60BA8"/>
    <w:rsid w:val="00AA618A"/>
    <w:rsid w:val="00AC15FD"/>
    <w:rsid w:val="00AD24C2"/>
    <w:rsid w:val="00B22E7C"/>
    <w:rsid w:val="00B3131B"/>
    <w:rsid w:val="00B54C9E"/>
    <w:rsid w:val="00B739DA"/>
    <w:rsid w:val="00BC01DD"/>
    <w:rsid w:val="00BC2FB9"/>
    <w:rsid w:val="00BC3334"/>
    <w:rsid w:val="00BD1065"/>
    <w:rsid w:val="00BE5119"/>
    <w:rsid w:val="00BF2F0E"/>
    <w:rsid w:val="00BF65F7"/>
    <w:rsid w:val="00C013A1"/>
    <w:rsid w:val="00C21F2E"/>
    <w:rsid w:val="00C23DA7"/>
    <w:rsid w:val="00C3346E"/>
    <w:rsid w:val="00C402A0"/>
    <w:rsid w:val="00C452DE"/>
    <w:rsid w:val="00C74A51"/>
    <w:rsid w:val="00CA50D1"/>
    <w:rsid w:val="00CB5738"/>
    <w:rsid w:val="00CB640F"/>
    <w:rsid w:val="00CC503F"/>
    <w:rsid w:val="00CC5462"/>
    <w:rsid w:val="00CD4B72"/>
    <w:rsid w:val="00CE4BEE"/>
    <w:rsid w:val="00CE751D"/>
    <w:rsid w:val="00CF73EC"/>
    <w:rsid w:val="00D00C60"/>
    <w:rsid w:val="00D031A1"/>
    <w:rsid w:val="00D0738E"/>
    <w:rsid w:val="00D12C93"/>
    <w:rsid w:val="00D17649"/>
    <w:rsid w:val="00D26C3C"/>
    <w:rsid w:val="00D3099A"/>
    <w:rsid w:val="00D62731"/>
    <w:rsid w:val="00D62DCF"/>
    <w:rsid w:val="00DB2119"/>
    <w:rsid w:val="00DB6D5A"/>
    <w:rsid w:val="00DE4157"/>
    <w:rsid w:val="00E06CDF"/>
    <w:rsid w:val="00E16246"/>
    <w:rsid w:val="00E229FE"/>
    <w:rsid w:val="00E3265B"/>
    <w:rsid w:val="00E34698"/>
    <w:rsid w:val="00E528E4"/>
    <w:rsid w:val="00E57330"/>
    <w:rsid w:val="00E61A32"/>
    <w:rsid w:val="00E63F99"/>
    <w:rsid w:val="00E70913"/>
    <w:rsid w:val="00E71FCA"/>
    <w:rsid w:val="00E830FB"/>
    <w:rsid w:val="00E87F23"/>
    <w:rsid w:val="00E90D5D"/>
    <w:rsid w:val="00E928F1"/>
    <w:rsid w:val="00E94D86"/>
    <w:rsid w:val="00EB13E4"/>
    <w:rsid w:val="00EB6F1D"/>
    <w:rsid w:val="00EC7F84"/>
    <w:rsid w:val="00ED4C3B"/>
    <w:rsid w:val="00EE7625"/>
    <w:rsid w:val="00EE7EB6"/>
    <w:rsid w:val="00EF3FBF"/>
    <w:rsid w:val="00EF7F10"/>
    <w:rsid w:val="00F04CF8"/>
    <w:rsid w:val="00F10506"/>
    <w:rsid w:val="00F1734F"/>
    <w:rsid w:val="00F22617"/>
    <w:rsid w:val="00F262FA"/>
    <w:rsid w:val="00F42C1D"/>
    <w:rsid w:val="00F50FDD"/>
    <w:rsid w:val="00F62396"/>
    <w:rsid w:val="00F649C8"/>
    <w:rsid w:val="00F65AE7"/>
    <w:rsid w:val="00F7094C"/>
    <w:rsid w:val="00F90E04"/>
    <w:rsid w:val="00F912E6"/>
    <w:rsid w:val="00F9452A"/>
    <w:rsid w:val="00F9546C"/>
    <w:rsid w:val="00FA2411"/>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12A8E3E"/>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styleId="UnresolvedMention">
    <w:name w:val="Unresolved Mention"/>
    <w:basedOn w:val="DefaultParagraphFont"/>
    <w:uiPriority w:val="99"/>
    <w:semiHidden/>
    <w:unhideWhenUsed/>
    <w:rsid w:val="00BC01DD"/>
    <w:rPr>
      <w:color w:val="808080"/>
      <w:shd w:val="clear" w:color="auto" w:fill="E6E6E6"/>
    </w:rPr>
  </w:style>
  <w:style w:type="table" w:styleId="TableGrid">
    <w:name w:val="Table Grid"/>
    <w:basedOn w:val="TableNormal"/>
    <w:rsid w:val="0042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ysnowberg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5633-A29A-4031-9EF7-9B85999E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2236</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Wagner, Nathan R</cp:lastModifiedBy>
  <cp:revision>3</cp:revision>
  <cp:lastPrinted>2020-03-05T18:16:00Z</cp:lastPrinted>
  <dcterms:created xsi:type="dcterms:W3CDTF">2020-03-05T20:15:00Z</dcterms:created>
  <dcterms:modified xsi:type="dcterms:W3CDTF">2020-03-06T12:44:00Z</dcterms:modified>
</cp:coreProperties>
</file>