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4CE82" w14:textId="77777777" w:rsidR="009304FE" w:rsidRPr="004E64B8" w:rsidRDefault="009304FE" w:rsidP="004E64B8">
      <w:pPr>
        <w:contextualSpacing/>
        <w:jc w:val="center"/>
        <w:rPr>
          <w:b/>
          <w:sz w:val="26"/>
          <w:szCs w:val="26"/>
        </w:rPr>
      </w:pPr>
      <w:r w:rsidRPr="004E64B8">
        <w:rPr>
          <w:b/>
          <w:sz w:val="26"/>
          <w:szCs w:val="26"/>
        </w:rPr>
        <w:t>PENNSYLVANIA</w:t>
      </w:r>
    </w:p>
    <w:p w14:paraId="69C34417" w14:textId="77777777" w:rsidR="009304FE" w:rsidRPr="004E64B8" w:rsidRDefault="009304FE" w:rsidP="004E64B8">
      <w:pPr>
        <w:contextualSpacing/>
        <w:jc w:val="center"/>
        <w:rPr>
          <w:b/>
          <w:sz w:val="26"/>
          <w:szCs w:val="26"/>
        </w:rPr>
      </w:pPr>
      <w:r w:rsidRPr="004E64B8">
        <w:rPr>
          <w:b/>
          <w:sz w:val="26"/>
          <w:szCs w:val="26"/>
        </w:rPr>
        <w:t>PUBLIC UTILITY COMMISSION</w:t>
      </w:r>
    </w:p>
    <w:p w14:paraId="031811A8" w14:textId="77777777" w:rsidR="009304FE" w:rsidRPr="004E64B8" w:rsidRDefault="009304FE" w:rsidP="00987F49">
      <w:pPr>
        <w:contextualSpacing/>
        <w:jc w:val="center"/>
        <w:rPr>
          <w:sz w:val="26"/>
          <w:szCs w:val="26"/>
        </w:rPr>
      </w:pPr>
      <w:r w:rsidRPr="004E64B8">
        <w:rPr>
          <w:b/>
          <w:sz w:val="26"/>
          <w:szCs w:val="26"/>
        </w:rPr>
        <w:t>Harrisburg, PA 171</w:t>
      </w:r>
      <w:r w:rsidR="007E300A">
        <w:rPr>
          <w:b/>
          <w:sz w:val="26"/>
          <w:szCs w:val="26"/>
        </w:rPr>
        <w:t>20</w:t>
      </w:r>
    </w:p>
    <w:p w14:paraId="4D6A11B4" w14:textId="77777777" w:rsidR="00B01F47" w:rsidRPr="004E64B8" w:rsidRDefault="00B01F47" w:rsidP="004E64B8">
      <w:pPr>
        <w:contextualSpacing/>
        <w:rPr>
          <w:sz w:val="26"/>
          <w:szCs w:val="26"/>
        </w:rPr>
      </w:pPr>
    </w:p>
    <w:p w14:paraId="7935FEA8" w14:textId="77777777" w:rsidR="009304FE" w:rsidRPr="004E64B8" w:rsidRDefault="009304FE" w:rsidP="004E64B8">
      <w:pPr>
        <w:contextualSpacing/>
        <w:jc w:val="right"/>
        <w:rPr>
          <w:sz w:val="26"/>
          <w:szCs w:val="26"/>
        </w:rPr>
      </w:pPr>
      <w:r w:rsidRPr="004E64B8">
        <w:rPr>
          <w:sz w:val="26"/>
          <w:szCs w:val="26"/>
        </w:rPr>
        <w:t>Public Meeting held</w:t>
      </w:r>
      <w:r w:rsidR="007F3A08">
        <w:rPr>
          <w:sz w:val="26"/>
          <w:szCs w:val="26"/>
        </w:rPr>
        <w:t xml:space="preserve"> February 27</w:t>
      </w:r>
      <w:r w:rsidR="00380951">
        <w:rPr>
          <w:sz w:val="26"/>
          <w:szCs w:val="26"/>
        </w:rPr>
        <w:t>, 20</w:t>
      </w:r>
      <w:r w:rsidR="007F3A08">
        <w:rPr>
          <w:sz w:val="26"/>
          <w:szCs w:val="26"/>
        </w:rPr>
        <w:t>20</w:t>
      </w:r>
      <w:r w:rsidR="00B01F47" w:rsidRPr="004E64B8">
        <w:rPr>
          <w:sz w:val="26"/>
          <w:szCs w:val="26"/>
        </w:rPr>
        <w:t xml:space="preserve"> </w:t>
      </w:r>
    </w:p>
    <w:p w14:paraId="277762D3" w14:textId="77777777" w:rsidR="009304FE" w:rsidRPr="004E64B8" w:rsidRDefault="009304FE" w:rsidP="004E64B8">
      <w:pPr>
        <w:contextualSpacing/>
        <w:rPr>
          <w:sz w:val="26"/>
          <w:szCs w:val="26"/>
        </w:rPr>
      </w:pPr>
    </w:p>
    <w:p w14:paraId="2A1712CB" w14:textId="77777777" w:rsidR="00B01F47" w:rsidRPr="004E64B8" w:rsidRDefault="00B01F47" w:rsidP="004E64B8">
      <w:pPr>
        <w:contextualSpacing/>
        <w:rPr>
          <w:sz w:val="26"/>
          <w:szCs w:val="26"/>
        </w:rPr>
      </w:pPr>
    </w:p>
    <w:p w14:paraId="5238BCED" w14:textId="77777777" w:rsidR="005205C0" w:rsidRPr="004E64B8" w:rsidRDefault="005205C0" w:rsidP="004E64B8">
      <w:pPr>
        <w:contextualSpacing/>
        <w:rPr>
          <w:sz w:val="26"/>
          <w:szCs w:val="26"/>
        </w:rPr>
      </w:pPr>
      <w:r w:rsidRPr="004E64B8">
        <w:rPr>
          <w:sz w:val="26"/>
          <w:szCs w:val="26"/>
        </w:rPr>
        <w:t>Commissioners Present:</w:t>
      </w:r>
    </w:p>
    <w:p w14:paraId="65B4BF5D" w14:textId="77777777" w:rsidR="005205C0" w:rsidRPr="004E64B8" w:rsidRDefault="005205C0" w:rsidP="004E64B8">
      <w:pPr>
        <w:contextualSpacing/>
        <w:rPr>
          <w:sz w:val="26"/>
          <w:szCs w:val="26"/>
        </w:rPr>
      </w:pPr>
    </w:p>
    <w:p w14:paraId="621E48DF" w14:textId="77777777" w:rsidR="007E300A" w:rsidRPr="006843E6" w:rsidRDefault="007E300A" w:rsidP="007E300A">
      <w:pPr>
        <w:tabs>
          <w:tab w:val="left" w:pos="-720"/>
        </w:tabs>
        <w:ind w:firstLine="720"/>
        <w:contextualSpacing/>
        <w:rPr>
          <w:sz w:val="26"/>
          <w:szCs w:val="26"/>
        </w:rPr>
      </w:pPr>
      <w:r w:rsidRPr="006843E6">
        <w:rPr>
          <w:sz w:val="26"/>
          <w:szCs w:val="26"/>
        </w:rPr>
        <w:t>Gladys Brown Dutrieuille, Chairman</w:t>
      </w:r>
    </w:p>
    <w:p w14:paraId="3EDE770B" w14:textId="77777777" w:rsidR="007E300A" w:rsidRPr="006843E6" w:rsidRDefault="007E300A" w:rsidP="007E300A">
      <w:pPr>
        <w:tabs>
          <w:tab w:val="left" w:pos="-720"/>
        </w:tabs>
        <w:ind w:firstLine="720"/>
        <w:contextualSpacing/>
        <w:rPr>
          <w:sz w:val="26"/>
          <w:szCs w:val="26"/>
        </w:rPr>
      </w:pPr>
      <w:r w:rsidRPr="006843E6">
        <w:rPr>
          <w:sz w:val="26"/>
          <w:szCs w:val="26"/>
        </w:rPr>
        <w:t>David W. Sweet, Vice Chairman</w:t>
      </w:r>
    </w:p>
    <w:p w14:paraId="7789A747" w14:textId="77777777" w:rsidR="007E300A" w:rsidRPr="006843E6" w:rsidRDefault="007E300A" w:rsidP="007E300A">
      <w:pPr>
        <w:tabs>
          <w:tab w:val="left" w:pos="-720"/>
        </w:tabs>
        <w:ind w:firstLine="720"/>
        <w:contextualSpacing/>
        <w:rPr>
          <w:sz w:val="26"/>
          <w:szCs w:val="26"/>
        </w:rPr>
      </w:pPr>
      <w:r w:rsidRPr="006843E6">
        <w:rPr>
          <w:sz w:val="26"/>
          <w:szCs w:val="26"/>
        </w:rPr>
        <w:t>Andrew G. Place</w:t>
      </w:r>
    </w:p>
    <w:p w14:paraId="76E3372A" w14:textId="77777777" w:rsidR="007E300A" w:rsidRDefault="007E300A" w:rsidP="007E300A">
      <w:pPr>
        <w:kinsoku w:val="0"/>
        <w:overflowPunct w:val="0"/>
        <w:ind w:firstLine="720"/>
        <w:textAlignment w:val="baseline"/>
        <w:rPr>
          <w:b/>
          <w:bCs/>
          <w:spacing w:val="-3"/>
          <w:sz w:val="26"/>
          <w:szCs w:val="26"/>
        </w:rPr>
      </w:pPr>
      <w:r w:rsidRPr="006843E6">
        <w:rPr>
          <w:sz w:val="26"/>
          <w:szCs w:val="26"/>
        </w:rPr>
        <w:t>John F. Coleman, Jr.</w:t>
      </w:r>
    </w:p>
    <w:p w14:paraId="05C84783" w14:textId="77777777" w:rsidR="007E300A" w:rsidRPr="00021556" w:rsidRDefault="007E300A" w:rsidP="007E300A">
      <w:pPr>
        <w:kinsoku w:val="0"/>
        <w:overflowPunct w:val="0"/>
        <w:ind w:firstLine="720"/>
        <w:textAlignment w:val="baseline"/>
        <w:rPr>
          <w:b/>
          <w:bCs/>
          <w:spacing w:val="-3"/>
          <w:sz w:val="26"/>
          <w:szCs w:val="26"/>
        </w:rPr>
      </w:pPr>
      <w:r w:rsidRPr="006843E6">
        <w:rPr>
          <w:spacing w:val="-2"/>
          <w:sz w:val="26"/>
          <w:szCs w:val="26"/>
        </w:rPr>
        <w:t xml:space="preserve">Ralph </w:t>
      </w:r>
      <w:r>
        <w:rPr>
          <w:spacing w:val="-2"/>
          <w:sz w:val="26"/>
          <w:szCs w:val="26"/>
        </w:rPr>
        <w:t xml:space="preserve">V. </w:t>
      </w:r>
      <w:r w:rsidRPr="006843E6">
        <w:rPr>
          <w:spacing w:val="-2"/>
          <w:sz w:val="26"/>
          <w:szCs w:val="26"/>
        </w:rPr>
        <w:t>Yanora</w:t>
      </w:r>
    </w:p>
    <w:p w14:paraId="6F6C2CCD" w14:textId="77777777" w:rsidR="007E300A" w:rsidRPr="002776D1" w:rsidRDefault="007E300A" w:rsidP="007E300A">
      <w:pPr>
        <w:tabs>
          <w:tab w:val="left" w:pos="-720"/>
        </w:tabs>
        <w:suppressAutoHyphens/>
        <w:ind w:firstLine="720"/>
        <w:rPr>
          <w:sz w:val="26"/>
          <w:szCs w:val="26"/>
        </w:rPr>
      </w:pPr>
    </w:p>
    <w:p w14:paraId="23FFA7DD" w14:textId="77777777" w:rsidR="009304FE" w:rsidRPr="004E64B8" w:rsidRDefault="009304FE" w:rsidP="004E64B8">
      <w:pPr>
        <w:contextualSpacing/>
        <w:rPr>
          <w:sz w:val="26"/>
          <w:szCs w:val="26"/>
        </w:rPr>
      </w:pPr>
    </w:p>
    <w:p w14:paraId="21D798A3" w14:textId="4130808D" w:rsidR="00FD428B" w:rsidRDefault="003E4FFA" w:rsidP="00FD428B">
      <w:pPr>
        <w:tabs>
          <w:tab w:val="left" w:pos="-720"/>
          <w:tab w:val="left" w:pos="0"/>
        </w:tabs>
        <w:suppressAutoHyphens/>
        <w:contextualSpacing/>
        <w:rPr>
          <w:sz w:val="26"/>
          <w:szCs w:val="26"/>
        </w:rPr>
      </w:pPr>
      <w:r w:rsidRPr="003E4FFA">
        <w:rPr>
          <w:sz w:val="26"/>
          <w:szCs w:val="26"/>
        </w:rPr>
        <w:t>Pe</w:t>
      </w:r>
      <w:r w:rsidR="00FD428B">
        <w:rPr>
          <w:sz w:val="26"/>
          <w:szCs w:val="26"/>
        </w:rPr>
        <w:t>nnsylvania Public Utility Commission</w:t>
      </w:r>
      <w:r w:rsidR="00E31339" w:rsidRPr="004E64B8">
        <w:rPr>
          <w:sz w:val="26"/>
          <w:szCs w:val="26"/>
        </w:rPr>
        <w:tab/>
      </w:r>
      <w:r w:rsidR="00E31339" w:rsidRPr="004E64B8">
        <w:rPr>
          <w:sz w:val="26"/>
          <w:szCs w:val="26"/>
        </w:rPr>
        <w:tab/>
      </w:r>
      <w:r w:rsidR="00E31339">
        <w:rPr>
          <w:sz w:val="26"/>
          <w:szCs w:val="26"/>
        </w:rPr>
        <w:tab/>
      </w:r>
      <w:r w:rsidR="00E31339">
        <w:rPr>
          <w:sz w:val="26"/>
          <w:szCs w:val="26"/>
        </w:rPr>
        <w:tab/>
      </w:r>
      <w:r w:rsidR="00E31339">
        <w:rPr>
          <w:sz w:val="26"/>
          <w:szCs w:val="26"/>
        </w:rPr>
        <w:tab/>
        <w:t>C</w:t>
      </w:r>
      <w:r w:rsidR="00E31339" w:rsidRPr="003E4FFA">
        <w:rPr>
          <w:sz w:val="26"/>
          <w:szCs w:val="26"/>
        </w:rPr>
        <w:t>-201</w:t>
      </w:r>
      <w:r w:rsidR="00E31339">
        <w:rPr>
          <w:sz w:val="26"/>
          <w:szCs w:val="26"/>
        </w:rPr>
        <w:t>8</w:t>
      </w:r>
      <w:r w:rsidR="00E31339" w:rsidRPr="003E4FFA">
        <w:rPr>
          <w:sz w:val="26"/>
          <w:szCs w:val="26"/>
        </w:rPr>
        <w:t>-</w:t>
      </w:r>
      <w:r w:rsidR="00E31339">
        <w:rPr>
          <w:sz w:val="26"/>
          <w:szCs w:val="26"/>
        </w:rPr>
        <w:t>3006534</w:t>
      </w:r>
    </w:p>
    <w:p w14:paraId="67076667" w14:textId="43578FAF" w:rsidR="003E4FFA" w:rsidRPr="004E64B8" w:rsidRDefault="00FD428B" w:rsidP="00FD428B">
      <w:pPr>
        <w:tabs>
          <w:tab w:val="left" w:pos="-720"/>
          <w:tab w:val="left" w:pos="0"/>
        </w:tabs>
        <w:suppressAutoHyphens/>
        <w:contextualSpacing/>
        <w:rPr>
          <w:sz w:val="26"/>
          <w:szCs w:val="26"/>
        </w:rPr>
      </w:pPr>
      <w:r>
        <w:rPr>
          <w:sz w:val="26"/>
          <w:szCs w:val="26"/>
        </w:rPr>
        <w:t>Bureau of Investigation and Enforcement</w:t>
      </w:r>
      <w:r w:rsidR="005205C0" w:rsidRPr="004E64B8">
        <w:rPr>
          <w:sz w:val="26"/>
          <w:szCs w:val="26"/>
        </w:rPr>
        <w:tab/>
      </w:r>
    </w:p>
    <w:p w14:paraId="21F0584F" w14:textId="77777777" w:rsidR="009304FE" w:rsidRDefault="009304FE" w:rsidP="004E64B8">
      <w:pPr>
        <w:tabs>
          <w:tab w:val="left" w:pos="-720"/>
        </w:tabs>
        <w:suppressAutoHyphens/>
        <w:contextualSpacing/>
        <w:rPr>
          <w:sz w:val="26"/>
          <w:szCs w:val="26"/>
        </w:rPr>
      </w:pPr>
    </w:p>
    <w:p w14:paraId="1C788ED7" w14:textId="77777777" w:rsidR="00FD428B" w:rsidRDefault="00FD428B" w:rsidP="004E64B8">
      <w:pPr>
        <w:tabs>
          <w:tab w:val="left" w:pos="-720"/>
        </w:tabs>
        <w:suppressAutoHyphens/>
        <w:contextualSpacing/>
        <w:rPr>
          <w:sz w:val="26"/>
          <w:szCs w:val="26"/>
        </w:rPr>
      </w:pPr>
      <w:r>
        <w:rPr>
          <w:sz w:val="26"/>
          <w:szCs w:val="26"/>
        </w:rPr>
        <w:tab/>
      </w:r>
      <w:r>
        <w:rPr>
          <w:sz w:val="26"/>
          <w:szCs w:val="26"/>
        </w:rPr>
        <w:tab/>
        <w:t>v.</w:t>
      </w:r>
    </w:p>
    <w:p w14:paraId="580C942A" w14:textId="77777777" w:rsidR="00FD428B" w:rsidRDefault="00FD428B" w:rsidP="004E64B8">
      <w:pPr>
        <w:tabs>
          <w:tab w:val="left" w:pos="-720"/>
        </w:tabs>
        <w:suppressAutoHyphens/>
        <w:contextualSpacing/>
        <w:rPr>
          <w:sz w:val="26"/>
          <w:szCs w:val="26"/>
        </w:rPr>
      </w:pPr>
    </w:p>
    <w:p w14:paraId="759CE2BA" w14:textId="77777777" w:rsidR="00FD428B" w:rsidRDefault="00FD428B" w:rsidP="004E64B8">
      <w:pPr>
        <w:tabs>
          <w:tab w:val="left" w:pos="-720"/>
        </w:tabs>
        <w:suppressAutoHyphens/>
        <w:contextualSpacing/>
        <w:rPr>
          <w:sz w:val="26"/>
          <w:szCs w:val="26"/>
        </w:rPr>
      </w:pPr>
      <w:r>
        <w:rPr>
          <w:sz w:val="26"/>
          <w:szCs w:val="26"/>
        </w:rPr>
        <w:t xml:space="preserve">Sunoco Pipeline, L.P. </w:t>
      </w:r>
    </w:p>
    <w:p w14:paraId="1EB2E0C0" w14:textId="77777777" w:rsidR="00FD428B" w:rsidRDefault="00FD428B" w:rsidP="004E64B8">
      <w:pPr>
        <w:tabs>
          <w:tab w:val="left" w:pos="-720"/>
        </w:tabs>
        <w:suppressAutoHyphens/>
        <w:contextualSpacing/>
        <w:rPr>
          <w:sz w:val="26"/>
          <w:szCs w:val="26"/>
        </w:rPr>
      </w:pPr>
    </w:p>
    <w:p w14:paraId="4F64DDDF" w14:textId="77777777" w:rsidR="003E4FFA" w:rsidRPr="004E64B8" w:rsidRDefault="003E4FFA" w:rsidP="004E64B8">
      <w:pPr>
        <w:tabs>
          <w:tab w:val="left" w:pos="-720"/>
        </w:tabs>
        <w:suppressAutoHyphens/>
        <w:contextualSpacing/>
        <w:rPr>
          <w:sz w:val="26"/>
          <w:szCs w:val="26"/>
        </w:rPr>
      </w:pPr>
    </w:p>
    <w:p w14:paraId="6BA08FB9" w14:textId="77777777" w:rsidR="009304FE" w:rsidRPr="004E64B8" w:rsidRDefault="00167CDE" w:rsidP="004E64B8">
      <w:pPr>
        <w:tabs>
          <w:tab w:val="center" w:pos="4680"/>
        </w:tabs>
        <w:suppressAutoHyphens/>
        <w:contextualSpacing/>
        <w:jc w:val="center"/>
        <w:rPr>
          <w:b/>
          <w:sz w:val="26"/>
          <w:szCs w:val="26"/>
        </w:rPr>
      </w:pPr>
      <w:r>
        <w:rPr>
          <w:b/>
          <w:sz w:val="26"/>
          <w:szCs w:val="26"/>
        </w:rPr>
        <w:t xml:space="preserve">TENTATIVE </w:t>
      </w:r>
      <w:r w:rsidR="009304FE" w:rsidRPr="004E64B8">
        <w:rPr>
          <w:b/>
          <w:sz w:val="26"/>
          <w:szCs w:val="26"/>
        </w:rPr>
        <w:t>OPINION AND ORDER</w:t>
      </w:r>
    </w:p>
    <w:p w14:paraId="09B692A3" w14:textId="77777777" w:rsidR="00CA6BAF" w:rsidRPr="004E64B8" w:rsidRDefault="00CA6BAF" w:rsidP="004E64B8">
      <w:pPr>
        <w:tabs>
          <w:tab w:val="left" w:pos="-720"/>
        </w:tabs>
        <w:suppressAutoHyphens/>
        <w:spacing w:line="360" w:lineRule="auto"/>
        <w:contextualSpacing/>
        <w:rPr>
          <w:b/>
          <w:sz w:val="26"/>
          <w:szCs w:val="26"/>
        </w:rPr>
      </w:pPr>
    </w:p>
    <w:p w14:paraId="3C243661" w14:textId="77777777" w:rsidR="009304FE" w:rsidRPr="004E64B8" w:rsidRDefault="009304FE" w:rsidP="004E64B8">
      <w:pPr>
        <w:tabs>
          <w:tab w:val="left" w:pos="-720"/>
        </w:tabs>
        <w:suppressAutoHyphens/>
        <w:spacing w:line="360" w:lineRule="auto"/>
        <w:contextualSpacing/>
        <w:rPr>
          <w:sz w:val="26"/>
          <w:szCs w:val="26"/>
        </w:rPr>
      </w:pPr>
      <w:r w:rsidRPr="004E64B8">
        <w:rPr>
          <w:b/>
          <w:sz w:val="26"/>
          <w:szCs w:val="26"/>
        </w:rPr>
        <w:t>BY THE COMMISSION:</w:t>
      </w:r>
    </w:p>
    <w:p w14:paraId="544705CC" w14:textId="77777777" w:rsidR="009304FE" w:rsidRPr="004E64B8" w:rsidRDefault="009304FE" w:rsidP="004E64B8">
      <w:pPr>
        <w:contextualSpacing/>
        <w:rPr>
          <w:sz w:val="26"/>
          <w:szCs w:val="26"/>
        </w:rPr>
      </w:pPr>
    </w:p>
    <w:p w14:paraId="43B645CA" w14:textId="4E4DCF91" w:rsidR="0067105F" w:rsidRDefault="00AE655A" w:rsidP="00E31339">
      <w:pPr>
        <w:spacing w:line="360" w:lineRule="auto"/>
        <w:contextualSpacing/>
        <w:rPr>
          <w:sz w:val="26"/>
          <w:szCs w:val="26"/>
        </w:rPr>
      </w:pPr>
      <w:r w:rsidRPr="004E64B8">
        <w:rPr>
          <w:sz w:val="26"/>
          <w:szCs w:val="26"/>
        </w:rPr>
        <w:tab/>
      </w:r>
      <w:r w:rsidRPr="004E64B8">
        <w:rPr>
          <w:sz w:val="26"/>
          <w:szCs w:val="26"/>
        </w:rPr>
        <w:tab/>
      </w:r>
      <w:r w:rsidR="003E4FFA" w:rsidRPr="003E4FFA">
        <w:rPr>
          <w:sz w:val="26"/>
          <w:szCs w:val="26"/>
        </w:rPr>
        <w:t xml:space="preserve">Before the Pennsylvania Public Utility Commission (Commission) for consideration and disposition is the </w:t>
      </w:r>
      <w:r w:rsidR="007A31E4">
        <w:rPr>
          <w:sz w:val="26"/>
          <w:szCs w:val="26"/>
        </w:rPr>
        <w:t xml:space="preserve">Joint </w:t>
      </w:r>
      <w:r w:rsidR="003E4FFA" w:rsidRPr="003E4FFA">
        <w:rPr>
          <w:sz w:val="26"/>
          <w:szCs w:val="26"/>
        </w:rPr>
        <w:t xml:space="preserve">Petition </w:t>
      </w:r>
      <w:r w:rsidR="007A31E4">
        <w:rPr>
          <w:sz w:val="26"/>
          <w:szCs w:val="26"/>
        </w:rPr>
        <w:t xml:space="preserve">for </w:t>
      </w:r>
      <w:r w:rsidR="00391865">
        <w:rPr>
          <w:sz w:val="26"/>
          <w:szCs w:val="26"/>
        </w:rPr>
        <w:t xml:space="preserve">Approval of </w:t>
      </w:r>
      <w:r w:rsidR="007A31E4">
        <w:rPr>
          <w:sz w:val="26"/>
          <w:szCs w:val="26"/>
        </w:rPr>
        <w:t xml:space="preserve">Settlement </w:t>
      </w:r>
      <w:r w:rsidR="008904A9">
        <w:rPr>
          <w:sz w:val="26"/>
          <w:szCs w:val="26"/>
        </w:rPr>
        <w:t>(Settlement or Joint Petition</w:t>
      </w:r>
      <w:r w:rsidR="00677B32">
        <w:rPr>
          <w:sz w:val="26"/>
          <w:szCs w:val="26"/>
        </w:rPr>
        <w:t xml:space="preserve"> or Settlement Agreement</w:t>
      </w:r>
      <w:r w:rsidR="008904A9">
        <w:rPr>
          <w:sz w:val="26"/>
          <w:szCs w:val="26"/>
        </w:rPr>
        <w:t xml:space="preserve">) </w:t>
      </w:r>
      <w:r w:rsidR="007A31E4">
        <w:rPr>
          <w:sz w:val="26"/>
          <w:szCs w:val="26"/>
        </w:rPr>
        <w:t xml:space="preserve">filed on April 3, 2019, by the Commission’s Bureau of Investigation and Enforcement (I&amp;E) and Sunoco Pipeline, L.P. (Sunoco) (collectively, </w:t>
      </w:r>
      <w:r w:rsidR="00246451">
        <w:rPr>
          <w:sz w:val="26"/>
          <w:szCs w:val="26"/>
        </w:rPr>
        <w:t xml:space="preserve">the Parties or </w:t>
      </w:r>
      <w:r w:rsidR="007A31E4">
        <w:rPr>
          <w:sz w:val="26"/>
          <w:szCs w:val="26"/>
        </w:rPr>
        <w:t>Joint Petitioners), as amended on June 28, 2019</w:t>
      </w:r>
      <w:r w:rsidR="00BC5D6A">
        <w:rPr>
          <w:sz w:val="26"/>
          <w:szCs w:val="26"/>
        </w:rPr>
        <w:t xml:space="preserve">, </w:t>
      </w:r>
      <w:r w:rsidR="007A31E4">
        <w:rPr>
          <w:sz w:val="26"/>
          <w:szCs w:val="26"/>
        </w:rPr>
        <w:t xml:space="preserve">by the </w:t>
      </w:r>
      <w:r w:rsidR="000A7FDF">
        <w:rPr>
          <w:sz w:val="26"/>
          <w:szCs w:val="26"/>
        </w:rPr>
        <w:t xml:space="preserve">Addendum to </w:t>
      </w:r>
      <w:r w:rsidR="00F81EC5">
        <w:rPr>
          <w:sz w:val="26"/>
          <w:szCs w:val="26"/>
        </w:rPr>
        <w:t xml:space="preserve">the </w:t>
      </w:r>
      <w:r w:rsidR="000A7FDF">
        <w:rPr>
          <w:sz w:val="26"/>
          <w:szCs w:val="26"/>
        </w:rPr>
        <w:t>April 3, 201</w:t>
      </w:r>
      <w:r w:rsidR="006F68BB">
        <w:rPr>
          <w:sz w:val="26"/>
          <w:szCs w:val="26"/>
        </w:rPr>
        <w:t>9</w:t>
      </w:r>
      <w:r w:rsidR="000A7FDF">
        <w:rPr>
          <w:sz w:val="26"/>
          <w:szCs w:val="26"/>
        </w:rPr>
        <w:t xml:space="preserve"> </w:t>
      </w:r>
      <w:r w:rsidR="007A31E4">
        <w:rPr>
          <w:sz w:val="26"/>
          <w:szCs w:val="26"/>
        </w:rPr>
        <w:t xml:space="preserve">Joint </w:t>
      </w:r>
      <w:r w:rsidR="000A7FDF">
        <w:rPr>
          <w:sz w:val="26"/>
          <w:szCs w:val="26"/>
        </w:rPr>
        <w:t>Petition for Approval of Settlement (</w:t>
      </w:r>
      <w:r w:rsidR="007A31E4">
        <w:rPr>
          <w:sz w:val="26"/>
          <w:szCs w:val="26"/>
        </w:rPr>
        <w:t>Addendum</w:t>
      </w:r>
      <w:r w:rsidR="000A7FDF">
        <w:rPr>
          <w:sz w:val="26"/>
          <w:szCs w:val="26"/>
        </w:rPr>
        <w:t>)</w:t>
      </w:r>
      <w:r w:rsidR="003E4FFA" w:rsidRPr="003E4FFA">
        <w:rPr>
          <w:sz w:val="26"/>
          <w:szCs w:val="26"/>
        </w:rPr>
        <w:t xml:space="preserve">.  </w:t>
      </w:r>
      <w:r w:rsidR="00C15D71">
        <w:rPr>
          <w:sz w:val="26"/>
          <w:szCs w:val="26"/>
        </w:rPr>
        <w:t>On</w:t>
      </w:r>
      <w:r w:rsidR="008904A9">
        <w:rPr>
          <w:sz w:val="26"/>
          <w:szCs w:val="26"/>
        </w:rPr>
        <w:t xml:space="preserve"> December 20</w:t>
      </w:r>
      <w:r w:rsidR="00C15D71" w:rsidRPr="00E4224E">
        <w:rPr>
          <w:sz w:val="26"/>
          <w:szCs w:val="26"/>
        </w:rPr>
        <w:t>, 2019</w:t>
      </w:r>
      <w:r w:rsidR="00C15D71">
        <w:rPr>
          <w:sz w:val="26"/>
          <w:szCs w:val="26"/>
        </w:rPr>
        <w:t xml:space="preserve">, </w:t>
      </w:r>
      <w:r w:rsidR="003E78A1">
        <w:rPr>
          <w:sz w:val="26"/>
          <w:szCs w:val="26"/>
        </w:rPr>
        <w:t>the Commission issued the</w:t>
      </w:r>
      <w:r w:rsidR="00A63D74">
        <w:rPr>
          <w:sz w:val="26"/>
          <w:szCs w:val="26"/>
        </w:rPr>
        <w:t xml:space="preserve"> Initial </w:t>
      </w:r>
      <w:r w:rsidR="003E78A1">
        <w:rPr>
          <w:sz w:val="26"/>
          <w:szCs w:val="26"/>
        </w:rPr>
        <w:t xml:space="preserve">Decision of </w:t>
      </w:r>
      <w:r w:rsidR="00E4224E" w:rsidRPr="00E4224E">
        <w:rPr>
          <w:sz w:val="26"/>
          <w:szCs w:val="26"/>
        </w:rPr>
        <w:t>Administrative Law Judge</w:t>
      </w:r>
      <w:r w:rsidR="008904A9">
        <w:rPr>
          <w:sz w:val="26"/>
          <w:szCs w:val="26"/>
        </w:rPr>
        <w:t xml:space="preserve"> Elizabeth H. Barnes approving the Settlement</w:t>
      </w:r>
      <w:r w:rsidR="00E4224E">
        <w:rPr>
          <w:sz w:val="26"/>
          <w:szCs w:val="26"/>
        </w:rPr>
        <w:t xml:space="preserve">.  </w:t>
      </w:r>
      <w:r w:rsidR="00700E59" w:rsidRPr="004E64B8">
        <w:rPr>
          <w:sz w:val="26"/>
          <w:szCs w:val="26"/>
        </w:rPr>
        <w:t xml:space="preserve">Exceptions have not been filed.  </w:t>
      </w:r>
      <w:r w:rsidR="00242B9D" w:rsidRPr="005C260E">
        <w:rPr>
          <w:sz w:val="26"/>
          <w:szCs w:val="26"/>
        </w:rPr>
        <w:t>However, we have exercised our right to review the</w:t>
      </w:r>
      <w:r w:rsidR="00A63D74">
        <w:rPr>
          <w:sz w:val="26"/>
          <w:szCs w:val="26"/>
        </w:rPr>
        <w:t xml:space="preserve"> Initial</w:t>
      </w:r>
      <w:r w:rsidR="00242B9D" w:rsidRPr="005C260E">
        <w:rPr>
          <w:sz w:val="26"/>
          <w:szCs w:val="26"/>
        </w:rPr>
        <w:t xml:space="preserve"> Decision pursuant to </w:t>
      </w:r>
      <w:r w:rsidR="00242B9D" w:rsidRPr="005C260E">
        <w:rPr>
          <w:sz w:val="26"/>
          <w:szCs w:val="26"/>
        </w:rPr>
        <w:lastRenderedPageBreak/>
        <w:t>Section 332(h) of the Public Utility Code (Code), 66 Pa. C.S. § 332(h).</w:t>
      </w:r>
      <w:r w:rsidR="00242B9D">
        <w:rPr>
          <w:sz w:val="26"/>
          <w:szCs w:val="26"/>
        </w:rPr>
        <w:t xml:space="preserve">  </w:t>
      </w:r>
      <w:r w:rsidR="008B24E5" w:rsidRPr="004E64B8">
        <w:rPr>
          <w:sz w:val="26"/>
          <w:szCs w:val="26"/>
        </w:rPr>
        <w:t xml:space="preserve">For the reasons stated below, we </w:t>
      </w:r>
      <w:r w:rsidR="009C1908" w:rsidRPr="004E64B8">
        <w:rPr>
          <w:sz w:val="26"/>
          <w:szCs w:val="26"/>
        </w:rPr>
        <w:t xml:space="preserve">shall </w:t>
      </w:r>
      <w:r w:rsidR="00FC04C8" w:rsidRPr="004E64B8">
        <w:rPr>
          <w:sz w:val="26"/>
          <w:szCs w:val="26"/>
        </w:rPr>
        <w:t>adopt</w:t>
      </w:r>
      <w:r w:rsidR="00884416" w:rsidRPr="004E64B8">
        <w:rPr>
          <w:sz w:val="26"/>
          <w:szCs w:val="26"/>
        </w:rPr>
        <w:t xml:space="preserve"> the</w:t>
      </w:r>
      <w:r w:rsidR="00F157FF">
        <w:rPr>
          <w:sz w:val="26"/>
          <w:szCs w:val="26"/>
        </w:rPr>
        <w:t xml:space="preserve"> Initial</w:t>
      </w:r>
      <w:r w:rsidR="00884416" w:rsidRPr="004E64B8">
        <w:rPr>
          <w:sz w:val="26"/>
          <w:szCs w:val="26"/>
        </w:rPr>
        <w:t xml:space="preserve"> Decision</w:t>
      </w:r>
      <w:r w:rsidR="00F157FF">
        <w:rPr>
          <w:sz w:val="26"/>
          <w:szCs w:val="26"/>
        </w:rPr>
        <w:t>,</w:t>
      </w:r>
      <w:r w:rsidR="00884416" w:rsidRPr="004E64B8">
        <w:rPr>
          <w:sz w:val="26"/>
          <w:szCs w:val="26"/>
        </w:rPr>
        <w:t xml:space="preserve"> </w:t>
      </w:r>
      <w:r w:rsidR="00FC04C8" w:rsidRPr="004E64B8">
        <w:rPr>
          <w:sz w:val="26"/>
          <w:szCs w:val="26"/>
        </w:rPr>
        <w:t xml:space="preserve">as </w:t>
      </w:r>
      <w:r w:rsidR="00CF0415">
        <w:rPr>
          <w:sz w:val="26"/>
          <w:szCs w:val="26"/>
        </w:rPr>
        <w:t>modified</w:t>
      </w:r>
      <w:r w:rsidR="00FC04C8" w:rsidRPr="004E64B8">
        <w:rPr>
          <w:sz w:val="26"/>
          <w:szCs w:val="26"/>
        </w:rPr>
        <w:t xml:space="preserve"> by </w:t>
      </w:r>
      <w:r w:rsidR="0070271E">
        <w:rPr>
          <w:sz w:val="26"/>
          <w:szCs w:val="26"/>
        </w:rPr>
        <w:t>this Opinion and Order.</w:t>
      </w:r>
    </w:p>
    <w:p w14:paraId="42A038B0" w14:textId="77777777" w:rsidR="00BA5014" w:rsidRPr="004E64B8" w:rsidRDefault="00BA5014" w:rsidP="00E31339">
      <w:pPr>
        <w:spacing w:line="360" w:lineRule="auto"/>
        <w:contextualSpacing/>
        <w:rPr>
          <w:sz w:val="26"/>
          <w:szCs w:val="26"/>
        </w:rPr>
      </w:pPr>
    </w:p>
    <w:p w14:paraId="17AB9DC5" w14:textId="77777777" w:rsidR="009304FE" w:rsidRPr="004E64B8" w:rsidRDefault="00F55BED" w:rsidP="00E31339">
      <w:pPr>
        <w:keepNext/>
        <w:keepLines/>
        <w:spacing w:line="360" w:lineRule="auto"/>
        <w:contextualSpacing/>
        <w:jc w:val="center"/>
        <w:rPr>
          <w:b/>
          <w:sz w:val="26"/>
          <w:szCs w:val="26"/>
        </w:rPr>
      </w:pPr>
      <w:r w:rsidRPr="004E64B8">
        <w:rPr>
          <w:b/>
          <w:sz w:val="26"/>
          <w:szCs w:val="26"/>
        </w:rPr>
        <w:t>History of the Proceeding</w:t>
      </w:r>
    </w:p>
    <w:p w14:paraId="2DD03C46" w14:textId="77777777" w:rsidR="00BA5014" w:rsidRDefault="00BA5014" w:rsidP="00E31339">
      <w:pPr>
        <w:pStyle w:val="Default"/>
        <w:spacing w:line="360" w:lineRule="auto"/>
      </w:pPr>
    </w:p>
    <w:p w14:paraId="28A51BA1" w14:textId="77777777" w:rsidR="00BA5014" w:rsidRPr="00BA5014" w:rsidRDefault="00BA5014" w:rsidP="00E31339">
      <w:pPr>
        <w:pStyle w:val="Default"/>
        <w:spacing w:line="360" w:lineRule="auto"/>
        <w:rPr>
          <w:rFonts w:eastAsia="Calibri"/>
          <w:sz w:val="26"/>
          <w:szCs w:val="26"/>
        </w:rPr>
      </w:pPr>
      <w:r w:rsidRPr="00BA5014">
        <w:rPr>
          <w:sz w:val="26"/>
          <w:szCs w:val="26"/>
        </w:rPr>
        <w:t xml:space="preserve"> </w:t>
      </w:r>
      <w:r>
        <w:rPr>
          <w:sz w:val="26"/>
          <w:szCs w:val="26"/>
        </w:rPr>
        <w:tab/>
      </w:r>
      <w:r>
        <w:rPr>
          <w:sz w:val="26"/>
          <w:szCs w:val="26"/>
        </w:rPr>
        <w:tab/>
      </w:r>
      <w:r w:rsidRPr="00BA5014">
        <w:rPr>
          <w:sz w:val="26"/>
          <w:szCs w:val="26"/>
        </w:rPr>
        <w:t xml:space="preserve">On December 13, 2018, I&amp;E filed a </w:t>
      </w:r>
      <w:r w:rsidR="00E5391F">
        <w:rPr>
          <w:sz w:val="26"/>
          <w:szCs w:val="26"/>
        </w:rPr>
        <w:t xml:space="preserve">Formal </w:t>
      </w:r>
      <w:r w:rsidRPr="00BA5014">
        <w:rPr>
          <w:sz w:val="26"/>
          <w:szCs w:val="26"/>
        </w:rPr>
        <w:t xml:space="preserve">Complaint </w:t>
      </w:r>
      <w:r w:rsidR="00E5391F">
        <w:rPr>
          <w:sz w:val="26"/>
          <w:szCs w:val="26"/>
        </w:rPr>
        <w:t xml:space="preserve">(Complaint) </w:t>
      </w:r>
      <w:r w:rsidRPr="00BA5014">
        <w:rPr>
          <w:sz w:val="26"/>
          <w:szCs w:val="26"/>
        </w:rPr>
        <w:t>with the</w:t>
      </w:r>
      <w:r>
        <w:rPr>
          <w:sz w:val="26"/>
          <w:szCs w:val="26"/>
        </w:rPr>
        <w:t xml:space="preserve"> </w:t>
      </w:r>
      <w:r w:rsidRPr="00BA5014">
        <w:rPr>
          <w:sz w:val="26"/>
          <w:szCs w:val="26"/>
        </w:rPr>
        <w:t xml:space="preserve">Commission against </w:t>
      </w:r>
      <w:r>
        <w:rPr>
          <w:sz w:val="26"/>
          <w:szCs w:val="26"/>
        </w:rPr>
        <w:t>Sunoco</w:t>
      </w:r>
      <w:r w:rsidRPr="00BA5014">
        <w:rPr>
          <w:sz w:val="26"/>
          <w:szCs w:val="26"/>
        </w:rPr>
        <w:t xml:space="preserve"> alleging violations of federal and state gas pipeline safety regulations by S</w:t>
      </w:r>
      <w:r>
        <w:rPr>
          <w:sz w:val="26"/>
          <w:szCs w:val="26"/>
        </w:rPr>
        <w:t xml:space="preserve">unoco </w:t>
      </w:r>
      <w:r w:rsidRPr="00BA5014">
        <w:rPr>
          <w:sz w:val="26"/>
          <w:szCs w:val="26"/>
        </w:rPr>
        <w:t xml:space="preserve">stemming from an alleged incident involving a leak of </w:t>
      </w:r>
      <w:r w:rsidRPr="00BA5014">
        <w:rPr>
          <w:color w:val="auto"/>
          <w:sz w:val="26"/>
          <w:szCs w:val="26"/>
        </w:rPr>
        <w:t>highly volatile liquids (HVLs) of ethane and propane from the Mariner East 1 (ME1) pipeline in Morgantown, Pennsylvania on April 1, 2017.</w:t>
      </w:r>
    </w:p>
    <w:p w14:paraId="6121ACEE" w14:textId="77777777" w:rsidR="001D751E" w:rsidRDefault="001D751E" w:rsidP="00C017AD">
      <w:pPr>
        <w:spacing w:line="360" w:lineRule="auto"/>
        <w:ind w:firstLine="1440"/>
        <w:contextualSpacing/>
        <w:rPr>
          <w:rFonts w:eastAsia="Calibri"/>
          <w:sz w:val="26"/>
          <w:szCs w:val="26"/>
        </w:rPr>
      </w:pPr>
    </w:p>
    <w:p w14:paraId="226BDF45" w14:textId="77777777" w:rsidR="00246451" w:rsidRPr="00EE4286" w:rsidRDefault="00246451" w:rsidP="00C017AD">
      <w:pPr>
        <w:spacing w:line="360" w:lineRule="auto"/>
        <w:ind w:firstLine="1440"/>
        <w:contextualSpacing/>
        <w:rPr>
          <w:rFonts w:eastAsia="Calibri"/>
          <w:sz w:val="26"/>
          <w:szCs w:val="26"/>
        </w:rPr>
      </w:pPr>
    </w:p>
    <w:p w14:paraId="1F610D65" w14:textId="7940EC60" w:rsidR="00BA5014" w:rsidRPr="00BA5014" w:rsidRDefault="00BA5014" w:rsidP="00E31339">
      <w:pPr>
        <w:spacing w:line="360" w:lineRule="auto"/>
        <w:ind w:firstLine="1440"/>
        <w:contextualSpacing/>
        <w:rPr>
          <w:sz w:val="26"/>
          <w:szCs w:val="26"/>
        </w:rPr>
      </w:pPr>
      <w:r w:rsidRPr="00BA5014">
        <w:rPr>
          <w:sz w:val="26"/>
          <w:szCs w:val="26"/>
        </w:rPr>
        <w:t xml:space="preserve">On April 3, 2019, the </w:t>
      </w:r>
      <w:r>
        <w:rPr>
          <w:sz w:val="26"/>
          <w:szCs w:val="26"/>
        </w:rPr>
        <w:t>P</w:t>
      </w:r>
      <w:r w:rsidRPr="00BA5014">
        <w:rPr>
          <w:sz w:val="26"/>
          <w:szCs w:val="26"/>
        </w:rPr>
        <w:t xml:space="preserve">arties filed </w:t>
      </w:r>
      <w:r>
        <w:rPr>
          <w:sz w:val="26"/>
          <w:szCs w:val="26"/>
        </w:rPr>
        <w:t>the</w:t>
      </w:r>
      <w:r w:rsidR="00E2780A">
        <w:rPr>
          <w:sz w:val="26"/>
          <w:szCs w:val="26"/>
        </w:rPr>
        <w:t xml:space="preserve"> </w:t>
      </w:r>
      <w:r w:rsidRPr="00BA5014">
        <w:rPr>
          <w:sz w:val="26"/>
          <w:szCs w:val="26"/>
        </w:rPr>
        <w:t>Joint Petitio</w:t>
      </w:r>
      <w:r>
        <w:rPr>
          <w:sz w:val="26"/>
          <w:szCs w:val="26"/>
        </w:rPr>
        <w:t>n</w:t>
      </w:r>
      <w:r w:rsidRPr="00BA5014">
        <w:rPr>
          <w:sz w:val="26"/>
          <w:szCs w:val="26"/>
        </w:rPr>
        <w:t>.</w:t>
      </w:r>
      <w:r>
        <w:rPr>
          <w:sz w:val="26"/>
          <w:szCs w:val="26"/>
        </w:rPr>
        <w:t xml:space="preserve">  </w:t>
      </w:r>
      <w:r w:rsidRPr="00BA5014">
        <w:rPr>
          <w:sz w:val="26"/>
          <w:szCs w:val="26"/>
        </w:rPr>
        <w:t>The Joint Petition consists of the proposed Settlement Agreement (</w:t>
      </w:r>
      <w:r w:rsidR="007A7EEE">
        <w:rPr>
          <w:sz w:val="26"/>
          <w:szCs w:val="26"/>
        </w:rPr>
        <w:t xml:space="preserve">Joint </w:t>
      </w:r>
      <w:r w:rsidRPr="00BA5014">
        <w:rPr>
          <w:sz w:val="26"/>
          <w:szCs w:val="26"/>
        </w:rPr>
        <w:t>Petition at 1-10) and attached: Appendix “A” (</w:t>
      </w:r>
      <w:r w:rsidR="00AE364A">
        <w:rPr>
          <w:sz w:val="26"/>
          <w:szCs w:val="26"/>
        </w:rPr>
        <w:t xml:space="preserve">I&amp;E’s </w:t>
      </w:r>
      <w:r w:rsidRPr="00BA5014">
        <w:rPr>
          <w:sz w:val="26"/>
          <w:szCs w:val="26"/>
        </w:rPr>
        <w:t xml:space="preserve">Statement </w:t>
      </w:r>
      <w:r w:rsidR="00115F86">
        <w:rPr>
          <w:sz w:val="26"/>
          <w:szCs w:val="26"/>
        </w:rPr>
        <w:t xml:space="preserve">in Support </w:t>
      </w:r>
      <w:r w:rsidRPr="00BA5014">
        <w:rPr>
          <w:sz w:val="26"/>
          <w:szCs w:val="26"/>
        </w:rPr>
        <w:t>of</w:t>
      </w:r>
      <w:r w:rsidR="00AE364A">
        <w:rPr>
          <w:sz w:val="26"/>
          <w:szCs w:val="26"/>
        </w:rPr>
        <w:t xml:space="preserve"> Settlement</w:t>
      </w:r>
      <w:r w:rsidRPr="00BA5014">
        <w:rPr>
          <w:sz w:val="26"/>
          <w:szCs w:val="26"/>
        </w:rPr>
        <w:t xml:space="preserve"> at 1-</w:t>
      </w:r>
      <w:r w:rsidR="00AE364A">
        <w:rPr>
          <w:sz w:val="26"/>
          <w:szCs w:val="26"/>
        </w:rPr>
        <w:t>20</w:t>
      </w:r>
      <w:r w:rsidRPr="00BA5014">
        <w:rPr>
          <w:sz w:val="26"/>
          <w:szCs w:val="26"/>
        </w:rPr>
        <w:t>); Appendix “B” (</w:t>
      </w:r>
      <w:r w:rsidR="00AE364A">
        <w:rPr>
          <w:sz w:val="26"/>
          <w:szCs w:val="26"/>
        </w:rPr>
        <w:t xml:space="preserve">Sunoco’s </w:t>
      </w:r>
      <w:r w:rsidRPr="00BA5014">
        <w:rPr>
          <w:sz w:val="26"/>
          <w:szCs w:val="26"/>
        </w:rPr>
        <w:t xml:space="preserve">Statement </w:t>
      </w:r>
      <w:r w:rsidR="00115F86">
        <w:rPr>
          <w:sz w:val="26"/>
          <w:szCs w:val="26"/>
        </w:rPr>
        <w:t xml:space="preserve">in Support </w:t>
      </w:r>
      <w:r w:rsidRPr="00BA5014">
        <w:rPr>
          <w:sz w:val="26"/>
          <w:szCs w:val="26"/>
        </w:rPr>
        <w:t>of S</w:t>
      </w:r>
      <w:r w:rsidR="00AE364A">
        <w:rPr>
          <w:sz w:val="26"/>
          <w:szCs w:val="26"/>
        </w:rPr>
        <w:t>ettlement at</w:t>
      </w:r>
      <w:r w:rsidRPr="00BA5014">
        <w:rPr>
          <w:sz w:val="26"/>
          <w:szCs w:val="26"/>
        </w:rPr>
        <w:t xml:space="preserve"> 1-13); Appendix “C” (</w:t>
      </w:r>
      <w:r w:rsidR="00AE364A">
        <w:rPr>
          <w:sz w:val="26"/>
          <w:szCs w:val="26"/>
        </w:rPr>
        <w:t xml:space="preserve">I&amp;E’s </w:t>
      </w:r>
      <w:r w:rsidRPr="00BA5014">
        <w:rPr>
          <w:sz w:val="26"/>
          <w:szCs w:val="26"/>
        </w:rPr>
        <w:t xml:space="preserve">Complaint </w:t>
      </w:r>
      <w:r w:rsidR="00AE364A">
        <w:rPr>
          <w:sz w:val="26"/>
          <w:szCs w:val="26"/>
        </w:rPr>
        <w:t xml:space="preserve">dated December 13, 2018, </w:t>
      </w:r>
      <w:r w:rsidRPr="00BA5014">
        <w:rPr>
          <w:sz w:val="26"/>
          <w:szCs w:val="26"/>
        </w:rPr>
        <w:t>at 1-1</w:t>
      </w:r>
      <w:r w:rsidR="00AE364A">
        <w:rPr>
          <w:sz w:val="26"/>
          <w:szCs w:val="26"/>
        </w:rPr>
        <w:t>6</w:t>
      </w:r>
      <w:r w:rsidR="00A30322">
        <w:rPr>
          <w:sz w:val="26"/>
          <w:szCs w:val="26"/>
        </w:rPr>
        <w:t>)</w:t>
      </w:r>
      <w:r w:rsidR="00AE364A">
        <w:rPr>
          <w:sz w:val="26"/>
          <w:szCs w:val="26"/>
        </w:rPr>
        <w:t xml:space="preserve">; </w:t>
      </w:r>
      <w:r w:rsidR="00AE364A" w:rsidRPr="00BA5014">
        <w:rPr>
          <w:sz w:val="26"/>
          <w:szCs w:val="26"/>
        </w:rPr>
        <w:t>and,</w:t>
      </w:r>
      <w:r w:rsidR="00AE364A">
        <w:rPr>
          <w:sz w:val="26"/>
          <w:szCs w:val="26"/>
        </w:rPr>
        <w:t xml:space="preserve"> Appendix “D” (Sunoco’s Answer and New Matter at 1-18)</w:t>
      </w:r>
      <w:r w:rsidRPr="00BA5014">
        <w:rPr>
          <w:sz w:val="26"/>
          <w:szCs w:val="26"/>
        </w:rPr>
        <w:t>.</w:t>
      </w:r>
    </w:p>
    <w:p w14:paraId="694B9F6D" w14:textId="20CD740D" w:rsidR="00176049" w:rsidRDefault="00176049" w:rsidP="00E31339">
      <w:pPr>
        <w:spacing w:line="360" w:lineRule="auto"/>
        <w:ind w:firstLine="1440"/>
        <w:contextualSpacing/>
        <w:rPr>
          <w:sz w:val="23"/>
          <w:szCs w:val="23"/>
        </w:rPr>
      </w:pPr>
    </w:p>
    <w:p w14:paraId="2A4D85E1" w14:textId="592B5CB4" w:rsidR="00E45BD7" w:rsidRDefault="00E45BD7" w:rsidP="00E31339">
      <w:pPr>
        <w:spacing w:line="360" w:lineRule="auto"/>
        <w:ind w:firstLine="1440"/>
        <w:contextualSpacing/>
        <w:rPr>
          <w:rFonts w:eastAsia="Calibri"/>
          <w:sz w:val="26"/>
          <w:szCs w:val="26"/>
        </w:rPr>
      </w:pPr>
      <w:r>
        <w:rPr>
          <w:rFonts w:eastAsia="Calibri"/>
          <w:sz w:val="26"/>
          <w:szCs w:val="26"/>
        </w:rPr>
        <w:t>Much of the history of th</w:t>
      </w:r>
      <w:r w:rsidR="00971B7E">
        <w:rPr>
          <w:rFonts w:eastAsia="Calibri"/>
          <w:sz w:val="26"/>
          <w:szCs w:val="26"/>
        </w:rPr>
        <w:t>e</w:t>
      </w:r>
      <w:r>
        <w:rPr>
          <w:rFonts w:eastAsia="Calibri"/>
          <w:sz w:val="26"/>
          <w:szCs w:val="26"/>
        </w:rPr>
        <w:t xml:space="preserve"> above-captioned proceeding is detailed in the Commission’s Opinion and Order entered June 10, 2019 (</w:t>
      </w:r>
      <w:r w:rsidRPr="009D1B47">
        <w:rPr>
          <w:rFonts w:eastAsia="Calibri"/>
          <w:i/>
          <w:sz w:val="26"/>
          <w:szCs w:val="26"/>
        </w:rPr>
        <w:t>June 2019 Order</w:t>
      </w:r>
      <w:r>
        <w:rPr>
          <w:rFonts w:eastAsia="Calibri"/>
          <w:sz w:val="26"/>
          <w:szCs w:val="26"/>
        </w:rPr>
        <w:t xml:space="preserve">) and will not be repeated here.  In the </w:t>
      </w:r>
      <w:r w:rsidRPr="009D1B47">
        <w:rPr>
          <w:rFonts w:eastAsia="Calibri"/>
          <w:i/>
          <w:sz w:val="26"/>
          <w:szCs w:val="26"/>
        </w:rPr>
        <w:t>June 2019 Order</w:t>
      </w:r>
      <w:r>
        <w:rPr>
          <w:rFonts w:eastAsia="Calibri"/>
          <w:sz w:val="26"/>
          <w:szCs w:val="26"/>
        </w:rPr>
        <w:t xml:space="preserve"> the Commission referred the matter to the Office of Administrative Law Judge (</w:t>
      </w:r>
      <w:r w:rsidR="00104F3D">
        <w:rPr>
          <w:rFonts w:eastAsia="Calibri"/>
          <w:sz w:val="26"/>
          <w:szCs w:val="26"/>
        </w:rPr>
        <w:t>OALJ) for</w:t>
      </w:r>
      <w:r>
        <w:rPr>
          <w:rFonts w:eastAsia="Calibri"/>
          <w:sz w:val="26"/>
          <w:szCs w:val="26"/>
        </w:rPr>
        <w:t xml:space="preserve"> such further proceedings and hearings as deemed necessary, consistent with that order. </w:t>
      </w:r>
    </w:p>
    <w:p w14:paraId="1444B12B" w14:textId="770D2108" w:rsidR="00E45BD7" w:rsidRDefault="00E45BD7" w:rsidP="00E31339">
      <w:pPr>
        <w:spacing w:line="360" w:lineRule="auto"/>
        <w:contextualSpacing/>
        <w:rPr>
          <w:sz w:val="23"/>
          <w:szCs w:val="23"/>
        </w:rPr>
      </w:pPr>
    </w:p>
    <w:p w14:paraId="152FFA3B" w14:textId="1A20DFB8" w:rsidR="00176049" w:rsidRDefault="00176049" w:rsidP="00E31339">
      <w:pPr>
        <w:spacing w:line="360" w:lineRule="auto"/>
        <w:ind w:firstLine="1440"/>
        <w:contextualSpacing/>
        <w:rPr>
          <w:sz w:val="26"/>
          <w:szCs w:val="26"/>
        </w:rPr>
      </w:pPr>
      <w:r w:rsidRPr="00BA5014">
        <w:rPr>
          <w:sz w:val="26"/>
          <w:szCs w:val="26"/>
        </w:rPr>
        <w:t xml:space="preserve">On June 28, 2019, </w:t>
      </w:r>
      <w:r w:rsidR="004566AB">
        <w:rPr>
          <w:sz w:val="26"/>
          <w:szCs w:val="26"/>
        </w:rPr>
        <w:t>the Joint Petitioners filed the Addendum</w:t>
      </w:r>
      <w:r w:rsidRPr="00BA5014">
        <w:rPr>
          <w:sz w:val="26"/>
          <w:szCs w:val="26"/>
        </w:rPr>
        <w:t>.  The Addendum modifies the Settlement Agreement at Paragraph 21.</w:t>
      </w:r>
    </w:p>
    <w:p w14:paraId="6C9F76E8" w14:textId="7A335AD9" w:rsidR="00AE253D" w:rsidRDefault="00AE253D" w:rsidP="00AE253D">
      <w:pPr>
        <w:spacing w:line="360" w:lineRule="auto"/>
        <w:contextualSpacing/>
        <w:rPr>
          <w:sz w:val="26"/>
          <w:szCs w:val="26"/>
        </w:rPr>
      </w:pPr>
      <w:r>
        <w:rPr>
          <w:sz w:val="26"/>
          <w:szCs w:val="26"/>
        </w:rPr>
        <w:t>Paragraph 21 states as follows:</w:t>
      </w:r>
    </w:p>
    <w:p w14:paraId="1ED50CF4" w14:textId="77777777" w:rsidR="00AE253D" w:rsidRDefault="00D239EE" w:rsidP="00AE253D">
      <w:pPr>
        <w:pStyle w:val="FootnoteText"/>
        <w:ind w:left="1440" w:right="1440"/>
        <w:rPr>
          <w:rFonts w:ascii="Times New Roman" w:hAnsi="Times New Roman"/>
          <w:sz w:val="26"/>
          <w:szCs w:val="26"/>
        </w:rPr>
      </w:pPr>
      <w:r>
        <w:rPr>
          <w:rFonts w:ascii="Times New Roman" w:hAnsi="Times New Roman"/>
          <w:sz w:val="26"/>
          <w:szCs w:val="26"/>
        </w:rPr>
        <w:lastRenderedPageBreak/>
        <w:t xml:space="preserve">21. </w:t>
      </w:r>
      <w:r w:rsidR="00A30322">
        <w:rPr>
          <w:rFonts w:ascii="Times New Roman" w:hAnsi="Times New Roman"/>
          <w:sz w:val="26"/>
          <w:szCs w:val="26"/>
        </w:rPr>
        <w:tab/>
      </w:r>
      <w:r w:rsidR="00AE253D">
        <w:rPr>
          <w:rFonts w:ascii="Times New Roman" w:hAnsi="Times New Roman"/>
          <w:sz w:val="26"/>
          <w:szCs w:val="26"/>
        </w:rPr>
        <w:t>The Settlement is conditioned upon the Commission’s approval of the terms and conditions contained in this Joint Petition for Approval of Settlement without modification.</w:t>
      </w:r>
      <w:r w:rsidR="00BF0712">
        <w:rPr>
          <w:rFonts w:ascii="Times New Roman" w:hAnsi="Times New Roman"/>
          <w:sz w:val="26"/>
          <w:szCs w:val="26"/>
        </w:rPr>
        <w:t xml:space="preserve"> </w:t>
      </w:r>
      <w:r w:rsidR="00AE253D">
        <w:rPr>
          <w:rFonts w:ascii="Times New Roman" w:hAnsi="Times New Roman"/>
          <w:sz w:val="26"/>
          <w:szCs w:val="26"/>
        </w:rPr>
        <w:t xml:space="preserve">If the Commission modifies the Settlement Agreement, any party may elect to withdraw from the Settlement and </w:t>
      </w:r>
      <w:r w:rsidR="006A5EA8">
        <w:rPr>
          <w:rFonts w:ascii="Times New Roman" w:hAnsi="Times New Roman"/>
          <w:sz w:val="26"/>
          <w:szCs w:val="26"/>
        </w:rPr>
        <w:t>may proceed</w:t>
      </w:r>
      <w:r w:rsidR="00AE253D">
        <w:rPr>
          <w:rFonts w:ascii="Times New Roman" w:hAnsi="Times New Roman"/>
          <w:sz w:val="26"/>
          <w:szCs w:val="26"/>
        </w:rPr>
        <w:t xml:space="preserve"> with litigation and, in such event, this Settlement shall be void and of no effect.  Such election to withdraw must be made in writing, filed with the Secretary of the Commission and served upon the party within twenty </w:t>
      </w:r>
      <w:r>
        <w:rPr>
          <w:rFonts w:ascii="Times New Roman" w:hAnsi="Times New Roman"/>
          <w:sz w:val="26"/>
          <w:szCs w:val="26"/>
        </w:rPr>
        <w:t xml:space="preserve">(20) </w:t>
      </w:r>
      <w:r w:rsidR="00AE253D">
        <w:rPr>
          <w:rFonts w:ascii="Times New Roman" w:hAnsi="Times New Roman"/>
          <w:sz w:val="26"/>
          <w:szCs w:val="26"/>
        </w:rPr>
        <w:t xml:space="preserve">days after entry of an Order modifying the Settlement.  </w:t>
      </w:r>
    </w:p>
    <w:p w14:paraId="6E5EAA61" w14:textId="77777777" w:rsidR="00AE253D" w:rsidRPr="00B46B93" w:rsidRDefault="00AE253D" w:rsidP="00AE253D">
      <w:pPr>
        <w:pStyle w:val="FootnoteText"/>
        <w:ind w:left="1440" w:right="1440"/>
        <w:rPr>
          <w:rFonts w:ascii="Times New Roman" w:hAnsi="Times New Roman"/>
          <w:sz w:val="26"/>
          <w:szCs w:val="26"/>
        </w:rPr>
      </w:pPr>
    </w:p>
    <w:p w14:paraId="40BB3EDA" w14:textId="18F804FE" w:rsidR="00D239EE" w:rsidRDefault="00AE253D" w:rsidP="00AE253D">
      <w:pPr>
        <w:autoSpaceDE w:val="0"/>
        <w:autoSpaceDN w:val="0"/>
        <w:adjustRightInd w:val="0"/>
        <w:spacing w:line="360" w:lineRule="auto"/>
        <w:rPr>
          <w:rFonts w:eastAsiaTheme="minorHAnsi"/>
          <w:color w:val="000000"/>
          <w:sz w:val="26"/>
          <w:szCs w:val="26"/>
        </w:rPr>
      </w:pPr>
      <w:r>
        <w:rPr>
          <w:sz w:val="26"/>
          <w:szCs w:val="26"/>
        </w:rPr>
        <w:t xml:space="preserve"> </w:t>
      </w:r>
      <w:r w:rsidRPr="002036CF">
        <w:rPr>
          <w:rFonts w:eastAsiaTheme="minorHAnsi"/>
          <w:color w:val="000000"/>
          <w:sz w:val="26"/>
          <w:szCs w:val="26"/>
        </w:rPr>
        <w:t xml:space="preserve">Settlement at ¶ </w:t>
      </w:r>
      <w:r>
        <w:rPr>
          <w:rFonts w:eastAsiaTheme="minorHAnsi"/>
          <w:color w:val="000000"/>
          <w:sz w:val="26"/>
          <w:szCs w:val="26"/>
        </w:rPr>
        <w:t>21</w:t>
      </w:r>
      <w:r w:rsidRPr="002036CF">
        <w:rPr>
          <w:rFonts w:eastAsiaTheme="minorHAnsi"/>
          <w:color w:val="000000"/>
          <w:sz w:val="26"/>
          <w:szCs w:val="26"/>
        </w:rPr>
        <w:t>.</w:t>
      </w:r>
      <w:r>
        <w:rPr>
          <w:rFonts w:eastAsiaTheme="minorHAnsi"/>
          <w:color w:val="000000"/>
          <w:sz w:val="26"/>
          <w:szCs w:val="26"/>
        </w:rPr>
        <w:t xml:space="preserve">  According to the Addendum, the Joint Petitioners agreed to modify</w:t>
      </w:r>
      <w:r w:rsidR="00820805">
        <w:rPr>
          <w:rFonts w:eastAsiaTheme="minorHAnsi"/>
          <w:color w:val="000000"/>
          <w:sz w:val="26"/>
          <w:szCs w:val="26"/>
        </w:rPr>
        <w:t xml:space="preserve"> </w:t>
      </w:r>
      <w:r>
        <w:rPr>
          <w:rFonts w:eastAsiaTheme="minorHAnsi"/>
          <w:color w:val="000000"/>
          <w:sz w:val="26"/>
          <w:szCs w:val="26"/>
        </w:rPr>
        <w:t>Paragraph 21 of the Settlement Agreement regarding a party’s right to withdraw from the Settlement, due to the Commission’s referral of this matter to OALJ</w:t>
      </w:r>
      <w:r w:rsidR="00D239EE">
        <w:rPr>
          <w:rFonts w:eastAsiaTheme="minorHAnsi"/>
          <w:color w:val="000000"/>
          <w:sz w:val="26"/>
          <w:szCs w:val="26"/>
        </w:rPr>
        <w:t xml:space="preserve">.  Consequently, Paragraph 21 of the Settlement </w:t>
      </w:r>
      <w:r w:rsidR="0014045D">
        <w:rPr>
          <w:rFonts w:eastAsiaTheme="minorHAnsi"/>
          <w:color w:val="000000"/>
          <w:sz w:val="26"/>
          <w:szCs w:val="26"/>
        </w:rPr>
        <w:t>was modified to</w:t>
      </w:r>
      <w:r w:rsidR="00D239EE">
        <w:rPr>
          <w:rFonts w:eastAsiaTheme="minorHAnsi"/>
          <w:color w:val="000000"/>
          <w:sz w:val="26"/>
          <w:szCs w:val="26"/>
        </w:rPr>
        <w:t xml:space="preserve"> read as follows:</w:t>
      </w:r>
    </w:p>
    <w:p w14:paraId="6A671586" w14:textId="77777777" w:rsidR="00D239EE" w:rsidRDefault="00D239EE" w:rsidP="00AE253D">
      <w:pPr>
        <w:autoSpaceDE w:val="0"/>
        <w:autoSpaceDN w:val="0"/>
        <w:adjustRightInd w:val="0"/>
        <w:spacing w:line="360" w:lineRule="auto"/>
        <w:rPr>
          <w:rFonts w:eastAsiaTheme="minorHAnsi"/>
          <w:color w:val="000000"/>
          <w:sz w:val="26"/>
          <w:szCs w:val="26"/>
        </w:rPr>
      </w:pPr>
    </w:p>
    <w:p w14:paraId="0FB197D7" w14:textId="4A844ED5" w:rsidR="00B5694D" w:rsidRDefault="00AE253D" w:rsidP="00D239EE">
      <w:pPr>
        <w:pStyle w:val="FootnoteText"/>
        <w:ind w:left="1440" w:right="1440"/>
        <w:rPr>
          <w:rFonts w:ascii="Times New Roman" w:hAnsi="Times New Roman"/>
          <w:sz w:val="26"/>
          <w:szCs w:val="26"/>
        </w:rPr>
      </w:pPr>
      <w:r>
        <w:rPr>
          <w:rFonts w:eastAsiaTheme="minorHAnsi"/>
          <w:color w:val="000000"/>
          <w:sz w:val="26"/>
          <w:szCs w:val="26"/>
        </w:rPr>
        <w:t xml:space="preserve">  </w:t>
      </w:r>
      <w:r w:rsidR="00D239EE">
        <w:rPr>
          <w:rFonts w:ascii="Times New Roman" w:hAnsi="Times New Roman"/>
          <w:sz w:val="26"/>
          <w:szCs w:val="26"/>
        </w:rPr>
        <w:t xml:space="preserve">21. The Settlement is conditioned upon the Commission’s approval of the terms and conditions contained in this Joint Petition for Approval of Settlement without modification.  If </w:t>
      </w:r>
      <w:r w:rsidR="00D239EE">
        <w:rPr>
          <w:sz w:val="26"/>
          <w:szCs w:val="26"/>
        </w:rPr>
        <w:t xml:space="preserve">the assigned Administrative Law Judge or </w:t>
      </w:r>
      <w:r w:rsidR="00D239EE">
        <w:rPr>
          <w:rFonts w:ascii="Times New Roman" w:hAnsi="Times New Roman"/>
          <w:sz w:val="26"/>
          <w:szCs w:val="26"/>
        </w:rPr>
        <w:t>Commission modifies the Settlement Agreement</w:t>
      </w:r>
      <w:r w:rsidR="00D239EE">
        <w:rPr>
          <w:sz w:val="26"/>
          <w:szCs w:val="26"/>
        </w:rPr>
        <w:t xml:space="preserve"> in any way</w:t>
      </w:r>
      <w:r w:rsidR="00D239EE">
        <w:rPr>
          <w:rFonts w:ascii="Times New Roman" w:hAnsi="Times New Roman"/>
          <w:sz w:val="26"/>
          <w:szCs w:val="26"/>
        </w:rPr>
        <w:t xml:space="preserve">, </w:t>
      </w:r>
      <w:r w:rsidR="00D239EE">
        <w:rPr>
          <w:sz w:val="26"/>
          <w:szCs w:val="26"/>
        </w:rPr>
        <w:t>including, but not limited to, ordering any additional process</w:t>
      </w:r>
      <w:r w:rsidR="00D239EE">
        <w:rPr>
          <w:rStyle w:val="FootnoteReference"/>
        </w:rPr>
        <w:footnoteReference w:id="1"/>
      </w:r>
      <w:r w:rsidR="00D239EE">
        <w:rPr>
          <w:sz w:val="26"/>
          <w:szCs w:val="26"/>
        </w:rPr>
        <w:t xml:space="preserve"> in this settlement matter other than the notice and Comment and Reply Comment process specified in Paragraph 26, </w:t>
      </w:r>
      <w:r w:rsidR="00D239EE">
        <w:rPr>
          <w:rFonts w:ascii="Times New Roman" w:hAnsi="Times New Roman"/>
          <w:sz w:val="26"/>
          <w:szCs w:val="26"/>
        </w:rPr>
        <w:t>any party may elect to withdraw from the Settlement and may proceed with litigation and, in such event, this Settlement shall be void and of no effect.  Such election to withdraw must be made in writing, filed with the Secretary of the</w:t>
      </w:r>
      <w:r w:rsidR="00D239EE">
        <w:rPr>
          <w:sz w:val="26"/>
          <w:szCs w:val="26"/>
        </w:rPr>
        <w:t xml:space="preserve"> </w:t>
      </w:r>
      <w:r w:rsidR="00D239EE">
        <w:rPr>
          <w:rFonts w:ascii="Times New Roman" w:hAnsi="Times New Roman"/>
          <w:sz w:val="26"/>
          <w:szCs w:val="26"/>
        </w:rPr>
        <w:t>Commission and served upon the party within twenty</w:t>
      </w:r>
      <w:r w:rsidR="00847693">
        <w:rPr>
          <w:rFonts w:ascii="Times New Roman" w:hAnsi="Times New Roman"/>
          <w:sz w:val="26"/>
          <w:szCs w:val="26"/>
        </w:rPr>
        <w:t xml:space="preserve"> (20) </w:t>
      </w:r>
      <w:r w:rsidR="00D239EE">
        <w:rPr>
          <w:rFonts w:ascii="Times New Roman" w:hAnsi="Times New Roman"/>
          <w:sz w:val="26"/>
          <w:szCs w:val="26"/>
        </w:rPr>
        <w:t xml:space="preserve">days after </w:t>
      </w:r>
      <w:r w:rsidR="00847693">
        <w:rPr>
          <w:rFonts w:ascii="Times New Roman" w:hAnsi="Times New Roman"/>
          <w:sz w:val="26"/>
          <w:szCs w:val="26"/>
        </w:rPr>
        <w:t>the latter of</w:t>
      </w:r>
      <w:r w:rsidR="00847693">
        <w:rPr>
          <w:rStyle w:val="FootnoteReference"/>
          <w:rFonts w:ascii="Times New Roman" w:hAnsi="Times New Roman"/>
        </w:rPr>
        <w:footnoteReference w:id="2"/>
      </w:r>
      <w:r w:rsidR="00847693">
        <w:rPr>
          <w:rFonts w:ascii="Times New Roman" w:hAnsi="Times New Roman"/>
          <w:sz w:val="26"/>
          <w:szCs w:val="26"/>
        </w:rPr>
        <w:t xml:space="preserve"> </w:t>
      </w:r>
      <w:r w:rsidR="00D239EE">
        <w:rPr>
          <w:rFonts w:ascii="Times New Roman" w:hAnsi="Times New Roman"/>
          <w:sz w:val="26"/>
          <w:szCs w:val="26"/>
        </w:rPr>
        <w:t>entry of an</w:t>
      </w:r>
      <w:r w:rsidR="00847693">
        <w:rPr>
          <w:rFonts w:ascii="Times New Roman" w:hAnsi="Times New Roman"/>
          <w:sz w:val="26"/>
          <w:szCs w:val="26"/>
        </w:rPr>
        <w:t xml:space="preserve">y </w:t>
      </w:r>
      <w:r w:rsidR="00847693">
        <w:rPr>
          <w:sz w:val="26"/>
          <w:szCs w:val="26"/>
        </w:rPr>
        <w:t xml:space="preserve">Administrative Law Judge or </w:t>
      </w:r>
      <w:r w:rsidR="00847693">
        <w:rPr>
          <w:rFonts w:ascii="Times New Roman" w:hAnsi="Times New Roman"/>
          <w:sz w:val="26"/>
          <w:szCs w:val="26"/>
        </w:rPr>
        <w:t xml:space="preserve">Commission </w:t>
      </w:r>
      <w:r w:rsidR="00D239EE">
        <w:rPr>
          <w:rFonts w:ascii="Times New Roman" w:hAnsi="Times New Roman"/>
          <w:sz w:val="26"/>
          <w:szCs w:val="26"/>
        </w:rPr>
        <w:t xml:space="preserve">Order </w:t>
      </w:r>
      <w:r w:rsidR="00847693">
        <w:rPr>
          <w:rFonts w:ascii="Times New Roman" w:hAnsi="Times New Roman"/>
          <w:sz w:val="26"/>
          <w:szCs w:val="26"/>
        </w:rPr>
        <w:t xml:space="preserve">or Ruling </w:t>
      </w:r>
      <w:r w:rsidR="00D239EE">
        <w:rPr>
          <w:rFonts w:ascii="Times New Roman" w:hAnsi="Times New Roman"/>
          <w:sz w:val="26"/>
          <w:szCs w:val="26"/>
        </w:rPr>
        <w:t>modifying the Settlement</w:t>
      </w:r>
      <w:r w:rsidR="00847693">
        <w:rPr>
          <w:rFonts w:ascii="Times New Roman" w:hAnsi="Times New Roman"/>
          <w:sz w:val="26"/>
          <w:szCs w:val="26"/>
        </w:rPr>
        <w:t xml:space="preserve"> in any </w:t>
      </w:r>
      <w:r w:rsidR="00847693">
        <w:rPr>
          <w:rFonts w:ascii="Times New Roman" w:hAnsi="Times New Roman"/>
          <w:sz w:val="26"/>
          <w:szCs w:val="26"/>
        </w:rPr>
        <w:lastRenderedPageBreak/>
        <w:t>way, including, but not limited to, the modifying procedures, events</w:t>
      </w:r>
      <w:r w:rsidR="00B5694D">
        <w:rPr>
          <w:rFonts w:ascii="Times New Roman" w:hAnsi="Times New Roman"/>
          <w:sz w:val="26"/>
          <w:szCs w:val="26"/>
        </w:rPr>
        <w:t xml:space="preserve"> or actions described above in footnote 1 below</w:t>
      </w:r>
      <w:r w:rsidR="00971B7E">
        <w:rPr>
          <w:rFonts w:ascii="Times New Roman" w:hAnsi="Times New Roman"/>
          <w:sz w:val="26"/>
          <w:szCs w:val="26"/>
        </w:rPr>
        <w:t xml:space="preserve"> [above]</w:t>
      </w:r>
      <w:r w:rsidR="00D239EE">
        <w:rPr>
          <w:rFonts w:ascii="Times New Roman" w:hAnsi="Times New Roman"/>
          <w:sz w:val="26"/>
          <w:szCs w:val="26"/>
        </w:rPr>
        <w:t xml:space="preserve">.  </w:t>
      </w:r>
      <w:r w:rsidR="00B5694D">
        <w:rPr>
          <w:rFonts w:ascii="Times New Roman" w:hAnsi="Times New Roman"/>
          <w:sz w:val="26"/>
          <w:szCs w:val="26"/>
        </w:rPr>
        <w:t>A decision not to elect to withdraw from this Settlement, which contain certain public safety features which are “above and beyond” current regulatory requirements,</w:t>
      </w:r>
      <w:r w:rsidR="00B5694D">
        <w:rPr>
          <w:rStyle w:val="FootnoteReference"/>
          <w:rFonts w:ascii="Times New Roman" w:hAnsi="Times New Roman"/>
        </w:rPr>
        <w:footnoteReference w:id="3"/>
      </w:r>
      <w:r w:rsidR="00B5694D">
        <w:rPr>
          <w:rFonts w:ascii="Times New Roman" w:hAnsi="Times New Roman"/>
          <w:sz w:val="26"/>
          <w:szCs w:val="26"/>
        </w:rPr>
        <w:t xml:space="preserve"> are in the public interest and should neither be delayed nor discouraged by any further litigation-like process that works at cross-purposes with encouraging, accomplishing and promptly allowing for implementation of this Settlement.</w:t>
      </w:r>
    </w:p>
    <w:p w14:paraId="2B1AC4A2" w14:textId="77777777" w:rsidR="006D6AAA" w:rsidRDefault="006D6AAA" w:rsidP="00D239EE">
      <w:pPr>
        <w:pStyle w:val="FootnoteText"/>
        <w:ind w:left="1440" w:right="1440"/>
        <w:rPr>
          <w:rFonts w:ascii="Times New Roman" w:hAnsi="Times New Roman"/>
          <w:sz w:val="26"/>
          <w:szCs w:val="26"/>
        </w:rPr>
      </w:pPr>
    </w:p>
    <w:p w14:paraId="3CF6572A" w14:textId="77777777" w:rsidR="008B0176" w:rsidRDefault="00B5694D" w:rsidP="00E31339">
      <w:pPr>
        <w:pStyle w:val="FootnoteText"/>
        <w:spacing w:before="0" w:after="0" w:line="360" w:lineRule="auto"/>
        <w:rPr>
          <w:rFonts w:ascii="Times New Roman" w:hAnsi="Times New Roman"/>
          <w:sz w:val="26"/>
          <w:szCs w:val="26"/>
        </w:rPr>
      </w:pPr>
      <w:r>
        <w:rPr>
          <w:rFonts w:ascii="Times New Roman" w:hAnsi="Times New Roman"/>
          <w:sz w:val="26"/>
          <w:szCs w:val="26"/>
        </w:rPr>
        <w:t>Addendum at 1-2.  Further, according to the Addendum, the Joint Petitioners believe that the process for consideration as presently modified by the Commission will add a minimum of 4-12 months before these public safety features of the Settlement can commence and that notice, Comments and Reply Comments are the best balancing of providing input and effectuating the Settlement.  Finally, the Addendum notes that if the Settlement were to fall through, litigation will likely take a year or more given the scope of I&amp;E’s complaint and Sunoco’s answer and new matter</w:t>
      </w:r>
      <w:r w:rsidR="003B25BE">
        <w:rPr>
          <w:rFonts w:ascii="Times New Roman" w:hAnsi="Times New Roman"/>
          <w:sz w:val="26"/>
          <w:szCs w:val="26"/>
        </w:rPr>
        <w:t xml:space="preserve">.  </w:t>
      </w:r>
      <w:r w:rsidR="003B25BE" w:rsidRPr="00AB7AA8">
        <w:rPr>
          <w:rFonts w:ascii="Times New Roman" w:hAnsi="Times New Roman"/>
          <w:i/>
          <w:iCs/>
          <w:sz w:val="26"/>
          <w:szCs w:val="26"/>
        </w:rPr>
        <w:t>Id.</w:t>
      </w:r>
      <w:r w:rsidR="003B25BE">
        <w:rPr>
          <w:rFonts w:ascii="Times New Roman" w:hAnsi="Times New Roman"/>
          <w:sz w:val="26"/>
          <w:szCs w:val="26"/>
        </w:rPr>
        <w:t xml:space="preserve"> at 2. </w:t>
      </w:r>
    </w:p>
    <w:p w14:paraId="517AB7B4" w14:textId="77777777" w:rsidR="00481FD0" w:rsidRPr="00BA5014" w:rsidRDefault="00481FD0" w:rsidP="00E31339">
      <w:pPr>
        <w:pStyle w:val="FootnoteText"/>
        <w:spacing w:before="0" w:after="0" w:line="360" w:lineRule="auto"/>
        <w:rPr>
          <w:sz w:val="26"/>
          <w:szCs w:val="26"/>
        </w:rPr>
      </w:pPr>
    </w:p>
    <w:p w14:paraId="6BE65F3C" w14:textId="74983778" w:rsidR="001D751E" w:rsidRDefault="00BA5014" w:rsidP="00E31339">
      <w:pPr>
        <w:spacing w:line="360" w:lineRule="auto"/>
        <w:ind w:firstLine="1440"/>
        <w:contextualSpacing/>
        <w:rPr>
          <w:sz w:val="26"/>
          <w:szCs w:val="26"/>
        </w:rPr>
      </w:pPr>
      <w:r w:rsidRPr="00BA5014">
        <w:rPr>
          <w:sz w:val="26"/>
          <w:szCs w:val="26"/>
        </w:rPr>
        <w:t xml:space="preserve">On July 15, 2019, an Order Granting Petitions to Intervene was issued. Seven Petitioners were granted Intervenor status, including: </w:t>
      </w:r>
      <w:r w:rsidR="006D78B1">
        <w:rPr>
          <w:sz w:val="26"/>
          <w:szCs w:val="26"/>
        </w:rPr>
        <w:t>(</w:t>
      </w:r>
      <w:r w:rsidRPr="00BA5014">
        <w:rPr>
          <w:sz w:val="26"/>
          <w:szCs w:val="26"/>
        </w:rPr>
        <w:t xml:space="preserve">1) Thomas Casey; </w:t>
      </w:r>
      <w:r w:rsidR="006D78B1">
        <w:rPr>
          <w:sz w:val="26"/>
          <w:szCs w:val="26"/>
        </w:rPr>
        <w:t>(</w:t>
      </w:r>
      <w:r w:rsidRPr="00BA5014">
        <w:rPr>
          <w:sz w:val="26"/>
          <w:szCs w:val="26"/>
        </w:rPr>
        <w:t xml:space="preserve">2) West Goshen Township; </w:t>
      </w:r>
      <w:r w:rsidR="006D78B1">
        <w:rPr>
          <w:sz w:val="26"/>
          <w:szCs w:val="26"/>
        </w:rPr>
        <w:t>(</w:t>
      </w:r>
      <w:r w:rsidRPr="00BA5014">
        <w:rPr>
          <w:sz w:val="26"/>
          <w:szCs w:val="26"/>
        </w:rPr>
        <w:t xml:space="preserve">3) Josh Maxwell (in his individual capacity); </w:t>
      </w:r>
      <w:r w:rsidR="006D78B1">
        <w:rPr>
          <w:sz w:val="26"/>
          <w:szCs w:val="26"/>
        </w:rPr>
        <w:t>(</w:t>
      </w:r>
      <w:r w:rsidRPr="00BA5014">
        <w:rPr>
          <w:sz w:val="26"/>
          <w:szCs w:val="26"/>
        </w:rPr>
        <w:t xml:space="preserve">4) West Whiteland Township; </w:t>
      </w:r>
      <w:r w:rsidR="006D78B1">
        <w:rPr>
          <w:sz w:val="26"/>
          <w:szCs w:val="26"/>
        </w:rPr>
        <w:t>(</w:t>
      </w:r>
      <w:r w:rsidRPr="00BA5014">
        <w:rPr>
          <w:sz w:val="26"/>
          <w:szCs w:val="26"/>
        </w:rPr>
        <w:t xml:space="preserve">5) Edgmont Township; </w:t>
      </w:r>
      <w:r w:rsidR="006D78B1">
        <w:rPr>
          <w:sz w:val="26"/>
          <w:szCs w:val="26"/>
        </w:rPr>
        <w:t>(</w:t>
      </w:r>
      <w:r w:rsidRPr="00BA5014">
        <w:rPr>
          <w:sz w:val="26"/>
          <w:szCs w:val="26"/>
        </w:rPr>
        <w:t xml:space="preserve">6) Megan Flynn, Rosemary Fuller, Michael Walsh, </w:t>
      </w:r>
      <w:r w:rsidRPr="00BA5014">
        <w:rPr>
          <w:sz w:val="26"/>
          <w:szCs w:val="26"/>
        </w:rPr>
        <w:lastRenderedPageBreak/>
        <w:t>Nancy Harkins, Gerald McMullen, Caroline Hughes, and Melissa Haines (collectively Flynn Intervenors)</w:t>
      </w:r>
      <w:r w:rsidR="00FC4B68">
        <w:rPr>
          <w:rStyle w:val="FootnoteReference"/>
        </w:rPr>
        <w:footnoteReference w:id="4"/>
      </w:r>
      <w:r w:rsidRPr="00BA5014">
        <w:rPr>
          <w:sz w:val="26"/>
          <w:szCs w:val="26"/>
        </w:rPr>
        <w:t xml:space="preserve">; and </w:t>
      </w:r>
      <w:r w:rsidR="006D78B1">
        <w:rPr>
          <w:sz w:val="26"/>
          <w:szCs w:val="26"/>
        </w:rPr>
        <w:t>(</w:t>
      </w:r>
      <w:r w:rsidRPr="00BA5014">
        <w:rPr>
          <w:sz w:val="26"/>
          <w:szCs w:val="26"/>
        </w:rPr>
        <w:t>7) Upper Uwchlan Township.</w:t>
      </w:r>
    </w:p>
    <w:p w14:paraId="7FE081BF" w14:textId="77777777" w:rsidR="00246451" w:rsidRPr="00BA5014" w:rsidRDefault="00246451" w:rsidP="00C017AD">
      <w:pPr>
        <w:spacing w:line="360" w:lineRule="auto"/>
        <w:ind w:firstLine="1440"/>
        <w:contextualSpacing/>
        <w:rPr>
          <w:sz w:val="26"/>
          <w:szCs w:val="26"/>
        </w:rPr>
      </w:pPr>
    </w:p>
    <w:p w14:paraId="62DE6D74" w14:textId="77777777" w:rsidR="00BA5014" w:rsidRPr="00BA5014" w:rsidRDefault="00BA5014" w:rsidP="00C017AD">
      <w:pPr>
        <w:spacing w:line="360" w:lineRule="auto"/>
        <w:ind w:firstLine="1440"/>
        <w:contextualSpacing/>
        <w:rPr>
          <w:sz w:val="26"/>
          <w:szCs w:val="26"/>
        </w:rPr>
      </w:pPr>
      <w:r w:rsidRPr="00BA5014">
        <w:rPr>
          <w:sz w:val="26"/>
          <w:szCs w:val="26"/>
        </w:rPr>
        <w:t>Intervenors were given leave to file Comments with the Secretary’s Bureau regarding the</w:t>
      </w:r>
      <w:r w:rsidR="00732741">
        <w:rPr>
          <w:sz w:val="26"/>
          <w:szCs w:val="26"/>
        </w:rPr>
        <w:t xml:space="preserve"> Joint Petition for </w:t>
      </w:r>
      <w:r w:rsidRPr="00BA5014">
        <w:rPr>
          <w:sz w:val="26"/>
          <w:szCs w:val="26"/>
        </w:rPr>
        <w:t>Settlement by August 16, 2019.</w:t>
      </w:r>
      <w:r w:rsidR="00F87B77">
        <w:rPr>
          <w:sz w:val="26"/>
          <w:szCs w:val="26"/>
        </w:rPr>
        <w:t xml:space="preserve">  </w:t>
      </w:r>
      <w:r w:rsidRPr="00BA5014">
        <w:rPr>
          <w:sz w:val="26"/>
          <w:szCs w:val="26"/>
        </w:rPr>
        <w:t xml:space="preserve">All </w:t>
      </w:r>
      <w:r w:rsidR="00F87B77">
        <w:rPr>
          <w:sz w:val="26"/>
          <w:szCs w:val="26"/>
        </w:rPr>
        <w:t>P</w:t>
      </w:r>
      <w:r w:rsidRPr="00BA5014">
        <w:rPr>
          <w:sz w:val="26"/>
          <w:szCs w:val="26"/>
        </w:rPr>
        <w:t>arties were permitted to file Reply Comments in response to the Intervenors’ Comments by September 16, 2019.</w:t>
      </w:r>
    </w:p>
    <w:p w14:paraId="0A19D8BB" w14:textId="77777777" w:rsidR="00BA5014" w:rsidRDefault="00BA5014" w:rsidP="00C017AD">
      <w:pPr>
        <w:spacing w:line="360" w:lineRule="auto"/>
        <w:ind w:firstLine="1440"/>
        <w:contextualSpacing/>
        <w:rPr>
          <w:rFonts w:eastAsia="Calibri"/>
          <w:sz w:val="26"/>
          <w:szCs w:val="26"/>
        </w:rPr>
      </w:pPr>
    </w:p>
    <w:p w14:paraId="1C9C2C64" w14:textId="77777777" w:rsidR="001D751E" w:rsidRDefault="00FC4B68" w:rsidP="00C017AD">
      <w:pPr>
        <w:spacing w:line="360" w:lineRule="auto"/>
        <w:ind w:firstLine="1440"/>
        <w:contextualSpacing/>
        <w:rPr>
          <w:sz w:val="26"/>
          <w:szCs w:val="26"/>
        </w:rPr>
      </w:pPr>
      <w:r w:rsidRPr="00FC4B68">
        <w:rPr>
          <w:sz w:val="26"/>
          <w:szCs w:val="26"/>
        </w:rPr>
        <w:t>On August 13, 2019, Flynn Intervenors filed an Objection to the Joint Petition for Settlement.</w:t>
      </w:r>
    </w:p>
    <w:p w14:paraId="2E5FC37C" w14:textId="77777777" w:rsidR="00FC4B68" w:rsidRDefault="00FC4B68" w:rsidP="00C017AD">
      <w:pPr>
        <w:spacing w:line="360" w:lineRule="auto"/>
        <w:ind w:firstLine="1440"/>
        <w:contextualSpacing/>
        <w:rPr>
          <w:sz w:val="26"/>
          <w:szCs w:val="26"/>
        </w:rPr>
      </w:pPr>
    </w:p>
    <w:p w14:paraId="2ADB26A4" w14:textId="77777777" w:rsidR="00FC4B68" w:rsidRPr="00FC4B68" w:rsidRDefault="00FC4B68" w:rsidP="00C017AD">
      <w:pPr>
        <w:spacing w:line="360" w:lineRule="auto"/>
        <w:ind w:firstLine="1440"/>
        <w:contextualSpacing/>
        <w:rPr>
          <w:sz w:val="26"/>
          <w:szCs w:val="26"/>
        </w:rPr>
      </w:pPr>
      <w:r w:rsidRPr="00FC4B68">
        <w:rPr>
          <w:sz w:val="26"/>
          <w:szCs w:val="26"/>
        </w:rPr>
        <w:t>On August 15, 2019, West Whiteland Township filed Comments and on August 16, 2019, West Goshen Township filed an Objection.</w:t>
      </w:r>
    </w:p>
    <w:p w14:paraId="34663D11" w14:textId="77777777" w:rsidR="00FC4B68" w:rsidRDefault="00FC4B68" w:rsidP="00C017AD">
      <w:pPr>
        <w:spacing w:line="360" w:lineRule="auto"/>
        <w:ind w:firstLine="1440"/>
        <w:contextualSpacing/>
        <w:rPr>
          <w:rFonts w:eastAsia="Calibri"/>
          <w:sz w:val="26"/>
          <w:szCs w:val="26"/>
        </w:rPr>
      </w:pPr>
    </w:p>
    <w:p w14:paraId="514186B2" w14:textId="77777777" w:rsidR="00F87B77" w:rsidRDefault="00FC4B68" w:rsidP="00C017AD">
      <w:pPr>
        <w:spacing w:line="360" w:lineRule="auto"/>
        <w:ind w:firstLine="1440"/>
        <w:contextualSpacing/>
        <w:rPr>
          <w:sz w:val="26"/>
          <w:szCs w:val="26"/>
        </w:rPr>
      </w:pPr>
      <w:r w:rsidRPr="00FC4B68">
        <w:rPr>
          <w:sz w:val="26"/>
          <w:szCs w:val="26"/>
        </w:rPr>
        <w:t>On September 16, 2019, I&amp;E and Sunoco filed Reply Comments.  Also, on September 16, 2019, I&amp;E filed a Motion to Strike Portions of the Flynn Intervenors’ Comment and a Motion to Strike Exhibits “A” and “B” of West Goshen Township’s Public Comments in Opposition to the Joint Petition for Approval</w:t>
      </w:r>
      <w:r w:rsidR="00F87B77">
        <w:rPr>
          <w:sz w:val="26"/>
          <w:szCs w:val="26"/>
        </w:rPr>
        <w:t xml:space="preserve"> (I&amp;E’s Motion to Strike)</w:t>
      </w:r>
      <w:r w:rsidRPr="00FC4B68">
        <w:rPr>
          <w:sz w:val="26"/>
          <w:szCs w:val="26"/>
        </w:rPr>
        <w:t xml:space="preserve">.  </w:t>
      </w:r>
    </w:p>
    <w:p w14:paraId="59D94C7B" w14:textId="77777777" w:rsidR="00F87B77" w:rsidRDefault="00F87B77" w:rsidP="00C017AD">
      <w:pPr>
        <w:spacing w:line="360" w:lineRule="auto"/>
        <w:ind w:firstLine="1440"/>
        <w:contextualSpacing/>
        <w:rPr>
          <w:sz w:val="26"/>
          <w:szCs w:val="26"/>
        </w:rPr>
      </w:pPr>
    </w:p>
    <w:p w14:paraId="0057E128" w14:textId="77777777" w:rsidR="00FC4B68" w:rsidRDefault="00F87B77" w:rsidP="00C017AD">
      <w:pPr>
        <w:spacing w:line="360" w:lineRule="auto"/>
        <w:ind w:firstLine="1440"/>
        <w:contextualSpacing/>
        <w:rPr>
          <w:sz w:val="26"/>
          <w:szCs w:val="26"/>
        </w:rPr>
      </w:pPr>
      <w:r>
        <w:rPr>
          <w:sz w:val="26"/>
          <w:szCs w:val="26"/>
        </w:rPr>
        <w:t xml:space="preserve">On September 16, 2019, </w:t>
      </w:r>
      <w:r w:rsidR="00FC4B68" w:rsidRPr="00FC4B68">
        <w:rPr>
          <w:sz w:val="26"/>
          <w:szCs w:val="26"/>
        </w:rPr>
        <w:t>Sunoco also filed a Motion to Strike West Goshen Township’s Public Comments and a Motion to Strike the Flynn Intervenors’ Comments</w:t>
      </w:r>
      <w:r>
        <w:rPr>
          <w:sz w:val="26"/>
          <w:szCs w:val="26"/>
        </w:rPr>
        <w:t xml:space="preserve"> (Sunoco’s Motion to Strike)</w:t>
      </w:r>
      <w:r w:rsidR="00FC4B68" w:rsidRPr="00FC4B68">
        <w:rPr>
          <w:sz w:val="26"/>
          <w:szCs w:val="26"/>
        </w:rPr>
        <w:t>.</w:t>
      </w:r>
    </w:p>
    <w:p w14:paraId="4665602C" w14:textId="77777777" w:rsidR="0034353D" w:rsidRDefault="0034353D" w:rsidP="00C017AD">
      <w:pPr>
        <w:spacing w:line="360" w:lineRule="auto"/>
        <w:ind w:firstLine="1440"/>
        <w:contextualSpacing/>
        <w:rPr>
          <w:sz w:val="26"/>
          <w:szCs w:val="26"/>
        </w:rPr>
      </w:pPr>
    </w:p>
    <w:p w14:paraId="3A274B02" w14:textId="77777777" w:rsidR="005A6F79" w:rsidRPr="005A6F79" w:rsidRDefault="005A6F79" w:rsidP="00C017AD">
      <w:pPr>
        <w:spacing w:line="360" w:lineRule="auto"/>
        <w:ind w:firstLine="1440"/>
        <w:contextualSpacing/>
        <w:rPr>
          <w:sz w:val="26"/>
          <w:szCs w:val="26"/>
        </w:rPr>
      </w:pPr>
      <w:r w:rsidRPr="005A6F79">
        <w:rPr>
          <w:sz w:val="26"/>
          <w:szCs w:val="26"/>
        </w:rPr>
        <w:lastRenderedPageBreak/>
        <w:t>On September 23, 2019, Flynn Intervenors filed an Answer to I&amp;E’s Motion to Strike and an Answer to S</w:t>
      </w:r>
      <w:r>
        <w:rPr>
          <w:sz w:val="26"/>
          <w:szCs w:val="26"/>
        </w:rPr>
        <w:t>unoco</w:t>
      </w:r>
      <w:r w:rsidRPr="005A6F79">
        <w:rPr>
          <w:sz w:val="26"/>
          <w:szCs w:val="26"/>
        </w:rPr>
        <w:t>’s Motion to Strike.</w:t>
      </w:r>
    </w:p>
    <w:p w14:paraId="1075577B" w14:textId="77777777" w:rsidR="00FC4B68" w:rsidRPr="005A6F79" w:rsidRDefault="00FC4B68" w:rsidP="00C017AD">
      <w:pPr>
        <w:spacing w:line="360" w:lineRule="auto"/>
        <w:ind w:firstLine="1440"/>
        <w:contextualSpacing/>
        <w:rPr>
          <w:sz w:val="26"/>
          <w:szCs w:val="26"/>
        </w:rPr>
      </w:pPr>
    </w:p>
    <w:p w14:paraId="00A9D5AA" w14:textId="77777777" w:rsidR="005A6F79" w:rsidRDefault="005A6F79" w:rsidP="00C017AD">
      <w:pPr>
        <w:spacing w:line="360" w:lineRule="auto"/>
        <w:ind w:firstLine="1440"/>
        <w:contextualSpacing/>
        <w:rPr>
          <w:sz w:val="26"/>
          <w:szCs w:val="26"/>
        </w:rPr>
      </w:pPr>
      <w:r w:rsidRPr="005A6F79">
        <w:rPr>
          <w:sz w:val="26"/>
          <w:szCs w:val="26"/>
        </w:rPr>
        <w:t>On October 4, 2019, West Goshen Township filed an Answer to I&amp;E’s Motion to Strike and an Answer to S</w:t>
      </w:r>
      <w:r>
        <w:rPr>
          <w:sz w:val="26"/>
          <w:szCs w:val="26"/>
        </w:rPr>
        <w:t>unoco</w:t>
      </w:r>
      <w:r w:rsidRPr="005A6F79">
        <w:rPr>
          <w:sz w:val="26"/>
          <w:szCs w:val="26"/>
        </w:rPr>
        <w:t>’s Motion to Strike.</w:t>
      </w:r>
    </w:p>
    <w:p w14:paraId="0E769548" w14:textId="77777777" w:rsidR="00246451" w:rsidRDefault="00246451" w:rsidP="00C017AD">
      <w:pPr>
        <w:spacing w:line="360" w:lineRule="auto"/>
        <w:ind w:firstLine="1440"/>
        <w:contextualSpacing/>
        <w:rPr>
          <w:sz w:val="26"/>
          <w:szCs w:val="26"/>
        </w:rPr>
      </w:pPr>
    </w:p>
    <w:p w14:paraId="7649994F" w14:textId="3885CFA2" w:rsidR="005A6F79" w:rsidRDefault="005A6F79" w:rsidP="00C017AD">
      <w:pPr>
        <w:spacing w:line="360" w:lineRule="auto"/>
        <w:ind w:firstLine="1440"/>
        <w:contextualSpacing/>
        <w:rPr>
          <w:sz w:val="26"/>
          <w:szCs w:val="26"/>
        </w:rPr>
      </w:pPr>
      <w:r w:rsidRPr="005A6F79">
        <w:rPr>
          <w:sz w:val="26"/>
          <w:szCs w:val="26"/>
        </w:rPr>
        <w:t>On October 11, 2019, an Interim Order Granting in Part and Denying in Part</w:t>
      </w:r>
      <w:r w:rsidR="0034353D">
        <w:rPr>
          <w:sz w:val="26"/>
          <w:szCs w:val="26"/>
        </w:rPr>
        <w:t>,</w:t>
      </w:r>
      <w:r w:rsidRPr="005A6F79">
        <w:rPr>
          <w:sz w:val="26"/>
          <w:szCs w:val="26"/>
        </w:rPr>
        <w:t xml:space="preserve"> Motions to Strike was issued striking statements regarding the 12-inch pipeline in Flynn Intervenors’ Comments and West Goshen Township’s Comments as unduly broadening the scope of the </w:t>
      </w:r>
      <w:r w:rsidR="00E26951">
        <w:rPr>
          <w:sz w:val="26"/>
          <w:szCs w:val="26"/>
        </w:rPr>
        <w:t xml:space="preserve">instant </w:t>
      </w:r>
      <w:r w:rsidRPr="005A6F79">
        <w:rPr>
          <w:sz w:val="26"/>
          <w:szCs w:val="26"/>
        </w:rPr>
        <w:t>proceeding.  The Interim Order</w:t>
      </w:r>
      <w:r w:rsidR="003F6D6E">
        <w:rPr>
          <w:sz w:val="26"/>
          <w:szCs w:val="26"/>
        </w:rPr>
        <w:t xml:space="preserve"> </w:t>
      </w:r>
      <w:r w:rsidRPr="005A6F79">
        <w:rPr>
          <w:sz w:val="26"/>
          <w:szCs w:val="26"/>
        </w:rPr>
        <w:t xml:space="preserve">gave </w:t>
      </w:r>
      <w:r w:rsidR="003F6D6E">
        <w:rPr>
          <w:sz w:val="26"/>
          <w:szCs w:val="26"/>
        </w:rPr>
        <w:t xml:space="preserve">the </w:t>
      </w:r>
      <w:r w:rsidRPr="005A6F79">
        <w:rPr>
          <w:sz w:val="26"/>
          <w:szCs w:val="26"/>
        </w:rPr>
        <w:t xml:space="preserve">Joint Petitioners leave to file further Reply Comments within </w:t>
      </w:r>
      <w:r>
        <w:rPr>
          <w:sz w:val="26"/>
          <w:szCs w:val="26"/>
        </w:rPr>
        <w:t>thirty</w:t>
      </w:r>
      <w:r w:rsidR="00A55C16">
        <w:rPr>
          <w:sz w:val="26"/>
          <w:szCs w:val="26"/>
        </w:rPr>
        <w:t xml:space="preserve"> </w:t>
      </w:r>
      <w:r w:rsidRPr="005A6F79">
        <w:rPr>
          <w:sz w:val="26"/>
          <w:szCs w:val="26"/>
        </w:rPr>
        <w:t>days.</w:t>
      </w:r>
    </w:p>
    <w:p w14:paraId="008B7336" w14:textId="77777777" w:rsidR="000D31BC" w:rsidRDefault="000D31BC" w:rsidP="00C017AD">
      <w:pPr>
        <w:spacing w:line="360" w:lineRule="auto"/>
        <w:ind w:firstLine="1440"/>
        <w:contextualSpacing/>
        <w:rPr>
          <w:sz w:val="26"/>
          <w:szCs w:val="26"/>
        </w:rPr>
      </w:pPr>
    </w:p>
    <w:p w14:paraId="00CF9219" w14:textId="77777777" w:rsidR="000D31BC" w:rsidRDefault="000D31BC" w:rsidP="000D31BC">
      <w:pPr>
        <w:spacing w:line="360" w:lineRule="auto"/>
        <w:ind w:firstLine="1440"/>
        <w:contextualSpacing/>
        <w:rPr>
          <w:sz w:val="26"/>
          <w:szCs w:val="26"/>
        </w:rPr>
      </w:pPr>
      <w:r w:rsidRPr="000D31BC">
        <w:rPr>
          <w:sz w:val="26"/>
          <w:szCs w:val="26"/>
        </w:rPr>
        <w:t>On November 12, 2019, I&amp;E and Sunoco filed</w:t>
      </w:r>
      <w:r w:rsidR="003C7EEF">
        <w:rPr>
          <w:sz w:val="26"/>
          <w:szCs w:val="26"/>
        </w:rPr>
        <w:t xml:space="preserve"> Additional </w:t>
      </w:r>
      <w:r w:rsidRPr="000D31BC">
        <w:rPr>
          <w:sz w:val="26"/>
          <w:szCs w:val="26"/>
        </w:rPr>
        <w:t>Reply Comments</w:t>
      </w:r>
      <w:r>
        <w:rPr>
          <w:sz w:val="26"/>
          <w:szCs w:val="26"/>
        </w:rPr>
        <w:t>.</w:t>
      </w:r>
      <w:r w:rsidRPr="000D31BC">
        <w:rPr>
          <w:sz w:val="26"/>
          <w:szCs w:val="26"/>
        </w:rPr>
        <w:t xml:space="preserve"> </w:t>
      </w:r>
    </w:p>
    <w:p w14:paraId="36247465" w14:textId="77777777" w:rsidR="00E555ED" w:rsidRPr="00C017AD" w:rsidRDefault="00E555ED" w:rsidP="000D31BC">
      <w:pPr>
        <w:spacing w:line="360" w:lineRule="auto"/>
        <w:ind w:firstLine="1440"/>
        <w:contextualSpacing/>
        <w:rPr>
          <w:rFonts w:eastAsia="Calibri"/>
          <w:sz w:val="26"/>
          <w:szCs w:val="26"/>
        </w:rPr>
      </w:pPr>
    </w:p>
    <w:p w14:paraId="2F920538" w14:textId="77777777" w:rsidR="00162BEE" w:rsidRPr="004E64B8" w:rsidRDefault="00C017AD" w:rsidP="00C017AD">
      <w:pPr>
        <w:spacing w:line="360" w:lineRule="auto"/>
        <w:ind w:firstLine="1440"/>
        <w:contextualSpacing/>
        <w:rPr>
          <w:sz w:val="26"/>
          <w:szCs w:val="26"/>
        </w:rPr>
      </w:pPr>
      <w:r w:rsidRPr="00C017AD">
        <w:rPr>
          <w:rFonts w:eastAsia="Calibri"/>
          <w:sz w:val="26"/>
          <w:szCs w:val="26"/>
        </w:rPr>
        <w:t>The record closed on</w:t>
      </w:r>
      <w:r w:rsidR="000D31BC">
        <w:rPr>
          <w:rFonts w:eastAsia="Calibri"/>
          <w:sz w:val="26"/>
          <w:szCs w:val="26"/>
        </w:rPr>
        <w:t xml:space="preserve"> November 12</w:t>
      </w:r>
      <w:r w:rsidRPr="00C017AD">
        <w:rPr>
          <w:rFonts w:eastAsia="Calibri"/>
          <w:sz w:val="26"/>
          <w:szCs w:val="26"/>
        </w:rPr>
        <w:t xml:space="preserve">, 2019, and </w:t>
      </w:r>
      <w:r w:rsidR="001A5029">
        <w:rPr>
          <w:rFonts w:eastAsia="Calibri"/>
          <w:sz w:val="26"/>
          <w:szCs w:val="26"/>
        </w:rPr>
        <w:t xml:space="preserve">the </w:t>
      </w:r>
      <w:r w:rsidR="003A5498">
        <w:rPr>
          <w:rFonts w:eastAsia="Calibri"/>
          <w:sz w:val="26"/>
          <w:szCs w:val="26"/>
        </w:rPr>
        <w:t>Commission issued the</w:t>
      </w:r>
      <w:r w:rsidR="0034353D">
        <w:rPr>
          <w:rFonts w:eastAsia="Calibri"/>
          <w:sz w:val="26"/>
          <w:szCs w:val="26"/>
        </w:rPr>
        <w:t xml:space="preserve"> Initial</w:t>
      </w:r>
      <w:r w:rsidR="003A5498">
        <w:rPr>
          <w:rFonts w:eastAsia="Calibri"/>
          <w:sz w:val="26"/>
          <w:szCs w:val="26"/>
        </w:rPr>
        <w:t xml:space="preserve"> Decision of ALJ</w:t>
      </w:r>
      <w:r w:rsidR="000D31BC">
        <w:rPr>
          <w:rFonts w:eastAsia="Calibri"/>
          <w:sz w:val="26"/>
          <w:szCs w:val="26"/>
        </w:rPr>
        <w:t xml:space="preserve"> Barnes</w:t>
      </w:r>
      <w:r w:rsidRPr="00C017AD">
        <w:rPr>
          <w:rFonts w:eastAsia="Calibri"/>
          <w:sz w:val="26"/>
          <w:szCs w:val="26"/>
        </w:rPr>
        <w:t xml:space="preserve"> on</w:t>
      </w:r>
      <w:r w:rsidR="000D31BC">
        <w:rPr>
          <w:rFonts w:eastAsia="Calibri"/>
          <w:sz w:val="26"/>
          <w:szCs w:val="26"/>
        </w:rPr>
        <w:t xml:space="preserve"> December 20</w:t>
      </w:r>
      <w:r w:rsidRPr="00C017AD">
        <w:rPr>
          <w:rFonts w:eastAsia="Calibri"/>
          <w:sz w:val="26"/>
          <w:szCs w:val="26"/>
        </w:rPr>
        <w:t>, 2019.  No exceptions or other opposition pleadings were filed in response.</w:t>
      </w:r>
    </w:p>
    <w:p w14:paraId="0FDEFB41" w14:textId="77777777" w:rsidR="00451543" w:rsidRPr="004E64B8" w:rsidRDefault="00451543" w:rsidP="004E64B8">
      <w:pPr>
        <w:spacing w:line="360" w:lineRule="auto"/>
        <w:ind w:firstLine="1440"/>
        <w:contextualSpacing/>
        <w:rPr>
          <w:sz w:val="26"/>
          <w:szCs w:val="26"/>
        </w:rPr>
      </w:pPr>
    </w:p>
    <w:p w14:paraId="7859B225" w14:textId="77777777" w:rsidR="003F2BF4" w:rsidRPr="004E64B8" w:rsidRDefault="003F2BF4" w:rsidP="00277997">
      <w:pPr>
        <w:keepNext/>
        <w:keepLines/>
        <w:spacing w:line="360" w:lineRule="auto"/>
        <w:contextualSpacing/>
        <w:jc w:val="center"/>
        <w:rPr>
          <w:b/>
          <w:sz w:val="26"/>
          <w:szCs w:val="26"/>
        </w:rPr>
      </w:pPr>
      <w:r w:rsidRPr="004E64B8">
        <w:rPr>
          <w:b/>
          <w:sz w:val="26"/>
          <w:szCs w:val="26"/>
        </w:rPr>
        <w:t>Discussion</w:t>
      </w:r>
    </w:p>
    <w:p w14:paraId="241424DD" w14:textId="77777777" w:rsidR="003F2BF4" w:rsidRPr="004E64B8" w:rsidRDefault="003F2BF4" w:rsidP="00277997">
      <w:pPr>
        <w:keepNext/>
        <w:keepLines/>
        <w:spacing w:line="360" w:lineRule="auto"/>
        <w:contextualSpacing/>
        <w:jc w:val="center"/>
        <w:rPr>
          <w:sz w:val="26"/>
          <w:szCs w:val="26"/>
        </w:rPr>
      </w:pPr>
    </w:p>
    <w:p w14:paraId="33D6E9A9" w14:textId="77777777" w:rsidR="003F2BF4" w:rsidRPr="004E64B8" w:rsidRDefault="003F2BF4" w:rsidP="00277997">
      <w:pPr>
        <w:keepNext/>
        <w:keepLines/>
        <w:spacing w:line="360" w:lineRule="auto"/>
        <w:contextualSpacing/>
        <w:rPr>
          <w:b/>
          <w:sz w:val="26"/>
          <w:szCs w:val="26"/>
        </w:rPr>
      </w:pPr>
      <w:r w:rsidRPr="004E64B8">
        <w:rPr>
          <w:b/>
          <w:sz w:val="26"/>
          <w:szCs w:val="26"/>
        </w:rPr>
        <w:t>Legal Standards</w:t>
      </w:r>
    </w:p>
    <w:p w14:paraId="56CEB4C9" w14:textId="77777777" w:rsidR="003F2BF4" w:rsidRDefault="003F2BF4" w:rsidP="00277997">
      <w:pPr>
        <w:keepNext/>
        <w:keepLines/>
        <w:spacing w:line="360" w:lineRule="auto"/>
        <w:ind w:firstLine="1440"/>
        <w:contextualSpacing/>
        <w:rPr>
          <w:sz w:val="26"/>
          <w:szCs w:val="26"/>
        </w:rPr>
      </w:pPr>
    </w:p>
    <w:p w14:paraId="52FA6C4B" w14:textId="48BCF81F" w:rsidR="006D506E" w:rsidRDefault="006D506E" w:rsidP="006D506E">
      <w:pPr>
        <w:pStyle w:val="Default"/>
        <w:spacing w:line="360" w:lineRule="auto"/>
        <w:ind w:firstLine="1440"/>
        <w:rPr>
          <w:sz w:val="26"/>
          <w:szCs w:val="26"/>
        </w:rPr>
      </w:pPr>
      <w:r w:rsidRPr="008575DC">
        <w:rPr>
          <w:i/>
          <w:iCs/>
          <w:sz w:val="26"/>
          <w:szCs w:val="26"/>
        </w:rPr>
        <w:t>Pursuant to the Implementation of Act 129 of 2008; Organization of Bureaus and Offices</w:t>
      </w:r>
      <w:r w:rsidRPr="008575DC">
        <w:rPr>
          <w:sz w:val="26"/>
          <w:szCs w:val="26"/>
        </w:rPr>
        <w:t>, Docket No. M-2008-2071852 (Order entered August 11, 2011) (delegating authority to initiate proceedings that are prosecutory in nature to I&amp;E) and 66</w:t>
      </w:r>
      <w:r w:rsidR="00E31339">
        <w:rPr>
          <w:sz w:val="26"/>
          <w:szCs w:val="26"/>
        </w:rPr>
        <w:t> </w:t>
      </w:r>
      <w:r w:rsidRPr="008575DC">
        <w:rPr>
          <w:sz w:val="26"/>
          <w:szCs w:val="26"/>
        </w:rPr>
        <w:t>Pa.</w:t>
      </w:r>
      <w:r w:rsidR="00E31339">
        <w:rPr>
          <w:sz w:val="26"/>
          <w:szCs w:val="26"/>
        </w:rPr>
        <w:t xml:space="preserve"> </w:t>
      </w:r>
      <w:r w:rsidRPr="008575DC">
        <w:rPr>
          <w:sz w:val="26"/>
          <w:szCs w:val="26"/>
        </w:rPr>
        <w:t xml:space="preserve">C.S. § 308.2(a)(11), </w:t>
      </w:r>
      <w:r>
        <w:rPr>
          <w:sz w:val="26"/>
          <w:szCs w:val="26"/>
        </w:rPr>
        <w:t>I&amp;E</w:t>
      </w:r>
      <w:r w:rsidRPr="008575DC">
        <w:rPr>
          <w:sz w:val="26"/>
          <w:szCs w:val="26"/>
        </w:rPr>
        <w:t xml:space="preserve"> is the entity authorized to prosecute complaints against public utilities.</w:t>
      </w:r>
      <w:r>
        <w:rPr>
          <w:sz w:val="26"/>
          <w:szCs w:val="26"/>
        </w:rPr>
        <w:t xml:space="preserve">  </w:t>
      </w:r>
      <w:r w:rsidRPr="006D506E">
        <w:rPr>
          <w:sz w:val="26"/>
          <w:szCs w:val="26"/>
        </w:rPr>
        <w:t xml:space="preserve">Pursuant to Section 59.33(b) of the Commission’s </w:t>
      </w:r>
      <w:r>
        <w:rPr>
          <w:sz w:val="26"/>
          <w:szCs w:val="26"/>
        </w:rPr>
        <w:t>R</w:t>
      </w:r>
      <w:r w:rsidRPr="006D506E">
        <w:rPr>
          <w:sz w:val="26"/>
          <w:szCs w:val="26"/>
        </w:rPr>
        <w:t xml:space="preserve">egulations, 52 Pa. Code § 59.33(b), I&amp;E’s Safety Division has the authority to enforce Federal pipeline </w:t>
      </w:r>
      <w:r w:rsidRPr="006D506E">
        <w:rPr>
          <w:sz w:val="26"/>
          <w:szCs w:val="26"/>
        </w:rPr>
        <w:lastRenderedPageBreak/>
        <w:t xml:space="preserve">safety laws and regulations set forth in 49 U.S.C.A. §§ 60101-60503 and as implemented at 49 CFR Parts 191-193, 195 and 199. </w:t>
      </w:r>
    </w:p>
    <w:p w14:paraId="6C195AF3" w14:textId="77777777" w:rsidR="006D506E" w:rsidRDefault="006D506E" w:rsidP="00E31339">
      <w:pPr>
        <w:pStyle w:val="Default"/>
        <w:spacing w:line="360" w:lineRule="auto"/>
      </w:pPr>
    </w:p>
    <w:p w14:paraId="09241860" w14:textId="77777777" w:rsidR="00A55C16" w:rsidRDefault="006D506E" w:rsidP="00707331">
      <w:pPr>
        <w:pStyle w:val="Default"/>
        <w:spacing w:line="360" w:lineRule="auto"/>
        <w:ind w:firstLine="1440"/>
        <w:rPr>
          <w:sz w:val="26"/>
          <w:szCs w:val="26"/>
        </w:rPr>
      </w:pPr>
      <w:r w:rsidRPr="006D506E">
        <w:rPr>
          <w:sz w:val="26"/>
          <w:szCs w:val="26"/>
        </w:rPr>
        <w:t xml:space="preserve">Sunoco is a public utility pipeline operator certificated at Docket No. </w:t>
      </w:r>
    </w:p>
    <w:p w14:paraId="0E5975BF" w14:textId="0E94EB30" w:rsidR="006D506E" w:rsidRDefault="006D506E" w:rsidP="00246451">
      <w:pPr>
        <w:pStyle w:val="Default"/>
        <w:spacing w:line="360" w:lineRule="auto"/>
        <w:rPr>
          <w:sz w:val="26"/>
          <w:szCs w:val="26"/>
        </w:rPr>
      </w:pPr>
      <w:r w:rsidRPr="006D506E">
        <w:rPr>
          <w:sz w:val="26"/>
          <w:szCs w:val="26"/>
        </w:rPr>
        <w:t>A</w:t>
      </w:r>
      <w:r w:rsidR="00A55C16">
        <w:rPr>
          <w:sz w:val="26"/>
          <w:szCs w:val="26"/>
        </w:rPr>
        <w:t>-</w:t>
      </w:r>
      <w:r w:rsidRPr="006D506E">
        <w:rPr>
          <w:sz w:val="26"/>
          <w:szCs w:val="26"/>
        </w:rPr>
        <w:t xml:space="preserve">140111 to operate the Mariner East 1 pipeline, which currently transports hazardous volatile liquids </w:t>
      </w:r>
      <w:r w:rsidR="00AB760F">
        <w:rPr>
          <w:sz w:val="26"/>
          <w:szCs w:val="26"/>
        </w:rPr>
        <w:t xml:space="preserve">on </w:t>
      </w:r>
      <w:r w:rsidRPr="006D506E">
        <w:rPr>
          <w:sz w:val="26"/>
          <w:szCs w:val="26"/>
        </w:rPr>
        <w:t>intrastate</w:t>
      </w:r>
      <w:r w:rsidR="00AB760F">
        <w:rPr>
          <w:sz w:val="26"/>
          <w:szCs w:val="26"/>
        </w:rPr>
        <w:t xml:space="preserve"> facilities</w:t>
      </w:r>
      <w:r w:rsidRPr="006D506E">
        <w:rPr>
          <w:sz w:val="26"/>
          <w:szCs w:val="26"/>
        </w:rPr>
        <w:t>.</w:t>
      </w:r>
      <w:r>
        <w:rPr>
          <w:sz w:val="26"/>
          <w:szCs w:val="26"/>
        </w:rPr>
        <w:t xml:space="preserve">  </w:t>
      </w:r>
      <w:r w:rsidRPr="006D506E">
        <w:rPr>
          <w:sz w:val="26"/>
          <w:szCs w:val="26"/>
        </w:rPr>
        <w:t xml:space="preserve">A public utility transporting hazardous liquids may be subject to the civil penalties provided under Federal pipeline safety laws at 49 U.S.C.A. §§ 60122(a)(1) and 60118(a), as adjusted annually for inflation. </w:t>
      </w:r>
    </w:p>
    <w:p w14:paraId="1906D032" w14:textId="77777777" w:rsidR="006D506E" w:rsidRDefault="006D506E" w:rsidP="00AD3216">
      <w:pPr>
        <w:spacing w:line="360" w:lineRule="auto"/>
        <w:contextualSpacing/>
        <w:rPr>
          <w:sz w:val="26"/>
          <w:szCs w:val="26"/>
        </w:rPr>
      </w:pPr>
    </w:p>
    <w:p w14:paraId="356DBD4C" w14:textId="36F97566" w:rsidR="00884416" w:rsidRPr="004E64B8" w:rsidRDefault="00AD3216" w:rsidP="00707331">
      <w:pPr>
        <w:spacing w:line="360" w:lineRule="auto"/>
        <w:ind w:firstLine="1440"/>
        <w:contextualSpacing/>
        <w:rPr>
          <w:sz w:val="26"/>
          <w:szCs w:val="26"/>
        </w:rPr>
      </w:pPr>
      <w:r w:rsidRPr="00AD3216">
        <w:rPr>
          <w:sz w:val="26"/>
          <w:szCs w:val="26"/>
        </w:rPr>
        <w:t xml:space="preserve">In this case, the </w:t>
      </w:r>
      <w:r w:rsidR="0006074F">
        <w:rPr>
          <w:sz w:val="26"/>
          <w:szCs w:val="26"/>
        </w:rPr>
        <w:t>P</w:t>
      </w:r>
      <w:r w:rsidRPr="00AD3216">
        <w:rPr>
          <w:sz w:val="26"/>
          <w:szCs w:val="26"/>
        </w:rPr>
        <w:t xml:space="preserve">arties submitted a </w:t>
      </w:r>
      <w:r w:rsidR="00822D03">
        <w:rPr>
          <w:sz w:val="26"/>
          <w:szCs w:val="26"/>
        </w:rPr>
        <w:t>S</w:t>
      </w:r>
      <w:r w:rsidRPr="00AD3216">
        <w:rPr>
          <w:sz w:val="26"/>
          <w:szCs w:val="26"/>
        </w:rPr>
        <w:t>ettlement of all issues.</w:t>
      </w:r>
      <w:r>
        <w:rPr>
          <w:sz w:val="26"/>
          <w:szCs w:val="26"/>
        </w:rPr>
        <w:t xml:space="preserve">  </w:t>
      </w:r>
      <w:r w:rsidRPr="00AD3216">
        <w:rPr>
          <w:sz w:val="26"/>
          <w:szCs w:val="26"/>
        </w:rPr>
        <w:t>Commission</w:t>
      </w:r>
      <w:r>
        <w:rPr>
          <w:sz w:val="26"/>
          <w:szCs w:val="26"/>
        </w:rPr>
        <w:t xml:space="preserve"> </w:t>
      </w:r>
      <w:r w:rsidRPr="00AD3216">
        <w:rPr>
          <w:sz w:val="26"/>
          <w:szCs w:val="26"/>
        </w:rPr>
        <w:t>policy promotes settlements.</w:t>
      </w:r>
      <w:r>
        <w:rPr>
          <w:sz w:val="26"/>
          <w:szCs w:val="26"/>
        </w:rPr>
        <w:t xml:space="preserve">  </w:t>
      </w:r>
      <w:r w:rsidRPr="00AD3216">
        <w:rPr>
          <w:sz w:val="26"/>
          <w:szCs w:val="26"/>
        </w:rPr>
        <w:t>52 Pa. Code § 5.231.</w:t>
      </w:r>
      <w:r>
        <w:rPr>
          <w:sz w:val="26"/>
          <w:szCs w:val="26"/>
        </w:rPr>
        <w:t xml:space="preserve">  </w:t>
      </w:r>
      <w:r w:rsidRPr="00AD3216">
        <w:rPr>
          <w:sz w:val="26"/>
          <w:szCs w:val="26"/>
        </w:rPr>
        <w:t>Settlements lessen the time and expense the parties must expend litigating a case and at the same time conserve administrative resources.</w:t>
      </w:r>
      <w:r w:rsidR="00E066B1">
        <w:rPr>
          <w:sz w:val="26"/>
          <w:szCs w:val="26"/>
        </w:rPr>
        <w:t xml:space="preserve">  </w:t>
      </w:r>
      <w:r w:rsidRPr="00AD3216">
        <w:rPr>
          <w:sz w:val="26"/>
          <w:szCs w:val="26"/>
        </w:rPr>
        <w:t>The Commission has indicated that settlement results are often preferable to those achieved at the conclusion of a fully litigated proceeding.</w:t>
      </w:r>
      <w:r w:rsidR="004C3672">
        <w:rPr>
          <w:sz w:val="26"/>
          <w:szCs w:val="26"/>
        </w:rPr>
        <w:t xml:space="preserve">  </w:t>
      </w:r>
      <w:r w:rsidRPr="00AD3216">
        <w:rPr>
          <w:sz w:val="26"/>
          <w:szCs w:val="26"/>
        </w:rPr>
        <w:t>52 Pa. Code § 69.401.</w:t>
      </w:r>
      <w:r w:rsidR="004C3672">
        <w:rPr>
          <w:sz w:val="26"/>
          <w:szCs w:val="26"/>
        </w:rPr>
        <w:t xml:space="preserve">  </w:t>
      </w:r>
      <w:r w:rsidRPr="00AD3216">
        <w:rPr>
          <w:sz w:val="26"/>
          <w:szCs w:val="26"/>
        </w:rPr>
        <w:t>The focus of inquiry for determining whether a proposed settlement should be recommended for approval is not a “burden of proof” standard, as is utilized for contested matters.</w:t>
      </w:r>
      <w:r w:rsidR="001721FA">
        <w:rPr>
          <w:sz w:val="26"/>
          <w:szCs w:val="26"/>
        </w:rPr>
        <w:t xml:space="preserve">  </w:t>
      </w:r>
      <w:r w:rsidRPr="00987F49">
        <w:rPr>
          <w:i/>
          <w:iCs/>
          <w:sz w:val="26"/>
          <w:szCs w:val="26"/>
        </w:rPr>
        <w:t>Pa. Pub. Util. Comm’n. v. City of Lancaster – Bureau of Water,</w:t>
      </w:r>
      <w:r w:rsidRPr="00AD3216">
        <w:rPr>
          <w:sz w:val="26"/>
          <w:szCs w:val="26"/>
        </w:rPr>
        <w:t xml:space="preserve"> Docket No. R-2010-2179103 (Opinion and Order entered July 14, 2011) </w:t>
      </w:r>
      <w:r w:rsidRPr="00987F49">
        <w:rPr>
          <w:i/>
          <w:iCs/>
          <w:sz w:val="26"/>
          <w:szCs w:val="26"/>
        </w:rPr>
        <w:t>(Lancaster).</w:t>
      </w:r>
      <w:r w:rsidR="004C3672">
        <w:rPr>
          <w:sz w:val="26"/>
          <w:szCs w:val="26"/>
        </w:rPr>
        <w:t xml:space="preserve">  </w:t>
      </w:r>
      <w:r w:rsidRPr="00AD3216">
        <w:rPr>
          <w:sz w:val="26"/>
          <w:szCs w:val="26"/>
        </w:rPr>
        <w:t>Instead, the benchmark for determining the acceptability of a settlement or partial settlement is whether the proposed terms and conditions are in the public interest.</w:t>
      </w:r>
      <w:r w:rsidR="004C3672">
        <w:rPr>
          <w:sz w:val="26"/>
          <w:szCs w:val="26"/>
        </w:rPr>
        <w:t xml:space="preserve">  </w:t>
      </w:r>
      <w:r w:rsidRPr="00987F49">
        <w:rPr>
          <w:i/>
          <w:iCs/>
          <w:sz w:val="26"/>
          <w:szCs w:val="26"/>
        </w:rPr>
        <w:t>Id.,</w:t>
      </w:r>
      <w:r w:rsidRPr="00AD3216">
        <w:rPr>
          <w:sz w:val="26"/>
          <w:szCs w:val="26"/>
        </w:rPr>
        <w:t xml:space="preserve"> </w:t>
      </w:r>
      <w:r w:rsidRPr="004C3672">
        <w:rPr>
          <w:i/>
          <w:iCs/>
          <w:sz w:val="26"/>
          <w:szCs w:val="26"/>
        </w:rPr>
        <w:t>citing</w:t>
      </w:r>
      <w:r w:rsidRPr="00AD3216">
        <w:rPr>
          <w:sz w:val="26"/>
          <w:szCs w:val="26"/>
        </w:rPr>
        <w:t xml:space="preserve">, </w:t>
      </w:r>
      <w:r w:rsidRPr="00987F49">
        <w:rPr>
          <w:i/>
          <w:iCs/>
          <w:sz w:val="26"/>
          <w:szCs w:val="26"/>
        </w:rPr>
        <w:t>Warner v. GTE North, Inc.,</w:t>
      </w:r>
      <w:r w:rsidRPr="00AD3216">
        <w:rPr>
          <w:sz w:val="26"/>
          <w:szCs w:val="26"/>
        </w:rPr>
        <w:t xml:space="preserve"> Docket No. C-00902815 (Opinion and Order entered April 1, 1996) </w:t>
      </w:r>
      <w:r w:rsidRPr="00987F49">
        <w:rPr>
          <w:i/>
          <w:iCs/>
          <w:sz w:val="26"/>
          <w:szCs w:val="26"/>
        </w:rPr>
        <w:t xml:space="preserve">(Warner); Pa. </w:t>
      </w:r>
      <w:r w:rsidR="00987F49">
        <w:rPr>
          <w:i/>
          <w:iCs/>
          <w:sz w:val="26"/>
          <w:szCs w:val="26"/>
        </w:rPr>
        <w:t>PUC</w:t>
      </w:r>
      <w:r w:rsidRPr="00987F49">
        <w:rPr>
          <w:i/>
          <w:iCs/>
          <w:sz w:val="26"/>
          <w:szCs w:val="26"/>
        </w:rPr>
        <w:t xml:space="preserve"> v. CS Water and Sewer Associates</w:t>
      </w:r>
      <w:r w:rsidR="00987F49">
        <w:rPr>
          <w:sz w:val="26"/>
          <w:szCs w:val="26"/>
        </w:rPr>
        <w:t>, 74 </w:t>
      </w:r>
      <w:r w:rsidRPr="00AD3216">
        <w:rPr>
          <w:sz w:val="26"/>
          <w:szCs w:val="26"/>
        </w:rPr>
        <w:t>Pa. PUC 767 (1991).</w:t>
      </w:r>
    </w:p>
    <w:p w14:paraId="4E03C9C0" w14:textId="77777777" w:rsidR="00884416" w:rsidRPr="004E64B8" w:rsidRDefault="00884416" w:rsidP="004E64B8">
      <w:pPr>
        <w:spacing w:line="360" w:lineRule="auto"/>
        <w:ind w:left="1440" w:right="1440" w:hanging="1440"/>
        <w:contextualSpacing/>
        <w:rPr>
          <w:sz w:val="26"/>
          <w:szCs w:val="26"/>
        </w:rPr>
      </w:pPr>
    </w:p>
    <w:p w14:paraId="025FACFC" w14:textId="5FDDDEAB" w:rsidR="00455685" w:rsidRDefault="000D5F87" w:rsidP="000D5F87">
      <w:pPr>
        <w:spacing w:line="360" w:lineRule="auto"/>
        <w:ind w:firstLine="1440"/>
        <w:contextualSpacing/>
        <w:rPr>
          <w:sz w:val="26"/>
          <w:szCs w:val="26"/>
        </w:rPr>
      </w:pPr>
      <w:r w:rsidRPr="000D5F87">
        <w:rPr>
          <w:sz w:val="26"/>
          <w:szCs w:val="26"/>
        </w:rPr>
        <w:t>The Commission has traditionally defined the public interest as including ratepayers, shareholders, and the regulated community.</w:t>
      </w:r>
      <w:r>
        <w:rPr>
          <w:sz w:val="26"/>
          <w:szCs w:val="26"/>
        </w:rPr>
        <w:t xml:space="preserve">  </w:t>
      </w:r>
      <w:r w:rsidRPr="000D5F87">
        <w:rPr>
          <w:i/>
          <w:iCs/>
          <w:sz w:val="26"/>
          <w:szCs w:val="26"/>
        </w:rPr>
        <w:t>Pa. Pub. Util. Comm’n v. Bell Atlantic-Pennsylvania, Inc.</w:t>
      </w:r>
      <w:r w:rsidRPr="006D78B1">
        <w:rPr>
          <w:sz w:val="26"/>
          <w:szCs w:val="26"/>
        </w:rPr>
        <w:t>,</w:t>
      </w:r>
      <w:r w:rsidRPr="000D5F87">
        <w:rPr>
          <w:i/>
          <w:iCs/>
          <w:sz w:val="26"/>
          <w:szCs w:val="26"/>
        </w:rPr>
        <w:t xml:space="preserve"> </w:t>
      </w:r>
      <w:r w:rsidRPr="000D5F87">
        <w:rPr>
          <w:sz w:val="26"/>
          <w:szCs w:val="26"/>
        </w:rPr>
        <w:t>Docket No. R-00953409 (Order entered September 29, 1995).</w:t>
      </w:r>
      <w:r>
        <w:rPr>
          <w:sz w:val="26"/>
          <w:szCs w:val="26"/>
        </w:rPr>
        <w:t xml:space="preserve">  </w:t>
      </w:r>
      <w:r w:rsidRPr="000D5F87">
        <w:rPr>
          <w:sz w:val="26"/>
          <w:szCs w:val="26"/>
        </w:rPr>
        <w:t>What is in the public interest is decided by examining the effect of the proposed Settlement on these “stakeholder” entities.</w:t>
      </w:r>
      <w:r w:rsidR="00D5575F">
        <w:rPr>
          <w:sz w:val="26"/>
          <w:szCs w:val="26"/>
        </w:rPr>
        <w:t xml:space="preserve">  </w:t>
      </w:r>
      <w:r w:rsidRPr="000D5F87">
        <w:rPr>
          <w:i/>
          <w:iCs/>
          <w:sz w:val="26"/>
          <w:szCs w:val="26"/>
        </w:rPr>
        <w:t>Id</w:t>
      </w:r>
      <w:r w:rsidRPr="000D5F87">
        <w:rPr>
          <w:sz w:val="26"/>
          <w:szCs w:val="26"/>
        </w:rPr>
        <w:t>.</w:t>
      </w:r>
      <w:r w:rsidR="00C61780">
        <w:rPr>
          <w:sz w:val="26"/>
          <w:szCs w:val="26"/>
        </w:rPr>
        <w:t xml:space="preserve">  </w:t>
      </w:r>
      <w:r w:rsidRPr="000D5F87">
        <w:rPr>
          <w:sz w:val="26"/>
          <w:szCs w:val="26"/>
        </w:rPr>
        <w:t xml:space="preserve">The public interest is best served, </w:t>
      </w:r>
      <w:r w:rsidRPr="000D5F87">
        <w:rPr>
          <w:sz w:val="26"/>
          <w:szCs w:val="26"/>
        </w:rPr>
        <w:lastRenderedPageBreak/>
        <w:t>however, by ensuring that the underlying transaction complies with applicable law.</w:t>
      </w:r>
      <w:r w:rsidR="00D5575F">
        <w:rPr>
          <w:sz w:val="26"/>
          <w:szCs w:val="26"/>
        </w:rPr>
        <w:t xml:space="preserve">  </w:t>
      </w:r>
      <w:r w:rsidRPr="000D5F87">
        <w:rPr>
          <w:i/>
          <w:iCs/>
          <w:sz w:val="26"/>
          <w:szCs w:val="26"/>
        </w:rPr>
        <w:t xml:space="preserve">See Dauphin County Indus. Dev. Auth. v. Pa. </w:t>
      </w:r>
      <w:r w:rsidR="00E31339">
        <w:rPr>
          <w:i/>
          <w:iCs/>
          <w:sz w:val="26"/>
          <w:szCs w:val="26"/>
        </w:rPr>
        <w:t>PUC</w:t>
      </w:r>
      <w:r w:rsidRPr="000D5F87">
        <w:rPr>
          <w:sz w:val="26"/>
          <w:szCs w:val="26"/>
        </w:rPr>
        <w:t>, 123 A.3d 1124 (Pa.</w:t>
      </w:r>
      <w:r w:rsidR="00C61780">
        <w:rPr>
          <w:sz w:val="26"/>
          <w:szCs w:val="26"/>
        </w:rPr>
        <w:t xml:space="preserve"> </w:t>
      </w:r>
      <w:r w:rsidRPr="000D5F87">
        <w:rPr>
          <w:sz w:val="26"/>
          <w:szCs w:val="26"/>
        </w:rPr>
        <w:t>Cmwlth. 2015) (Commonwealth Court Order reversing Commission approval of a joint settlement due to the Court’s plenary review and disapproval of the Commission’s interpretation of Section</w:t>
      </w:r>
      <w:r w:rsidR="00E31339">
        <w:rPr>
          <w:sz w:val="26"/>
          <w:szCs w:val="26"/>
        </w:rPr>
        <w:t> </w:t>
      </w:r>
      <w:r w:rsidRPr="000D5F87">
        <w:rPr>
          <w:sz w:val="26"/>
          <w:szCs w:val="26"/>
        </w:rPr>
        <w:t>2807(f)(5) of the Act, 66 Pa. C.S. § 2807(f)(5)).</w:t>
      </w:r>
    </w:p>
    <w:p w14:paraId="2B7BF80B" w14:textId="77777777" w:rsidR="008575DC" w:rsidRDefault="008575DC" w:rsidP="000D5F87">
      <w:pPr>
        <w:spacing w:line="360" w:lineRule="auto"/>
        <w:ind w:firstLine="1440"/>
        <w:contextualSpacing/>
        <w:rPr>
          <w:sz w:val="26"/>
          <w:szCs w:val="26"/>
        </w:rPr>
      </w:pPr>
    </w:p>
    <w:p w14:paraId="4DE79630" w14:textId="62E48A68" w:rsidR="00C61780" w:rsidRDefault="00C61780" w:rsidP="00C61780">
      <w:pPr>
        <w:pStyle w:val="Default"/>
        <w:spacing w:line="360" w:lineRule="auto"/>
        <w:ind w:firstLine="1440"/>
        <w:rPr>
          <w:color w:val="auto"/>
          <w:sz w:val="26"/>
          <w:szCs w:val="26"/>
        </w:rPr>
      </w:pPr>
      <w:r w:rsidRPr="00C61780">
        <w:rPr>
          <w:sz w:val="26"/>
          <w:szCs w:val="26"/>
        </w:rPr>
        <w:t>The Commission has authority over safety issues concerning all of Pennsylvania’s intrastate facilities, including hazardous liquids and underground natural gas storage facilities.</w:t>
      </w:r>
      <w:r>
        <w:rPr>
          <w:sz w:val="26"/>
          <w:szCs w:val="26"/>
        </w:rPr>
        <w:t xml:space="preserve">  </w:t>
      </w:r>
      <w:r w:rsidRPr="00C61780">
        <w:rPr>
          <w:sz w:val="26"/>
          <w:szCs w:val="26"/>
        </w:rPr>
        <w:t xml:space="preserve">Specifically, Commission </w:t>
      </w:r>
      <w:r>
        <w:rPr>
          <w:sz w:val="26"/>
          <w:szCs w:val="26"/>
        </w:rPr>
        <w:t>R</w:t>
      </w:r>
      <w:r w:rsidRPr="00C61780">
        <w:rPr>
          <w:sz w:val="26"/>
          <w:szCs w:val="26"/>
        </w:rPr>
        <w:t>egulations at 52 Pa.</w:t>
      </w:r>
      <w:r>
        <w:rPr>
          <w:sz w:val="26"/>
          <w:szCs w:val="26"/>
        </w:rPr>
        <w:t xml:space="preserve"> </w:t>
      </w:r>
      <w:r w:rsidRPr="00C61780">
        <w:rPr>
          <w:sz w:val="26"/>
          <w:szCs w:val="26"/>
        </w:rPr>
        <w:t>Code § 59.33, promulgated pursuant to 66 Pa.</w:t>
      </w:r>
      <w:r>
        <w:rPr>
          <w:sz w:val="26"/>
          <w:szCs w:val="26"/>
        </w:rPr>
        <w:t xml:space="preserve"> </w:t>
      </w:r>
      <w:r w:rsidRPr="00C61780">
        <w:rPr>
          <w:sz w:val="26"/>
          <w:szCs w:val="26"/>
        </w:rPr>
        <w:t xml:space="preserve">C.S. § 1501, require that hazardous liquid utilities shall have minimum safety standards consistent </w:t>
      </w:r>
      <w:r w:rsidRPr="00C61780">
        <w:rPr>
          <w:color w:val="auto"/>
          <w:sz w:val="26"/>
          <w:szCs w:val="26"/>
        </w:rPr>
        <w:t>with the pipeline safety laws at 49 U.S.C. §§</w:t>
      </w:r>
      <w:r w:rsidR="00E31339">
        <w:rPr>
          <w:color w:val="auto"/>
          <w:sz w:val="26"/>
          <w:szCs w:val="26"/>
        </w:rPr>
        <w:t> </w:t>
      </w:r>
      <w:r w:rsidRPr="00C61780">
        <w:rPr>
          <w:color w:val="auto"/>
          <w:sz w:val="26"/>
          <w:szCs w:val="26"/>
        </w:rPr>
        <w:t>60101-60503 and the regulations at 49 CFR Parts 191-193, 195 and 199.</w:t>
      </w:r>
      <w:r>
        <w:rPr>
          <w:color w:val="auto"/>
          <w:sz w:val="26"/>
          <w:szCs w:val="26"/>
        </w:rPr>
        <w:t xml:space="preserve">  </w:t>
      </w:r>
    </w:p>
    <w:p w14:paraId="48799843" w14:textId="77777777" w:rsidR="00C61780" w:rsidRDefault="00C61780" w:rsidP="00C61780">
      <w:pPr>
        <w:pStyle w:val="Default"/>
        <w:spacing w:line="360" w:lineRule="auto"/>
        <w:ind w:firstLine="1440"/>
        <w:rPr>
          <w:color w:val="auto"/>
          <w:sz w:val="26"/>
          <w:szCs w:val="26"/>
        </w:rPr>
      </w:pPr>
    </w:p>
    <w:p w14:paraId="7BD32099" w14:textId="0602875F" w:rsidR="008575DC" w:rsidRPr="008575DC" w:rsidRDefault="00C61780" w:rsidP="008575DC">
      <w:pPr>
        <w:pStyle w:val="Default"/>
        <w:spacing w:line="360" w:lineRule="auto"/>
        <w:ind w:firstLine="1440"/>
        <w:rPr>
          <w:sz w:val="26"/>
          <w:szCs w:val="26"/>
        </w:rPr>
      </w:pPr>
      <w:r>
        <w:rPr>
          <w:color w:val="auto"/>
          <w:sz w:val="26"/>
          <w:szCs w:val="26"/>
        </w:rPr>
        <w:t xml:space="preserve">Furthermore, </w:t>
      </w:r>
      <w:r w:rsidRPr="00C61780">
        <w:rPr>
          <w:color w:val="auto"/>
          <w:sz w:val="26"/>
          <w:szCs w:val="26"/>
        </w:rPr>
        <w:t xml:space="preserve">Commission </w:t>
      </w:r>
      <w:r>
        <w:rPr>
          <w:color w:val="auto"/>
          <w:sz w:val="26"/>
          <w:szCs w:val="26"/>
        </w:rPr>
        <w:t>R</w:t>
      </w:r>
      <w:r w:rsidRPr="00C61780">
        <w:rPr>
          <w:color w:val="auto"/>
          <w:sz w:val="26"/>
          <w:szCs w:val="26"/>
        </w:rPr>
        <w:t>egulations adopt federal safety standards for hazardous liquid facilities.</w:t>
      </w:r>
      <w:r>
        <w:rPr>
          <w:color w:val="auto"/>
          <w:sz w:val="26"/>
          <w:szCs w:val="26"/>
        </w:rPr>
        <w:t xml:space="preserve">  </w:t>
      </w:r>
      <w:r w:rsidRPr="00C61780">
        <w:rPr>
          <w:color w:val="auto"/>
          <w:sz w:val="26"/>
          <w:szCs w:val="26"/>
        </w:rPr>
        <w:t>These standards include what materials must be used for new hazardous liquid pipelines, how those pipelines should be constructed, as well as corrosion control, maintenance and testing of existing hazardous liquid pipelines.</w:t>
      </w:r>
      <w:r>
        <w:rPr>
          <w:color w:val="auto"/>
          <w:sz w:val="26"/>
          <w:szCs w:val="26"/>
        </w:rPr>
        <w:t xml:space="preserve">  </w:t>
      </w:r>
      <w:r w:rsidRPr="00C61780">
        <w:rPr>
          <w:color w:val="auto"/>
          <w:sz w:val="26"/>
          <w:szCs w:val="26"/>
        </w:rPr>
        <w:t>The standards also address emergency preparedness and public awareness plans at 49 CFR §</w:t>
      </w:r>
      <w:r w:rsidR="00E31339">
        <w:rPr>
          <w:color w:val="auto"/>
          <w:sz w:val="26"/>
          <w:szCs w:val="26"/>
        </w:rPr>
        <w:t> </w:t>
      </w:r>
      <w:r w:rsidRPr="00C61780">
        <w:rPr>
          <w:color w:val="auto"/>
          <w:sz w:val="26"/>
          <w:szCs w:val="26"/>
        </w:rPr>
        <w:t>195.440 (relating to public awareness).</w:t>
      </w:r>
      <w:r>
        <w:rPr>
          <w:color w:val="auto"/>
          <w:sz w:val="26"/>
          <w:szCs w:val="26"/>
        </w:rPr>
        <w:t xml:space="preserve">  </w:t>
      </w:r>
      <w:r w:rsidRPr="00C61780">
        <w:rPr>
          <w:color w:val="auto"/>
          <w:sz w:val="26"/>
          <w:szCs w:val="26"/>
        </w:rPr>
        <w:t>A pipeline operator utility should use every reasonable effort to properly warn and protect the public from danger and shall exercise reasonable care to reduce the hazards to which employees, customers and others may be subjected to by reason of its equipment and facilities.</w:t>
      </w:r>
      <w:r>
        <w:rPr>
          <w:color w:val="auto"/>
          <w:sz w:val="26"/>
          <w:szCs w:val="26"/>
        </w:rPr>
        <w:t xml:space="preserve">  </w:t>
      </w:r>
      <w:r w:rsidRPr="00C61780">
        <w:rPr>
          <w:color w:val="auto"/>
          <w:sz w:val="26"/>
          <w:szCs w:val="26"/>
        </w:rPr>
        <w:t>52 Pa. Code § 59.33(a).</w:t>
      </w:r>
    </w:p>
    <w:p w14:paraId="6D967AC0" w14:textId="77777777" w:rsidR="000D5F87" w:rsidRDefault="000D5F87" w:rsidP="000D5F87">
      <w:pPr>
        <w:spacing w:line="360" w:lineRule="auto"/>
        <w:ind w:firstLine="1440"/>
        <w:contextualSpacing/>
        <w:rPr>
          <w:sz w:val="26"/>
          <w:szCs w:val="26"/>
        </w:rPr>
      </w:pPr>
    </w:p>
    <w:p w14:paraId="40F00A9E" w14:textId="77777777" w:rsidR="00455685" w:rsidRPr="00987F49" w:rsidRDefault="00455685" w:rsidP="00E31339">
      <w:pPr>
        <w:spacing w:line="360" w:lineRule="auto"/>
        <w:contextualSpacing/>
        <w:rPr>
          <w:b/>
          <w:bCs/>
          <w:sz w:val="26"/>
          <w:szCs w:val="26"/>
        </w:rPr>
      </w:pPr>
      <w:r w:rsidRPr="00987F49">
        <w:rPr>
          <w:b/>
          <w:bCs/>
          <w:sz w:val="26"/>
          <w:szCs w:val="26"/>
        </w:rPr>
        <w:t>Joint Petition for Settlement</w:t>
      </w:r>
    </w:p>
    <w:p w14:paraId="53D41468" w14:textId="77777777" w:rsidR="00455685" w:rsidRDefault="00455685" w:rsidP="00E31339">
      <w:pPr>
        <w:spacing w:line="360" w:lineRule="auto"/>
        <w:ind w:firstLine="1440"/>
        <w:contextualSpacing/>
        <w:rPr>
          <w:sz w:val="26"/>
          <w:szCs w:val="26"/>
        </w:rPr>
      </w:pPr>
    </w:p>
    <w:p w14:paraId="0A1FBECA" w14:textId="77777777" w:rsidR="00455685" w:rsidRDefault="00136C34" w:rsidP="00E31339">
      <w:pPr>
        <w:spacing w:line="360" w:lineRule="auto"/>
        <w:ind w:firstLine="1440"/>
        <w:contextualSpacing/>
        <w:rPr>
          <w:sz w:val="26"/>
          <w:szCs w:val="26"/>
        </w:rPr>
      </w:pPr>
      <w:r>
        <w:rPr>
          <w:sz w:val="26"/>
          <w:szCs w:val="26"/>
        </w:rPr>
        <w:t>T</w:t>
      </w:r>
      <w:r w:rsidR="00455685" w:rsidRPr="00987F49">
        <w:rPr>
          <w:sz w:val="26"/>
          <w:szCs w:val="26"/>
        </w:rPr>
        <w:t xml:space="preserve">he </w:t>
      </w:r>
      <w:r w:rsidR="00455685">
        <w:rPr>
          <w:sz w:val="26"/>
          <w:szCs w:val="26"/>
        </w:rPr>
        <w:t>Joint Petitioners</w:t>
      </w:r>
      <w:r w:rsidR="00455685" w:rsidRPr="00987F49">
        <w:rPr>
          <w:sz w:val="26"/>
          <w:szCs w:val="26"/>
        </w:rPr>
        <w:t xml:space="preserve"> agreed to resolve</w:t>
      </w:r>
      <w:r w:rsidR="00C61780">
        <w:rPr>
          <w:sz w:val="26"/>
          <w:szCs w:val="26"/>
        </w:rPr>
        <w:t xml:space="preserve"> this matter and</w:t>
      </w:r>
      <w:r w:rsidR="00455685" w:rsidRPr="00987F49">
        <w:rPr>
          <w:sz w:val="26"/>
          <w:szCs w:val="26"/>
        </w:rPr>
        <w:t xml:space="preserve"> to seek Commission approval for the matters settled</w:t>
      </w:r>
      <w:r>
        <w:rPr>
          <w:sz w:val="26"/>
          <w:szCs w:val="26"/>
        </w:rPr>
        <w:t xml:space="preserve"> in the Settlement</w:t>
      </w:r>
      <w:r w:rsidR="00455685" w:rsidRPr="00987F49">
        <w:rPr>
          <w:sz w:val="26"/>
          <w:szCs w:val="26"/>
        </w:rPr>
        <w:t>.</w:t>
      </w:r>
      <w:r w:rsidR="00455685">
        <w:rPr>
          <w:sz w:val="26"/>
          <w:szCs w:val="26"/>
        </w:rPr>
        <w:t xml:space="preserve">  </w:t>
      </w:r>
      <w:r w:rsidR="00455685" w:rsidRPr="00987F49">
        <w:rPr>
          <w:sz w:val="26"/>
          <w:szCs w:val="26"/>
        </w:rPr>
        <w:t xml:space="preserve">The relevant terms of the Settlement are as follows - paragraph numbers and headings are listed as they appear in the original </w:t>
      </w:r>
      <w:r w:rsidR="00455685" w:rsidRPr="00987F49">
        <w:rPr>
          <w:sz w:val="26"/>
          <w:szCs w:val="26"/>
        </w:rPr>
        <w:lastRenderedPageBreak/>
        <w:t>Settlement filed with the Commission</w:t>
      </w:r>
      <w:r w:rsidR="00B52D58">
        <w:rPr>
          <w:sz w:val="26"/>
          <w:szCs w:val="26"/>
        </w:rPr>
        <w:t xml:space="preserve"> on April 3, 2019, as amended on June 28, 2019 by the Joint Petitioners’ Addendum</w:t>
      </w:r>
      <w:r w:rsidR="00455685" w:rsidRPr="00987F49">
        <w:rPr>
          <w:sz w:val="26"/>
          <w:szCs w:val="26"/>
        </w:rPr>
        <w:t>:</w:t>
      </w:r>
    </w:p>
    <w:p w14:paraId="7EE6F929" w14:textId="77777777" w:rsidR="00E00873" w:rsidRDefault="00E00873" w:rsidP="00E45BD7">
      <w:pPr>
        <w:keepNext/>
        <w:keepLines/>
        <w:spacing w:line="360" w:lineRule="auto"/>
        <w:ind w:firstLine="1440"/>
        <w:contextualSpacing/>
        <w:rPr>
          <w:sz w:val="26"/>
          <w:szCs w:val="26"/>
        </w:rPr>
      </w:pPr>
    </w:p>
    <w:p w14:paraId="7DF1996B" w14:textId="77777777" w:rsidR="00455685" w:rsidRPr="00E31339" w:rsidRDefault="00455685" w:rsidP="00987F49">
      <w:pPr>
        <w:pStyle w:val="Default"/>
        <w:keepNext/>
        <w:keepLines/>
        <w:ind w:left="720" w:firstLine="720"/>
        <w:rPr>
          <w:b/>
          <w:bCs/>
          <w:sz w:val="26"/>
          <w:szCs w:val="26"/>
        </w:rPr>
      </w:pPr>
      <w:r w:rsidRPr="00E31339">
        <w:rPr>
          <w:b/>
          <w:bCs/>
          <w:sz w:val="26"/>
          <w:szCs w:val="26"/>
        </w:rPr>
        <w:t>II</w:t>
      </w:r>
      <w:r w:rsidR="00C61780" w:rsidRPr="00E31339">
        <w:rPr>
          <w:b/>
          <w:bCs/>
          <w:sz w:val="26"/>
          <w:szCs w:val="26"/>
        </w:rPr>
        <w:t>I</w:t>
      </w:r>
      <w:r w:rsidRPr="00E31339">
        <w:rPr>
          <w:b/>
          <w:bCs/>
          <w:sz w:val="26"/>
          <w:szCs w:val="26"/>
        </w:rPr>
        <w:t>. SETTLEMENT</w:t>
      </w:r>
      <w:r w:rsidR="00C61780" w:rsidRPr="00E31339">
        <w:rPr>
          <w:b/>
          <w:bCs/>
          <w:sz w:val="26"/>
          <w:szCs w:val="26"/>
        </w:rPr>
        <w:t xml:space="preserve"> TERMS</w:t>
      </w:r>
    </w:p>
    <w:p w14:paraId="3897A412" w14:textId="77777777" w:rsidR="004149C3" w:rsidRDefault="004149C3" w:rsidP="00987F49">
      <w:pPr>
        <w:pStyle w:val="Default"/>
        <w:keepNext/>
        <w:keepLines/>
        <w:ind w:left="720" w:firstLine="720"/>
        <w:rPr>
          <w:b/>
          <w:bCs/>
          <w:sz w:val="23"/>
          <w:szCs w:val="23"/>
        </w:rPr>
      </w:pPr>
    </w:p>
    <w:p w14:paraId="2C7E064E" w14:textId="77777777" w:rsidR="004149C3" w:rsidRPr="004149C3" w:rsidRDefault="004149C3" w:rsidP="004149C3">
      <w:pPr>
        <w:pStyle w:val="Default"/>
        <w:keepNext/>
        <w:keepLines/>
        <w:ind w:left="1440" w:right="1440"/>
        <w:rPr>
          <w:sz w:val="26"/>
          <w:szCs w:val="26"/>
        </w:rPr>
      </w:pPr>
      <w:r w:rsidRPr="004149C3">
        <w:rPr>
          <w:sz w:val="26"/>
          <w:szCs w:val="26"/>
        </w:rPr>
        <w:t xml:space="preserve">17.  </w:t>
      </w:r>
      <w:r w:rsidR="004107DC">
        <w:rPr>
          <w:sz w:val="26"/>
          <w:szCs w:val="26"/>
        </w:rPr>
        <w:tab/>
      </w:r>
      <w:r w:rsidRPr="004149C3">
        <w:rPr>
          <w:sz w:val="26"/>
          <w:szCs w:val="26"/>
        </w:rPr>
        <w:t>I&amp;E and Respondent, including to be legally bound and for consideration given, desire to fully and finally conclude this litigation and agree that a Commission Order approving the Settlement without modification shall create the following rights and obligations:</w:t>
      </w:r>
    </w:p>
    <w:p w14:paraId="79C4A7EA" w14:textId="77777777" w:rsidR="00FA3E11" w:rsidRDefault="00FA3E11" w:rsidP="00987F49">
      <w:pPr>
        <w:pStyle w:val="Default"/>
        <w:keepNext/>
        <w:keepLines/>
        <w:jc w:val="center"/>
        <w:rPr>
          <w:sz w:val="23"/>
          <w:szCs w:val="23"/>
        </w:rPr>
      </w:pPr>
    </w:p>
    <w:p w14:paraId="086AA416" w14:textId="77777777" w:rsidR="00256631" w:rsidRDefault="00C43DF9" w:rsidP="00987F49">
      <w:pPr>
        <w:pStyle w:val="Default"/>
        <w:numPr>
          <w:ilvl w:val="0"/>
          <w:numId w:val="13"/>
        </w:numPr>
        <w:ind w:right="1440"/>
        <w:rPr>
          <w:b/>
          <w:bCs/>
          <w:i/>
          <w:iCs/>
          <w:sz w:val="26"/>
          <w:szCs w:val="26"/>
        </w:rPr>
      </w:pPr>
      <w:bookmarkStart w:id="0" w:name="_Hlk28330865"/>
      <w:r w:rsidRPr="00C43DF9">
        <w:rPr>
          <w:b/>
          <w:bCs/>
          <w:i/>
          <w:iCs/>
          <w:sz w:val="26"/>
          <w:szCs w:val="26"/>
        </w:rPr>
        <w:t>Civil Penalty</w:t>
      </w:r>
    </w:p>
    <w:p w14:paraId="7E259F01" w14:textId="77777777" w:rsidR="001569C9" w:rsidRPr="00C43DF9" w:rsidRDefault="001569C9" w:rsidP="001569C9">
      <w:pPr>
        <w:pStyle w:val="Default"/>
        <w:ind w:left="1800" w:right="1440"/>
        <w:rPr>
          <w:b/>
          <w:bCs/>
          <w:i/>
          <w:iCs/>
          <w:sz w:val="26"/>
          <w:szCs w:val="26"/>
        </w:rPr>
      </w:pPr>
    </w:p>
    <w:p w14:paraId="0451E05A" w14:textId="77777777" w:rsidR="00C43DF9" w:rsidRDefault="00C43DF9" w:rsidP="00256631">
      <w:pPr>
        <w:pStyle w:val="Default"/>
        <w:ind w:left="1440" w:right="1440"/>
        <w:rPr>
          <w:sz w:val="26"/>
          <w:szCs w:val="26"/>
        </w:rPr>
      </w:pPr>
      <w:r w:rsidRPr="00C43DF9">
        <w:rPr>
          <w:sz w:val="26"/>
          <w:szCs w:val="26"/>
        </w:rPr>
        <w:t xml:space="preserve">Respondent will pay a civil penalty in the amount of Two Hundred Thousand Dollars ($200,000) pursuant to 49 U.S.C.A. §§ 60122(a)(1) and 60118(a). Said payment shall be made within thirty (30) days of the date of the Commission’s Final Order approving the Settlement Agreement and shall be made by certified check or money order payable to the “Commonwealth of Pennsylvania.” The docket number of this proceeding, C-2018-3006534, shall be indicated with the certified check or money order and the payment shall be sent to: </w:t>
      </w:r>
    </w:p>
    <w:p w14:paraId="5418A141" w14:textId="77777777" w:rsidR="00C43DF9" w:rsidRDefault="00C43DF9" w:rsidP="00256631">
      <w:pPr>
        <w:pStyle w:val="Default"/>
        <w:ind w:left="1440" w:right="1440"/>
        <w:rPr>
          <w:sz w:val="26"/>
          <w:szCs w:val="26"/>
        </w:rPr>
      </w:pPr>
    </w:p>
    <w:p w14:paraId="4FEF1C2B" w14:textId="77777777" w:rsidR="00C43DF9" w:rsidRPr="00C43DF9" w:rsidRDefault="00C43DF9" w:rsidP="00C43DF9">
      <w:pPr>
        <w:pStyle w:val="Default"/>
        <w:ind w:left="2160" w:firstLine="720"/>
        <w:rPr>
          <w:sz w:val="26"/>
          <w:szCs w:val="26"/>
        </w:rPr>
      </w:pPr>
      <w:r w:rsidRPr="00C43DF9">
        <w:rPr>
          <w:sz w:val="26"/>
          <w:szCs w:val="26"/>
        </w:rPr>
        <w:t xml:space="preserve">Rosemary Chiavetta, Secretary </w:t>
      </w:r>
    </w:p>
    <w:p w14:paraId="23188A7E" w14:textId="77777777" w:rsidR="00C43DF9" w:rsidRPr="00C43DF9" w:rsidRDefault="00C43DF9" w:rsidP="00C43DF9">
      <w:pPr>
        <w:pStyle w:val="Default"/>
        <w:ind w:left="2160" w:firstLine="720"/>
        <w:rPr>
          <w:sz w:val="26"/>
          <w:szCs w:val="26"/>
        </w:rPr>
      </w:pPr>
      <w:r w:rsidRPr="00C43DF9">
        <w:rPr>
          <w:sz w:val="26"/>
          <w:szCs w:val="26"/>
        </w:rPr>
        <w:t xml:space="preserve">Pennsylvania Public Utility Commission </w:t>
      </w:r>
    </w:p>
    <w:p w14:paraId="7F85DAB0" w14:textId="77777777" w:rsidR="00C43DF9" w:rsidRPr="00C43DF9" w:rsidRDefault="00C43DF9" w:rsidP="00C43DF9">
      <w:pPr>
        <w:pStyle w:val="Default"/>
        <w:ind w:left="2160" w:firstLine="720"/>
        <w:rPr>
          <w:sz w:val="26"/>
          <w:szCs w:val="26"/>
        </w:rPr>
      </w:pPr>
      <w:r w:rsidRPr="00C43DF9">
        <w:rPr>
          <w:sz w:val="26"/>
          <w:szCs w:val="26"/>
        </w:rPr>
        <w:t xml:space="preserve">Commonwealth Keystone Building </w:t>
      </w:r>
    </w:p>
    <w:p w14:paraId="4D2386C0" w14:textId="77777777" w:rsidR="00C43DF9" w:rsidRPr="00C43DF9" w:rsidRDefault="00C43DF9" w:rsidP="00C43DF9">
      <w:pPr>
        <w:pStyle w:val="Default"/>
        <w:ind w:left="2160" w:firstLine="720"/>
        <w:rPr>
          <w:sz w:val="26"/>
          <w:szCs w:val="26"/>
        </w:rPr>
      </w:pPr>
      <w:r w:rsidRPr="00C43DF9">
        <w:rPr>
          <w:sz w:val="26"/>
          <w:szCs w:val="26"/>
        </w:rPr>
        <w:t xml:space="preserve">400 North Street </w:t>
      </w:r>
    </w:p>
    <w:p w14:paraId="66F5547B" w14:textId="77777777" w:rsidR="00C43DF9" w:rsidRPr="00C43DF9" w:rsidRDefault="00C43DF9" w:rsidP="00C43DF9">
      <w:pPr>
        <w:pStyle w:val="Default"/>
        <w:ind w:left="2160" w:right="1440" w:firstLine="720"/>
        <w:rPr>
          <w:sz w:val="26"/>
          <w:szCs w:val="26"/>
        </w:rPr>
      </w:pPr>
      <w:r w:rsidRPr="00C43DF9">
        <w:rPr>
          <w:sz w:val="26"/>
          <w:szCs w:val="26"/>
        </w:rPr>
        <w:t>Harrisburg, PA 17120</w:t>
      </w:r>
    </w:p>
    <w:p w14:paraId="6CB6DFA0" w14:textId="77777777" w:rsidR="00C43DF9" w:rsidRPr="00C43DF9" w:rsidRDefault="00C43DF9" w:rsidP="00256631">
      <w:pPr>
        <w:pStyle w:val="Default"/>
        <w:ind w:left="1440" w:right="1440"/>
        <w:rPr>
          <w:sz w:val="26"/>
          <w:szCs w:val="26"/>
        </w:rPr>
      </w:pPr>
    </w:p>
    <w:p w14:paraId="3EAE0160" w14:textId="0C2C62C1" w:rsidR="00C43DF9" w:rsidRPr="00C43DF9" w:rsidRDefault="00C43DF9" w:rsidP="00256631">
      <w:pPr>
        <w:pStyle w:val="Default"/>
        <w:ind w:left="1440" w:right="1440"/>
        <w:rPr>
          <w:sz w:val="26"/>
          <w:szCs w:val="26"/>
        </w:rPr>
      </w:pPr>
      <w:r w:rsidRPr="00C43DF9">
        <w:rPr>
          <w:sz w:val="26"/>
          <w:szCs w:val="26"/>
        </w:rPr>
        <w:t>The civil penalty shall not be tax deductible pursuant to Section 162(f) of the Internal Revenue Code, 26 U.S.C.S. §</w:t>
      </w:r>
      <w:r w:rsidR="00E31339">
        <w:rPr>
          <w:sz w:val="26"/>
          <w:szCs w:val="26"/>
        </w:rPr>
        <w:t> </w:t>
      </w:r>
      <w:r w:rsidRPr="00C43DF9">
        <w:rPr>
          <w:sz w:val="26"/>
          <w:szCs w:val="26"/>
        </w:rPr>
        <w:t>162(f).</w:t>
      </w:r>
    </w:p>
    <w:p w14:paraId="34778A48" w14:textId="77777777" w:rsidR="00C43DF9" w:rsidRDefault="00C43DF9" w:rsidP="00256631">
      <w:pPr>
        <w:pStyle w:val="Default"/>
        <w:ind w:left="1440" w:right="1440"/>
        <w:rPr>
          <w:sz w:val="23"/>
          <w:szCs w:val="23"/>
        </w:rPr>
      </w:pPr>
    </w:p>
    <w:p w14:paraId="5A182314" w14:textId="77777777" w:rsidR="00C43DF9" w:rsidRPr="00C43DF9" w:rsidRDefault="00574E15" w:rsidP="00C43DF9">
      <w:pPr>
        <w:pStyle w:val="Default"/>
        <w:numPr>
          <w:ilvl w:val="0"/>
          <w:numId w:val="13"/>
        </w:numPr>
        <w:ind w:right="1440"/>
        <w:rPr>
          <w:b/>
          <w:bCs/>
          <w:i/>
          <w:iCs/>
          <w:sz w:val="26"/>
          <w:szCs w:val="26"/>
        </w:rPr>
      </w:pPr>
      <w:r>
        <w:rPr>
          <w:b/>
          <w:bCs/>
          <w:i/>
          <w:iCs/>
          <w:sz w:val="26"/>
          <w:szCs w:val="26"/>
        </w:rPr>
        <w:t>Remaining Life Study</w:t>
      </w:r>
    </w:p>
    <w:p w14:paraId="6B06AA67" w14:textId="77777777" w:rsidR="00C43DF9" w:rsidRPr="002036CF" w:rsidRDefault="00C43DF9" w:rsidP="00C43DF9">
      <w:pPr>
        <w:pStyle w:val="Default"/>
        <w:ind w:left="1440" w:right="1440"/>
        <w:rPr>
          <w:sz w:val="26"/>
          <w:szCs w:val="26"/>
        </w:rPr>
      </w:pPr>
    </w:p>
    <w:p w14:paraId="79C42015" w14:textId="77777777" w:rsidR="00C43DF9" w:rsidRPr="00C43DF9" w:rsidRDefault="00C43DF9" w:rsidP="00256631">
      <w:pPr>
        <w:pStyle w:val="Default"/>
        <w:ind w:left="1440" w:right="1440"/>
        <w:rPr>
          <w:sz w:val="26"/>
          <w:szCs w:val="26"/>
        </w:rPr>
      </w:pPr>
      <w:r w:rsidRPr="00C43DF9">
        <w:rPr>
          <w:sz w:val="26"/>
          <w:szCs w:val="26"/>
        </w:rPr>
        <w:t xml:space="preserve">SPLP agrees to retain an independent expert to conduct a Remaining Life Study that will consist of a summary of SPLP’s Integrity Management Plan (“IMP”), a remaining life evaluation of ME1, calculations that are described in more detail in the bullet paragraphs that appear below, and will be </w:t>
      </w:r>
      <w:r w:rsidRPr="00C43DF9">
        <w:rPr>
          <w:sz w:val="26"/>
          <w:szCs w:val="26"/>
        </w:rPr>
        <w:lastRenderedPageBreak/>
        <w:t>forward-looking in manner, and intended to assess the longevity of ME1.</w:t>
      </w:r>
    </w:p>
    <w:p w14:paraId="740FD0C5" w14:textId="77777777" w:rsidR="00C43DF9" w:rsidRDefault="00C43DF9" w:rsidP="00256631">
      <w:pPr>
        <w:pStyle w:val="Default"/>
        <w:ind w:left="1440" w:right="1440"/>
        <w:rPr>
          <w:sz w:val="23"/>
          <w:szCs w:val="23"/>
        </w:rPr>
      </w:pPr>
    </w:p>
    <w:p w14:paraId="1DC8FB3F" w14:textId="77777777" w:rsidR="00256631" w:rsidRPr="00C43DF9" w:rsidRDefault="00C43DF9" w:rsidP="00256631">
      <w:pPr>
        <w:pStyle w:val="Default"/>
        <w:ind w:left="1440" w:right="1440"/>
        <w:rPr>
          <w:sz w:val="26"/>
          <w:szCs w:val="26"/>
        </w:rPr>
      </w:pPr>
      <w:r w:rsidRPr="00C43DF9">
        <w:rPr>
          <w:sz w:val="26"/>
          <w:szCs w:val="26"/>
        </w:rPr>
        <w:t>The Remaining Life Study should be conducted by a qualified independent expert that has conducted independent studies for, but not limited to, governmental entities, such as the Pipeline and Hazardous Materials Safety Administration (“PHMSA”) or State Commissions, and the Pipeline Research Counsel International (“PRCI”), American Petroleum Institute (“API”), or the Interstate Natural Gas Association of America (“INGAA”). Within thirty (30) days of entry of a Commission Order approving any settlement of this matter, SPLP shall provide I&amp;E with a list of three (3) proposed independent experts, along with contact information, a brief description of the expert’s background and a disclosure as to whether the proposed expert performed any work in relation to ME1 as well as a description of that work. I&amp;E will select one (1) expert from the list provided by SPLP and SPLP will hire and pay the expert to complete and review the study. The expert shall complete the Remaining Life Study within six (6) months from being contracted by SPLP. A summary of the expert’s findings shall be made public (excluding proprietary or confidential security information (CSI)).</w:t>
      </w:r>
    </w:p>
    <w:p w14:paraId="425B6618" w14:textId="77777777" w:rsidR="00C43DF9" w:rsidRPr="00C43DF9" w:rsidRDefault="00C43DF9" w:rsidP="00256631">
      <w:pPr>
        <w:pStyle w:val="Default"/>
        <w:ind w:left="1440" w:right="1440"/>
        <w:rPr>
          <w:sz w:val="26"/>
          <w:szCs w:val="26"/>
        </w:rPr>
      </w:pPr>
    </w:p>
    <w:p w14:paraId="47688820" w14:textId="77777777" w:rsidR="00C43DF9" w:rsidRPr="00C43DF9" w:rsidRDefault="00C43DF9" w:rsidP="00256631">
      <w:pPr>
        <w:pStyle w:val="Default"/>
        <w:ind w:left="1440" w:right="1440"/>
        <w:rPr>
          <w:sz w:val="26"/>
          <w:szCs w:val="26"/>
        </w:rPr>
      </w:pPr>
      <w:r w:rsidRPr="00C43DF9">
        <w:rPr>
          <w:sz w:val="26"/>
          <w:szCs w:val="26"/>
        </w:rPr>
        <w:t>The Parties agree that the Remaining Life Study will include the following:</w:t>
      </w:r>
    </w:p>
    <w:p w14:paraId="4543D71C" w14:textId="77777777" w:rsidR="00C43DF9" w:rsidRDefault="00C43DF9" w:rsidP="00C43DF9">
      <w:pPr>
        <w:pStyle w:val="Default"/>
      </w:pPr>
    </w:p>
    <w:p w14:paraId="56A01ADF" w14:textId="77777777" w:rsidR="00C43DF9" w:rsidRPr="000A5051" w:rsidRDefault="00D66EFC" w:rsidP="00D66EFC">
      <w:pPr>
        <w:pStyle w:val="Default"/>
        <w:spacing w:after="186"/>
        <w:ind w:left="1440" w:right="1440"/>
        <w:rPr>
          <w:sz w:val="26"/>
          <w:szCs w:val="26"/>
        </w:rPr>
      </w:pPr>
      <w:r w:rsidRPr="000A5051">
        <w:rPr>
          <w:sz w:val="26"/>
          <w:szCs w:val="26"/>
        </w:rPr>
        <w:t>•</w:t>
      </w:r>
      <w:r>
        <w:rPr>
          <w:sz w:val="26"/>
          <w:szCs w:val="26"/>
        </w:rPr>
        <w:t xml:space="preserve"> </w:t>
      </w:r>
      <w:r w:rsidR="00C43DF9" w:rsidRPr="000A5051">
        <w:rPr>
          <w:sz w:val="26"/>
          <w:szCs w:val="26"/>
        </w:rPr>
        <w:t xml:space="preserve">ME1 corrosion growth rate based on the most recent In-Line-Inspection run, sectionalized as appropriate; </w:t>
      </w:r>
    </w:p>
    <w:p w14:paraId="5733C4B6" w14:textId="77777777" w:rsidR="000A5051" w:rsidRDefault="00C43DF9" w:rsidP="00D66EFC">
      <w:pPr>
        <w:pStyle w:val="Default"/>
        <w:spacing w:after="186"/>
        <w:ind w:left="1440" w:right="1440"/>
        <w:rPr>
          <w:sz w:val="26"/>
          <w:szCs w:val="26"/>
        </w:rPr>
      </w:pPr>
      <w:r w:rsidRPr="000A5051">
        <w:rPr>
          <w:sz w:val="26"/>
          <w:szCs w:val="26"/>
        </w:rPr>
        <w:t xml:space="preserve">• Supporting documentation to demonstrate the corrosion growth rate. This may include a graph estimating corrosion growth from installation of ME1 to the present time; </w:t>
      </w:r>
    </w:p>
    <w:p w14:paraId="780E62F0" w14:textId="77777777" w:rsidR="00C43DF9" w:rsidRPr="000A5051" w:rsidRDefault="00C43DF9" w:rsidP="00D66EFC">
      <w:pPr>
        <w:pStyle w:val="Default"/>
        <w:spacing w:after="186"/>
        <w:ind w:left="1440" w:right="1440"/>
        <w:rPr>
          <w:sz w:val="26"/>
          <w:szCs w:val="26"/>
        </w:rPr>
      </w:pPr>
      <w:r w:rsidRPr="000A5051">
        <w:rPr>
          <w:sz w:val="26"/>
          <w:szCs w:val="26"/>
        </w:rPr>
        <w:t xml:space="preserve">• Retirement thickness calculations that consider: (1) pressure design thickness; and (2) minimum structural thickness; </w:t>
      </w:r>
    </w:p>
    <w:p w14:paraId="5AF695CF" w14:textId="160F7E8D" w:rsidR="00C43DF9" w:rsidRPr="000A5051" w:rsidRDefault="00C43DF9" w:rsidP="00D66EFC">
      <w:pPr>
        <w:pStyle w:val="Default"/>
        <w:spacing w:after="186"/>
        <w:ind w:left="1440" w:right="1440"/>
        <w:rPr>
          <w:sz w:val="26"/>
          <w:szCs w:val="26"/>
        </w:rPr>
      </w:pPr>
      <w:r w:rsidRPr="000A5051">
        <w:rPr>
          <w:sz w:val="26"/>
          <w:szCs w:val="26"/>
        </w:rPr>
        <w:t>• Remaining life calculations by: (1) segment; (2) age; (3)</w:t>
      </w:r>
      <w:r w:rsidR="00E31339">
        <w:rPr>
          <w:sz w:val="26"/>
          <w:szCs w:val="26"/>
        </w:rPr>
        <w:t> </w:t>
      </w:r>
      <w:r w:rsidRPr="000A5051">
        <w:rPr>
          <w:sz w:val="26"/>
          <w:szCs w:val="26"/>
        </w:rPr>
        <w:t xml:space="preserve">coating type; and (4) soil conditions; </w:t>
      </w:r>
    </w:p>
    <w:p w14:paraId="40DE1385" w14:textId="77777777" w:rsidR="00C43DF9" w:rsidRPr="000A5051" w:rsidRDefault="00C43DF9" w:rsidP="00D66EFC">
      <w:pPr>
        <w:pStyle w:val="Default"/>
        <w:spacing w:after="186"/>
        <w:ind w:left="1440" w:right="1440"/>
        <w:rPr>
          <w:sz w:val="26"/>
          <w:szCs w:val="26"/>
        </w:rPr>
      </w:pPr>
      <w:r w:rsidRPr="000A5051">
        <w:rPr>
          <w:sz w:val="26"/>
          <w:szCs w:val="26"/>
        </w:rPr>
        <w:t xml:space="preserve">• A schedule identifying portions of the pipeline to be replaced or remediated over the next five (5) years; </w:t>
      </w:r>
    </w:p>
    <w:p w14:paraId="229FAFAF" w14:textId="77777777" w:rsidR="00C43DF9" w:rsidRPr="000A5051" w:rsidRDefault="00C43DF9" w:rsidP="00D66EFC">
      <w:pPr>
        <w:pStyle w:val="Default"/>
        <w:spacing w:after="186"/>
        <w:ind w:left="1440" w:right="1440"/>
        <w:rPr>
          <w:sz w:val="26"/>
          <w:szCs w:val="26"/>
        </w:rPr>
      </w:pPr>
      <w:r w:rsidRPr="000A5051">
        <w:rPr>
          <w:sz w:val="26"/>
          <w:szCs w:val="26"/>
        </w:rPr>
        <w:lastRenderedPageBreak/>
        <w:t xml:space="preserve">• A summary of the portions of ME1 that were previously retired with an explanation of the characteristics of the pipeline sections that led to the replacements; </w:t>
      </w:r>
    </w:p>
    <w:p w14:paraId="6323824C" w14:textId="77777777" w:rsidR="00C43DF9" w:rsidRPr="000A5051" w:rsidRDefault="00C43DF9" w:rsidP="00D66EFC">
      <w:pPr>
        <w:pStyle w:val="Default"/>
        <w:spacing w:after="186"/>
        <w:ind w:left="1440" w:right="1440"/>
        <w:rPr>
          <w:sz w:val="26"/>
          <w:szCs w:val="26"/>
        </w:rPr>
      </w:pPr>
      <w:r w:rsidRPr="000A5051">
        <w:rPr>
          <w:sz w:val="26"/>
          <w:szCs w:val="26"/>
        </w:rPr>
        <w:t xml:space="preserve">• A listing and description of threats specific to ME1, with a summary of how each threat and the associated risks are mitigated; </w:t>
      </w:r>
    </w:p>
    <w:p w14:paraId="644A8083" w14:textId="77777777" w:rsidR="00C43DF9" w:rsidRPr="000A5051" w:rsidRDefault="00C43DF9" w:rsidP="00D66EFC">
      <w:pPr>
        <w:pStyle w:val="Default"/>
        <w:spacing w:after="186"/>
        <w:ind w:left="1440" w:right="1440"/>
        <w:rPr>
          <w:sz w:val="26"/>
          <w:szCs w:val="26"/>
        </w:rPr>
      </w:pPr>
      <w:r w:rsidRPr="000A5051">
        <w:rPr>
          <w:sz w:val="26"/>
          <w:szCs w:val="26"/>
        </w:rPr>
        <w:t xml:space="preserve">• A summary of the top ten (10) highest risks identified on ME1 with an explanation as to how the risks are mitigated; </w:t>
      </w:r>
    </w:p>
    <w:p w14:paraId="193118CE" w14:textId="77777777" w:rsidR="000A5051" w:rsidRDefault="00C43DF9" w:rsidP="00D66EFC">
      <w:pPr>
        <w:pStyle w:val="Default"/>
        <w:spacing w:after="186"/>
        <w:ind w:left="1440" w:right="1440"/>
      </w:pPr>
      <w:r w:rsidRPr="000A5051">
        <w:rPr>
          <w:sz w:val="26"/>
          <w:szCs w:val="26"/>
        </w:rPr>
        <w:t xml:space="preserve">• An explanation of how anomalies, dents and ovalities are formed on the pipeline and addressed by mitigative measures; • A summary of the leak history on ME1 including a description of the size of each leak; </w:t>
      </w:r>
    </w:p>
    <w:p w14:paraId="0B9149F1" w14:textId="77777777" w:rsidR="000A5051" w:rsidRPr="000A5051" w:rsidRDefault="00D15CA6" w:rsidP="00D66EFC">
      <w:pPr>
        <w:pStyle w:val="Default"/>
        <w:spacing w:after="186"/>
        <w:ind w:left="1440" w:right="1440"/>
        <w:rPr>
          <w:sz w:val="26"/>
          <w:szCs w:val="26"/>
        </w:rPr>
      </w:pPr>
      <w:r w:rsidRPr="000A5051">
        <w:rPr>
          <w:sz w:val="26"/>
          <w:szCs w:val="26"/>
        </w:rPr>
        <w:t>•</w:t>
      </w:r>
      <w:r>
        <w:rPr>
          <w:sz w:val="26"/>
          <w:szCs w:val="26"/>
        </w:rPr>
        <w:t xml:space="preserve"> </w:t>
      </w:r>
      <w:r w:rsidR="000A5051" w:rsidRPr="000A5051">
        <w:rPr>
          <w:sz w:val="26"/>
          <w:szCs w:val="26"/>
        </w:rPr>
        <w:t xml:space="preserve">A discussion of the history of ME1, including when cathodic protection was installed, when coating was applied, and the various measures performed by SPLP, including the implementation of new procedures; and </w:t>
      </w:r>
    </w:p>
    <w:p w14:paraId="5FCE5161" w14:textId="77777777" w:rsidR="000A5051" w:rsidRPr="000A5051" w:rsidRDefault="000A5051" w:rsidP="00D66EFC">
      <w:pPr>
        <w:pStyle w:val="Default"/>
        <w:ind w:left="1440" w:right="1440"/>
        <w:rPr>
          <w:sz w:val="26"/>
          <w:szCs w:val="26"/>
        </w:rPr>
      </w:pPr>
      <w:r w:rsidRPr="000A5051">
        <w:rPr>
          <w:sz w:val="26"/>
          <w:szCs w:val="26"/>
        </w:rPr>
        <w:t xml:space="preserve">• A discussion to illustrate how managing integrity lengthens pipeline life. </w:t>
      </w:r>
    </w:p>
    <w:p w14:paraId="0914E43D" w14:textId="77777777" w:rsidR="000A5051" w:rsidRPr="000A5051" w:rsidRDefault="000A5051" w:rsidP="00D66EFC">
      <w:pPr>
        <w:autoSpaceDE w:val="0"/>
        <w:autoSpaceDN w:val="0"/>
        <w:adjustRightInd w:val="0"/>
        <w:ind w:left="1440" w:right="1440"/>
        <w:rPr>
          <w:rFonts w:eastAsiaTheme="minorHAnsi"/>
          <w:color w:val="000000"/>
          <w:sz w:val="26"/>
          <w:szCs w:val="26"/>
        </w:rPr>
      </w:pPr>
    </w:p>
    <w:p w14:paraId="01849E27" w14:textId="40BA8F75" w:rsidR="000A5051" w:rsidRPr="000A5051" w:rsidRDefault="000A5051" w:rsidP="000A5051">
      <w:pPr>
        <w:pStyle w:val="Default"/>
        <w:ind w:left="1440" w:right="1440"/>
        <w:rPr>
          <w:sz w:val="26"/>
          <w:szCs w:val="26"/>
        </w:rPr>
      </w:pPr>
      <w:r w:rsidRPr="000A5051">
        <w:rPr>
          <w:sz w:val="26"/>
          <w:szCs w:val="26"/>
        </w:rPr>
        <w:t>For so long as ME1 remains in Highly Volatile Liquid (“HVL”) service, SPLP agrees to supplement the Remaining Life Study by providing a summary report on an annual basis that summarizes SPLP’s continual process of evaluation and assessment to maintain the pipeline integrity of ME1. The report will also include a list of the next year’s planned preventative and mitigative actions (such as system improvements) and a list of integrity enhancements that were performed on ME1 the prior year, as required by and consistent with the applicable 49 C.F.R. Part 195 requirements. The public version of the report shall not contain information that is proprietary or contains information subject to the Public Utility Confidential Security Information Disclosure Protection Act, 35 P.S. §§ 2141.1 to 2141.6, and the Commission’s regulations implementing such Act at 52</w:t>
      </w:r>
      <w:r w:rsidR="00E31339">
        <w:rPr>
          <w:sz w:val="26"/>
          <w:szCs w:val="26"/>
        </w:rPr>
        <w:t> </w:t>
      </w:r>
      <w:r w:rsidRPr="000A5051">
        <w:rPr>
          <w:sz w:val="26"/>
          <w:szCs w:val="26"/>
        </w:rPr>
        <w:t xml:space="preserve">Pa. Code §§ 102.1 -102.4. </w:t>
      </w:r>
    </w:p>
    <w:p w14:paraId="57B3F52A" w14:textId="77777777" w:rsidR="000A5051" w:rsidRDefault="000A5051" w:rsidP="000A5051">
      <w:pPr>
        <w:pStyle w:val="Default"/>
        <w:rPr>
          <w:sz w:val="23"/>
          <w:szCs w:val="23"/>
        </w:rPr>
      </w:pPr>
    </w:p>
    <w:p w14:paraId="2DD1328A" w14:textId="77777777" w:rsidR="000A5051" w:rsidRPr="00B62BFC" w:rsidRDefault="000A5051" w:rsidP="00E31339">
      <w:pPr>
        <w:pStyle w:val="Default"/>
        <w:keepNext/>
        <w:keepLines/>
        <w:numPr>
          <w:ilvl w:val="0"/>
          <w:numId w:val="16"/>
        </w:numPr>
        <w:ind w:left="1440" w:right="1440"/>
        <w:rPr>
          <w:sz w:val="26"/>
          <w:szCs w:val="26"/>
        </w:rPr>
      </w:pPr>
      <w:r w:rsidRPr="00B62BFC">
        <w:rPr>
          <w:b/>
          <w:bCs/>
          <w:i/>
          <w:iCs/>
          <w:sz w:val="26"/>
          <w:szCs w:val="26"/>
        </w:rPr>
        <w:lastRenderedPageBreak/>
        <w:t xml:space="preserve">C. </w:t>
      </w:r>
      <w:r w:rsidR="002F6B3D">
        <w:rPr>
          <w:b/>
          <w:bCs/>
          <w:i/>
          <w:iCs/>
          <w:sz w:val="26"/>
          <w:szCs w:val="26"/>
        </w:rPr>
        <w:t xml:space="preserve"> </w:t>
      </w:r>
      <w:r w:rsidRPr="00B62BFC">
        <w:rPr>
          <w:b/>
          <w:bCs/>
          <w:i/>
          <w:iCs/>
          <w:sz w:val="26"/>
          <w:szCs w:val="26"/>
        </w:rPr>
        <w:t xml:space="preserve">In-Line Inspection and Close Interval Survey Frequency of ME1: </w:t>
      </w:r>
    </w:p>
    <w:p w14:paraId="4D8C94C0" w14:textId="77777777" w:rsidR="00B62BFC" w:rsidRDefault="00B62BFC" w:rsidP="00E31339">
      <w:pPr>
        <w:pStyle w:val="Default"/>
        <w:keepNext/>
        <w:keepLines/>
      </w:pPr>
    </w:p>
    <w:p w14:paraId="25336191" w14:textId="77777777" w:rsidR="00B62BFC" w:rsidRPr="00B62BFC" w:rsidRDefault="00B62BFC" w:rsidP="00E31339">
      <w:pPr>
        <w:pStyle w:val="Default"/>
        <w:keepNext/>
        <w:keepLines/>
        <w:numPr>
          <w:ilvl w:val="0"/>
          <w:numId w:val="18"/>
        </w:numPr>
        <w:rPr>
          <w:sz w:val="26"/>
          <w:szCs w:val="26"/>
        </w:rPr>
      </w:pPr>
      <w:r>
        <w:rPr>
          <w:sz w:val="23"/>
          <w:szCs w:val="23"/>
        </w:rPr>
        <w:t xml:space="preserve">                         </w:t>
      </w:r>
      <w:r w:rsidRPr="00B62BFC">
        <w:rPr>
          <w:sz w:val="26"/>
          <w:szCs w:val="26"/>
        </w:rPr>
        <w:t>a. In-Line Inspection</w:t>
      </w:r>
    </w:p>
    <w:p w14:paraId="3F32CD05" w14:textId="77777777" w:rsidR="00B62BFC" w:rsidRPr="00B62BFC" w:rsidRDefault="00B62BFC" w:rsidP="00E31339">
      <w:pPr>
        <w:pStyle w:val="Default"/>
        <w:keepNext/>
        <w:keepLines/>
        <w:numPr>
          <w:ilvl w:val="0"/>
          <w:numId w:val="18"/>
        </w:numPr>
        <w:rPr>
          <w:sz w:val="26"/>
          <w:szCs w:val="26"/>
        </w:rPr>
      </w:pPr>
    </w:p>
    <w:p w14:paraId="1AF00E63" w14:textId="77777777" w:rsidR="000A5051" w:rsidRPr="00B62BFC" w:rsidRDefault="00B62BFC" w:rsidP="00E31339">
      <w:pPr>
        <w:pStyle w:val="Default"/>
        <w:keepNext/>
        <w:keepLines/>
        <w:ind w:left="1440" w:right="1440"/>
        <w:rPr>
          <w:sz w:val="26"/>
          <w:szCs w:val="26"/>
        </w:rPr>
      </w:pPr>
      <w:r w:rsidRPr="00B62BFC">
        <w:rPr>
          <w:sz w:val="26"/>
          <w:szCs w:val="26"/>
        </w:rPr>
        <w:t>SPLP’s two remaining In-Line Inspection (“ILI”) runs in 2019 on the ME1 segments identified as: (1) Middletown-Montello &amp; Montello-Beckersville; and (2) Beckersville – Twin Oaks, are in addition to the two proposed ILI runs of ME1 that will take place at agreed-upon intervals over the next three (3) calendar years (“ILI run #1” and “ILI run #2”). Thus, the Parties agree that SPLP will conduct the two remaining ILI runs in April 2019 or within 60 days of ME1 resuming service, then conduct ILI run #1 of ME1 eighteen (18) months after the date SPLP enters into an agreement with I&amp;E, and then conduct ILI run #2 of ME1 eighteen (18) months after the completion of ILI run #1.</w:t>
      </w:r>
    </w:p>
    <w:p w14:paraId="0664B014" w14:textId="77777777" w:rsidR="00C43DF9" w:rsidRPr="00B62BFC" w:rsidRDefault="00C43DF9" w:rsidP="00256631">
      <w:pPr>
        <w:ind w:left="1440" w:right="1440"/>
        <w:rPr>
          <w:rFonts w:eastAsiaTheme="minorHAnsi"/>
          <w:color w:val="000000"/>
          <w:sz w:val="26"/>
          <w:szCs w:val="26"/>
        </w:rPr>
      </w:pPr>
    </w:p>
    <w:p w14:paraId="5FC3A703" w14:textId="77777777" w:rsidR="00C43DF9" w:rsidRPr="00B62BFC" w:rsidRDefault="00B62BFC" w:rsidP="00256631">
      <w:pPr>
        <w:ind w:left="1440" w:right="1440"/>
        <w:rPr>
          <w:rFonts w:eastAsiaTheme="minorHAnsi"/>
          <w:color w:val="000000"/>
          <w:sz w:val="26"/>
          <w:szCs w:val="26"/>
        </w:rPr>
      </w:pPr>
      <w:r w:rsidRPr="00B62BFC">
        <w:rPr>
          <w:sz w:val="26"/>
          <w:szCs w:val="26"/>
        </w:rPr>
        <w:t>At the conclusion of the three-year ILI period, the Parties agree that SPLP shall retain an independent consulting firm to assist in establishing a reassessment interval using corrosion growth analysis and will meet with I&amp;E to discuss SPLP’s planned ILI inspection frequency. I&amp;E is not required to wholly accept the interval recommendations proposed by SPLP’s independent consultant. Should the ILI interval recommendation not be wholly accepted by I&amp;E, I&amp;E and SPLP agree to collaborate using best efforts to arrive at a mutually acceptable ILI interval period.</w:t>
      </w:r>
    </w:p>
    <w:p w14:paraId="6FEAFD52" w14:textId="77777777" w:rsidR="00B62BFC" w:rsidRDefault="00B62BFC" w:rsidP="00B62BFC">
      <w:pPr>
        <w:pStyle w:val="Default"/>
      </w:pPr>
    </w:p>
    <w:p w14:paraId="25052DD3" w14:textId="77777777" w:rsidR="00B62BFC" w:rsidRPr="00B62BFC" w:rsidRDefault="00B62BFC" w:rsidP="00B62BFC">
      <w:pPr>
        <w:pStyle w:val="Default"/>
        <w:numPr>
          <w:ilvl w:val="0"/>
          <w:numId w:val="19"/>
        </w:numPr>
        <w:rPr>
          <w:sz w:val="26"/>
          <w:szCs w:val="26"/>
        </w:rPr>
      </w:pPr>
      <w:r w:rsidRPr="00B62BFC">
        <w:rPr>
          <w:sz w:val="26"/>
          <w:szCs w:val="26"/>
        </w:rPr>
        <w:t xml:space="preserve">                       b. Close Interval Survey </w:t>
      </w:r>
    </w:p>
    <w:p w14:paraId="52BBB505" w14:textId="77777777" w:rsidR="00C43DF9" w:rsidRDefault="00C43DF9" w:rsidP="00256631">
      <w:pPr>
        <w:ind w:left="1440" w:right="1440"/>
        <w:rPr>
          <w:rFonts w:eastAsiaTheme="minorHAnsi"/>
          <w:color w:val="000000"/>
          <w:sz w:val="26"/>
          <w:szCs w:val="26"/>
        </w:rPr>
      </w:pPr>
    </w:p>
    <w:p w14:paraId="061C5198" w14:textId="77777777" w:rsidR="00C43DF9" w:rsidRDefault="00B62BFC" w:rsidP="00256631">
      <w:pPr>
        <w:ind w:left="1440" w:right="1440"/>
        <w:rPr>
          <w:rFonts w:eastAsiaTheme="minorHAnsi"/>
          <w:color w:val="000000"/>
          <w:sz w:val="26"/>
          <w:szCs w:val="26"/>
        </w:rPr>
      </w:pPr>
      <w:r w:rsidRPr="00B62BFC">
        <w:rPr>
          <w:sz w:val="26"/>
          <w:szCs w:val="26"/>
        </w:rPr>
        <w:t>SPLP further agrees to conduct a Close Interval Survey of ME1 at the same interval and frequency, once every eighteen (18) months, to evaluate the effectiveness of SPLP’s corrosion control program for ME1 for the next three (3) calendar years.</w:t>
      </w:r>
    </w:p>
    <w:p w14:paraId="0772E05B" w14:textId="77777777" w:rsidR="00B62BFC" w:rsidRDefault="00B62BFC" w:rsidP="00B62BFC">
      <w:pPr>
        <w:pStyle w:val="Default"/>
      </w:pPr>
    </w:p>
    <w:p w14:paraId="5D15B602" w14:textId="6614AAF0" w:rsidR="00B62BFC" w:rsidRPr="00B62BFC" w:rsidRDefault="00B62BFC" w:rsidP="00E45BD7">
      <w:pPr>
        <w:pStyle w:val="Default"/>
        <w:keepNext/>
        <w:keepLines/>
        <w:numPr>
          <w:ilvl w:val="0"/>
          <w:numId w:val="20"/>
        </w:numPr>
        <w:rPr>
          <w:sz w:val="26"/>
          <w:szCs w:val="26"/>
        </w:rPr>
      </w:pPr>
      <w:r w:rsidRPr="00B62BFC">
        <w:rPr>
          <w:b/>
          <w:bCs/>
          <w:i/>
          <w:iCs/>
          <w:sz w:val="26"/>
          <w:szCs w:val="26"/>
        </w:rPr>
        <w:lastRenderedPageBreak/>
        <w:t xml:space="preserve">                      D. </w:t>
      </w:r>
      <w:r>
        <w:rPr>
          <w:b/>
          <w:bCs/>
          <w:i/>
          <w:iCs/>
          <w:sz w:val="26"/>
          <w:szCs w:val="26"/>
        </w:rPr>
        <w:t xml:space="preserve"> </w:t>
      </w:r>
      <w:r w:rsidRPr="00B62BFC">
        <w:rPr>
          <w:b/>
          <w:bCs/>
          <w:i/>
          <w:iCs/>
          <w:sz w:val="26"/>
          <w:szCs w:val="26"/>
        </w:rPr>
        <w:t xml:space="preserve">Revision of Procedures: </w:t>
      </w:r>
    </w:p>
    <w:p w14:paraId="24F45859" w14:textId="77777777" w:rsidR="00B62BFC" w:rsidRDefault="00B62BFC" w:rsidP="00E45BD7">
      <w:pPr>
        <w:keepNext/>
        <w:keepLines/>
        <w:ind w:left="1440" w:right="1440"/>
        <w:rPr>
          <w:rFonts w:eastAsiaTheme="minorHAnsi"/>
          <w:color w:val="000000"/>
          <w:sz w:val="26"/>
          <w:szCs w:val="26"/>
        </w:rPr>
      </w:pPr>
    </w:p>
    <w:p w14:paraId="4CEE1E35" w14:textId="77777777" w:rsidR="00B62BFC" w:rsidRPr="002036CF" w:rsidRDefault="00B62BFC" w:rsidP="00E45BD7">
      <w:pPr>
        <w:keepNext/>
        <w:keepLines/>
        <w:ind w:left="1440" w:right="1440"/>
        <w:rPr>
          <w:rFonts w:eastAsiaTheme="minorHAnsi"/>
          <w:color w:val="000000"/>
          <w:sz w:val="26"/>
          <w:szCs w:val="26"/>
        </w:rPr>
      </w:pPr>
      <w:r w:rsidRPr="00B62BFC">
        <w:rPr>
          <w:sz w:val="26"/>
          <w:szCs w:val="26"/>
        </w:rPr>
        <w:t>The Parties agree that SPLP’s May 2018 revisions to procedures Energy Transfer SOP HLD.22 have addressed I&amp;E’s requested relief set forth in Paragraphs 47(c)-(d) of the Complaint.</w:t>
      </w:r>
    </w:p>
    <w:p w14:paraId="6609A2DB" w14:textId="77777777" w:rsidR="00B62BFC" w:rsidRDefault="00B62BFC" w:rsidP="00B62BFC">
      <w:pPr>
        <w:pStyle w:val="Default"/>
      </w:pPr>
    </w:p>
    <w:p w14:paraId="1AB98FF7" w14:textId="77777777" w:rsidR="00B62BFC" w:rsidRPr="00B62BFC" w:rsidRDefault="00B62BFC" w:rsidP="00B62BFC">
      <w:pPr>
        <w:pStyle w:val="Default"/>
        <w:numPr>
          <w:ilvl w:val="0"/>
          <w:numId w:val="21"/>
        </w:numPr>
        <w:rPr>
          <w:sz w:val="26"/>
          <w:szCs w:val="26"/>
        </w:rPr>
      </w:pPr>
      <w:r>
        <w:rPr>
          <w:b/>
          <w:bCs/>
          <w:i/>
          <w:iCs/>
          <w:sz w:val="23"/>
          <w:szCs w:val="23"/>
        </w:rPr>
        <w:t xml:space="preserve">                         </w:t>
      </w:r>
      <w:r w:rsidRPr="00B62BFC">
        <w:rPr>
          <w:b/>
          <w:bCs/>
          <w:i/>
          <w:iCs/>
          <w:sz w:val="26"/>
          <w:szCs w:val="26"/>
        </w:rPr>
        <w:t xml:space="preserve">E. </w:t>
      </w:r>
      <w:r>
        <w:rPr>
          <w:b/>
          <w:bCs/>
          <w:i/>
          <w:iCs/>
          <w:sz w:val="26"/>
          <w:szCs w:val="26"/>
        </w:rPr>
        <w:t xml:space="preserve"> </w:t>
      </w:r>
      <w:r w:rsidRPr="00B62BFC">
        <w:rPr>
          <w:b/>
          <w:bCs/>
          <w:i/>
          <w:iCs/>
          <w:sz w:val="26"/>
          <w:szCs w:val="26"/>
        </w:rPr>
        <w:t xml:space="preserve">Implementation of Revised Procedures: </w:t>
      </w:r>
    </w:p>
    <w:p w14:paraId="5BD4B97D" w14:textId="77777777" w:rsidR="00256631" w:rsidRPr="002036CF" w:rsidRDefault="00256631" w:rsidP="00256631">
      <w:pPr>
        <w:autoSpaceDE w:val="0"/>
        <w:autoSpaceDN w:val="0"/>
        <w:adjustRightInd w:val="0"/>
        <w:ind w:left="1440" w:right="1440"/>
        <w:rPr>
          <w:rFonts w:eastAsiaTheme="minorHAnsi"/>
          <w:b/>
          <w:bCs/>
          <w:color w:val="000000"/>
          <w:sz w:val="26"/>
          <w:szCs w:val="26"/>
        </w:rPr>
      </w:pPr>
    </w:p>
    <w:p w14:paraId="0ADCEA8C" w14:textId="77777777" w:rsidR="00B62BFC" w:rsidRDefault="00B62BFC" w:rsidP="00256631">
      <w:pPr>
        <w:autoSpaceDE w:val="0"/>
        <w:autoSpaceDN w:val="0"/>
        <w:adjustRightInd w:val="0"/>
        <w:ind w:left="1440" w:right="1440"/>
        <w:rPr>
          <w:sz w:val="23"/>
          <w:szCs w:val="23"/>
        </w:rPr>
      </w:pPr>
      <w:r w:rsidRPr="00B62BFC">
        <w:rPr>
          <w:sz w:val="26"/>
          <w:szCs w:val="26"/>
        </w:rPr>
        <w:t xml:space="preserve">The Parties agree that SPLP has implemented the revised procedures and has fulfilled I&amp;E’s requested relief set forth in Paragraphs 47(c)-(d) of the Complaint. </w:t>
      </w:r>
    </w:p>
    <w:p w14:paraId="581EB32E" w14:textId="77777777" w:rsidR="00B62BFC" w:rsidRDefault="00B62BFC" w:rsidP="00B62BFC">
      <w:pPr>
        <w:pStyle w:val="Default"/>
      </w:pPr>
    </w:p>
    <w:p w14:paraId="2CCCE000" w14:textId="77777777" w:rsidR="00B62BFC" w:rsidRPr="00B62BFC" w:rsidRDefault="00B62BFC" w:rsidP="00B62BFC">
      <w:pPr>
        <w:pStyle w:val="Default"/>
        <w:numPr>
          <w:ilvl w:val="0"/>
          <w:numId w:val="22"/>
        </w:numPr>
        <w:rPr>
          <w:sz w:val="26"/>
          <w:szCs w:val="26"/>
        </w:rPr>
      </w:pPr>
      <w:r w:rsidRPr="00B62BFC">
        <w:rPr>
          <w:b/>
          <w:bCs/>
          <w:i/>
          <w:iCs/>
          <w:sz w:val="26"/>
          <w:szCs w:val="26"/>
        </w:rPr>
        <w:t xml:space="preserve">                      F. </w:t>
      </w:r>
      <w:r w:rsidR="002F6B3D">
        <w:rPr>
          <w:b/>
          <w:bCs/>
          <w:i/>
          <w:iCs/>
          <w:sz w:val="26"/>
          <w:szCs w:val="26"/>
        </w:rPr>
        <w:t xml:space="preserve"> </w:t>
      </w:r>
      <w:r w:rsidRPr="00B62BFC">
        <w:rPr>
          <w:b/>
          <w:bCs/>
          <w:i/>
          <w:iCs/>
          <w:sz w:val="26"/>
          <w:szCs w:val="26"/>
        </w:rPr>
        <w:t xml:space="preserve">Pipe Replacement as It Relates to Corrosion: </w:t>
      </w:r>
    </w:p>
    <w:p w14:paraId="4ABA363E" w14:textId="77777777" w:rsidR="00256631" w:rsidRDefault="00B62BFC" w:rsidP="00B62BFC">
      <w:pPr>
        <w:ind w:left="1440" w:right="1440"/>
        <w:rPr>
          <w:sz w:val="26"/>
          <w:szCs w:val="26"/>
        </w:rPr>
      </w:pPr>
      <w:r w:rsidRPr="00B62BFC">
        <w:rPr>
          <w:sz w:val="26"/>
          <w:szCs w:val="26"/>
        </w:rPr>
        <w:t>The Parties agree that I&amp;E is not requesting that SPLP immediately replace pipe pursuant to Paragraph 47(e) of the Complaint. Instead, I&amp;E understands that when SPLP detects anomalies, the Company maintains the discretion to initiate and/or utilize various remedial measures to preserve the integrity of the pipe or, if ultimately deemed necessary, to physically replace segments of the pipe. The Parties agree with SPLP’s proposed approach as follows:</w:t>
      </w:r>
    </w:p>
    <w:p w14:paraId="64BFC4FC" w14:textId="77777777" w:rsidR="00B62BFC" w:rsidRDefault="00B62BFC" w:rsidP="00B62BFC">
      <w:pPr>
        <w:ind w:left="1440" w:right="1440"/>
        <w:rPr>
          <w:sz w:val="26"/>
          <w:szCs w:val="26"/>
        </w:rPr>
      </w:pPr>
    </w:p>
    <w:p w14:paraId="2BF4D6EF" w14:textId="77777777" w:rsidR="00B62BFC" w:rsidRPr="00B62BFC" w:rsidRDefault="00B62BFC" w:rsidP="00B62BFC">
      <w:pPr>
        <w:ind w:left="1440" w:right="1440"/>
        <w:rPr>
          <w:rFonts w:eastAsiaTheme="minorHAnsi"/>
          <w:color w:val="000000"/>
          <w:sz w:val="26"/>
          <w:szCs w:val="26"/>
        </w:rPr>
      </w:pPr>
      <w:r w:rsidRPr="00B62BFC">
        <w:rPr>
          <w:sz w:val="26"/>
          <w:szCs w:val="26"/>
        </w:rPr>
        <w:t>If the results of cathodic protection measurements indicate low IR free potentials or inadequate depolarization, SPLP will take action consistent with its Corrosion Control Plans, Integrity Management Program and applicable Federal regulations.</w:t>
      </w:r>
    </w:p>
    <w:p w14:paraId="6AE64B10" w14:textId="77777777" w:rsidR="00256631" w:rsidRDefault="00256631" w:rsidP="006D78B1">
      <w:pPr>
        <w:autoSpaceDE w:val="0"/>
        <w:autoSpaceDN w:val="0"/>
        <w:adjustRightInd w:val="0"/>
        <w:spacing w:line="480" w:lineRule="auto"/>
        <w:rPr>
          <w:rFonts w:eastAsiaTheme="minorHAnsi"/>
          <w:color w:val="000000"/>
          <w:sz w:val="26"/>
          <w:szCs w:val="26"/>
        </w:rPr>
      </w:pPr>
    </w:p>
    <w:p w14:paraId="1FDAA684" w14:textId="77777777" w:rsidR="00B62BFC" w:rsidRDefault="00B62BFC" w:rsidP="00987F49">
      <w:pPr>
        <w:autoSpaceDE w:val="0"/>
        <w:autoSpaceDN w:val="0"/>
        <w:adjustRightInd w:val="0"/>
        <w:spacing w:line="360" w:lineRule="auto"/>
        <w:rPr>
          <w:rFonts w:eastAsiaTheme="minorHAnsi"/>
          <w:color w:val="000000"/>
          <w:sz w:val="26"/>
          <w:szCs w:val="26"/>
        </w:rPr>
      </w:pPr>
      <w:r w:rsidRPr="002036CF">
        <w:rPr>
          <w:rFonts w:eastAsiaTheme="minorHAnsi"/>
          <w:color w:val="000000"/>
          <w:sz w:val="26"/>
          <w:szCs w:val="26"/>
        </w:rPr>
        <w:t xml:space="preserve">Settlement at ¶ </w:t>
      </w:r>
      <w:r>
        <w:rPr>
          <w:rFonts w:eastAsiaTheme="minorHAnsi"/>
          <w:color w:val="000000"/>
          <w:sz w:val="26"/>
          <w:szCs w:val="26"/>
        </w:rPr>
        <w:t>1</w:t>
      </w:r>
      <w:r w:rsidRPr="002036CF">
        <w:rPr>
          <w:rFonts w:eastAsiaTheme="minorHAnsi"/>
          <w:color w:val="000000"/>
          <w:sz w:val="26"/>
          <w:szCs w:val="26"/>
        </w:rPr>
        <w:t>7.</w:t>
      </w:r>
    </w:p>
    <w:p w14:paraId="2232D99E" w14:textId="77777777" w:rsidR="008A7273" w:rsidRDefault="008A7273" w:rsidP="00987F49">
      <w:pPr>
        <w:autoSpaceDE w:val="0"/>
        <w:autoSpaceDN w:val="0"/>
        <w:adjustRightInd w:val="0"/>
        <w:spacing w:line="360" w:lineRule="auto"/>
        <w:rPr>
          <w:rFonts w:eastAsiaTheme="minorHAnsi"/>
          <w:color w:val="000000"/>
          <w:sz w:val="26"/>
          <w:szCs w:val="26"/>
        </w:rPr>
      </w:pPr>
    </w:p>
    <w:p w14:paraId="13D336B4" w14:textId="7BAA6142" w:rsidR="00F2072E" w:rsidRDefault="00F2072E" w:rsidP="00987F49">
      <w:pPr>
        <w:autoSpaceDE w:val="0"/>
        <w:autoSpaceDN w:val="0"/>
        <w:adjustRightInd w:val="0"/>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According to the Joint Petitioners, upon Commission approval of the Settlement in its entirety without modification, I&amp;E shall be deemed to have released</w:t>
      </w:r>
      <w:r w:rsidR="007269C8">
        <w:rPr>
          <w:rFonts w:eastAsiaTheme="minorHAnsi"/>
          <w:color w:val="000000"/>
          <w:sz w:val="26"/>
          <w:szCs w:val="26"/>
        </w:rPr>
        <w:t xml:space="preserve"> Sunoco </w:t>
      </w:r>
      <w:r>
        <w:rPr>
          <w:rFonts w:eastAsiaTheme="minorHAnsi"/>
          <w:color w:val="000000"/>
          <w:sz w:val="26"/>
          <w:szCs w:val="26"/>
        </w:rPr>
        <w:t xml:space="preserve">from all past claims that were made or could have been made for monetary and/or other relief based on allegations that </w:t>
      </w:r>
      <w:r w:rsidR="007269C8">
        <w:rPr>
          <w:rFonts w:eastAsiaTheme="minorHAnsi"/>
          <w:color w:val="000000"/>
          <w:sz w:val="26"/>
          <w:szCs w:val="26"/>
        </w:rPr>
        <w:t>Sunoco</w:t>
      </w:r>
      <w:r>
        <w:rPr>
          <w:rFonts w:eastAsiaTheme="minorHAnsi"/>
          <w:color w:val="000000"/>
          <w:sz w:val="26"/>
          <w:szCs w:val="26"/>
        </w:rPr>
        <w:t xml:space="preserve"> failed to comply with the obligations claimed in the Complaint for the time periods covered by I&amp;E’s Complaint.  </w:t>
      </w:r>
      <w:r w:rsidRPr="002036CF">
        <w:rPr>
          <w:rFonts w:eastAsiaTheme="minorHAnsi"/>
          <w:color w:val="000000"/>
          <w:sz w:val="26"/>
          <w:szCs w:val="26"/>
        </w:rPr>
        <w:t xml:space="preserve">Settlement at ¶ </w:t>
      </w:r>
      <w:r>
        <w:rPr>
          <w:rFonts w:eastAsiaTheme="minorHAnsi"/>
          <w:color w:val="000000"/>
          <w:sz w:val="26"/>
          <w:szCs w:val="26"/>
        </w:rPr>
        <w:t>18</w:t>
      </w:r>
      <w:r w:rsidRPr="002036CF">
        <w:rPr>
          <w:rFonts w:eastAsiaTheme="minorHAnsi"/>
          <w:color w:val="000000"/>
          <w:sz w:val="26"/>
          <w:szCs w:val="26"/>
        </w:rPr>
        <w:t>.</w:t>
      </w:r>
      <w:r>
        <w:rPr>
          <w:rFonts w:eastAsiaTheme="minorHAnsi"/>
          <w:color w:val="000000"/>
          <w:sz w:val="26"/>
          <w:szCs w:val="26"/>
        </w:rPr>
        <w:t xml:space="preserve">  More importantly, the Joint Petitioners stated that the Settlement is in the public interest because it effectively addresses I&amp;E’s allegations that are the subject of the</w:t>
      </w:r>
      <w:r w:rsidR="007269C8">
        <w:rPr>
          <w:rFonts w:eastAsiaTheme="minorHAnsi"/>
          <w:color w:val="000000"/>
          <w:sz w:val="26"/>
          <w:szCs w:val="26"/>
        </w:rPr>
        <w:t xml:space="preserve"> </w:t>
      </w:r>
      <w:r>
        <w:rPr>
          <w:rFonts w:eastAsiaTheme="minorHAnsi"/>
          <w:color w:val="000000"/>
          <w:sz w:val="26"/>
          <w:szCs w:val="26"/>
        </w:rPr>
        <w:lastRenderedPageBreak/>
        <w:t>Complaint proceeding, promotes public and facility, and avoids the time and expense of litigation, which entails hearings, travel for</w:t>
      </w:r>
      <w:r w:rsidR="007269C8">
        <w:rPr>
          <w:rFonts w:eastAsiaTheme="minorHAnsi"/>
          <w:color w:val="000000"/>
          <w:sz w:val="26"/>
          <w:szCs w:val="26"/>
        </w:rPr>
        <w:t xml:space="preserve"> Sunoco</w:t>
      </w:r>
      <w:r>
        <w:rPr>
          <w:rFonts w:eastAsiaTheme="minorHAnsi"/>
          <w:color w:val="000000"/>
          <w:sz w:val="26"/>
          <w:szCs w:val="26"/>
        </w:rPr>
        <w:t xml:space="preserve">’s witnesses, and the preparation and filing of briefs, exceptions, reply exceptions, as well as possible appeals.  </w:t>
      </w:r>
      <w:r w:rsidRPr="002036CF">
        <w:rPr>
          <w:rFonts w:eastAsiaTheme="minorHAnsi"/>
          <w:color w:val="000000"/>
          <w:sz w:val="26"/>
          <w:szCs w:val="26"/>
        </w:rPr>
        <w:t>Settlement at ¶</w:t>
      </w:r>
      <w:r w:rsidR="00E31339">
        <w:rPr>
          <w:rFonts w:eastAsiaTheme="minorHAnsi"/>
          <w:color w:val="000000"/>
          <w:sz w:val="26"/>
          <w:szCs w:val="26"/>
        </w:rPr>
        <w:t> </w:t>
      </w:r>
      <w:r>
        <w:rPr>
          <w:rFonts w:eastAsiaTheme="minorHAnsi"/>
          <w:color w:val="000000"/>
          <w:sz w:val="26"/>
          <w:szCs w:val="26"/>
        </w:rPr>
        <w:t>19</w:t>
      </w:r>
      <w:r w:rsidRPr="002036CF">
        <w:rPr>
          <w:rFonts w:eastAsiaTheme="minorHAnsi"/>
          <w:color w:val="000000"/>
          <w:sz w:val="26"/>
          <w:szCs w:val="26"/>
        </w:rPr>
        <w:t>.</w:t>
      </w:r>
      <w:r>
        <w:rPr>
          <w:rFonts w:eastAsiaTheme="minorHAnsi"/>
          <w:color w:val="000000"/>
          <w:sz w:val="26"/>
          <w:szCs w:val="26"/>
        </w:rPr>
        <w:t xml:space="preserve">  </w:t>
      </w:r>
    </w:p>
    <w:p w14:paraId="28E642A0" w14:textId="77777777" w:rsidR="00F2072E" w:rsidRDefault="00F2072E" w:rsidP="00987F49">
      <w:pPr>
        <w:autoSpaceDE w:val="0"/>
        <w:autoSpaceDN w:val="0"/>
        <w:adjustRightInd w:val="0"/>
        <w:spacing w:line="360" w:lineRule="auto"/>
        <w:rPr>
          <w:rFonts w:eastAsiaTheme="minorHAnsi"/>
          <w:color w:val="000000"/>
          <w:sz w:val="26"/>
          <w:szCs w:val="26"/>
        </w:rPr>
      </w:pPr>
    </w:p>
    <w:bookmarkEnd w:id="0"/>
    <w:p w14:paraId="3F59ABA2" w14:textId="77777777" w:rsidR="00F57512" w:rsidRPr="004E64B8" w:rsidRDefault="00F57512" w:rsidP="00277997">
      <w:pPr>
        <w:keepNext/>
        <w:keepLines/>
        <w:spacing w:line="360" w:lineRule="auto"/>
        <w:contextualSpacing/>
        <w:rPr>
          <w:b/>
          <w:sz w:val="26"/>
          <w:szCs w:val="26"/>
        </w:rPr>
      </w:pPr>
      <w:r w:rsidRPr="004E64B8">
        <w:rPr>
          <w:b/>
          <w:sz w:val="26"/>
          <w:szCs w:val="26"/>
        </w:rPr>
        <w:t>ALJ’s</w:t>
      </w:r>
      <w:r w:rsidR="00680712">
        <w:rPr>
          <w:b/>
          <w:sz w:val="26"/>
          <w:szCs w:val="26"/>
        </w:rPr>
        <w:t xml:space="preserve"> Initial</w:t>
      </w:r>
      <w:r w:rsidRPr="004E64B8">
        <w:rPr>
          <w:b/>
          <w:sz w:val="26"/>
          <w:szCs w:val="26"/>
        </w:rPr>
        <w:t xml:space="preserve"> Decision</w:t>
      </w:r>
      <w:r w:rsidR="00124134">
        <w:rPr>
          <w:b/>
          <w:sz w:val="26"/>
          <w:szCs w:val="26"/>
        </w:rPr>
        <w:t xml:space="preserve"> </w:t>
      </w:r>
    </w:p>
    <w:p w14:paraId="6E1A3559" w14:textId="77777777" w:rsidR="00F57512" w:rsidRPr="004E64B8" w:rsidRDefault="00F57512" w:rsidP="00277997">
      <w:pPr>
        <w:keepNext/>
        <w:keepLines/>
        <w:spacing w:line="360" w:lineRule="auto"/>
        <w:contextualSpacing/>
        <w:rPr>
          <w:sz w:val="26"/>
          <w:szCs w:val="26"/>
        </w:rPr>
      </w:pPr>
    </w:p>
    <w:p w14:paraId="7E7D8CD1" w14:textId="32DC10B6" w:rsidR="00455685" w:rsidRDefault="00455685" w:rsidP="009C6C72">
      <w:pPr>
        <w:spacing w:line="360" w:lineRule="auto"/>
        <w:ind w:firstLine="1440"/>
        <w:contextualSpacing/>
        <w:rPr>
          <w:sz w:val="26"/>
          <w:szCs w:val="26"/>
        </w:rPr>
      </w:pPr>
      <w:r w:rsidRPr="004E64B8">
        <w:rPr>
          <w:sz w:val="26"/>
          <w:szCs w:val="26"/>
        </w:rPr>
        <w:t xml:space="preserve">The </w:t>
      </w:r>
      <w:r>
        <w:rPr>
          <w:sz w:val="26"/>
          <w:szCs w:val="26"/>
        </w:rPr>
        <w:t>ALJ</w:t>
      </w:r>
      <w:r w:rsidRPr="004E64B8">
        <w:rPr>
          <w:sz w:val="26"/>
          <w:szCs w:val="26"/>
        </w:rPr>
        <w:t xml:space="preserve"> made </w:t>
      </w:r>
      <w:r>
        <w:rPr>
          <w:sz w:val="26"/>
          <w:szCs w:val="26"/>
        </w:rPr>
        <w:t>twenty-</w:t>
      </w:r>
      <w:r w:rsidR="00124134">
        <w:rPr>
          <w:sz w:val="26"/>
          <w:szCs w:val="26"/>
        </w:rPr>
        <w:t>five</w:t>
      </w:r>
      <w:r w:rsidRPr="004E64B8">
        <w:rPr>
          <w:sz w:val="26"/>
          <w:szCs w:val="26"/>
        </w:rPr>
        <w:t xml:space="preserve"> Findings of Fact and reached</w:t>
      </w:r>
      <w:r w:rsidR="00124134">
        <w:rPr>
          <w:sz w:val="26"/>
          <w:szCs w:val="26"/>
        </w:rPr>
        <w:t xml:space="preserve"> nine</w:t>
      </w:r>
      <w:r w:rsidRPr="004E64B8">
        <w:rPr>
          <w:sz w:val="26"/>
          <w:szCs w:val="26"/>
        </w:rPr>
        <w:t xml:space="preserve"> Conclusions of Law.  </w:t>
      </w:r>
      <w:r w:rsidR="00FB4320">
        <w:rPr>
          <w:sz w:val="26"/>
          <w:szCs w:val="26"/>
        </w:rPr>
        <w:t>I</w:t>
      </w:r>
      <w:r w:rsidRPr="004E64B8">
        <w:rPr>
          <w:sz w:val="26"/>
          <w:szCs w:val="26"/>
        </w:rPr>
        <w:t xml:space="preserve">.D. at </w:t>
      </w:r>
      <w:r w:rsidR="00124134">
        <w:rPr>
          <w:sz w:val="26"/>
          <w:szCs w:val="26"/>
        </w:rPr>
        <w:t>3</w:t>
      </w:r>
      <w:r>
        <w:rPr>
          <w:sz w:val="26"/>
          <w:szCs w:val="26"/>
        </w:rPr>
        <w:t>-</w:t>
      </w:r>
      <w:r w:rsidR="00124134">
        <w:rPr>
          <w:sz w:val="26"/>
          <w:szCs w:val="26"/>
        </w:rPr>
        <w:t>6</w:t>
      </w:r>
      <w:r w:rsidRPr="004E64B8">
        <w:rPr>
          <w:sz w:val="26"/>
          <w:szCs w:val="26"/>
        </w:rPr>
        <w:t xml:space="preserve">, </w:t>
      </w:r>
      <w:r>
        <w:rPr>
          <w:sz w:val="26"/>
          <w:szCs w:val="26"/>
        </w:rPr>
        <w:t>3</w:t>
      </w:r>
      <w:r w:rsidRPr="004E64B8">
        <w:rPr>
          <w:sz w:val="26"/>
          <w:szCs w:val="26"/>
        </w:rPr>
        <w:t>8</w:t>
      </w:r>
      <w:r>
        <w:rPr>
          <w:sz w:val="26"/>
          <w:szCs w:val="26"/>
        </w:rPr>
        <w:t>-39</w:t>
      </w:r>
      <w:r w:rsidRPr="004E64B8">
        <w:rPr>
          <w:sz w:val="26"/>
          <w:szCs w:val="26"/>
        </w:rPr>
        <w:t>.  We shall adopt and incorporate herein by reference the ALJ</w:t>
      </w:r>
      <w:r w:rsidR="00971B7E">
        <w:rPr>
          <w:sz w:val="26"/>
          <w:szCs w:val="26"/>
        </w:rPr>
        <w:t>’</w:t>
      </w:r>
      <w:r w:rsidRPr="004E64B8">
        <w:rPr>
          <w:sz w:val="26"/>
          <w:szCs w:val="26"/>
        </w:rPr>
        <w:t>s Findings of Fact and Conclusions of Law, unless they are reversed or modified by this Opinion and Order, either express</w:t>
      </w:r>
      <w:r>
        <w:rPr>
          <w:sz w:val="26"/>
          <w:szCs w:val="26"/>
        </w:rPr>
        <w:t>ly or by necessary implication.</w:t>
      </w:r>
    </w:p>
    <w:p w14:paraId="319026F0" w14:textId="77777777" w:rsidR="001351B9" w:rsidRDefault="001351B9" w:rsidP="009C6C72">
      <w:pPr>
        <w:spacing w:line="360" w:lineRule="auto"/>
        <w:ind w:firstLine="1440"/>
        <w:contextualSpacing/>
        <w:rPr>
          <w:sz w:val="26"/>
          <w:szCs w:val="26"/>
        </w:rPr>
      </w:pPr>
    </w:p>
    <w:p w14:paraId="02328628" w14:textId="77777777" w:rsidR="00A0735A" w:rsidRDefault="009D5BF3" w:rsidP="009C6C72">
      <w:pPr>
        <w:spacing w:line="360" w:lineRule="auto"/>
        <w:ind w:firstLine="1440"/>
        <w:contextualSpacing/>
        <w:rPr>
          <w:i/>
          <w:iCs/>
          <w:sz w:val="26"/>
          <w:szCs w:val="26"/>
        </w:rPr>
      </w:pPr>
      <w:r>
        <w:rPr>
          <w:sz w:val="26"/>
          <w:szCs w:val="26"/>
        </w:rPr>
        <w:t>Following her analysis of the</w:t>
      </w:r>
      <w:r w:rsidR="00D66EFC">
        <w:rPr>
          <w:sz w:val="26"/>
          <w:szCs w:val="26"/>
        </w:rPr>
        <w:t xml:space="preserve"> arguments put forth by the Parties</w:t>
      </w:r>
      <w:r w:rsidR="00AE210C">
        <w:rPr>
          <w:sz w:val="26"/>
          <w:szCs w:val="26"/>
        </w:rPr>
        <w:t xml:space="preserve"> </w:t>
      </w:r>
      <w:r w:rsidR="00D66EFC">
        <w:rPr>
          <w:sz w:val="26"/>
          <w:szCs w:val="26"/>
        </w:rPr>
        <w:t xml:space="preserve">in their Comments, Reply Comments, Objections and Answers </w:t>
      </w:r>
      <w:r w:rsidR="00B02144">
        <w:rPr>
          <w:sz w:val="26"/>
          <w:szCs w:val="26"/>
        </w:rPr>
        <w:t>to</w:t>
      </w:r>
      <w:r w:rsidR="007A0DEA">
        <w:rPr>
          <w:sz w:val="26"/>
          <w:szCs w:val="26"/>
        </w:rPr>
        <w:t xml:space="preserve"> the several issues</w:t>
      </w:r>
      <w:r>
        <w:rPr>
          <w:sz w:val="26"/>
          <w:szCs w:val="26"/>
        </w:rPr>
        <w:t xml:space="preserve"> in th</w:t>
      </w:r>
      <w:r w:rsidR="005C2F27">
        <w:rPr>
          <w:sz w:val="26"/>
          <w:szCs w:val="26"/>
        </w:rPr>
        <w:t>e Settlement</w:t>
      </w:r>
      <w:r>
        <w:rPr>
          <w:sz w:val="26"/>
          <w:szCs w:val="26"/>
        </w:rPr>
        <w:t>,</w:t>
      </w:r>
      <w:r>
        <w:rPr>
          <w:rStyle w:val="FootnoteReference"/>
        </w:rPr>
        <w:footnoteReference w:id="5"/>
      </w:r>
      <w:r>
        <w:rPr>
          <w:sz w:val="26"/>
          <w:szCs w:val="26"/>
        </w:rPr>
        <w:t xml:space="preserve"> t</w:t>
      </w:r>
      <w:r w:rsidR="00465338" w:rsidRPr="00A0735A">
        <w:rPr>
          <w:sz w:val="26"/>
          <w:szCs w:val="26"/>
        </w:rPr>
        <w:t>he ALJ</w:t>
      </w:r>
      <w:r w:rsidR="009C6C72" w:rsidRPr="00A0735A">
        <w:rPr>
          <w:sz w:val="26"/>
          <w:szCs w:val="26"/>
        </w:rPr>
        <w:t xml:space="preserve"> </w:t>
      </w:r>
      <w:r w:rsidR="00823797" w:rsidRPr="00A0735A">
        <w:rPr>
          <w:sz w:val="26"/>
          <w:szCs w:val="26"/>
        </w:rPr>
        <w:t>recommended</w:t>
      </w:r>
      <w:r w:rsidR="009C6C72" w:rsidRPr="00A0735A">
        <w:rPr>
          <w:sz w:val="26"/>
          <w:szCs w:val="26"/>
        </w:rPr>
        <w:t xml:space="preserve"> that the </w:t>
      </w:r>
      <w:r w:rsidR="0007646C" w:rsidRPr="00A0735A">
        <w:rPr>
          <w:sz w:val="26"/>
          <w:szCs w:val="26"/>
        </w:rPr>
        <w:t>proposed Settlement filed on April 3, 2019, as amended</w:t>
      </w:r>
      <w:r w:rsidR="0059771C">
        <w:rPr>
          <w:sz w:val="26"/>
          <w:szCs w:val="26"/>
        </w:rPr>
        <w:t xml:space="preserve"> </w:t>
      </w:r>
      <w:r w:rsidR="00B02144">
        <w:rPr>
          <w:sz w:val="26"/>
          <w:szCs w:val="26"/>
        </w:rPr>
        <w:t xml:space="preserve">by </w:t>
      </w:r>
      <w:r w:rsidR="0059771C">
        <w:rPr>
          <w:sz w:val="26"/>
          <w:szCs w:val="26"/>
        </w:rPr>
        <w:t xml:space="preserve">the </w:t>
      </w:r>
      <w:r w:rsidR="0007646C" w:rsidRPr="00A0735A">
        <w:rPr>
          <w:sz w:val="26"/>
          <w:szCs w:val="26"/>
        </w:rPr>
        <w:t xml:space="preserve">June 28, 2019 Addendum, </w:t>
      </w:r>
      <w:r w:rsidR="009C6C72" w:rsidRPr="00A0735A">
        <w:rPr>
          <w:sz w:val="26"/>
          <w:szCs w:val="26"/>
        </w:rPr>
        <w:t xml:space="preserve">be approved </w:t>
      </w:r>
      <w:r w:rsidR="00823797" w:rsidRPr="00A0735A">
        <w:rPr>
          <w:sz w:val="26"/>
          <w:szCs w:val="26"/>
        </w:rPr>
        <w:t>in its entirety without modification</w:t>
      </w:r>
      <w:r w:rsidR="0093296D" w:rsidRPr="00A0735A">
        <w:rPr>
          <w:sz w:val="26"/>
          <w:szCs w:val="26"/>
        </w:rPr>
        <w:t xml:space="preserve"> </w:t>
      </w:r>
      <w:r w:rsidR="00823797" w:rsidRPr="00A0735A">
        <w:rPr>
          <w:sz w:val="26"/>
          <w:szCs w:val="26"/>
        </w:rPr>
        <w:t xml:space="preserve">because it </w:t>
      </w:r>
      <w:r w:rsidR="0093296D" w:rsidRPr="00A0735A">
        <w:rPr>
          <w:sz w:val="26"/>
          <w:szCs w:val="26"/>
        </w:rPr>
        <w:t>is</w:t>
      </w:r>
      <w:r w:rsidR="009C6C72" w:rsidRPr="00A0735A">
        <w:rPr>
          <w:sz w:val="26"/>
          <w:szCs w:val="26"/>
        </w:rPr>
        <w:t xml:space="preserve"> in the public interest.</w:t>
      </w:r>
      <w:r w:rsidR="00003A51" w:rsidRPr="00A0735A">
        <w:rPr>
          <w:sz w:val="26"/>
          <w:szCs w:val="26"/>
        </w:rPr>
        <w:t xml:space="preserve">  </w:t>
      </w:r>
      <w:r w:rsidR="0007646C" w:rsidRPr="00A0735A">
        <w:rPr>
          <w:sz w:val="26"/>
          <w:szCs w:val="26"/>
        </w:rPr>
        <w:t>I</w:t>
      </w:r>
      <w:r w:rsidR="00455685" w:rsidRPr="00A0735A">
        <w:rPr>
          <w:sz w:val="26"/>
          <w:szCs w:val="26"/>
        </w:rPr>
        <w:t xml:space="preserve">.D. at 1, </w:t>
      </w:r>
      <w:r w:rsidR="0007646C" w:rsidRPr="00A0735A">
        <w:rPr>
          <w:sz w:val="26"/>
          <w:szCs w:val="26"/>
        </w:rPr>
        <w:t>37</w:t>
      </w:r>
      <w:r w:rsidR="00972474">
        <w:rPr>
          <w:sz w:val="26"/>
          <w:szCs w:val="26"/>
        </w:rPr>
        <w:t>, 39</w:t>
      </w:r>
      <w:r w:rsidR="00455685" w:rsidRPr="00A0735A">
        <w:rPr>
          <w:sz w:val="26"/>
          <w:szCs w:val="26"/>
        </w:rPr>
        <w:t xml:space="preserve">.  </w:t>
      </w:r>
      <w:r w:rsidR="00A0735A" w:rsidRPr="00A0735A">
        <w:rPr>
          <w:sz w:val="26"/>
          <w:szCs w:val="26"/>
        </w:rPr>
        <w:t>According to the ALJ, the Settlement sets forth a comprehensive list of issues which were resolved through the negotiation process.  The ALJ noted that the Settlement satisfies the “public interest” standard and benefits that show a likelihood or probability of public benefits that need not be quantified or guaranteed.</w:t>
      </w:r>
      <w:r w:rsidR="00A0735A">
        <w:rPr>
          <w:sz w:val="26"/>
          <w:szCs w:val="26"/>
        </w:rPr>
        <w:t xml:space="preserve">  </w:t>
      </w:r>
      <w:r w:rsidR="00A0735A" w:rsidRPr="00A0735A">
        <w:rPr>
          <w:i/>
          <w:iCs/>
          <w:sz w:val="26"/>
          <w:szCs w:val="26"/>
        </w:rPr>
        <w:t>Id.</w:t>
      </w:r>
      <w:r w:rsidR="00A0735A">
        <w:rPr>
          <w:sz w:val="26"/>
          <w:szCs w:val="26"/>
        </w:rPr>
        <w:t xml:space="preserve"> at 37.</w:t>
      </w:r>
      <w:r w:rsidR="001351B9">
        <w:rPr>
          <w:sz w:val="26"/>
          <w:szCs w:val="26"/>
        </w:rPr>
        <w:t xml:space="preserve">  </w:t>
      </w:r>
      <w:r w:rsidR="00296D1A">
        <w:rPr>
          <w:sz w:val="26"/>
          <w:szCs w:val="26"/>
        </w:rPr>
        <w:t>T</w:t>
      </w:r>
      <w:r w:rsidR="00DC3FEE">
        <w:rPr>
          <w:sz w:val="26"/>
          <w:szCs w:val="26"/>
        </w:rPr>
        <w:t xml:space="preserve">he ALJ </w:t>
      </w:r>
      <w:r w:rsidR="00296D1A">
        <w:rPr>
          <w:sz w:val="26"/>
          <w:szCs w:val="26"/>
        </w:rPr>
        <w:t xml:space="preserve">also </w:t>
      </w:r>
      <w:r w:rsidR="00DC3FEE">
        <w:rPr>
          <w:sz w:val="26"/>
          <w:szCs w:val="26"/>
        </w:rPr>
        <w:t xml:space="preserve">stated that </w:t>
      </w:r>
      <w:r w:rsidR="00DC3FEE" w:rsidRPr="00DC3FEE">
        <w:rPr>
          <w:sz w:val="26"/>
          <w:szCs w:val="26"/>
        </w:rPr>
        <w:t>the terms and conditions of the proposed Settlement, taken as a whole, represent a fair and reasonable resolution of the issues raised by I&amp;E in this matter.</w:t>
      </w:r>
      <w:r w:rsidR="00DC3FEE">
        <w:rPr>
          <w:sz w:val="26"/>
          <w:szCs w:val="26"/>
        </w:rPr>
        <w:t xml:space="preserve">  </w:t>
      </w:r>
      <w:r w:rsidR="00DC3FEE" w:rsidRPr="00DC3FEE">
        <w:rPr>
          <w:i/>
          <w:iCs/>
          <w:sz w:val="26"/>
          <w:szCs w:val="26"/>
        </w:rPr>
        <w:t xml:space="preserve">Id. </w:t>
      </w:r>
      <w:r w:rsidR="00DC3FEE">
        <w:rPr>
          <w:sz w:val="26"/>
          <w:szCs w:val="26"/>
        </w:rPr>
        <w:t>at 38.</w:t>
      </w:r>
      <w:r w:rsidR="00223917">
        <w:rPr>
          <w:sz w:val="26"/>
          <w:szCs w:val="26"/>
        </w:rPr>
        <w:t xml:space="preserve">  </w:t>
      </w:r>
      <w:r w:rsidR="0071704D">
        <w:rPr>
          <w:sz w:val="26"/>
          <w:szCs w:val="26"/>
        </w:rPr>
        <w:t xml:space="preserve">Therefore, the ALJ </w:t>
      </w:r>
      <w:r w:rsidR="0071704D" w:rsidRPr="0071704D">
        <w:rPr>
          <w:sz w:val="26"/>
          <w:szCs w:val="26"/>
        </w:rPr>
        <w:t>approve</w:t>
      </w:r>
      <w:r w:rsidR="0071704D">
        <w:rPr>
          <w:sz w:val="26"/>
          <w:szCs w:val="26"/>
        </w:rPr>
        <w:t>d</w:t>
      </w:r>
      <w:r w:rsidR="0071704D" w:rsidRPr="0071704D">
        <w:rPr>
          <w:sz w:val="26"/>
          <w:szCs w:val="26"/>
        </w:rPr>
        <w:t xml:space="preserve"> the Joint Petition </w:t>
      </w:r>
      <w:r w:rsidR="00296D1A">
        <w:rPr>
          <w:sz w:val="26"/>
          <w:szCs w:val="26"/>
        </w:rPr>
        <w:t xml:space="preserve">for Settlement </w:t>
      </w:r>
      <w:r w:rsidR="0071704D" w:rsidRPr="0071704D">
        <w:rPr>
          <w:sz w:val="26"/>
          <w:szCs w:val="26"/>
        </w:rPr>
        <w:t>and</w:t>
      </w:r>
      <w:r w:rsidR="0071704D">
        <w:rPr>
          <w:sz w:val="26"/>
          <w:szCs w:val="26"/>
        </w:rPr>
        <w:t xml:space="preserve"> </w:t>
      </w:r>
      <w:r w:rsidR="0071704D" w:rsidRPr="0071704D">
        <w:rPr>
          <w:sz w:val="26"/>
          <w:szCs w:val="26"/>
        </w:rPr>
        <w:t>encourage</w:t>
      </w:r>
      <w:r w:rsidR="0071704D">
        <w:rPr>
          <w:sz w:val="26"/>
          <w:szCs w:val="26"/>
        </w:rPr>
        <w:t>d</w:t>
      </w:r>
      <w:r w:rsidR="0071704D" w:rsidRPr="0071704D">
        <w:rPr>
          <w:sz w:val="26"/>
          <w:szCs w:val="26"/>
        </w:rPr>
        <w:t xml:space="preserve"> Sunoco to share the full Remaining Life Study </w:t>
      </w:r>
      <w:r w:rsidR="0071704D" w:rsidRPr="0071704D">
        <w:rPr>
          <w:sz w:val="26"/>
          <w:szCs w:val="26"/>
        </w:rPr>
        <w:lastRenderedPageBreak/>
        <w:t>reports with townships requesting to review them subject to non-disclosure agreements with the township solicitors and technical experts as this is also in the public interest.</w:t>
      </w:r>
      <w:r w:rsidR="0071704D">
        <w:rPr>
          <w:sz w:val="26"/>
          <w:szCs w:val="26"/>
        </w:rPr>
        <w:t xml:space="preserve">  </w:t>
      </w:r>
      <w:r w:rsidR="0071704D" w:rsidRPr="0071704D">
        <w:rPr>
          <w:i/>
          <w:iCs/>
          <w:sz w:val="26"/>
          <w:szCs w:val="26"/>
        </w:rPr>
        <w:t xml:space="preserve">Id. </w:t>
      </w:r>
    </w:p>
    <w:p w14:paraId="67514C26" w14:textId="77777777" w:rsidR="001D1A8B" w:rsidRDefault="001D1A8B" w:rsidP="009C6C72">
      <w:pPr>
        <w:spacing w:line="360" w:lineRule="auto"/>
        <w:ind w:firstLine="1440"/>
        <w:contextualSpacing/>
        <w:rPr>
          <w:sz w:val="26"/>
          <w:szCs w:val="26"/>
        </w:rPr>
      </w:pPr>
    </w:p>
    <w:p w14:paraId="34E340AC" w14:textId="77777777" w:rsidR="00867150" w:rsidRPr="004E64B8" w:rsidRDefault="00867150" w:rsidP="00277997">
      <w:pPr>
        <w:keepNext/>
        <w:keepLines/>
        <w:spacing w:line="360" w:lineRule="auto"/>
        <w:contextualSpacing/>
        <w:rPr>
          <w:b/>
          <w:sz w:val="26"/>
          <w:szCs w:val="26"/>
        </w:rPr>
      </w:pPr>
      <w:r w:rsidRPr="004E64B8">
        <w:rPr>
          <w:b/>
          <w:sz w:val="26"/>
          <w:szCs w:val="26"/>
        </w:rPr>
        <w:t>Disposition</w:t>
      </w:r>
    </w:p>
    <w:p w14:paraId="0D34E26D" w14:textId="77777777" w:rsidR="00AC275F" w:rsidRPr="004E64B8" w:rsidRDefault="00AC275F" w:rsidP="00277997">
      <w:pPr>
        <w:keepNext/>
        <w:keepLines/>
        <w:spacing w:line="360" w:lineRule="auto"/>
        <w:contextualSpacing/>
        <w:rPr>
          <w:b/>
          <w:sz w:val="26"/>
          <w:szCs w:val="26"/>
        </w:rPr>
      </w:pPr>
    </w:p>
    <w:p w14:paraId="40DF1E34" w14:textId="0E0805FA" w:rsidR="00F21485" w:rsidRDefault="00DD7643" w:rsidP="00DD7643">
      <w:pPr>
        <w:spacing w:line="360" w:lineRule="auto"/>
        <w:ind w:firstLine="1440"/>
        <w:contextualSpacing/>
        <w:rPr>
          <w:sz w:val="26"/>
          <w:szCs w:val="26"/>
        </w:rPr>
      </w:pPr>
      <w:r w:rsidRPr="00622289">
        <w:rPr>
          <w:sz w:val="26"/>
          <w:szCs w:val="26"/>
        </w:rPr>
        <w:t>In</w:t>
      </w:r>
      <w:r w:rsidR="00622289" w:rsidRPr="00622289">
        <w:rPr>
          <w:sz w:val="26"/>
          <w:szCs w:val="26"/>
        </w:rPr>
        <w:t xml:space="preserve"> her Initial </w:t>
      </w:r>
      <w:r w:rsidRPr="00622289">
        <w:rPr>
          <w:sz w:val="26"/>
          <w:szCs w:val="26"/>
        </w:rPr>
        <w:t>Decision,</w:t>
      </w:r>
      <w:r w:rsidR="0068479A">
        <w:rPr>
          <w:sz w:val="26"/>
          <w:szCs w:val="26"/>
        </w:rPr>
        <w:t xml:space="preserve"> </w:t>
      </w:r>
      <w:r w:rsidRPr="00622289">
        <w:rPr>
          <w:sz w:val="26"/>
          <w:szCs w:val="26"/>
        </w:rPr>
        <w:t xml:space="preserve">ALJ </w:t>
      </w:r>
      <w:r w:rsidR="0068479A">
        <w:rPr>
          <w:sz w:val="26"/>
          <w:szCs w:val="26"/>
        </w:rPr>
        <w:t xml:space="preserve">Barnes </w:t>
      </w:r>
      <w:r w:rsidRPr="00622289">
        <w:rPr>
          <w:sz w:val="26"/>
          <w:szCs w:val="26"/>
        </w:rPr>
        <w:t xml:space="preserve">recommended adoption of the </w:t>
      </w:r>
      <w:r w:rsidR="00622289" w:rsidRPr="00622289">
        <w:rPr>
          <w:sz w:val="26"/>
          <w:szCs w:val="26"/>
        </w:rPr>
        <w:t>Joint Petition for Settlement filed on April 3, 2019 as modified by</w:t>
      </w:r>
      <w:r w:rsidR="00E67627">
        <w:rPr>
          <w:sz w:val="26"/>
          <w:szCs w:val="26"/>
        </w:rPr>
        <w:t xml:space="preserve"> the </w:t>
      </w:r>
      <w:r w:rsidR="00622289" w:rsidRPr="00622289">
        <w:rPr>
          <w:sz w:val="26"/>
          <w:szCs w:val="26"/>
        </w:rPr>
        <w:t>Addendum filed on June</w:t>
      </w:r>
      <w:r w:rsidR="00E31339">
        <w:rPr>
          <w:sz w:val="26"/>
          <w:szCs w:val="26"/>
        </w:rPr>
        <w:t> </w:t>
      </w:r>
      <w:r w:rsidR="00622289" w:rsidRPr="00622289">
        <w:rPr>
          <w:sz w:val="26"/>
          <w:szCs w:val="26"/>
        </w:rPr>
        <w:t>28, 2019</w:t>
      </w:r>
      <w:r w:rsidR="0068479A">
        <w:rPr>
          <w:sz w:val="26"/>
          <w:szCs w:val="26"/>
        </w:rPr>
        <w:t>,</w:t>
      </w:r>
      <w:r w:rsidR="00622289">
        <w:rPr>
          <w:sz w:val="26"/>
          <w:szCs w:val="26"/>
        </w:rPr>
        <w:t xml:space="preserve"> </w:t>
      </w:r>
      <w:r w:rsidR="00622289" w:rsidRPr="00622289">
        <w:rPr>
          <w:sz w:val="26"/>
          <w:szCs w:val="26"/>
        </w:rPr>
        <w:t>in its entirety.</w:t>
      </w:r>
      <w:r w:rsidR="00622289">
        <w:rPr>
          <w:sz w:val="26"/>
          <w:szCs w:val="26"/>
        </w:rPr>
        <w:t xml:space="preserve">  </w:t>
      </w:r>
      <w:r w:rsidRPr="00DD7643">
        <w:rPr>
          <w:sz w:val="26"/>
          <w:szCs w:val="26"/>
        </w:rPr>
        <w:t>We</w:t>
      </w:r>
      <w:r w:rsidR="00466D2B">
        <w:rPr>
          <w:sz w:val="26"/>
          <w:szCs w:val="26"/>
        </w:rPr>
        <w:t xml:space="preserve"> shall adopt </w:t>
      </w:r>
      <w:r w:rsidRPr="00DD7643">
        <w:rPr>
          <w:sz w:val="26"/>
          <w:szCs w:val="26"/>
        </w:rPr>
        <w:t>the</w:t>
      </w:r>
      <w:r w:rsidR="00466D2B">
        <w:rPr>
          <w:sz w:val="26"/>
          <w:szCs w:val="26"/>
        </w:rPr>
        <w:t xml:space="preserve"> </w:t>
      </w:r>
      <w:r w:rsidR="00E67627">
        <w:rPr>
          <w:sz w:val="26"/>
          <w:szCs w:val="26"/>
        </w:rPr>
        <w:t xml:space="preserve">ALJ’s </w:t>
      </w:r>
      <w:r w:rsidR="00466D2B">
        <w:rPr>
          <w:sz w:val="26"/>
          <w:szCs w:val="26"/>
        </w:rPr>
        <w:t xml:space="preserve">Initial </w:t>
      </w:r>
      <w:r w:rsidRPr="00DD7643">
        <w:rPr>
          <w:sz w:val="26"/>
          <w:szCs w:val="26"/>
        </w:rPr>
        <w:t>Decision and</w:t>
      </w:r>
      <w:r w:rsidR="00E67627">
        <w:rPr>
          <w:sz w:val="26"/>
          <w:szCs w:val="26"/>
        </w:rPr>
        <w:t xml:space="preserve"> </w:t>
      </w:r>
      <w:r w:rsidRPr="00DD7643">
        <w:rPr>
          <w:sz w:val="26"/>
          <w:szCs w:val="26"/>
        </w:rPr>
        <w:t>approve the Joint Petition for Settlement</w:t>
      </w:r>
      <w:r w:rsidR="00622281">
        <w:rPr>
          <w:sz w:val="26"/>
          <w:szCs w:val="26"/>
        </w:rPr>
        <w:t>,</w:t>
      </w:r>
      <w:r w:rsidRPr="00DD7643">
        <w:rPr>
          <w:sz w:val="26"/>
          <w:szCs w:val="26"/>
        </w:rPr>
        <w:t xml:space="preserve"> as</w:t>
      </w:r>
      <w:r w:rsidR="00466D2B">
        <w:rPr>
          <w:sz w:val="26"/>
          <w:szCs w:val="26"/>
        </w:rPr>
        <w:t xml:space="preserve"> modified by this Tentative Opinion and Order</w:t>
      </w:r>
      <w:r w:rsidRPr="00DD7643">
        <w:rPr>
          <w:sz w:val="26"/>
          <w:szCs w:val="26"/>
        </w:rPr>
        <w:t xml:space="preserve">.  </w:t>
      </w:r>
    </w:p>
    <w:p w14:paraId="4A9689FB" w14:textId="77777777" w:rsidR="00DD7643" w:rsidRDefault="00DD7643" w:rsidP="00DD7643">
      <w:pPr>
        <w:spacing w:line="360" w:lineRule="auto"/>
        <w:ind w:firstLine="1440"/>
        <w:contextualSpacing/>
        <w:rPr>
          <w:sz w:val="26"/>
          <w:szCs w:val="26"/>
        </w:rPr>
      </w:pPr>
    </w:p>
    <w:p w14:paraId="0C383AE7" w14:textId="3CCA05D8" w:rsidR="00A915BB" w:rsidRPr="00A915BB" w:rsidRDefault="003156F0" w:rsidP="00A915BB">
      <w:pPr>
        <w:spacing w:line="360" w:lineRule="auto"/>
        <w:ind w:firstLine="1440"/>
        <w:rPr>
          <w:sz w:val="26"/>
          <w:szCs w:val="26"/>
        </w:rPr>
      </w:pPr>
      <w:r>
        <w:rPr>
          <w:sz w:val="26"/>
          <w:szCs w:val="26"/>
        </w:rPr>
        <w:t>W</w:t>
      </w:r>
      <w:r w:rsidR="00622289">
        <w:rPr>
          <w:sz w:val="26"/>
          <w:szCs w:val="26"/>
        </w:rPr>
        <w:t>e shall modify the</w:t>
      </w:r>
      <w:r w:rsidR="00A915BB" w:rsidRPr="00A915BB">
        <w:rPr>
          <w:sz w:val="26"/>
          <w:szCs w:val="26"/>
        </w:rPr>
        <w:t xml:space="preserve"> Remaining Life Study that the Parties have agreed should be carried out by an independent pipeline expert</w:t>
      </w:r>
      <w:r w:rsidR="00622289">
        <w:rPr>
          <w:sz w:val="26"/>
          <w:szCs w:val="26"/>
        </w:rPr>
        <w:t xml:space="preserve"> in the Settlement</w:t>
      </w:r>
      <w:r w:rsidR="00A915BB" w:rsidRPr="00A915BB">
        <w:rPr>
          <w:sz w:val="26"/>
          <w:szCs w:val="26"/>
        </w:rPr>
        <w:t xml:space="preserve">.  </w:t>
      </w:r>
      <w:r w:rsidR="00B0404E">
        <w:rPr>
          <w:sz w:val="26"/>
          <w:szCs w:val="26"/>
        </w:rPr>
        <w:t>A</w:t>
      </w:r>
      <w:r w:rsidR="001C7CAD">
        <w:rPr>
          <w:sz w:val="26"/>
          <w:szCs w:val="26"/>
        </w:rPr>
        <w:t>s indicated in</w:t>
      </w:r>
      <w:r w:rsidR="00B0404E">
        <w:rPr>
          <w:sz w:val="26"/>
          <w:szCs w:val="26"/>
        </w:rPr>
        <w:t xml:space="preserve"> the Settlement, t</w:t>
      </w:r>
      <w:r w:rsidR="00A915BB" w:rsidRPr="00A915BB">
        <w:rPr>
          <w:sz w:val="26"/>
          <w:szCs w:val="26"/>
        </w:rPr>
        <w:t>he Study will, among other things, provide remaining life calculations for the pipeline by: (1) segment; (2) age; (3) coating type; and</w:t>
      </w:r>
      <w:r w:rsidR="006D78B1">
        <w:rPr>
          <w:sz w:val="26"/>
          <w:szCs w:val="26"/>
        </w:rPr>
        <w:t>,</w:t>
      </w:r>
      <w:r w:rsidR="00A915BB" w:rsidRPr="00A915BB">
        <w:rPr>
          <w:sz w:val="26"/>
          <w:szCs w:val="26"/>
        </w:rPr>
        <w:t xml:space="preserve"> (4) soil conditions.  </w:t>
      </w:r>
      <w:r w:rsidR="000D0485" w:rsidRPr="002036CF">
        <w:rPr>
          <w:rFonts w:eastAsiaTheme="minorHAnsi"/>
          <w:color w:val="000000"/>
          <w:sz w:val="26"/>
          <w:szCs w:val="26"/>
        </w:rPr>
        <w:t xml:space="preserve">Settlement at ¶ </w:t>
      </w:r>
      <w:r w:rsidR="000D0485">
        <w:rPr>
          <w:rFonts w:eastAsiaTheme="minorHAnsi"/>
          <w:color w:val="000000"/>
          <w:sz w:val="26"/>
          <w:szCs w:val="26"/>
        </w:rPr>
        <w:t>1</w:t>
      </w:r>
      <w:r w:rsidR="000D0485" w:rsidRPr="002036CF">
        <w:rPr>
          <w:rFonts w:eastAsiaTheme="minorHAnsi"/>
          <w:color w:val="000000"/>
          <w:sz w:val="26"/>
          <w:szCs w:val="26"/>
        </w:rPr>
        <w:t>7</w:t>
      </w:r>
      <w:r w:rsidR="000D0485">
        <w:rPr>
          <w:rFonts w:eastAsiaTheme="minorHAnsi"/>
          <w:color w:val="000000"/>
          <w:sz w:val="26"/>
          <w:szCs w:val="26"/>
        </w:rPr>
        <w:t xml:space="preserve">.  </w:t>
      </w:r>
      <w:r w:rsidR="00A915BB" w:rsidRPr="00A915BB">
        <w:rPr>
          <w:sz w:val="26"/>
          <w:szCs w:val="26"/>
        </w:rPr>
        <w:t xml:space="preserve">The information collected in this Study will be invaluable for any determinations regarding the operations of ME1.  Because of the importance of this Study, the independence and expertise of the entity chosen to conduct the study is critical.  </w:t>
      </w:r>
    </w:p>
    <w:p w14:paraId="643865CA" w14:textId="77777777" w:rsidR="00A915BB" w:rsidRPr="00A915BB" w:rsidRDefault="00A915BB" w:rsidP="00A915BB">
      <w:pPr>
        <w:spacing w:line="360" w:lineRule="auto"/>
        <w:rPr>
          <w:sz w:val="26"/>
          <w:szCs w:val="26"/>
        </w:rPr>
      </w:pPr>
    </w:p>
    <w:p w14:paraId="62A5E739" w14:textId="60006FFA" w:rsidR="00DA3073" w:rsidRDefault="00A915BB" w:rsidP="00A915BB">
      <w:pPr>
        <w:spacing w:line="360" w:lineRule="auto"/>
        <w:ind w:firstLine="1440"/>
        <w:rPr>
          <w:sz w:val="26"/>
          <w:szCs w:val="26"/>
        </w:rPr>
      </w:pPr>
      <w:r w:rsidRPr="00A915BB">
        <w:rPr>
          <w:sz w:val="26"/>
          <w:szCs w:val="26"/>
        </w:rPr>
        <w:t>The process agreed upon in the Settlement for choosing the expert is that Sunoco will provide</w:t>
      </w:r>
      <w:r w:rsidR="001C08C7">
        <w:rPr>
          <w:sz w:val="26"/>
          <w:szCs w:val="26"/>
        </w:rPr>
        <w:t xml:space="preserve"> </w:t>
      </w:r>
      <w:r w:rsidRPr="00A915BB">
        <w:rPr>
          <w:sz w:val="26"/>
          <w:szCs w:val="26"/>
        </w:rPr>
        <w:t>I&amp;E with a list of three experts that have conducted studies for, but not limited to, the Pipeline and Hazardous Materials Safety Administration, other state commissions, the Pipeline Research Counsel International, the American Petroleum Institute, or the Interstate Natural Gas Association of America.  The Settlement provides that within thirty</w:t>
      </w:r>
      <w:r w:rsidR="00A55C16">
        <w:rPr>
          <w:sz w:val="26"/>
          <w:szCs w:val="26"/>
        </w:rPr>
        <w:t xml:space="preserve"> (30) </w:t>
      </w:r>
      <w:r w:rsidRPr="00A915BB">
        <w:rPr>
          <w:sz w:val="26"/>
          <w:szCs w:val="26"/>
        </w:rPr>
        <w:t xml:space="preserve">days of entry of the order approving the Settlement, Sunoco is to forward a list of the three experts to I&amp;E.  </w:t>
      </w:r>
      <w:r w:rsidR="000D0485" w:rsidRPr="002036CF">
        <w:rPr>
          <w:rFonts w:eastAsiaTheme="minorHAnsi"/>
          <w:color w:val="000000"/>
          <w:sz w:val="26"/>
          <w:szCs w:val="26"/>
        </w:rPr>
        <w:t xml:space="preserve">Settlement at ¶ </w:t>
      </w:r>
      <w:r w:rsidR="000D0485">
        <w:rPr>
          <w:rFonts w:eastAsiaTheme="minorHAnsi"/>
          <w:color w:val="000000"/>
          <w:sz w:val="26"/>
          <w:szCs w:val="26"/>
        </w:rPr>
        <w:t>1</w:t>
      </w:r>
      <w:r w:rsidR="000D0485" w:rsidRPr="002036CF">
        <w:rPr>
          <w:rFonts w:eastAsiaTheme="minorHAnsi"/>
          <w:color w:val="000000"/>
          <w:sz w:val="26"/>
          <w:szCs w:val="26"/>
        </w:rPr>
        <w:t>7</w:t>
      </w:r>
      <w:r w:rsidR="000D0485">
        <w:rPr>
          <w:rFonts w:eastAsiaTheme="minorHAnsi"/>
          <w:color w:val="000000"/>
          <w:sz w:val="26"/>
          <w:szCs w:val="26"/>
        </w:rPr>
        <w:t>.</w:t>
      </w:r>
      <w:r w:rsidR="00DA3073">
        <w:rPr>
          <w:rFonts w:eastAsiaTheme="minorHAnsi"/>
          <w:color w:val="000000"/>
          <w:sz w:val="26"/>
          <w:szCs w:val="26"/>
        </w:rPr>
        <w:t xml:space="preserve">  </w:t>
      </w:r>
      <w:r w:rsidR="009C5D6A">
        <w:rPr>
          <w:sz w:val="26"/>
          <w:szCs w:val="26"/>
        </w:rPr>
        <w:t>We</w:t>
      </w:r>
      <w:r w:rsidR="001C08C7">
        <w:rPr>
          <w:sz w:val="26"/>
          <w:szCs w:val="26"/>
        </w:rPr>
        <w:t xml:space="preserve"> </w:t>
      </w:r>
      <w:r w:rsidRPr="00A915BB">
        <w:rPr>
          <w:sz w:val="26"/>
          <w:szCs w:val="26"/>
        </w:rPr>
        <w:t xml:space="preserve">clarify that I&amp;E shall select the expert to conduct the </w:t>
      </w:r>
      <w:r w:rsidR="001C08C7">
        <w:rPr>
          <w:sz w:val="26"/>
          <w:szCs w:val="26"/>
        </w:rPr>
        <w:t>R</w:t>
      </w:r>
      <w:r w:rsidRPr="00A915BB">
        <w:rPr>
          <w:sz w:val="26"/>
          <w:szCs w:val="26"/>
        </w:rPr>
        <w:t xml:space="preserve">emaining </w:t>
      </w:r>
      <w:r w:rsidR="001C08C7">
        <w:rPr>
          <w:sz w:val="26"/>
          <w:szCs w:val="26"/>
        </w:rPr>
        <w:t>L</w:t>
      </w:r>
      <w:r w:rsidRPr="00A915BB">
        <w:rPr>
          <w:sz w:val="26"/>
          <w:szCs w:val="26"/>
        </w:rPr>
        <w:t xml:space="preserve">ife </w:t>
      </w:r>
      <w:r w:rsidR="001C08C7">
        <w:rPr>
          <w:sz w:val="26"/>
          <w:szCs w:val="26"/>
        </w:rPr>
        <w:t>S</w:t>
      </w:r>
      <w:r w:rsidRPr="00A915BB">
        <w:rPr>
          <w:sz w:val="26"/>
          <w:szCs w:val="26"/>
        </w:rPr>
        <w:t>tudy within thirty</w:t>
      </w:r>
      <w:r w:rsidR="00A55C16">
        <w:rPr>
          <w:sz w:val="26"/>
          <w:szCs w:val="26"/>
        </w:rPr>
        <w:t xml:space="preserve"> (30) </w:t>
      </w:r>
      <w:r w:rsidRPr="00A915BB">
        <w:rPr>
          <w:sz w:val="26"/>
          <w:szCs w:val="26"/>
        </w:rPr>
        <w:t xml:space="preserve">days of receipt of the list.  </w:t>
      </w:r>
    </w:p>
    <w:p w14:paraId="11A464AE" w14:textId="77777777" w:rsidR="00C5494A" w:rsidRDefault="00C5494A" w:rsidP="00A915BB">
      <w:pPr>
        <w:spacing w:line="360" w:lineRule="auto"/>
        <w:ind w:firstLine="1440"/>
        <w:rPr>
          <w:sz w:val="26"/>
          <w:szCs w:val="26"/>
        </w:rPr>
      </w:pPr>
    </w:p>
    <w:p w14:paraId="6AB71B0F" w14:textId="3701DEA6" w:rsidR="00A915BB" w:rsidRPr="00A915BB" w:rsidRDefault="00A915BB" w:rsidP="00A915BB">
      <w:pPr>
        <w:spacing w:line="360" w:lineRule="auto"/>
        <w:ind w:firstLine="1440"/>
        <w:rPr>
          <w:sz w:val="26"/>
          <w:szCs w:val="26"/>
        </w:rPr>
      </w:pPr>
      <w:r w:rsidRPr="00A915BB">
        <w:rPr>
          <w:sz w:val="26"/>
          <w:szCs w:val="26"/>
        </w:rPr>
        <w:lastRenderedPageBreak/>
        <w:t xml:space="preserve">The Settlement also states that any work done by the expert on the ME1 pipeline must be disclosed.  For purposes of transparency, </w:t>
      </w:r>
      <w:r w:rsidR="001C08C7">
        <w:rPr>
          <w:sz w:val="26"/>
          <w:szCs w:val="26"/>
        </w:rPr>
        <w:t xml:space="preserve">we </w:t>
      </w:r>
      <w:r w:rsidRPr="00A915BB">
        <w:rPr>
          <w:sz w:val="26"/>
          <w:szCs w:val="26"/>
        </w:rPr>
        <w:t>believe that adding a provision requiring disclosure of any projects this expert has worked on for</w:t>
      </w:r>
      <w:r w:rsidR="00822D03">
        <w:rPr>
          <w:sz w:val="26"/>
          <w:szCs w:val="26"/>
        </w:rPr>
        <w:t xml:space="preserve"> Sunoco, </w:t>
      </w:r>
      <w:r w:rsidRPr="00A915BB">
        <w:rPr>
          <w:sz w:val="26"/>
          <w:szCs w:val="26"/>
        </w:rPr>
        <w:t>Sunoco’s parent company, Energy Transfer Partners, or any Sunoco affiliate</w:t>
      </w:r>
      <w:r w:rsidR="00822D03">
        <w:rPr>
          <w:sz w:val="26"/>
          <w:szCs w:val="26"/>
        </w:rPr>
        <w:t>.  This information</w:t>
      </w:r>
      <w:r w:rsidRPr="00A915BB">
        <w:rPr>
          <w:sz w:val="26"/>
          <w:szCs w:val="26"/>
        </w:rPr>
        <w:t xml:space="preserve"> should </w:t>
      </w:r>
      <w:r w:rsidR="00822D03">
        <w:rPr>
          <w:sz w:val="26"/>
          <w:szCs w:val="26"/>
        </w:rPr>
        <w:t>be</w:t>
      </w:r>
      <w:r w:rsidRPr="00A915BB">
        <w:rPr>
          <w:sz w:val="26"/>
          <w:szCs w:val="26"/>
        </w:rPr>
        <w:t xml:space="preserve"> furnished to I&amp;E in accordance with the provisions of the Settlement Agreement.  </w:t>
      </w:r>
    </w:p>
    <w:p w14:paraId="0D9602F7" w14:textId="77777777" w:rsidR="00A915BB" w:rsidRPr="00A915BB" w:rsidRDefault="00A915BB" w:rsidP="00A915BB">
      <w:pPr>
        <w:spacing w:line="360" w:lineRule="auto"/>
        <w:rPr>
          <w:sz w:val="26"/>
          <w:szCs w:val="26"/>
        </w:rPr>
      </w:pPr>
    </w:p>
    <w:p w14:paraId="4EFC8284" w14:textId="77777777" w:rsidR="00183173" w:rsidRDefault="00A915BB" w:rsidP="004E64B8">
      <w:pPr>
        <w:spacing w:line="360" w:lineRule="auto"/>
        <w:ind w:firstLine="1440"/>
        <w:rPr>
          <w:sz w:val="26"/>
          <w:szCs w:val="26"/>
        </w:rPr>
      </w:pPr>
      <w:r w:rsidRPr="00A915BB">
        <w:rPr>
          <w:sz w:val="26"/>
          <w:szCs w:val="26"/>
        </w:rPr>
        <w:t xml:space="preserve">The Settlement provides that Sunoco is responsible for paying for the Remaining Life Study.  To further ensure the independence of the Study, </w:t>
      </w:r>
      <w:r w:rsidR="001C08C7">
        <w:rPr>
          <w:sz w:val="26"/>
          <w:szCs w:val="26"/>
        </w:rPr>
        <w:t xml:space="preserve">we </w:t>
      </w:r>
      <w:r w:rsidRPr="00A915BB">
        <w:rPr>
          <w:sz w:val="26"/>
          <w:szCs w:val="26"/>
        </w:rPr>
        <w:t xml:space="preserve">believe that only the final form Study, not interim drafts, shall be delivered to Sunoco and I&amp;E on or before the end of the agreed upon six-month contract term.  </w:t>
      </w:r>
      <w:r w:rsidR="001C08C7">
        <w:rPr>
          <w:sz w:val="26"/>
          <w:szCs w:val="26"/>
        </w:rPr>
        <w:t>We</w:t>
      </w:r>
      <w:r w:rsidRPr="00A915BB">
        <w:rPr>
          <w:sz w:val="26"/>
          <w:szCs w:val="26"/>
        </w:rPr>
        <w:t xml:space="preserve"> believe</w:t>
      </w:r>
      <w:r w:rsidR="001C08C7">
        <w:rPr>
          <w:sz w:val="26"/>
          <w:szCs w:val="26"/>
        </w:rPr>
        <w:t xml:space="preserve"> </w:t>
      </w:r>
      <w:r w:rsidRPr="00A915BB">
        <w:rPr>
          <w:sz w:val="26"/>
          <w:szCs w:val="26"/>
        </w:rPr>
        <w:t xml:space="preserve">these modifications will ensure a transparent and objective process.  With these controls put in place, </w:t>
      </w:r>
      <w:r w:rsidR="001C08C7">
        <w:rPr>
          <w:sz w:val="26"/>
          <w:szCs w:val="26"/>
        </w:rPr>
        <w:t xml:space="preserve">we conclude </w:t>
      </w:r>
      <w:r w:rsidR="00BA013C">
        <w:rPr>
          <w:sz w:val="26"/>
          <w:szCs w:val="26"/>
        </w:rPr>
        <w:t>that Joint Petition for</w:t>
      </w:r>
      <w:r w:rsidRPr="00A915BB">
        <w:rPr>
          <w:sz w:val="26"/>
          <w:szCs w:val="26"/>
        </w:rPr>
        <w:t xml:space="preserve"> Settlement</w:t>
      </w:r>
      <w:r w:rsidR="00BA013C">
        <w:rPr>
          <w:sz w:val="26"/>
          <w:szCs w:val="26"/>
        </w:rPr>
        <w:t xml:space="preserve"> </w:t>
      </w:r>
      <w:r w:rsidR="001C08C7">
        <w:rPr>
          <w:sz w:val="26"/>
          <w:szCs w:val="26"/>
        </w:rPr>
        <w:t>is</w:t>
      </w:r>
      <w:r w:rsidRPr="00A915BB">
        <w:rPr>
          <w:sz w:val="26"/>
          <w:szCs w:val="26"/>
        </w:rPr>
        <w:t xml:space="preserve"> in the public interest.</w:t>
      </w:r>
      <w:r w:rsidR="009C5D6A">
        <w:rPr>
          <w:sz w:val="26"/>
          <w:szCs w:val="26"/>
        </w:rPr>
        <w:t xml:space="preserve">  As such</w:t>
      </w:r>
      <w:r w:rsidR="00127076">
        <w:rPr>
          <w:sz w:val="26"/>
          <w:szCs w:val="26"/>
        </w:rPr>
        <w:t xml:space="preserve">, </w:t>
      </w:r>
      <w:r w:rsidR="009C5D6A">
        <w:rPr>
          <w:sz w:val="26"/>
          <w:szCs w:val="26"/>
        </w:rPr>
        <w:t>Paragraph 17(B) of the</w:t>
      </w:r>
      <w:r w:rsidR="00127076">
        <w:rPr>
          <w:sz w:val="26"/>
          <w:szCs w:val="26"/>
        </w:rPr>
        <w:t xml:space="preserve"> Settlement</w:t>
      </w:r>
      <w:r w:rsidR="009C5D6A">
        <w:rPr>
          <w:sz w:val="26"/>
          <w:szCs w:val="26"/>
        </w:rPr>
        <w:t xml:space="preserve"> is modified as follows:</w:t>
      </w:r>
    </w:p>
    <w:p w14:paraId="4827D20D" w14:textId="77777777" w:rsidR="009C5D6A" w:rsidRDefault="009C5D6A" w:rsidP="004E64B8">
      <w:pPr>
        <w:spacing w:line="360" w:lineRule="auto"/>
        <w:ind w:firstLine="1440"/>
        <w:rPr>
          <w:sz w:val="26"/>
          <w:szCs w:val="26"/>
        </w:rPr>
      </w:pPr>
    </w:p>
    <w:p w14:paraId="3AB21D3B" w14:textId="77777777" w:rsidR="009C5D6A" w:rsidRPr="00C43DF9" w:rsidRDefault="009C5D6A" w:rsidP="009C5D6A">
      <w:pPr>
        <w:pStyle w:val="Default"/>
        <w:numPr>
          <w:ilvl w:val="0"/>
          <w:numId w:val="25"/>
        </w:numPr>
        <w:ind w:right="1440"/>
        <w:rPr>
          <w:b/>
          <w:bCs/>
          <w:i/>
          <w:iCs/>
          <w:sz w:val="26"/>
          <w:szCs w:val="26"/>
        </w:rPr>
      </w:pPr>
      <w:r>
        <w:rPr>
          <w:b/>
          <w:bCs/>
          <w:i/>
          <w:iCs/>
          <w:sz w:val="26"/>
          <w:szCs w:val="26"/>
        </w:rPr>
        <w:t>Remaining Life Study</w:t>
      </w:r>
    </w:p>
    <w:p w14:paraId="5E183879" w14:textId="77777777" w:rsidR="009C5D6A" w:rsidRPr="002036CF" w:rsidRDefault="009C5D6A" w:rsidP="009C5D6A">
      <w:pPr>
        <w:pStyle w:val="Default"/>
        <w:ind w:left="1440" w:right="1440"/>
        <w:rPr>
          <w:sz w:val="26"/>
          <w:szCs w:val="26"/>
        </w:rPr>
      </w:pPr>
    </w:p>
    <w:p w14:paraId="623B6434" w14:textId="77777777" w:rsidR="009C5D6A" w:rsidRPr="00C43DF9" w:rsidRDefault="009C5D6A" w:rsidP="009C5D6A">
      <w:pPr>
        <w:pStyle w:val="Default"/>
        <w:ind w:left="1440" w:right="1440"/>
        <w:rPr>
          <w:sz w:val="26"/>
          <w:szCs w:val="26"/>
        </w:rPr>
      </w:pPr>
      <w:r w:rsidRPr="00C43DF9">
        <w:rPr>
          <w:sz w:val="26"/>
          <w:szCs w:val="26"/>
        </w:rPr>
        <w:t>SPLP agrees to retain an independent expert to conduct a Remaining Life Study that will consist of a summary of SPLP’s Integrity Management Plan (“IMP”), a remaining life evaluation of ME1, calculations that are described in more detail in the bullet paragraphs that appear below, and will be forward-looking in manner, and intended to assess the longevity of ME1.</w:t>
      </w:r>
    </w:p>
    <w:p w14:paraId="1B800E76" w14:textId="77777777" w:rsidR="009C5D6A" w:rsidRDefault="009C5D6A" w:rsidP="009C5D6A">
      <w:pPr>
        <w:pStyle w:val="Default"/>
        <w:ind w:left="1440" w:right="1440"/>
        <w:rPr>
          <w:sz w:val="23"/>
          <w:szCs w:val="23"/>
        </w:rPr>
      </w:pPr>
    </w:p>
    <w:p w14:paraId="1AB78A1B" w14:textId="2BA8E5E9" w:rsidR="009C5D6A" w:rsidRPr="00C43DF9" w:rsidRDefault="009C5D6A" w:rsidP="00C5494A">
      <w:pPr>
        <w:ind w:left="1440" w:right="1440"/>
        <w:rPr>
          <w:sz w:val="26"/>
          <w:szCs w:val="26"/>
        </w:rPr>
      </w:pPr>
      <w:r w:rsidRPr="00C43DF9">
        <w:rPr>
          <w:sz w:val="26"/>
          <w:szCs w:val="26"/>
        </w:rPr>
        <w:t xml:space="preserve">The Remaining Life Study should be conducted by a qualified independent expert that has conducted independent studies for, but not limited to, governmental entities, such as the Pipeline and Hazardous Materials Safety Administration (“PHMSA”) or State Commissions, and the Pipeline Research Counsel International (“PRCI”), American Petroleum Institute (“API”), or the Interstate Natural Gas Association of America (“INGAA”). Within thirty (30) days of entry of a Commission Order approving any settlement of this matter, SPLP shall provide I&amp;E with a list of three (3) proposed </w:t>
      </w:r>
      <w:r w:rsidRPr="00C43DF9">
        <w:rPr>
          <w:sz w:val="26"/>
          <w:szCs w:val="26"/>
        </w:rPr>
        <w:lastRenderedPageBreak/>
        <w:t xml:space="preserve">independent experts, along with contact information, a brief description of the expert’s background and a disclosure as to whether the proposed expert performed any work in relation to ME1 as well as a description of that work. </w:t>
      </w:r>
      <w:r w:rsidRPr="009C5D6A">
        <w:rPr>
          <w:sz w:val="26"/>
          <w:szCs w:val="26"/>
          <w:u w:val="single"/>
        </w:rPr>
        <w:t>Within thirty days (30) days of receipt of the list</w:t>
      </w:r>
      <w:r w:rsidRPr="00B00FBD">
        <w:rPr>
          <w:sz w:val="26"/>
          <w:szCs w:val="26"/>
        </w:rPr>
        <w:t xml:space="preserve">, </w:t>
      </w:r>
      <w:r w:rsidRPr="00C43DF9">
        <w:rPr>
          <w:sz w:val="26"/>
          <w:szCs w:val="26"/>
        </w:rPr>
        <w:t xml:space="preserve">I&amp;E will select one (1) expert from the list provided by SPLP and SPLP will hire and pay the expert to complete and review the study. </w:t>
      </w:r>
      <w:r w:rsidR="00F416AA" w:rsidRPr="00F416AA">
        <w:rPr>
          <w:sz w:val="26"/>
          <w:szCs w:val="26"/>
          <w:u w:val="single"/>
        </w:rPr>
        <w:t>The expert</w:t>
      </w:r>
      <w:r w:rsidR="00995700">
        <w:rPr>
          <w:sz w:val="26"/>
          <w:szCs w:val="26"/>
          <w:u w:val="single"/>
        </w:rPr>
        <w:t xml:space="preserve"> shall </w:t>
      </w:r>
      <w:r w:rsidR="00F416AA" w:rsidRPr="00F416AA">
        <w:rPr>
          <w:sz w:val="26"/>
          <w:szCs w:val="26"/>
          <w:u w:val="single"/>
        </w:rPr>
        <w:t>disclose any projects</w:t>
      </w:r>
      <w:r w:rsidR="00F416AA">
        <w:rPr>
          <w:sz w:val="26"/>
          <w:szCs w:val="26"/>
          <w:u w:val="single"/>
        </w:rPr>
        <w:t xml:space="preserve"> </w:t>
      </w:r>
      <w:r w:rsidR="00646563">
        <w:rPr>
          <w:sz w:val="26"/>
          <w:szCs w:val="26"/>
          <w:u w:val="single"/>
        </w:rPr>
        <w:t>they</w:t>
      </w:r>
      <w:r w:rsidR="00F416AA">
        <w:rPr>
          <w:sz w:val="26"/>
          <w:szCs w:val="26"/>
          <w:u w:val="single"/>
        </w:rPr>
        <w:t xml:space="preserve"> </w:t>
      </w:r>
      <w:r w:rsidR="00F416AA" w:rsidRPr="00F416AA">
        <w:rPr>
          <w:sz w:val="26"/>
          <w:szCs w:val="26"/>
          <w:u w:val="single"/>
        </w:rPr>
        <w:t>ha</w:t>
      </w:r>
      <w:r w:rsidR="00646563">
        <w:rPr>
          <w:sz w:val="26"/>
          <w:szCs w:val="26"/>
          <w:u w:val="single"/>
        </w:rPr>
        <w:t>ve</w:t>
      </w:r>
      <w:r w:rsidR="00F416AA" w:rsidRPr="00F416AA">
        <w:rPr>
          <w:sz w:val="26"/>
          <w:szCs w:val="26"/>
          <w:u w:val="single"/>
        </w:rPr>
        <w:t xml:space="preserve"> worked on for</w:t>
      </w:r>
      <w:r w:rsidR="00822D03">
        <w:rPr>
          <w:sz w:val="26"/>
          <w:szCs w:val="26"/>
          <w:u w:val="single"/>
        </w:rPr>
        <w:t xml:space="preserve"> Sunoco, </w:t>
      </w:r>
      <w:r w:rsidR="00F416AA" w:rsidRPr="00F416AA">
        <w:rPr>
          <w:sz w:val="26"/>
          <w:szCs w:val="26"/>
          <w:u w:val="single"/>
        </w:rPr>
        <w:t xml:space="preserve"> S</w:t>
      </w:r>
      <w:r w:rsidR="00995700">
        <w:rPr>
          <w:sz w:val="26"/>
          <w:szCs w:val="26"/>
          <w:u w:val="single"/>
        </w:rPr>
        <w:t>PLP</w:t>
      </w:r>
      <w:r w:rsidR="00F416AA" w:rsidRPr="00F416AA">
        <w:rPr>
          <w:sz w:val="26"/>
          <w:szCs w:val="26"/>
          <w:u w:val="single"/>
        </w:rPr>
        <w:t>’s parent company, Energy Transfer Partners, or any S</w:t>
      </w:r>
      <w:r w:rsidR="00995700">
        <w:rPr>
          <w:sz w:val="26"/>
          <w:szCs w:val="26"/>
          <w:u w:val="single"/>
        </w:rPr>
        <w:t>PLP</w:t>
      </w:r>
      <w:r w:rsidR="00F416AA" w:rsidRPr="00F416AA">
        <w:rPr>
          <w:sz w:val="26"/>
          <w:szCs w:val="26"/>
          <w:u w:val="single"/>
        </w:rPr>
        <w:t xml:space="preserve"> affiliate.</w:t>
      </w:r>
      <w:r w:rsidR="00C5494A">
        <w:rPr>
          <w:sz w:val="26"/>
          <w:szCs w:val="26"/>
          <w:u w:val="single"/>
        </w:rPr>
        <w:t xml:space="preserve"> </w:t>
      </w:r>
      <w:r w:rsidR="00F416AA" w:rsidRPr="00F416AA">
        <w:rPr>
          <w:sz w:val="26"/>
          <w:szCs w:val="26"/>
          <w:u w:val="single"/>
        </w:rPr>
        <w:t>The expert</w:t>
      </w:r>
      <w:r w:rsidR="00995700">
        <w:rPr>
          <w:sz w:val="26"/>
          <w:szCs w:val="26"/>
          <w:u w:val="single"/>
        </w:rPr>
        <w:t xml:space="preserve"> shall </w:t>
      </w:r>
      <w:r w:rsidR="00F416AA" w:rsidRPr="00F416AA">
        <w:rPr>
          <w:sz w:val="26"/>
          <w:szCs w:val="26"/>
          <w:u w:val="single"/>
        </w:rPr>
        <w:t>furnish this information to I&amp;E in accordance with the provisions of th</w:t>
      </w:r>
      <w:r w:rsidR="00F416AA">
        <w:rPr>
          <w:sz w:val="26"/>
          <w:szCs w:val="26"/>
          <w:u w:val="single"/>
        </w:rPr>
        <w:t xml:space="preserve">is </w:t>
      </w:r>
      <w:r w:rsidR="00F416AA" w:rsidRPr="00F416AA">
        <w:rPr>
          <w:sz w:val="26"/>
          <w:szCs w:val="26"/>
          <w:u w:val="single"/>
        </w:rPr>
        <w:t>Agreement</w:t>
      </w:r>
      <w:r w:rsidR="00F416AA" w:rsidRPr="00995700">
        <w:rPr>
          <w:sz w:val="26"/>
          <w:szCs w:val="26"/>
        </w:rPr>
        <w:t>.</w:t>
      </w:r>
      <w:r w:rsidR="00995700" w:rsidRPr="00995700">
        <w:rPr>
          <w:sz w:val="26"/>
          <w:szCs w:val="26"/>
        </w:rPr>
        <w:t xml:space="preserve"> </w:t>
      </w:r>
      <w:r w:rsidRPr="00C43DF9">
        <w:rPr>
          <w:sz w:val="26"/>
          <w:szCs w:val="26"/>
        </w:rPr>
        <w:t xml:space="preserve">The expert shall complete the Remaining Life Study within six (6) months from being contracted by SPLP. </w:t>
      </w:r>
      <w:r w:rsidR="00995700" w:rsidRPr="00995700">
        <w:rPr>
          <w:sz w:val="26"/>
          <w:szCs w:val="26"/>
          <w:u w:val="single"/>
        </w:rPr>
        <w:t>The expert shall deliver only the final form Study, not interim drafts,</w:t>
      </w:r>
      <w:r w:rsidR="00995700">
        <w:rPr>
          <w:sz w:val="26"/>
          <w:szCs w:val="26"/>
          <w:u w:val="single"/>
        </w:rPr>
        <w:t xml:space="preserve"> </w:t>
      </w:r>
      <w:r w:rsidR="00995700" w:rsidRPr="00995700">
        <w:rPr>
          <w:sz w:val="26"/>
          <w:szCs w:val="26"/>
          <w:u w:val="single"/>
        </w:rPr>
        <w:t>to SPLP and I&amp;E on or before the end of the</w:t>
      </w:r>
      <w:r w:rsidR="00995700">
        <w:rPr>
          <w:sz w:val="26"/>
          <w:szCs w:val="26"/>
          <w:u w:val="single"/>
        </w:rPr>
        <w:t xml:space="preserve"> </w:t>
      </w:r>
      <w:r w:rsidR="00995700" w:rsidRPr="00995700">
        <w:rPr>
          <w:sz w:val="26"/>
          <w:szCs w:val="26"/>
          <w:u w:val="single"/>
        </w:rPr>
        <w:t xml:space="preserve">six-month contract term. </w:t>
      </w:r>
      <w:r w:rsidRPr="00C43DF9">
        <w:rPr>
          <w:sz w:val="26"/>
          <w:szCs w:val="26"/>
        </w:rPr>
        <w:t>A summary of the expert’s findings shall be made public (excluding proprietary or confidential security information (CSI)).</w:t>
      </w:r>
      <w:r w:rsidR="00F416AA">
        <w:rPr>
          <w:sz w:val="26"/>
          <w:szCs w:val="26"/>
        </w:rPr>
        <w:t xml:space="preserve">  </w:t>
      </w:r>
    </w:p>
    <w:p w14:paraId="0E39DAFE" w14:textId="77777777" w:rsidR="009C5D6A" w:rsidRPr="00C43DF9" w:rsidRDefault="009C5D6A" w:rsidP="009C5D6A">
      <w:pPr>
        <w:pStyle w:val="Default"/>
        <w:ind w:left="1440" w:right="1440"/>
        <w:rPr>
          <w:sz w:val="26"/>
          <w:szCs w:val="26"/>
        </w:rPr>
      </w:pPr>
    </w:p>
    <w:p w14:paraId="5C930A0E" w14:textId="77777777" w:rsidR="009C5D6A" w:rsidRPr="002036CF" w:rsidRDefault="009C5D6A" w:rsidP="009C5D6A">
      <w:pPr>
        <w:pStyle w:val="Default"/>
        <w:ind w:left="1440" w:right="1440"/>
        <w:rPr>
          <w:sz w:val="26"/>
          <w:szCs w:val="26"/>
        </w:rPr>
      </w:pPr>
      <w:r w:rsidRPr="00C43DF9">
        <w:rPr>
          <w:sz w:val="26"/>
          <w:szCs w:val="26"/>
        </w:rPr>
        <w:t>The Parties agree that the Remaining Life Study will include the following:</w:t>
      </w:r>
    </w:p>
    <w:p w14:paraId="0FF59561" w14:textId="77777777" w:rsidR="009C5D6A" w:rsidRDefault="009C5D6A" w:rsidP="009C5D6A">
      <w:pPr>
        <w:pStyle w:val="Default"/>
      </w:pPr>
    </w:p>
    <w:p w14:paraId="5B7058FE" w14:textId="77777777" w:rsidR="009C5D6A" w:rsidRPr="000A5051" w:rsidRDefault="004A0A0E" w:rsidP="004A0A0E">
      <w:pPr>
        <w:pStyle w:val="Default"/>
        <w:spacing w:after="186"/>
        <w:ind w:left="1440" w:right="1440"/>
        <w:rPr>
          <w:sz w:val="26"/>
          <w:szCs w:val="26"/>
        </w:rPr>
      </w:pPr>
      <w:r w:rsidRPr="000A5051">
        <w:rPr>
          <w:sz w:val="26"/>
          <w:szCs w:val="26"/>
        </w:rPr>
        <w:t xml:space="preserve">• </w:t>
      </w:r>
      <w:r>
        <w:rPr>
          <w:sz w:val="26"/>
          <w:szCs w:val="26"/>
        </w:rPr>
        <w:t xml:space="preserve"> </w:t>
      </w:r>
      <w:r w:rsidR="009C5D6A" w:rsidRPr="000A5051">
        <w:rPr>
          <w:sz w:val="26"/>
          <w:szCs w:val="26"/>
        </w:rPr>
        <w:t xml:space="preserve">ME1 corrosion growth rate based on the most recent In-Line-Inspection run, sectionalized as appropriate; </w:t>
      </w:r>
    </w:p>
    <w:p w14:paraId="0012EF4E" w14:textId="77777777" w:rsidR="009C5D6A" w:rsidRDefault="009C5D6A" w:rsidP="009C5D6A">
      <w:pPr>
        <w:pStyle w:val="Default"/>
        <w:spacing w:after="186"/>
        <w:ind w:left="1440" w:right="1440"/>
        <w:rPr>
          <w:sz w:val="26"/>
          <w:szCs w:val="26"/>
        </w:rPr>
      </w:pPr>
      <w:r w:rsidRPr="000A5051">
        <w:rPr>
          <w:sz w:val="26"/>
          <w:szCs w:val="26"/>
        </w:rPr>
        <w:t xml:space="preserve">• Supporting documentation to demonstrate the corrosion growth rate. This may include a graph estimating corrosion growth from installation of ME1 to the present time; </w:t>
      </w:r>
    </w:p>
    <w:p w14:paraId="71732D71" w14:textId="77777777" w:rsidR="009C5D6A" w:rsidRPr="000A5051" w:rsidRDefault="009C5D6A" w:rsidP="009C5D6A">
      <w:pPr>
        <w:pStyle w:val="Default"/>
        <w:spacing w:after="186"/>
        <w:ind w:left="1440" w:right="1440"/>
        <w:rPr>
          <w:sz w:val="26"/>
          <w:szCs w:val="26"/>
        </w:rPr>
      </w:pPr>
      <w:r w:rsidRPr="000A5051">
        <w:rPr>
          <w:sz w:val="26"/>
          <w:szCs w:val="26"/>
        </w:rPr>
        <w:t xml:space="preserve">• Retirement thickness calculations that consider: (1) pressure design thickness; and (2) minimum structural thickness; </w:t>
      </w:r>
    </w:p>
    <w:p w14:paraId="6AA34B66" w14:textId="77777777" w:rsidR="009C5D6A" w:rsidRPr="000A5051" w:rsidRDefault="009C5D6A" w:rsidP="009C5D6A">
      <w:pPr>
        <w:pStyle w:val="Default"/>
        <w:spacing w:after="186"/>
        <w:ind w:left="1440" w:right="1440"/>
        <w:rPr>
          <w:sz w:val="26"/>
          <w:szCs w:val="26"/>
        </w:rPr>
      </w:pPr>
      <w:r w:rsidRPr="000A5051">
        <w:rPr>
          <w:sz w:val="26"/>
          <w:szCs w:val="26"/>
        </w:rPr>
        <w:t xml:space="preserve">• Remaining life calculations by: (1) segment; (2) age; (3) coating type; and (4) soil conditions; </w:t>
      </w:r>
    </w:p>
    <w:p w14:paraId="15907F91" w14:textId="77777777" w:rsidR="009C5D6A" w:rsidRPr="000A5051" w:rsidRDefault="009C5D6A" w:rsidP="009C5D6A">
      <w:pPr>
        <w:pStyle w:val="Default"/>
        <w:spacing w:after="186"/>
        <w:ind w:left="1440" w:right="1440"/>
        <w:rPr>
          <w:sz w:val="26"/>
          <w:szCs w:val="26"/>
        </w:rPr>
      </w:pPr>
      <w:r w:rsidRPr="000A5051">
        <w:rPr>
          <w:sz w:val="26"/>
          <w:szCs w:val="26"/>
        </w:rPr>
        <w:t xml:space="preserve">• A schedule identifying portions of the pipeline to be replaced or remediated over the next five (5) years; </w:t>
      </w:r>
    </w:p>
    <w:p w14:paraId="637AACA6" w14:textId="77777777" w:rsidR="009C5D6A" w:rsidRPr="000A5051" w:rsidRDefault="009C5D6A" w:rsidP="009C5D6A">
      <w:pPr>
        <w:pStyle w:val="Default"/>
        <w:spacing w:after="186"/>
        <w:ind w:left="1440" w:right="1440"/>
        <w:rPr>
          <w:sz w:val="26"/>
          <w:szCs w:val="26"/>
        </w:rPr>
      </w:pPr>
      <w:r w:rsidRPr="000A5051">
        <w:rPr>
          <w:sz w:val="26"/>
          <w:szCs w:val="26"/>
        </w:rPr>
        <w:t xml:space="preserve">• A summary of the portions of ME1 that were previously retired with an explanation of the characteristics of the pipeline sections that led to the replacements; </w:t>
      </w:r>
    </w:p>
    <w:p w14:paraId="743E4760" w14:textId="77777777" w:rsidR="009C5D6A" w:rsidRPr="000A5051" w:rsidRDefault="009C5D6A" w:rsidP="009C5D6A">
      <w:pPr>
        <w:pStyle w:val="Default"/>
        <w:spacing w:after="186"/>
        <w:ind w:left="1440" w:right="1440"/>
        <w:rPr>
          <w:sz w:val="26"/>
          <w:szCs w:val="26"/>
        </w:rPr>
      </w:pPr>
      <w:r w:rsidRPr="000A5051">
        <w:rPr>
          <w:sz w:val="26"/>
          <w:szCs w:val="26"/>
        </w:rPr>
        <w:t xml:space="preserve">• A listing and description of threats specific to ME1, with a summary of how each threat and the associated risks are mitigated; </w:t>
      </w:r>
    </w:p>
    <w:p w14:paraId="14451D5F" w14:textId="77777777" w:rsidR="009C5D6A" w:rsidRPr="000A5051" w:rsidRDefault="009C5D6A" w:rsidP="009C5D6A">
      <w:pPr>
        <w:pStyle w:val="Default"/>
        <w:spacing w:after="186"/>
        <w:ind w:left="1440" w:right="1440"/>
        <w:rPr>
          <w:sz w:val="26"/>
          <w:szCs w:val="26"/>
        </w:rPr>
      </w:pPr>
      <w:r w:rsidRPr="000A5051">
        <w:rPr>
          <w:sz w:val="26"/>
          <w:szCs w:val="26"/>
        </w:rPr>
        <w:lastRenderedPageBreak/>
        <w:t xml:space="preserve">• A summary of the top ten (10) highest risks identified on ME1 with an explanation as to how the risks are mitigated; </w:t>
      </w:r>
    </w:p>
    <w:p w14:paraId="3A8483C7" w14:textId="77777777" w:rsidR="009C5D6A" w:rsidRDefault="009C5D6A" w:rsidP="009C5D6A">
      <w:pPr>
        <w:pStyle w:val="Default"/>
        <w:spacing w:after="186"/>
        <w:ind w:left="1440" w:right="1440"/>
      </w:pPr>
      <w:r w:rsidRPr="000A5051">
        <w:rPr>
          <w:sz w:val="26"/>
          <w:szCs w:val="26"/>
        </w:rPr>
        <w:t xml:space="preserve">• An explanation of how anomalies, dents and ovalities are formed on the pipeline and addressed by mitigative measures; • A summary of the leak history on ME1 including a description of the size of each leak; </w:t>
      </w:r>
    </w:p>
    <w:p w14:paraId="08C040F6" w14:textId="77777777" w:rsidR="009C5D6A" w:rsidRPr="000A5051" w:rsidRDefault="009C5D6A" w:rsidP="009C5D6A">
      <w:pPr>
        <w:pStyle w:val="Default"/>
        <w:spacing w:after="186"/>
        <w:ind w:left="1440" w:right="1440"/>
        <w:rPr>
          <w:sz w:val="26"/>
          <w:szCs w:val="26"/>
        </w:rPr>
      </w:pPr>
      <w:r w:rsidRPr="000A5051">
        <w:rPr>
          <w:sz w:val="26"/>
          <w:szCs w:val="26"/>
        </w:rPr>
        <w:t>•</w:t>
      </w:r>
      <w:r>
        <w:rPr>
          <w:sz w:val="26"/>
          <w:szCs w:val="26"/>
        </w:rPr>
        <w:t xml:space="preserve"> </w:t>
      </w:r>
      <w:r w:rsidRPr="000A5051">
        <w:rPr>
          <w:sz w:val="26"/>
          <w:szCs w:val="26"/>
        </w:rPr>
        <w:t xml:space="preserve">A discussion of the history of ME1, including when cathodic protection was installed, when coating was applied, and the various measures performed by SPLP, including the implementation of new procedures; and </w:t>
      </w:r>
    </w:p>
    <w:p w14:paraId="5288E4C6" w14:textId="77777777" w:rsidR="009C5D6A" w:rsidRPr="000A5051" w:rsidRDefault="009C5D6A" w:rsidP="009C5D6A">
      <w:pPr>
        <w:pStyle w:val="Default"/>
        <w:ind w:left="1440" w:right="1440"/>
        <w:rPr>
          <w:sz w:val="26"/>
          <w:szCs w:val="26"/>
        </w:rPr>
      </w:pPr>
      <w:r w:rsidRPr="000A5051">
        <w:rPr>
          <w:sz w:val="26"/>
          <w:szCs w:val="26"/>
        </w:rPr>
        <w:t xml:space="preserve">• A discussion to illustrate how managing integrity lengthens pipeline life. </w:t>
      </w:r>
    </w:p>
    <w:p w14:paraId="68BD5DBD" w14:textId="77777777" w:rsidR="009C5D6A" w:rsidRPr="000A5051" w:rsidRDefault="009C5D6A" w:rsidP="009C5D6A">
      <w:pPr>
        <w:autoSpaceDE w:val="0"/>
        <w:autoSpaceDN w:val="0"/>
        <w:adjustRightInd w:val="0"/>
        <w:ind w:left="1440" w:right="1440"/>
        <w:rPr>
          <w:rFonts w:eastAsiaTheme="minorHAnsi"/>
          <w:color w:val="000000"/>
          <w:sz w:val="26"/>
          <w:szCs w:val="26"/>
        </w:rPr>
      </w:pPr>
    </w:p>
    <w:p w14:paraId="43C20562" w14:textId="77777777" w:rsidR="009C5D6A" w:rsidRDefault="009C5D6A" w:rsidP="00C5494A">
      <w:pPr>
        <w:pStyle w:val="Default"/>
        <w:ind w:left="1440" w:right="1440"/>
        <w:rPr>
          <w:sz w:val="26"/>
          <w:szCs w:val="26"/>
        </w:rPr>
      </w:pPr>
      <w:r w:rsidRPr="000A5051">
        <w:rPr>
          <w:sz w:val="26"/>
          <w:szCs w:val="26"/>
        </w:rPr>
        <w:t xml:space="preserve">For so long as ME1 remains in Highly Volatile Liquid (“HVL”) service, SPLP agrees to supplement the Remaining Life Study by providing a summary report on an annual basis that summarizes SPLP’s continual process of evaluation and assessment to maintain the pipeline integrity of ME1. The report will also include a list of the next year’s planned preventative and mitigative actions (such as system improvements) and a list of integrity enhancements that were performed on ME1 the prior year, as required by and consistent with the applicable 49 C.F.R. Part 195 requirements. The public version of the report shall not contain information that is proprietary or contains information subject to the Public Utility Confidential Security Information Disclosure Protection Act, 35 P.S. §§ 2141.1 to 2141.6, and the Commission’s regulations implementing such Act at 52 Pa. Code §§ 102.1 -102.4. </w:t>
      </w:r>
    </w:p>
    <w:p w14:paraId="055565C2" w14:textId="77777777" w:rsidR="00DF3463" w:rsidRPr="004E64B8" w:rsidRDefault="00DF3463" w:rsidP="00E31339">
      <w:pPr>
        <w:spacing w:line="480" w:lineRule="auto"/>
        <w:ind w:firstLine="1440"/>
        <w:contextualSpacing/>
        <w:rPr>
          <w:sz w:val="26"/>
          <w:szCs w:val="26"/>
        </w:rPr>
      </w:pPr>
    </w:p>
    <w:p w14:paraId="382D7F32" w14:textId="77777777" w:rsidR="00956972" w:rsidRPr="004E64B8" w:rsidRDefault="00956972" w:rsidP="00E31339">
      <w:pPr>
        <w:keepNext/>
        <w:keepLines/>
        <w:spacing w:line="360" w:lineRule="auto"/>
        <w:contextualSpacing/>
        <w:jc w:val="center"/>
        <w:rPr>
          <w:b/>
          <w:sz w:val="26"/>
          <w:szCs w:val="26"/>
        </w:rPr>
      </w:pPr>
      <w:r w:rsidRPr="004E64B8">
        <w:rPr>
          <w:b/>
          <w:sz w:val="26"/>
          <w:szCs w:val="26"/>
        </w:rPr>
        <w:t>Conclusion</w:t>
      </w:r>
    </w:p>
    <w:p w14:paraId="44757216" w14:textId="77777777" w:rsidR="006C56A5" w:rsidRPr="004E64B8" w:rsidRDefault="006C56A5" w:rsidP="00E31339">
      <w:pPr>
        <w:keepNext/>
        <w:keepLines/>
        <w:spacing w:line="360" w:lineRule="auto"/>
        <w:contextualSpacing/>
        <w:rPr>
          <w:sz w:val="26"/>
          <w:szCs w:val="26"/>
        </w:rPr>
      </w:pPr>
    </w:p>
    <w:p w14:paraId="68A6966C" w14:textId="77777777" w:rsidR="00E00873" w:rsidRDefault="008E7CDD" w:rsidP="008E7CDD">
      <w:pPr>
        <w:spacing w:line="360" w:lineRule="auto"/>
        <w:ind w:firstLine="1440"/>
        <w:rPr>
          <w:rFonts w:eastAsiaTheme="minorHAnsi"/>
          <w:sz w:val="26"/>
          <w:szCs w:val="26"/>
        </w:rPr>
      </w:pPr>
      <w:r w:rsidRPr="00F41401">
        <w:rPr>
          <w:rFonts w:eastAsiaTheme="minorHAnsi"/>
          <w:sz w:val="26"/>
          <w:szCs w:val="26"/>
        </w:rPr>
        <w:t>In light of the above, we shall issue this Tentative Opinion and Order that adopts the ALJ’s</w:t>
      </w:r>
      <w:r>
        <w:rPr>
          <w:rFonts w:eastAsiaTheme="minorHAnsi"/>
          <w:sz w:val="26"/>
          <w:szCs w:val="26"/>
        </w:rPr>
        <w:t xml:space="preserve"> Initial</w:t>
      </w:r>
      <w:r w:rsidRPr="00F41401">
        <w:rPr>
          <w:rFonts w:eastAsiaTheme="minorHAnsi"/>
          <w:sz w:val="26"/>
          <w:szCs w:val="26"/>
        </w:rPr>
        <w:t xml:space="preserve"> Decision to approve the Settlement, as modified.  A</w:t>
      </w:r>
      <w:r w:rsidRPr="00F41401">
        <w:rPr>
          <w:sz w:val="26"/>
          <w:szCs w:val="26"/>
        </w:rPr>
        <w:t>ny active parties and interested parties shall have ten (10) days from the date of entry of this Tentative Opinion and Order to file comments, and pursuant to the terms of the Settlement</w:t>
      </w:r>
      <w:r>
        <w:rPr>
          <w:sz w:val="26"/>
          <w:szCs w:val="26"/>
        </w:rPr>
        <w:t>,</w:t>
      </w:r>
      <w:r w:rsidRPr="00F41401">
        <w:rPr>
          <w:sz w:val="26"/>
          <w:szCs w:val="26"/>
        </w:rPr>
        <w:t xml:space="preserve"> the Joint Petitioners will have</w:t>
      </w:r>
      <w:r w:rsidR="00987676">
        <w:rPr>
          <w:sz w:val="26"/>
          <w:szCs w:val="26"/>
        </w:rPr>
        <w:t xml:space="preserve"> twenty </w:t>
      </w:r>
      <w:r w:rsidRPr="00F41401">
        <w:rPr>
          <w:sz w:val="26"/>
          <w:szCs w:val="26"/>
        </w:rPr>
        <w:t>(</w:t>
      </w:r>
      <w:r w:rsidR="00987676">
        <w:rPr>
          <w:sz w:val="26"/>
          <w:szCs w:val="26"/>
        </w:rPr>
        <w:t>20</w:t>
      </w:r>
      <w:r w:rsidRPr="00F41401">
        <w:rPr>
          <w:sz w:val="26"/>
          <w:szCs w:val="26"/>
        </w:rPr>
        <w:t xml:space="preserve">) days from the date of this </w:t>
      </w:r>
      <w:r w:rsidRPr="00F41401">
        <w:rPr>
          <w:sz w:val="26"/>
          <w:szCs w:val="26"/>
        </w:rPr>
        <w:lastRenderedPageBreak/>
        <w:t xml:space="preserve">Tentative Opinion and Order </w:t>
      </w:r>
      <w:r w:rsidRPr="00401971">
        <w:rPr>
          <w:rFonts w:eastAsiaTheme="minorHAnsi"/>
          <w:sz w:val="26"/>
          <w:szCs w:val="26"/>
        </w:rPr>
        <w:t>to withdraw from the Settlement</w:t>
      </w:r>
      <w:r w:rsidRPr="006F1567">
        <w:rPr>
          <w:rFonts w:eastAsiaTheme="minorHAnsi"/>
          <w:sz w:val="26"/>
          <w:szCs w:val="26"/>
        </w:rPr>
        <w:t>.</w:t>
      </w:r>
      <w:r w:rsidRPr="00F41401">
        <w:rPr>
          <w:rFonts w:eastAsiaTheme="minorHAnsi"/>
          <w:sz w:val="26"/>
          <w:szCs w:val="26"/>
        </w:rPr>
        <w:t xml:space="preserve">  If no adverse comments are received and if no party withdraws from the Settlement Agreement, this Tentative Opinion and Order shall become final without further Commission action; </w:t>
      </w:r>
    </w:p>
    <w:p w14:paraId="59E5A4AB" w14:textId="77777777" w:rsidR="008E7CDD" w:rsidRPr="00F41401" w:rsidRDefault="008E7CDD" w:rsidP="00E45BD7">
      <w:pPr>
        <w:spacing w:line="360" w:lineRule="auto"/>
        <w:rPr>
          <w:sz w:val="26"/>
          <w:szCs w:val="26"/>
        </w:rPr>
      </w:pPr>
      <w:r w:rsidRPr="00F41401">
        <w:rPr>
          <w:b/>
          <w:sz w:val="26"/>
          <w:szCs w:val="26"/>
        </w:rPr>
        <w:t>THEREFORE,</w:t>
      </w:r>
    </w:p>
    <w:p w14:paraId="59EB227D" w14:textId="77777777" w:rsidR="008E7CDD" w:rsidRPr="00F41401" w:rsidRDefault="008E7CDD" w:rsidP="00E31339">
      <w:pPr>
        <w:spacing w:line="360" w:lineRule="auto"/>
        <w:rPr>
          <w:sz w:val="26"/>
          <w:szCs w:val="26"/>
        </w:rPr>
      </w:pPr>
    </w:p>
    <w:p w14:paraId="2C97049B" w14:textId="77777777" w:rsidR="001A1AD3" w:rsidRPr="004E64B8" w:rsidRDefault="001A1AD3" w:rsidP="004E64B8">
      <w:pPr>
        <w:spacing w:line="360" w:lineRule="auto"/>
        <w:contextualSpacing/>
        <w:rPr>
          <w:b/>
          <w:sz w:val="26"/>
          <w:szCs w:val="26"/>
        </w:rPr>
      </w:pPr>
      <w:r w:rsidRPr="004E64B8">
        <w:rPr>
          <w:sz w:val="26"/>
          <w:szCs w:val="26"/>
        </w:rPr>
        <w:tab/>
      </w:r>
      <w:r w:rsidRPr="004E64B8">
        <w:rPr>
          <w:sz w:val="26"/>
          <w:szCs w:val="26"/>
        </w:rPr>
        <w:tab/>
      </w:r>
      <w:r w:rsidRPr="004E64B8">
        <w:rPr>
          <w:b/>
          <w:sz w:val="26"/>
          <w:szCs w:val="26"/>
        </w:rPr>
        <w:t>IT IS ORDERED:</w:t>
      </w:r>
    </w:p>
    <w:p w14:paraId="38987711" w14:textId="77777777" w:rsidR="001A1AD3" w:rsidRPr="004E64B8" w:rsidRDefault="001A1AD3" w:rsidP="004E64B8">
      <w:pPr>
        <w:spacing w:line="360" w:lineRule="auto"/>
        <w:contextualSpacing/>
        <w:rPr>
          <w:sz w:val="26"/>
          <w:szCs w:val="26"/>
        </w:rPr>
      </w:pPr>
    </w:p>
    <w:p w14:paraId="4C1C88F6" w14:textId="77777777" w:rsidR="00166135" w:rsidRDefault="00431F78" w:rsidP="00166135">
      <w:pPr>
        <w:pStyle w:val="ListParagraph"/>
        <w:numPr>
          <w:ilvl w:val="0"/>
          <w:numId w:val="24"/>
        </w:numPr>
        <w:spacing w:line="360" w:lineRule="auto"/>
        <w:ind w:left="0" w:firstLine="1440"/>
        <w:rPr>
          <w:sz w:val="26"/>
          <w:szCs w:val="26"/>
        </w:rPr>
      </w:pPr>
      <w:r w:rsidRPr="00166135">
        <w:rPr>
          <w:sz w:val="26"/>
          <w:szCs w:val="26"/>
        </w:rPr>
        <w:t xml:space="preserve">That </w:t>
      </w:r>
      <w:r w:rsidR="009D0B36" w:rsidRPr="00166135">
        <w:rPr>
          <w:sz w:val="26"/>
          <w:szCs w:val="26"/>
        </w:rPr>
        <w:t>the</w:t>
      </w:r>
      <w:r w:rsidR="004A0A0E">
        <w:rPr>
          <w:sz w:val="26"/>
          <w:szCs w:val="26"/>
        </w:rPr>
        <w:t xml:space="preserve"> Initial </w:t>
      </w:r>
      <w:r w:rsidR="009D0B36" w:rsidRPr="00166135">
        <w:rPr>
          <w:sz w:val="26"/>
          <w:szCs w:val="26"/>
        </w:rPr>
        <w:t xml:space="preserve">Decision of Administrative Law Judge </w:t>
      </w:r>
      <w:r w:rsidR="00A915BB" w:rsidRPr="00166135">
        <w:rPr>
          <w:sz w:val="26"/>
          <w:szCs w:val="26"/>
        </w:rPr>
        <w:t>Elizabeth H. Barnes, issued on December 20, 2019</w:t>
      </w:r>
      <w:r w:rsidR="00622281" w:rsidRPr="00166135">
        <w:rPr>
          <w:sz w:val="26"/>
          <w:szCs w:val="26"/>
        </w:rPr>
        <w:t xml:space="preserve">, </w:t>
      </w:r>
      <w:r w:rsidR="009D0B36" w:rsidRPr="00166135">
        <w:rPr>
          <w:sz w:val="26"/>
          <w:szCs w:val="26"/>
        </w:rPr>
        <w:t xml:space="preserve">as it pertains to </w:t>
      </w:r>
      <w:r w:rsidR="00A915BB" w:rsidRPr="00166135">
        <w:rPr>
          <w:sz w:val="26"/>
          <w:szCs w:val="26"/>
        </w:rPr>
        <w:t xml:space="preserve">the Joint Petition for Approval of Settlement filed on April 3, 2019, </w:t>
      </w:r>
      <w:r w:rsidR="00166135" w:rsidRPr="00166135">
        <w:rPr>
          <w:sz w:val="26"/>
          <w:szCs w:val="26"/>
        </w:rPr>
        <w:t xml:space="preserve">at Docket Number C-2018-3006534, </w:t>
      </w:r>
      <w:r w:rsidR="00A915BB" w:rsidRPr="00166135">
        <w:rPr>
          <w:sz w:val="26"/>
          <w:szCs w:val="26"/>
        </w:rPr>
        <w:t>by the</w:t>
      </w:r>
      <w:r w:rsidR="00A80E67">
        <w:rPr>
          <w:sz w:val="26"/>
          <w:szCs w:val="26"/>
        </w:rPr>
        <w:t xml:space="preserve"> </w:t>
      </w:r>
      <w:r w:rsidR="00E167BB">
        <w:rPr>
          <w:sz w:val="26"/>
          <w:szCs w:val="26"/>
        </w:rPr>
        <w:t xml:space="preserve">Commission’s </w:t>
      </w:r>
      <w:r w:rsidR="00A915BB" w:rsidRPr="00166135">
        <w:rPr>
          <w:sz w:val="26"/>
          <w:szCs w:val="26"/>
        </w:rPr>
        <w:t xml:space="preserve">Bureau of Investigation and Enforcement and Sunoco Pipeline, L.P., as amended on June 28, 2019 by the Addendum to </w:t>
      </w:r>
      <w:r w:rsidR="00203954">
        <w:rPr>
          <w:sz w:val="26"/>
          <w:szCs w:val="26"/>
        </w:rPr>
        <w:t xml:space="preserve">the </w:t>
      </w:r>
      <w:r w:rsidR="00A915BB" w:rsidRPr="00166135">
        <w:rPr>
          <w:sz w:val="26"/>
          <w:szCs w:val="26"/>
        </w:rPr>
        <w:t>April 3, 2013 Joint Petition for Approval of Settlement</w:t>
      </w:r>
      <w:r w:rsidR="006652C6" w:rsidRPr="00166135">
        <w:rPr>
          <w:sz w:val="26"/>
          <w:szCs w:val="26"/>
        </w:rPr>
        <w:t>,</w:t>
      </w:r>
      <w:r w:rsidR="008E45DB" w:rsidRPr="00166135">
        <w:rPr>
          <w:sz w:val="26"/>
          <w:szCs w:val="26"/>
        </w:rPr>
        <w:t xml:space="preserve"> </w:t>
      </w:r>
      <w:r w:rsidR="005154BC" w:rsidRPr="00166135">
        <w:rPr>
          <w:sz w:val="26"/>
          <w:szCs w:val="26"/>
        </w:rPr>
        <w:t xml:space="preserve">is </w:t>
      </w:r>
      <w:r w:rsidR="00E90EE6" w:rsidRPr="00166135">
        <w:rPr>
          <w:sz w:val="26"/>
          <w:szCs w:val="26"/>
        </w:rPr>
        <w:t>adopted</w:t>
      </w:r>
      <w:r w:rsidR="00277E9A" w:rsidRPr="00166135">
        <w:rPr>
          <w:sz w:val="26"/>
          <w:szCs w:val="26"/>
        </w:rPr>
        <w:t xml:space="preserve">, </w:t>
      </w:r>
      <w:r w:rsidR="00E90EE6" w:rsidRPr="00166135">
        <w:rPr>
          <w:sz w:val="26"/>
          <w:szCs w:val="26"/>
        </w:rPr>
        <w:t>as</w:t>
      </w:r>
      <w:r w:rsidR="00984653" w:rsidRPr="00166135">
        <w:rPr>
          <w:sz w:val="26"/>
          <w:szCs w:val="26"/>
        </w:rPr>
        <w:t xml:space="preserve"> modified</w:t>
      </w:r>
      <w:r w:rsidR="0044464B" w:rsidRPr="00166135">
        <w:rPr>
          <w:sz w:val="26"/>
          <w:szCs w:val="26"/>
        </w:rPr>
        <w:t xml:space="preserve"> </w:t>
      </w:r>
      <w:r w:rsidR="00E90EE6" w:rsidRPr="00166135">
        <w:rPr>
          <w:sz w:val="26"/>
          <w:szCs w:val="26"/>
        </w:rPr>
        <w:t>by</w:t>
      </w:r>
      <w:r w:rsidR="00243CC9" w:rsidRPr="00166135">
        <w:rPr>
          <w:sz w:val="26"/>
          <w:szCs w:val="26"/>
        </w:rPr>
        <w:t xml:space="preserve"> this </w:t>
      </w:r>
      <w:r w:rsidR="00984653" w:rsidRPr="00166135">
        <w:rPr>
          <w:sz w:val="26"/>
          <w:szCs w:val="26"/>
        </w:rPr>
        <w:t xml:space="preserve">Tentative </w:t>
      </w:r>
      <w:r w:rsidR="00243CC9" w:rsidRPr="00166135">
        <w:rPr>
          <w:sz w:val="26"/>
          <w:szCs w:val="26"/>
        </w:rPr>
        <w:t>Opinion and Order</w:t>
      </w:r>
      <w:r w:rsidR="00166135" w:rsidRPr="00166135">
        <w:rPr>
          <w:sz w:val="26"/>
          <w:szCs w:val="26"/>
        </w:rPr>
        <w:t>.</w:t>
      </w:r>
    </w:p>
    <w:p w14:paraId="7DBF31A3" w14:textId="77777777" w:rsidR="00166135" w:rsidRPr="00166135" w:rsidRDefault="00166135" w:rsidP="00166135">
      <w:pPr>
        <w:pStyle w:val="ListParagraph"/>
        <w:spacing w:line="360" w:lineRule="auto"/>
        <w:ind w:left="1440"/>
        <w:rPr>
          <w:sz w:val="26"/>
          <w:szCs w:val="26"/>
        </w:rPr>
      </w:pPr>
    </w:p>
    <w:p w14:paraId="2AE0261D" w14:textId="77777777" w:rsidR="00166135" w:rsidRPr="00166135" w:rsidRDefault="00166135" w:rsidP="00E45BD7">
      <w:pPr>
        <w:pStyle w:val="ListParagraph"/>
        <w:numPr>
          <w:ilvl w:val="0"/>
          <w:numId w:val="24"/>
        </w:numPr>
        <w:autoSpaceDE w:val="0"/>
        <w:autoSpaceDN w:val="0"/>
        <w:spacing w:line="360" w:lineRule="auto"/>
        <w:ind w:left="0" w:firstLine="1440"/>
        <w:rPr>
          <w:sz w:val="26"/>
          <w:szCs w:val="26"/>
        </w:rPr>
      </w:pPr>
      <w:r w:rsidRPr="00166135">
        <w:rPr>
          <w:sz w:val="26"/>
          <w:szCs w:val="26"/>
        </w:rPr>
        <w:t xml:space="preserve">That </w:t>
      </w:r>
      <w:r w:rsidR="004A0A0E" w:rsidRPr="00166135">
        <w:rPr>
          <w:sz w:val="26"/>
          <w:szCs w:val="26"/>
        </w:rPr>
        <w:t xml:space="preserve">Sunoco Pipeline, L.P. </w:t>
      </w:r>
      <w:r w:rsidRPr="00166135">
        <w:rPr>
          <w:sz w:val="26"/>
          <w:szCs w:val="26"/>
        </w:rPr>
        <w:t xml:space="preserve">will pay a civil penalty in the amount of Two Hundred Thousand Dollars ($200,000) pursuant to 49 U.S.C.A. §§ 60122(a)(1) and 60118(a).  Said payment shall be made within thirty (30) days of the date of the Commission’s </w:t>
      </w:r>
      <w:r w:rsidR="00A80E67">
        <w:rPr>
          <w:sz w:val="26"/>
          <w:szCs w:val="26"/>
        </w:rPr>
        <w:t>f</w:t>
      </w:r>
      <w:r w:rsidRPr="00166135">
        <w:rPr>
          <w:sz w:val="26"/>
          <w:szCs w:val="26"/>
        </w:rPr>
        <w:t xml:space="preserve">inal Order approving the Settlement Agreement and shall be made by certified check or money order payable to the “Commonwealth of Pennsylvania.”  The </w:t>
      </w:r>
      <w:r w:rsidR="004A0A0E">
        <w:rPr>
          <w:sz w:val="26"/>
          <w:szCs w:val="26"/>
        </w:rPr>
        <w:t>d</w:t>
      </w:r>
      <w:r w:rsidRPr="00166135">
        <w:rPr>
          <w:sz w:val="26"/>
          <w:szCs w:val="26"/>
        </w:rPr>
        <w:t xml:space="preserve">ocket </w:t>
      </w:r>
      <w:r w:rsidR="004A0A0E">
        <w:rPr>
          <w:sz w:val="26"/>
          <w:szCs w:val="26"/>
        </w:rPr>
        <w:t>n</w:t>
      </w:r>
      <w:r w:rsidRPr="00166135">
        <w:rPr>
          <w:sz w:val="26"/>
          <w:szCs w:val="26"/>
        </w:rPr>
        <w:t>umber of this proceeding, C</w:t>
      </w:r>
      <w:r w:rsidRPr="00166135">
        <w:rPr>
          <w:sz w:val="26"/>
          <w:szCs w:val="26"/>
        </w:rPr>
        <w:noBreakHyphen/>
        <w:t xml:space="preserve">2018-3006534, shall be indicated with the certified check or money order and the payment shall be sent to:  </w:t>
      </w:r>
    </w:p>
    <w:p w14:paraId="7422EF96" w14:textId="77777777" w:rsidR="00166135" w:rsidRPr="00166135" w:rsidRDefault="00166135" w:rsidP="00166135">
      <w:pPr>
        <w:autoSpaceDE w:val="0"/>
        <w:autoSpaceDN w:val="0"/>
        <w:spacing w:line="360" w:lineRule="auto"/>
        <w:ind w:firstLine="1440"/>
        <w:jc w:val="both"/>
        <w:rPr>
          <w:sz w:val="26"/>
          <w:szCs w:val="26"/>
        </w:rPr>
      </w:pPr>
    </w:p>
    <w:p w14:paraId="7B4E5183" w14:textId="77777777" w:rsidR="00166135" w:rsidRPr="00166135" w:rsidRDefault="00166135" w:rsidP="00166135">
      <w:pPr>
        <w:autoSpaceDE w:val="0"/>
        <w:autoSpaceDN w:val="0"/>
        <w:ind w:firstLine="1440"/>
        <w:jc w:val="both"/>
        <w:rPr>
          <w:sz w:val="26"/>
          <w:szCs w:val="26"/>
        </w:rPr>
      </w:pPr>
      <w:r w:rsidRPr="00166135">
        <w:rPr>
          <w:sz w:val="26"/>
          <w:szCs w:val="26"/>
        </w:rPr>
        <w:tab/>
      </w:r>
      <w:r w:rsidRPr="00166135">
        <w:rPr>
          <w:sz w:val="26"/>
          <w:szCs w:val="26"/>
        </w:rPr>
        <w:tab/>
        <w:t>Rosemary Chiavetta, Secretary</w:t>
      </w:r>
    </w:p>
    <w:p w14:paraId="069A10E5" w14:textId="77777777" w:rsidR="00166135" w:rsidRPr="00166135" w:rsidRDefault="00166135" w:rsidP="00166135">
      <w:pPr>
        <w:autoSpaceDE w:val="0"/>
        <w:autoSpaceDN w:val="0"/>
        <w:ind w:firstLine="1440"/>
        <w:jc w:val="both"/>
        <w:rPr>
          <w:sz w:val="26"/>
          <w:szCs w:val="26"/>
        </w:rPr>
      </w:pPr>
      <w:r w:rsidRPr="00166135">
        <w:rPr>
          <w:sz w:val="26"/>
          <w:szCs w:val="26"/>
        </w:rPr>
        <w:tab/>
      </w:r>
      <w:r w:rsidRPr="00166135">
        <w:rPr>
          <w:sz w:val="26"/>
          <w:szCs w:val="26"/>
        </w:rPr>
        <w:tab/>
        <w:t>Pennsylvania Public Utility Commission</w:t>
      </w:r>
    </w:p>
    <w:p w14:paraId="5F86CFDF" w14:textId="77777777" w:rsidR="00166135" w:rsidRPr="00166135" w:rsidRDefault="00166135" w:rsidP="00166135">
      <w:pPr>
        <w:autoSpaceDE w:val="0"/>
        <w:autoSpaceDN w:val="0"/>
        <w:ind w:firstLine="1440"/>
        <w:jc w:val="both"/>
        <w:rPr>
          <w:sz w:val="26"/>
          <w:szCs w:val="26"/>
        </w:rPr>
      </w:pPr>
      <w:r w:rsidRPr="00166135">
        <w:rPr>
          <w:sz w:val="26"/>
          <w:szCs w:val="26"/>
        </w:rPr>
        <w:tab/>
      </w:r>
      <w:r w:rsidRPr="00166135">
        <w:rPr>
          <w:sz w:val="26"/>
          <w:szCs w:val="26"/>
        </w:rPr>
        <w:tab/>
        <w:t>Commonwealth Keystone Building</w:t>
      </w:r>
    </w:p>
    <w:p w14:paraId="51E17E12" w14:textId="77777777" w:rsidR="00166135" w:rsidRPr="00166135" w:rsidRDefault="00166135" w:rsidP="00166135">
      <w:pPr>
        <w:autoSpaceDE w:val="0"/>
        <w:autoSpaceDN w:val="0"/>
        <w:ind w:firstLine="1440"/>
        <w:jc w:val="both"/>
        <w:rPr>
          <w:sz w:val="26"/>
          <w:szCs w:val="26"/>
        </w:rPr>
      </w:pPr>
      <w:r w:rsidRPr="00166135">
        <w:rPr>
          <w:sz w:val="26"/>
          <w:szCs w:val="26"/>
        </w:rPr>
        <w:tab/>
      </w:r>
      <w:r w:rsidRPr="00166135">
        <w:rPr>
          <w:sz w:val="26"/>
          <w:szCs w:val="26"/>
        </w:rPr>
        <w:tab/>
        <w:t>400 North Street</w:t>
      </w:r>
    </w:p>
    <w:p w14:paraId="52AE4D22" w14:textId="77777777" w:rsidR="00166135" w:rsidRPr="00166135" w:rsidRDefault="00166135" w:rsidP="00166135">
      <w:pPr>
        <w:autoSpaceDE w:val="0"/>
        <w:autoSpaceDN w:val="0"/>
        <w:ind w:left="1440" w:firstLine="1440"/>
        <w:jc w:val="both"/>
        <w:rPr>
          <w:sz w:val="26"/>
          <w:szCs w:val="26"/>
        </w:rPr>
      </w:pPr>
      <w:r w:rsidRPr="00166135">
        <w:rPr>
          <w:sz w:val="26"/>
          <w:szCs w:val="26"/>
        </w:rPr>
        <w:t xml:space="preserve">Harrisburg, PA 17120 </w:t>
      </w:r>
    </w:p>
    <w:p w14:paraId="03D1EDF8" w14:textId="77777777" w:rsidR="00166135" w:rsidRPr="00166135" w:rsidRDefault="00166135" w:rsidP="00166135">
      <w:pPr>
        <w:autoSpaceDE w:val="0"/>
        <w:autoSpaceDN w:val="0"/>
        <w:spacing w:line="360" w:lineRule="auto"/>
        <w:ind w:firstLine="1440"/>
        <w:jc w:val="both"/>
        <w:rPr>
          <w:sz w:val="26"/>
          <w:szCs w:val="26"/>
        </w:rPr>
      </w:pPr>
    </w:p>
    <w:p w14:paraId="27A2E3B0" w14:textId="77777777" w:rsidR="00166135" w:rsidRDefault="00166135" w:rsidP="006D78B1">
      <w:pPr>
        <w:autoSpaceDE w:val="0"/>
        <w:autoSpaceDN w:val="0"/>
        <w:spacing w:line="360" w:lineRule="auto"/>
        <w:jc w:val="both"/>
        <w:rPr>
          <w:sz w:val="26"/>
          <w:szCs w:val="26"/>
        </w:rPr>
      </w:pPr>
      <w:r w:rsidRPr="00166135">
        <w:rPr>
          <w:sz w:val="26"/>
          <w:szCs w:val="26"/>
        </w:rPr>
        <w:t>The civil penalty shall not be tax deductible pursuant to Section 162(f) of the Internal Revenue Code, 26 U.S.C.S. § 162(f).</w:t>
      </w:r>
      <w:r>
        <w:rPr>
          <w:sz w:val="26"/>
          <w:szCs w:val="26"/>
        </w:rPr>
        <w:t xml:space="preserve"> </w:t>
      </w:r>
    </w:p>
    <w:p w14:paraId="086FB310" w14:textId="5D42F6FD" w:rsidR="00166135" w:rsidRDefault="00166135" w:rsidP="00E45BD7">
      <w:pPr>
        <w:pStyle w:val="ListParagraph"/>
        <w:numPr>
          <w:ilvl w:val="0"/>
          <w:numId w:val="24"/>
        </w:numPr>
        <w:autoSpaceDE w:val="0"/>
        <w:autoSpaceDN w:val="0"/>
        <w:spacing w:line="360" w:lineRule="auto"/>
        <w:ind w:left="0" w:firstLine="1440"/>
        <w:rPr>
          <w:sz w:val="26"/>
          <w:szCs w:val="26"/>
        </w:rPr>
      </w:pPr>
      <w:r w:rsidRPr="00166135">
        <w:rPr>
          <w:sz w:val="26"/>
          <w:szCs w:val="26"/>
        </w:rPr>
        <w:lastRenderedPageBreak/>
        <w:t>That Sunoco Pipeline, L.P.</w:t>
      </w:r>
      <w:r>
        <w:rPr>
          <w:sz w:val="26"/>
          <w:szCs w:val="26"/>
        </w:rPr>
        <w:t xml:space="preserve"> </w:t>
      </w:r>
      <w:r w:rsidRPr="00166135">
        <w:rPr>
          <w:sz w:val="26"/>
          <w:szCs w:val="26"/>
        </w:rPr>
        <w:t xml:space="preserve">shall retain an independent expert, unaffiliated with Sunoco Pipeline, L.P. or its affiliates, as selected by the </w:t>
      </w:r>
      <w:r w:rsidR="00E167BB">
        <w:rPr>
          <w:sz w:val="26"/>
          <w:szCs w:val="26"/>
        </w:rPr>
        <w:t xml:space="preserve">Commission’s </w:t>
      </w:r>
      <w:r w:rsidRPr="00166135">
        <w:rPr>
          <w:sz w:val="26"/>
          <w:szCs w:val="26"/>
        </w:rPr>
        <w:t>Bureau of Investigation and Enforcement to conduct a Remaining Life Study that will consist of a summary of Sunoco Pipeline, L.P.’s Integrity Management Plan (“IMP”), a remaining life evaluation of M</w:t>
      </w:r>
      <w:r w:rsidR="00BD06E2">
        <w:rPr>
          <w:sz w:val="26"/>
          <w:szCs w:val="26"/>
        </w:rPr>
        <w:t xml:space="preserve">ariner </w:t>
      </w:r>
      <w:r w:rsidRPr="00166135">
        <w:rPr>
          <w:sz w:val="26"/>
          <w:szCs w:val="26"/>
        </w:rPr>
        <w:t>E</w:t>
      </w:r>
      <w:r w:rsidR="00BD06E2">
        <w:rPr>
          <w:sz w:val="26"/>
          <w:szCs w:val="26"/>
        </w:rPr>
        <w:t xml:space="preserve">ast </w:t>
      </w:r>
      <w:r w:rsidRPr="00166135">
        <w:rPr>
          <w:sz w:val="26"/>
          <w:szCs w:val="26"/>
        </w:rPr>
        <w:t>1, calculations that are described in</w:t>
      </w:r>
      <w:r w:rsidR="00971B7E">
        <w:rPr>
          <w:sz w:val="26"/>
          <w:szCs w:val="26"/>
        </w:rPr>
        <w:t xml:space="preserve"> </w:t>
      </w:r>
      <w:r w:rsidR="00664A88">
        <w:rPr>
          <w:sz w:val="26"/>
          <w:szCs w:val="26"/>
        </w:rPr>
        <w:t xml:space="preserve">the </w:t>
      </w:r>
      <w:r w:rsidR="00971B7E">
        <w:rPr>
          <w:sz w:val="26"/>
          <w:szCs w:val="26"/>
        </w:rPr>
        <w:t>Settlement Agreement</w:t>
      </w:r>
      <w:r w:rsidRPr="00166135">
        <w:rPr>
          <w:sz w:val="26"/>
          <w:szCs w:val="26"/>
        </w:rPr>
        <w:t>, and will be forward-looking in manner, and intended to assess the longevity of M</w:t>
      </w:r>
      <w:r w:rsidR="00BD06E2">
        <w:rPr>
          <w:sz w:val="26"/>
          <w:szCs w:val="26"/>
        </w:rPr>
        <w:t xml:space="preserve">ariner </w:t>
      </w:r>
      <w:r w:rsidRPr="00166135">
        <w:rPr>
          <w:sz w:val="26"/>
          <w:szCs w:val="26"/>
        </w:rPr>
        <w:t>E</w:t>
      </w:r>
      <w:r w:rsidR="00BD06E2">
        <w:rPr>
          <w:sz w:val="26"/>
          <w:szCs w:val="26"/>
        </w:rPr>
        <w:t xml:space="preserve">ast </w:t>
      </w:r>
      <w:r w:rsidRPr="00166135">
        <w:rPr>
          <w:sz w:val="26"/>
          <w:szCs w:val="26"/>
        </w:rPr>
        <w:t xml:space="preserve">1.  </w:t>
      </w:r>
    </w:p>
    <w:p w14:paraId="4035295B" w14:textId="77777777" w:rsidR="009803C8" w:rsidRDefault="009803C8" w:rsidP="009803C8">
      <w:pPr>
        <w:pStyle w:val="ListParagraph"/>
        <w:autoSpaceDE w:val="0"/>
        <w:autoSpaceDN w:val="0"/>
        <w:spacing w:line="360" w:lineRule="auto"/>
        <w:ind w:left="1440"/>
        <w:jc w:val="both"/>
        <w:rPr>
          <w:sz w:val="26"/>
          <w:szCs w:val="26"/>
        </w:rPr>
      </w:pPr>
    </w:p>
    <w:p w14:paraId="528058E8" w14:textId="77777777" w:rsidR="00DD3E8F" w:rsidRDefault="00DD3E8F" w:rsidP="00E45BD7">
      <w:pPr>
        <w:pStyle w:val="ListParagraph"/>
        <w:numPr>
          <w:ilvl w:val="0"/>
          <w:numId w:val="24"/>
        </w:numPr>
        <w:autoSpaceDE w:val="0"/>
        <w:autoSpaceDN w:val="0"/>
        <w:spacing w:line="360" w:lineRule="auto"/>
        <w:ind w:left="0" w:firstLine="1440"/>
        <w:rPr>
          <w:sz w:val="26"/>
          <w:szCs w:val="26"/>
        </w:rPr>
      </w:pPr>
      <w:r w:rsidRPr="00DD3E8F">
        <w:rPr>
          <w:sz w:val="26"/>
          <w:szCs w:val="26"/>
        </w:rPr>
        <w:t xml:space="preserve">That the Remaining Life Study shall be conducted by a qualified independent expert that has conducted independent studies for, but not limited to, governmental entities, such as the Pipeline and Hazardous Materials Safety Administration (“PHMSA”) or State Commissions, and the Pipeline Research Counsel International (“PRCI”), American Petroleum Institute (“API”), or the Interstate Natural Gas Association of America (“INGAA”).  </w:t>
      </w:r>
    </w:p>
    <w:p w14:paraId="20DF95BF" w14:textId="77777777" w:rsidR="0072100F" w:rsidRPr="00DD3E8F" w:rsidRDefault="0072100F" w:rsidP="00E45BD7">
      <w:pPr>
        <w:pStyle w:val="ListParagraph"/>
        <w:autoSpaceDE w:val="0"/>
        <w:autoSpaceDN w:val="0"/>
        <w:spacing w:line="360" w:lineRule="auto"/>
        <w:ind w:left="1440"/>
        <w:rPr>
          <w:sz w:val="26"/>
          <w:szCs w:val="26"/>
        </w:rPr>
      </w:pPr>
    </w:p>
    <w:p w14:paraId="3C809595" w14:textId="77777777" w:rsidR="0072100F" w:rsidRPr="00132DE7" w:rsidRDefault="0072100F" w:rsidP="00E45BD7">
      <w:pPr>
        <w:autoSpaceDE w:val="0"/>
        <w:autoSpaceDN w:val="0"/>
        <w:spacing w:line="360" w:lineRule="auto"/>
        <w:ind w:firstLine="1440"/>
        <w:rPr>
          <w:sz w:val="26"/>
          <w:szCs w:val="26"/>
        </w:rPr>
      </w:pPr>
      <w:r w:rsidRPr="00132DE7">
        <w:rPr>
          <w:sz w:val="26"/>
          <w:szCs w:val="26"/>
        </w:rPr>
        <w:t>5.</w:t>
      </w:r>
      <w:r w:rsidRPr="00132DE7">
        <w:rPr>
          <w:sz w:val="26"/>
          <w:szCs w:val="26"/>
        </w:rPr>
        <w:tab/>
        <w:t xml:space="preserve">That within thirty (30) days of entry of a </w:t>
      </w:r>
      <w:r w:rsidR="00A80E67">
        <w:rPr>
          <w:sz w:val="26"/>
          <w:szCs w:val="26"/>
        </w:rPr>
        <w:t>f</w:t>
      </w:r>
      <w:r w:rsidRPr="00132DE7">
        <w:rPr>
          <w:sz w:val="26"/>
          <w:szCs w:val="26"/>
        </w:rPr>
        <w:t xml:space="preserve">inal Commission Order approving any settlement of this matter, Sunoco Pipeline, L.P. shall provide the </w:t>
      </w:r>
      <w:r w:rsidR="00995700">
        <w:rPr>
          <w:sz w:val="26"/>
          <w:szCs w:val="26"/>
        </w:rPr>
        <w:t xml:space="preserve">Commission’s </w:t>
      </w:r>
      <w:r w:rsidRPr="00132DE7">
        <w:rPr>
          <w:sz w:val="26"/>
          <w:szCs w:val="26"/>
        </w:rPr>
        <w:t>Bureau of Investigation and Enforcement with a list of three (3) proposed independent experts, along with contact information, a brief description of the expert’s background and a disclosure as to whether the proposed expert performed any work in relation to M</w:t>
      </w:r>
      <w:r w:rsidR="00132DE7">
        <w:rPr>
          <w:sz w:val="26"/>
          <w:szCs w:val="26"/>
        </w:rPr>
        <w:t xml:space="preserve">ariner </w:t>
      </w:r>
      <w:r w:rsidRPr="00132DE7">
        <w:rPr>
          <w:sz w:val="26"/>
          <w:szCs w:val="26"/>
        </w:rPr>
        <w:t>E</w:t>
      </w:r>
      <w:r w:rsidR="00132DE7">
        <w:rPr>
          <w:sz w:val="26"/>
          <w:szCs w:val="26"/>
        </w:rPr>
        <w:t xml:space="preserve">ast </w:t>
      </w:r>
      <w:r w:rsidRPr="00132DE7">
        <w:rPr>
          <w:sz w:val="26"/>
          <w:szCs w:val="26"/>
        </w:rPr>
        <w:t xml:space="preserve">1 as well as a description of that work. </w:t>
      </w:r>
    </w:p>
    <w:p w14:paraId="2BF73CC3" w14:textId="77777777" w:rsidR="0072100F" w:rsidRPr="00105726" w:rsidRDefault="0072100F" w:rsidP="00E45BD7">
      <w:pPr>
        <w:pStyle w:val="ListParagraph"/>
        <w:autoSpaceDE w:val="0"/>
        <w:autoSpaceDN w:val="0"/>
        <w:spacing w:line="360" w:lineRule="auto"/>
        <w:ind w:left="2160"/>
      </w:pPr>
    </w:p>
    <w:p w14:paraId="46E2D131" w14:textId="5A9C07E5" w:rsidR="0072100F" w:rsidRPr="00E45BD7" w:rsidRDefault="0072100F" w:rsidP="00E45BD7">
      <w:pPr>
        <w:pStyle w:val="ListParagraph"/>
        <w:numPr>
          <w:ilvl w:val="0"/>
          <w:numId w:val="26"/>
        </w:numPr>
        <w:autoSpaceDE w:val="0"/>
        <w:autoSpaceDN w:val="0"/>
        <w:spacing w:line="360" w:lineRule="auto"/>
        <w:ind w:left="0" w:firstLine="1440"/>
        <w:rPr>
          <w:sz w:val="26"/>
          <w:szCs w:val="26"/>
        </w:rPr>
      </w:pPr>
      <w:r w:rsidRPr="00E45BD7">
        <w:rPr>
          <w:sz w:val="26"/>
          <w:szCs w:val="26"/>
        </w:rPr>
        <w:t xml:space="preserve">That </w:t>
      </w:r>
      <w:r w:rsidR="00995700" w:rsidRPr="00E45BD7">
        <w:rPr>
          <w:sz w:val="26"/>
          <w:szCs w:val="26"/>
        </w:rPr>
        <w:t>within thirty (30) days</w:t>
      </w:r>
      <w:r w:rsidR="001D19A1" w:rsidRPr="00E45BD7">
        <w:rPr>
          <w:sz w:val="26"/>
          <w:szCs w:val="26"/>
        </w:rPr>
        <w:t xml:space="preserve"> of receipt of the list, the Commission’s </w:t>
      </w:r>
      <w:r w:rsidRPr="00E45BD7">
        <w:rPr>
          <w:sz w:val="26"/>
          <w:szCs w:val="26"/>
        </w:rPr>
        <w:t xml:space="preserve">Bureau of Investigation and Enforcement shall select one (1) expert from the list provided by Sunoco Pipeline, L.P., which will hire and pay the expert to complete and review the study.  </w:t>
      </w:r>
    </w:p>
    <w:p w14:paraId="0680222A" w14:textId="77777777" w:rsidR="0047285B" w:rsidRDefault="0047285B" w:rsidP="00E45BD7">
      <w:pPr>
        <w:pStyle w:val="ListParagraph"/>
        <w:autoSpaceDE w:val="0"/>
        <w:autoSpaceDN w:val="0"/>
        <w:spacing w:line="360" w:lineRule="auto"/>
        <w:ind w:left="1440"/>
        <w:rPr>
          <w:sz w:val="26"/>
          <w:szCs w:val="26"/>
        </w:rPr>
      </w:pPr>
    </w:p>
    <w:p w14:paraId="7CAB652B" w14:textId="75C4325F" w:rsidR="009803C8" w:rsidRPr="009803C8" w:rsidRDefault="009803C8" w:rsidP="00A47359">
      <w:pPr>
        <w:pStyle w:val="ListParagraph"/>
        <w:numPr>
          <w:ilvl w:val="0"/>
          <w:numId w:val="26"/>
        </w:numPr>
        <w:autoSpaceDE w:val="0"/>
        <w:autoSpaceDN w:val="0"/>
        <w:spacing w:line="360" w:lineRule="auto"/>
        <w:ind w:left="0" w:firstLine="1440"/>
        <w:rPr>
          <w:sz w:val="26"/>
          <w:szCs w:val="26"/>
        </w:rPr>
      </w:pPr>
      <w:r>
        <w:rPr>
          <w:sz w:val="26"/>
          <w:szCs w:val="26"/>
        </w:rPr>
        <w:t>That</w:t>
      </w:r>
      <w:r w:rsidRPr="00A915BB">
        <w:rPr>
          <w:sz w:val="26"/>
          <w:szCs w:val="26"/>
        </w:rPr>
        <w:t xml:space="preserve"> th</w:t>
      </w:r>
      <w:r>
        <w:rPr>
          <w:sz w:val="26"/>
          <w:szCs w:val="26"/>
        </w:rPr>
        <w:t>e</w:t>
      </w:r>
      <w:r w:rsidR="0087656E">
        <w:rPr>
          <w:sz w:val="26"/>
          <w:szCs w:val="26"/>
        </w:rPr>
        <w:t xml:space="preserve"> </w:t>
      </w:r>
      <w:r w:rsidRPr="00A915BB">
        <w:rPr>
          <w:sz w:val="26"/>
          <w:szCs w:val="26"/>
        </w:rPr>
        <w:t xml:space="preserve">expert </w:t>
      </w:r>
      <w:r>
        <w:rPr>
          <w:sz w:val="26"/>
          <w:szCs w:val="26"/>
        </w:rPr>
        <w:t xml:space="preserve">shall disclose any projects </w:t>
      </w:r>
      <w:r w:rsidR="007D211D">
        <w:rPr>
          <w:sz w:val="26"/>
          <w:szCs w:val="26"/>
        </w:rPr>
        <w:t>they</w:t>
      </w:r>
      <w:r>
        <w:rPr>
          <w:sz w:val="26"/>
          <w:szCs w:val="26"/>
        </w:rPr>
        <w:t xml:space="preserve"> </w:t>
      </w:r>
      <w:r w:rsidRPr="00A915BB">
        <w:rPr>
          <w:sz w:val="26"/>
          <w:szCs w:val="26"/>
        </w:rPr>
        <w:t>ha</w:t>
      </w:r>
      <w:r w:rsidR="007D211D">
        <w:rPr>
          <w:sz w:val="26"/>
          <w:szCs w:val="26"/>
        </w:rPr>
        <w:t>ve</w:t>
      </w:r>
      <w:r w:rsidRPr="00A915BB">
        <w:rPr>
          <w:sz w:val="26"/>
          <w:szCs w:val="26"/>
        </w:rPr>
        <w:t xml:space="preserve"> worked on for </w:t>
      </w:r>
      <w:r w:rsidR="00822D03">
        <w:rPr>
          <w:sz w:val="26"/>
          <w:szCs w:val="26"/>
        </w:rPr>
        <w:t xml:space="preserve">Sunoco Pipeline, L.P., </w:t>
      </w:r>
      <w:r w:rsidRPr="00A915BB">
        <w:rPr>
          <w:sz w:val="26"/>
          <w:szCs w:val="26"/>
        </w:rPr>
        <w:t>Sunoco</w:t>
      </w:r>
      <w:r w:rsidR="00137C4A">
        <w:rPr>
          <w:sz w:val="26"/>
          <w:szCs w:val="26"/>
        </w:rPr>
        <w:t xml:space="preserve"> Pipeline L.P.</w:t>
      </w:r>
      <w:r w:rsidRPr="00A915BB">
        <w:rPr>
          <w:sz w:val="26"/>
          <w:szCs w:val="26"/>
        </w:rPr>
        <w:t xml:space="preserve">’s parent company, Energy Transfer Partners, </w:t>
      </w:r>
      <w:r w:rsidRPr="00A915BB">
        <w:rPr>
          <w:sz w:val="26"/>
          <w:szCs w:val="26"/>
        </w:rPr>
        <w:lastRenderedPageBreak/>
        <w:t>or any Sunoco affiliate</w:t>
      </w:r>
      <w:r w:rsidR="0066706F">
        <w:rPr>
          <w:sz w:val="26"/>
          <w:szCs w:val="26"/>
        </w:rPr>
        <w:t xml:space="preserve">.  </w:t>
      </w:r>
      <w:r w:rsidR="0087656E">
        <w:rPr>
          <w:sz w:val="26"/>
          <w:szCs w:val="26"/>
        </w:rPr>
        <w:t xml:space="preserve">Such </w:t>
      </w:r>
      <w:r w:rsidR="0066706F">
        <w:rPr>
          <w:sz w:val="26"/>
          <w:szCs w:val="26"/>
        </w:rPr>
        <w:t>information sh</w:t>
      </w:r>
      <w:r w:rsidR="0087656E">
        <w:rPr>
          <w:sz w:val="26"/>
          <w:szCs w:val="26"/>
        </w:rPr>
        <w:t>all</w:t>
      </w:r>
      <w:r w:rsidR="0066706F">
        <w:rPr>
          <w:sz w:val="26"/>
          <w:szCs w:val="26"/>
        </w:rPr>
        <w:t xml:space="preserve"> be </w:t>
      </w:r>
      <w:r w:rsidRPr="00A915BB">
        <w:rPr>
          <w:sz w:val="26"/>
          <w:szCs w:val="26"/>
        </w:rPr>
        <w:t xml:space="preserve">furnished to </w:t>
      </w:r>
      <w:r w:rsidR="00137C4A">
        <w:rPr>
          <w:sz w:val="26"/>
          <w:szCs w:val="26"/>
        </w:rPr>
        <w:t xml:space="preserve">the Commission’s Bureau of Investigation and Enforcement </w:t>
      </w:r>
      <w:r w:rsidRPr="00A915BB">
        <w:rPr>
          <w:sz w:val="26"/>
          <w:szCs w:val="26"/>
        </w:rPr>
        <w:t>in accordance with the provisions of th</w:t>
      </w:r>
      <w:r w:rsidR="0087656E">
        <w:rPr>
          <w:sz w:val="26"/>
          <w:szCs w:val="26"/>
        </w:rPr>
        <w:t>is</w:t>
      </w:r>
      <w:r w:rsidRPr="00A915BB">
        <w:rPr>
          <w:sz w:val="26"/>
          <w:szCs w:val="26"/>
        </w:rPr>
        <w:t xml:space="preserve"> Settlement Agreement.</w:t>
      </w:r>
    </w:p>
    <w:p w14:paraId="56552080" w14:textId="77777777" w:rsidR="0072100F" w:rsidRPr="00105726" w:rsidRDefault="0072100F" w:rsidP="00A47359">
      <w:pPr>
        <w:autoSpaceDE w:val="0"/>
        <w:autoSpaceDN w:val="0"/>
        <w:spacing w:line="360" w:lineRule="auto"/>
      </w:pPr>
    </w:p>
    <w:p w14:paraId="1ACCAE56" w14:textId="77777777" w:rsidR="0072100F" w:rsidRPr="00137C4A" w:rsidRDefault="0072100F" w:rsidP="00A47359">
      <w:pPr>
        <w:pStyle w:val="ListParagraph"/>
        <w:numPr>
          <w:ilvl w:val="0"/>
          <w:numId w:val="26"/>
        </w:numPr>
        <w:autoSpaceDE w:val="0"/>
        <w:autoSpaceDN w:val="0"/>
        <w:spacing w:line="360" w:lineRule="auto"/>
        <w:ind w:left="0" w:firstLine="1440"/>
        <w:rPr>
          <w:sz w:val="26"/>
          <w:szCs w:val="26"/>
        </w:rPr>
      </w:pPr>
      <w:r w:rsidRPr="00137C4A">
        <w:rPr>
          <w:sz w:val="26"/>
          <w:szCs w:val="26"/>
        </w:rPr>
        <w:t>That a term of the agreement between Sunoco Pipeline</w:t>
      </w:r>
      <w:r w:rsidR="002A2280" w:rsidRPr="00137C4A">
        <w:rPr>
          <w:sz w:val="26"/>
          <w:szCs w:val="26"/>
        </w:rPr>
        <w:t>, L.P</w:t>
      </w:r>
      <w:r w:rsidR="003538E3" w:rsidRPr="00137C4A">
        <w:rPr>
          <w:sz w:val="26"/>
          <w:szCs w:val="26"/>
        </w:rPr>
        <w:t xml:space="preserve">. </w:t>
      </w:r>
      <w:r w:rsidRPr="00137C4A">
        <w:rPr>
          <w:sz w:val="26"/>
          <w:szCs w:val="26"/>
        </w:rPr>
        <w:t>and the expert shall be that the Remaining Life Study shall be completed within six (6) months from being contracted by Sunoco Pipeline, L.P</w:t>
      </w:r>
      <w:r w:rsidR="003538E3" w:rsidRPr="00137C4A">
        <w:rPr>
          <w:sz w:val="26"/>
          <w:szCs w:val="26"/>
        </w:rPr>
        <w:t>.</w:t>
      </w:r>
    </w:p>
    <w:p w14:paraId="3948D8EF" w14:textId="77777777" w:rsidR="00137C4A" w:rsidRPr="00137C4A" w:rsidRDefault="00137C4A" w:rsidP="00A47359">
      <w:pPr>
        <w:pStyle w:val="ListParagraph"/>
        <w:spacing w:line="360" w:lineRule="auto"/>
        <w:rPr>
          <w:sz w:val="26"/>
          <w:szCs w:val="26"/>
        </w:rPr>
      </w:pPr>
    </w:p>
    <w:p w14:paraId="3AB70B70" w14:textId="77777777" w:rsidR="00137C4A" w:rsidRPr="00137C4A" w:rsidRDefault="00137C4A" w:rsidP="00A47359">
      <w:pPr>
        <w:pStyle w:val="ListParagraph"/>
        <w:numPr>
          <w:ilvl w:val="0"/>
          <w:numId w:val="26"/>
        </w:numPr>
        <w:autoSpaceDE w:val="0"/>
        <w:autoSpaceDN w:val="0"/>
        <w:spacing w:line="360" w:lineRule="auto"/>
        <w:ind w:left="0" w:firstLine="1440"/>
        <w:rPr>
          <w:sz w:val="26"/>
          <w:szCs w:val="26"/>
        </w:rPr>
      </w:pPr>
      <w:r w:rsidRPr="00137C4A">
        <w:rPr>
          <w:sz w:val="26"/>
          <w:szCs w:val="26"/>
        </w:rPr>
        <w:t xml:space="preserve">That </w:t>
      </w:r>
      <w:r w:rsidR="001D19A1">
        <w:rPr>
          <w:sz w:val="26"/>
          <w:szCs w:val="26"/>
        </w:rPr>
        <w:t>the</w:t>
      </w:r>
      <w:r w:rsidR="007D211D">
        <w:rPr>
          <w:sz w:val="26"/>
          <w:szCs w:val="26"/>
        </w:rPr>
        <w:t xml:space="preserve"> </w:t>
      </w:r>
      <w:r w:rsidR="001D19A1">
        <w:rPr>
          <w:sz w:val="26"/>
          <w:szCs w:val="26"/>
        </w:rPr>
        <w:t xml:space="preserve">expert shall deliver </w:t>
      </w:r>
      <w:r w:rsidRPr="00137C4A">
        <w:rPr>
          <w:sz w:val="26"/>
          <w:szCs w:val="26"/>
        </w:rPr>
        <w:t>only the final form Study, not interim drafts,</w:t>
      </w:r>
      <w:r w:rsidR="001D19A1">
        <w:rPr>
          <w:sz w:val="26"/>
          <w:szCs w:val="26"/>
        </w:rPr>
        <w:t xml:space="preserve"> </w:t>
      </w:r>
      <w:r w:rsidRPr="00137C4A">
        <w:rPr>
          <w:sz w:val="26"/>
          <w:szCs w:val="26"/>
        </w:rPr>
        <w:t>to Sunoco Pipeline, L.P</w:t>
      </w:r>
      <w:r>
        <w:rPr>
          <w:sz w:val="26"/>
          <w:szCs w:val="26"/>
        </w:rPr>
        <w:t xml:space="preserve">. </w:t>
      </w:r>
      <w:r w:rsidRPr="00137C4A">
        <w:rPr>
          <w:sz w:val="26"/>
          <w:szCs w:val="26"/>
        </w:rPr>
        <w:t xml:space="preserve">and </w:t>
      </w:r>
      <w:r>
        <w:rPr>
          <w:sz w:val="26"/>
          <w:szCs w:val="26"/>
        </w:rPr>
        <w:t xml:space="preserve">the Commission’s Bureau of Investigation and Enforcement </w:t>
      </w:r>
      <w:r w:rsidRPr="00137C4A">
        <w:rPr>
          <w:sz w:val="26"/>
          <w:szCs w:val="26"/>
        </w:rPr>
        <w:t>on or before the end of the agreed upon six-month contract term</w:t>
      </w:r>
      <w:r w:rsidR="001D19A1" w:rsidRPr="001D19A1">
        <w:rPr>
          <w:sz w:val="26"/>
          <w:szCs w:val="26"/>
        </w:rPr>
        <w:t>.</w:t>
      </w:r>
    </w:p>
    <w:p w14:paraId="1B3E8D86" w14:textId="77777777" w:rsidR="00137C4A" w:rsidRPr="00137C4A" w:rsidRDefault="00137C4A" w:rsidP="00A47359">
      <w:pPr>
        <w:pStyle w:val="ListParagraph"/>
        <w:autoSpaceDE w:val="0"/>
        <w:autoSpaceDN w:val="0"/>
        <w:spacing w:line="360" w:lineRule="auto"/>
        <w:ind w:left="2160"/>
        <w:rPr>
          <w:sz w:val="26"/>
          <w:szCs w:val="26"/>
        </w:rPr>
      </w:pPr>
    </w:p>
    <w:p w14:paraId="49C80C3F" w14:textId="77777777" w:rsidR="00A60BF6" w:rsidRPr="00167530" w:rsidRDefault="001D19A1" w:rsidP="00A47359">
      <w:pPr>
        <w:autoSpaceDE w:val="0"/>
        <w:autoSpaceDN w:val="0"/>
        <w:spacing w:line="360" w:lineRule="auto"/>
        <w:ind w:firstLine="1440"/>
        <w:rPr>
          <w:sz w:val="26"/>
          <w:szCs w:val="26"/>
        </w:rPr>
      </w:pPr>
      <w:r>
        <w:rPr>
          <w:sz w:val="26"/>
          <w:szCs w:val="26"/>
        </w:rPr>
        <w:t>9</w:t>
      </w:r>
      <w:r w:rsidR="0072100F" w:rsidRPr="00167530">
        <w:rPr>
          <w:sz w:val="26"/>
          <w:szCs w:val="26"/>
        </w:rPr>
        <w:t>.</w:t>
      </w:r>
      <w:r w:rsidR="0072100F" w:rsidRPr="00167530">
        <w:rPr>
          <w:sz w:val="26"/>
          <w:szCs w:val="26"/>
        </w:rPr>
        <w:tab/>
        <w:t>That a summary of the expert’s findings in its report shall be made public (excluding proprietary or confidential security information).</w:t>
      </w:r>
      <w:r w:rsidR="00A60BF6">
        <w:rPr>
          <w:sz w:val="26"/>
          <w:szCs w:val="26"/>
        </w:rPr>
        <w:t xml:space="preserve"> </w:t>
      </w:r>
    </w:p>
    <w:p w14:paraId="1A8A9A11" w14:textId="77777777" w:rsidR="0072100F" w:rsidRPr="00105726" w:rsidRDefault="0072100F" w:rsidP="00A47359">
      <w:pPr>
        <w:autoSpaceDE w:val="0"/>
        <w:autoSpaceDN w:val="0"/>
        <w:spacing w:line="360" w:lineRule="auto"/>
      </w:pPr>
    </w:p>
    <w:p w14:paraId="52453519" w14:textId="0B5271BB" w:rsidR="0072100F" w:rsidRDefault="001D19A1" w:rsidP="00A47359">
      <w:pPr>
        <w:autoSpaceDE w:val="0"/>
        <w:autoSpaceDN w:val="0"/>
        <w:spacing w:line="360" w:lineRule="auto"/>
        <w:ind w:firstLine="1440"/>
        <w:rPr>
          <w:sz w:val="26"/>
          <w:szCs w:val="26"/>
        </w:rPr>
      </w:pPr>
      <w:r>
        <w:rPr>
          <w:sz w:val="26"/>
          <w:szCs w:val="26"/>
        </w:rPr>
        <w:t>10</w:t>
      </w:r>
      <w:r w:rsidR="0072100F" w:rsidRPr="00167530">
        <w:rPr>
          <w:sz w:val="26"/>
          <w:szCs w:val="26"/>
        </w:rPr>
        <w:t>.</w:t>
      </w:r>
      <w:r w:rsidR="0072100F" w:rsidRPr="00167530">
        <w:rPr>
          <w:sz w:val="26"/>
          <w:szCs w:val="26"/>
        </w:rPr>
        <w:tab/>
        <w:t>That for so long as M</w:t>
      </w:r>
      <w:r w:rsidR="00A60BF6">
        <w:rPr>
          <w:sz w:val="26"/>
          <w:szCs w:val="26"/>
        </w:rPr>
        <w:t xml:space="preserve">ariner </w:t>
      </w:r>
      <w:r w:rsidR="0072100F" w:rsidRPr="00167530">
        <w:rPr>
          <w:sz w:val="26"/>
          <w:szCs w:val="26"/>
        </w:rPr>
        <w:t>E</w:t>
      </w:r>
      <w:r w:rsidR="00A60BF6">
        <w:rPr>
          <w:sz w:val="26"/>
          <w:szCs w:val="26"/>
        </w:rPr>
        <w:t xml:space="preserve">ast </w:t>
      </w:r>
      <w:r w:rsidR="0072100F" w:rsidRPr="00167530">
        <w:rPr>
          <w:sz w:val="26"/>
          <w:szCs w:val="26"/>
        </w:rPr>
        <w:t>1 remains in Highly Volatile Liquid (“HVL”) service, Sunoco Pipeline, L.P. shall supplement the Remaining Life Study by providing a summary report on an annual basis that summarizes Sunoco Pipeline, L.P.’s continual process of evaluation and assessment to maintain the pipeline integrity of M</w:t>
      </w:r>
      <w:r w:rsidR="00A60BF6">
        <w:rPr>
          <w:sz w:val="26"/>
          <w:szCs w:val="26"/>
        </w:rPr>
        <w:t xml:space="preserve">ariner </w:t>
      </w:r>
      <w:r w:rsidR="0072100F" w:rsidRPr="00167530">
        <w:rPr>
          <w:sz w:val="26"/>
          <w:szCs w:val="26"/>
        </w:rPr>
        <w:t>E</w:t>
      </w:r>
      <w:r w:rsidR="00A60BF6">
        <w:rPr>
          <w:sz w:val="26"/>
          <w:szCs w:val="26"/>
        </w:rPr>
        <w:t xml:space="preserve">ast </w:t>
      </w:r>
      <w:r w:rsidR="0072100F" w:rsidRPr="00167530">
        <w:rPr>
          <w:sz w:val="26"/>
          <w:szCs w:val="26"/>
        </w:rPr>
        <w:t>1 as well as the next year’s planned preventative and mitigative actions (such as system improvements) and a list of integrity enhancements that were performed on M</w:t>
      </w:r>
      <w:r w:rsidR="00A60BF6">
        <w:rPr>
          <w:sz w:val="26"/>
          <w:szCs w:val="26"/>
        </w:rPr>
        <w:t xml:space="preserve">ariner </w:t>
      </w:r>
      <w:r w:rsidR="0072100F" w:rsidRPr="00167530">
        <w:rPr>
          <w:sz w:val="26"/>
          <w:szCs w:val="26"/>
        </w:rPr>
        <w:t>E</w:t>
      </w:r>
      <w:r w:rsidR="00A60BF6">
        <w:rPr>
          <w:sz w:val="26"/>
          <w:szCs w:val="26"/>
        </w:rPr>
        <w:t xml:space="preserve">ast </w:t>
      </w:r>
      <w:r w:rsidR="0072100F" w:rsidRPr="00167530">
        <w:rPr>
          <w:sz w:val="26"/>
          <w:szCs w:val="26"/>
        </w:rPr>
        <w:t>1 the prior year, as required by and consistent with the applicable 49</w:t>
      </w:r>
      <w:r w:rsidR="00A47359">
        <w:rPr>
          <w:sz w:val="26"/>
          <w:szCs w:val="26"/>
        </w:rPr>
        <w:t> </w:t>
      </w:r>
      <w:r w:rsidR="0072100F" w:rsidRPr="00167530">
        <w:rPr>
          <w:sz w:val="26"/>
          <w:szCs w:val="26"/>
        </w:rPr>
        <w:t xml:space="preserve">C.F.R. Part 195 requirements. </w:t>
      </w:r>
    </w:p>
    <w:p w14:paraId="4412DF64" w14:textId="77777777" w:rsidR="00167530" w:rsidRPr="00167530" w:rsidRDefault="00167530" w:rsidP="00E45BD7">
      <w:pPr>
        <w:autoSpaceDE w:val="0"/>
        <w:autoSpaceDN w:val="0"/>
        <w:spacing w:line="360" w:lineRule="auto"/>
        <w:ind w:firstLine="1440"/>
        <w:rPr>
          <w:sz w:val="26"/>
          <w:szCs w:val="26"/>
        </w:rPr>
      </w:pPr>
    </w:p>
    <w:p w14:paraId="2310DAF8" w14:textId="74E1C668" w:rsidR="0072100F" w:rsidRDefault="0072100F" w:rsidP="00E45BD7">
      <w:pPr>
        <w:autoSpaceDE w:val="0"/>
        <w:autoSpaceDN w:val="0"/>
        <w:spacing w:line="360" w:lineRule="auto"/>
        <w:ind w:firstLine="1440"/>
        <w:rPr>
          <w:sz w:val="26"/>
          <w:szCs w:val="26"/>
        </w:rPr>
      </w:pPr>
      <w:r w:rsidRPr="00167530">
        <w:rPr>
          <w:sz w:val="26"/>
          <w:szCs w:val="26"/>
        </w:rPr>
        <w:t>1</w:t>
      </w:r>
      <w:r w:rsidR="001D19A1">
        <w:rPr>
          <w:sz w:val="26"/>
          <w:szCs w:val="26"/>
        </w:rPr>
        <w:t>1</w:t>
      </w:r>
      <w:r w:rsidRPr="00167530">
        <w:rPr>
          <w:sz w:val="26"/>
          <w:szCs w:val="26"/>
        </w:rPr>
        <w:t>.</w:t>
      </w:r>
      <w:r w:rsidRPr="00167530">
        <w:rPr>
          <w:sz w:val="26"/>
          <w:szCs w:val="26"/>
        </w:rPr>
        <w:tab/>
        <w:t>That the public version of the supplemental summary annual reports shall not contain information that is proprietary or subject to the Public Utility Confidential Security Information Disclosure Protection Act, 35 P.S. §§ 2141.1 to 2141.6, and the P</w:t>
      </w:r>
      <w:r w:rsidR="002A2F11">
        <w:rPr>
          <w:sz w:val="26"/>
          <w:szCs w:val="26"/>
        </w:rPr>
        <w:t xml:space="preserve">ublic </w:t>
      </w:r>
      <w:r w:rsidRPr="00167530">
        <w:rPr>
          <w:sz w:val="26"/>
          <w:szCs w:val="26"/>
        </w:rPr>
        <w:t>U</w:t>
      </w:r>
      <w:r w:rsidR="002A2F11">
        <w:rPr>
          <w:sz w:val="26"/>
          <w:szCs w:val="26"/>
        </w:rPr>
        <w:t xml:space="preserve">tility </w:t>
      </w:r>
      <w:r w:rsidRPr="00167530">
        <w:rPr>
          <w:sz w:val="26"/>
          <w:szCs w:val="26"/>
        </w:rPr>
        <w:t>C</w:t>
      </w:r>
      <w:r w:rsidR="002A2F11">
        <w:rPr>
          <w:sz w:val="26"/>
          <w:szCs w:val="26"/>
        </w:rPr>
        <w:t>ommission</w:t>
      </w:r>
      <w:r w:rsidRPr="00167530">
        <w:rPr>
          <w:sz w:val="26"/>
          <w:szCs w:val="26"/>
        </w:rPr>
        <w:t xml:space="preserve">’s </w:t>
      </w:r>
      <w:r w:rsidR="00896A7B">
        <w:rPr>
          <w:sz w:val="26"/>
          <w:szCs w:val="26"/>
        </w:rPr>
        <w:t>R</w:t>
      </w:r>
      <w:r w:rsidRPr="00167530">
        <w:rPr>
          <w:sz w:val="26"/>
          <w:szCs w:val="26"/>
        </w:rPr>
        <w:t>egulations implementing such Act at 52</w:t>
      </w:r>
      <w:r w:rsidR="00E31339">
        <w:rPr>
          <w:sz w:val="26"/>
          <w:szCs w:val="26"/>
        </w:rPr>
        <w:t> </w:t>
      </w:r>
      <w:r w:rsidRPr="00167530">
        <w:rPr>
          <w:sz w:val="26"/>
          <w:szCs w:val="26"/>
        </w:rPr>
        <w:t>Pa. Code §§ 102.1-102.4.</w:t>
      </w:r>
    </w:p>
    <w:p w14:paraId="0312BC04" w14:textId="77777777" w:rsidR="0072100F" w:rsidRPr="00574E15" w:rsidRDefault="0072100F" w:rsidP="00E45BD7">
      <w:pPr>
        <w:autoSpaceDE w:val="0"/>
        <w:autoSpaceDN w:val="0"/>
        <w:spacing w:line="360" w:lineRule="auto"/>
        <w:ind w:firstLine="1440"/>
        <w:rPr>
          <w:sz w:val="26"/>
          <w:szCs w:val="26"/>
        </w:rPr>
      </w:pPr>
      <w:r w:rsidRPr="00574E15">
        <w:rPr>
          <w:sz w:val="26"/>
          <w:szCs w:val="26"/>
        </w:rPr>
        <w:lastRenderedPageBreak/>
        <w:t>1</w:t>
      </w:r>
      <w:r w:rsidR="001D19A1">
        <w:rPr>
          <w:sz w:val="26"/>
          <w:szCs w:val="26"/>
        </w:rPr>
        <w:t>2</w:t>
      </w:r>
      <w:r w:rsidRPr="00574E15">
        <w:rPr>
          <w:sz w:val="26"/>
          <w:szCs w:val="26"/>
        </w:rPr>
        <w:t>.</w:t>
      </w:r>
      <w:r w:rsidRPr="00574E15">
        <w:rPr>
          <w:sz w:val="26"/>
          <w:szCs w:val="26"/>
        </w:rPr>
        <w:tab/>
        <w:t>That at the conclusion of the three-year I</w:t>
      </w:r>
      <w:r w:rsidR="00574E15">
        <w:rPr>
          <w:sz w:val="26"/>
          <w:szCs w:val="26"/>
        </w:rPr>
        <w:t>n-Line</w:t>
      </w:r>
      <w:r w:rsidR="00896A7B">
        <w:rPr>
          <w:sz w:val="26"/>
          <w:szCs w:val="26"/>
        </w:rPr>
        <w:t xml:space="preserve"> Inspection </w:t>
      </w:r>
      <w:r w:rsidRPr="00574E15">
        <w:rPr>
          <w:sz w:val="26"/>
          <w:szCs w:val="26"/>
        </w:rPr>
        <w:t xml:space="preserve">period, Sunoco Pipeline, L.P. shall retain an independent consulting firm to assist in establishing a reassessment interval using corrosion growth analysis and will meet with the </w:t>
      </w:r>
      <w:r w:rsidR="007D211D">
        <w:rPr>
          <w:sz w:val="26"/>
          <w:szCs w:val="26"/>
        </w:rPr>
        <w:t xml:space="preserve">Commission’s </w:t>
      </w:r>
      <w:r w:rsidRPr="00574E15">
        <w:rPr>
          <w:sz w:val="26"/>
          <w:szCs w:val="26"/>
        </w:rPr>
        <w:t>Bureau of Investigation and Enforcement to discuss planned I</w:t>
      </w:r>
      <w:r w:rsidR="00896A7B">
        <w:rPr>
          <w:sz w:val="26"/>
          <w:szCs w:val="26"/>
        </w:rPr>
        <w:t>n Line I</w:t>
      </w:r>
      <w:r w:rsidRPr="00574E15">
        <w:rPr>
          <w:sz w:val="26"/>
          <w:szCs w:val="26"/>
        </w:rPr>
        <w:t xml:space="preserve">nspection frequency. </w:t>
      </w:r>
    </w:p>
    <w:p w14:paraId="00C39650" w14:textId="77777777" w:rsidR="0072100F" w:rsidRPr="00105726" w:rsidRDefault="0072100F" w:rsidP="0072100F">
      <w:pPr>
        <w:autoSpaceDE w:val="0"/>
        <w:autoSpaceDN w:val="0"/>
        <w:spacing w:line="360" w:lineRule="auto"/>
        <w:jc w:val="both"/>
      </w:pPr>
    </w:p>
    <w:p w14:paraId="6A6A18A9" w14:textId="332AACDD" w:rsidR="0072100F" w:rsidRPr="00096853" w:rsidRDefault="0072100F" w:rsidP="00E45BD7">
      <w:pPr>
        <w:autoSpaceDE w:val="0"/>
        <w:autoSpaceDN w:val="0"/>
        <w:spacing w:line="360" w:lineRule="auto"/>
        <w:ind w:firstLine="1440"/>
        <w:rPr>
          <w:sz w:val="26"/>
          <w:szCs w:val="26"/>
        </w:rPr>
      </w:pPr>
      <w:r w:rsidRPr="00096853">
        <w:rPr>
          <w:sz w:val="26"/>
          <w:szCs w:val="26"/>
        </w:rPr>
        <w:t>1</w:t>
      </w:r>
      <w:r w:rsidR="001D19A1">
        <w:rPr>
          <w:sz w:val="26"/>
          <w:szCs w:val="26"/>
        </w:rPr>
        <w:t>3</w:t>
      </w:r>
      <w:r w:rsidRPr="00096853">
        <w:rPr>
          <w:sz w:val="26"/>
          <w:szCs w:val="26"/>
        </w:rPr>
        <w:t>.</w:t>
      </w:r>
      <w:r w:rsidRPr="00096853">
        <w:rPr>
          <w:sz w:val="26"/>
          <w:szCs w:val="26"/>
        </w:rPr>
        <w:tab/>
        <w:t>That Sunoco Pipeline, L.P. shall conduct a Close Interval Survey of M</w:t>
      </w:r>
      <w:r w:rsidR="002A4DEF">
        <w:rPr>
          <w:sz w:val="26"/>
          <w:szCs w:val="26"/>
        </w:rPr>
        <w:t xml:space="preserve">ariner </w:t>
      </w:r>
      <w:r w:rsidRPr="00096853">
        <w:rPr>
          <w:sz w:val="26"/>
          <w:szCs w:val="26"/>
        </w:rPr>
        <w:t>E</w:t>
      </w:r>
      <w:r w:rsidR="002A4DEF">
        <w:rPr>
          <w:sz w:val="26"/>
          <w:szCs w:val="26"/>
        </w:rPr>
        <w:t xml:space="preserve">ast </w:t>
      </w:r>
      <w:r w:rsidRPr="00096853">
        <w:rPr>
          <w:sz w:val="26"/>
          <w:szCs w:val="26"/>
        </w:rPr>
        <w:t>1 at the same interval and frequency, once every eighteen (18) months, to evaluate the effectiveness of Sunoco Pipeline, L.P</w:t>
      </w:r>
      <w:r w:rsidR="001D19A1">
        <w:rPr>
          <w:sz w:val="26"/>
          <w:szCs w:val="26"/>
        </w:rPr>
        <w:t>.’s</w:t>
      </w:r>
      <w:r w:rsidRPr="00096853">
        <w:rPr>
          <w:sz w:val="26"/>
          <w:szCs w:val="26"/>
        </w:rPr>
        <w:t xml:space="preserve"> corrosion control program for M</w:t>
      </w:r>
      <w:r w:rsidR="002A4DEF">
        <w:rPr>
          <w:sz w:val="26"/>
          <w:szCs w:val="26"/>
        </w:rPr>
        <w:t xml:space="preserve">ariner </w:t>
      </w:r>
      <w:r w:rsidRPr="00096853">
        <w:rPr>
          <w:sz w:val="26"/>
          <w:szCs w:val="26"/>
        </w:rPr>
        <w:t>E</w:t>
      </w:r>
      <w:r w:rsidR="002A4DEF">
        <w:rPr>
          <w:sz w:val="26"/>
          <w:szCs w:val="26"/>
        </w:rPr>
        <w:t xml:space="preserve">ast </w:t>
      </w:r>
      <w:r w:rsidRPr="00096853">
        <w:rPr>
          <w:sz w:val="26"/>
          <w:szCs w:val="26"/>
        </w:rPr>
        <w:t xml:space="preserve">1 for the next three (3) calendar years. </w:t>
      </w:r>
    </w:p>
    <w:p w14:paraId="0340F292" w14:textId="77777777" w:rsidR="0072100F" w:rsidRPr="00105726" w:rsidRDefault="0072100F" w:rsidP="0072100F">
      <w:pPr>
        <w:autoSpaceDE w:val="0"/>
        <w:autoSpaceDN w:val="0"/>
        <w:spacing w:line="360" w:lineRule="auto"/>
        <w:jc w:val="both"/>
      </w:pPr>
    </w:p>
    <w:p w14:paraId="6DA66FFA" w14:textId="57EF1243" w:rsidR="0072100F" w:rsidRPr="00F3088E" w:rsidRDefault="00F3088E" w:rsidP="00E45BD7">
      <w:pPr>
        <w:tabs>
          <w:tab w:val="num" w:pos="1440"/>
        </w:tabs>
        <w:autoSpaceDE w:val="0"/>
        <w:autoSpaceDN w:val="0"/>
        <w:spacing w:line="360" w:lineRule="auto"/>
        <w:rPr>
          <w:sz w:val="26"/>
          <w:szCs w:val="26"/>
        </w:rPr>
      </w:pPr>
      <w:r>
        <w:tab/>
      </w:r>
      <w:r w:rsidR="0072100F" w:rsidRPr="00F3088E">
        <w:rPr>
          <w:sz w:val="26"/>
          <w:szCs w:val="26"/>
        </w:rPr>
        <w:t>1</w:t>
      </w:r>
      <w:r w:rsidR="001D19A1">
        <w:rPr>
          <w:sz w:val="26"/>
          <w:szCs w:val="26"/>
        </w:rPr>
        <w:t>4</w:t>
      </w:r>
      <w:r w:rsidR="0072100F" w:rsidRPr="00F3088E">
        <w:rPr>
          <w:sz w:val="26"/>
          <w:szCs w:val="26"/>
        </w:rPr>
        <w:t>.</w:t>
      </w:r>
      <w:r w:rsidR="0072100F" w:rsidRPr="00F3088E">
        <w:rPr>
          <w:sz w:val="26"/>
          <w:szCs w:val="26"/>
        </w:rPr>
        <w:tab/>
        <w:t>That the Secretary’s Bureau shall mark the matter at Docket No. C</w:t>
      </w:r>
      <w:r w:rsidR="00E31339">
        <w:rPr>
          <w:sz w:val="26"/>
          <w:szCs w:val="26"/>
        </w:rPr>
        <w:noBreakHyphen/>
      </w:r>
      <w:r w:rsidR="0072100F" w:rsidRPr="00F3088E">
        <w:rPr>
          <w:sz w:val="26"/>
          <w:szCs w:val="26"/>
        </w:rPr>
        <w:t>2018-3006534 closed upon payment of the civil penalty in Ordering Paragraph No. 2, and upon compliance filings consistent with Ordering Paragraphs Nos. 3-1</w:t>
      </w:r>
      <w:r w:rsidR="001D19A1">
        <w:rPr>
          <w:sz w:val="26"/>
          <w:szCs w:val="26"/>
        </w:rPr>
        <w:t>3</w:t>
      </w:r>
      <w:r w:rsidR="0072100F" w:rsidRPr="00F3088E">
        <w:rPr>
          <w:sz w:val="26"/>
          <w:szCs w:val="26"/>
        </w:rPr>
        <w:t>.</w:t>
      </w:r>
    </w:p>
    <w:p w14:paraId="2522B8B8" w14:textId="77777777" w:rsidR="0072100F" w:rsidRPr="00105726" w:rsidRDefault="0072100F" w:rsidP="00E45BD7">
      <w:pPr>
        <w:tabs>
          <w:tab w:val="num" w:pos="1440"/>
        </w:tabs>
        <w:autoSpaceDE w:val="0"/>
        <w:autoSpaceDN w:val="0"/>
        <w:spacing w:line="360" w:lineRule="auto"/>
      </w:pPr>
    </w:p>
    <w:p w14:paraId="40152ECE" w14:textId="77777777" w:rsidR="0072100F" w:rsidRPr="00987B24" w:rsidRDefault="00987B24" w:rsidP="00E45BD7">
      <w:pPr>
        <w:tabs>
          <w:tab w:val="num" w:pos="1440"/>
        </w:tabs>
        <w:autoSpaceDE w:val="0"/>
        <w:autoSpaceDN w:val="0"/>
        <w:spacing w:line="360" w:lineRule="auto"/>
        <w:rPr>
          <w:sz w:val="26"/>
          <w:szCs w:val="26"/>
        </w:rPr>
      </w:pPr>
      <w:r>
        <w:tab/>
      </w:r>
      <w:r w:rsidR="0072100F" w:rsidRPr="00987B24">
        <w:rPr>
          <w:sz w:val="26"/>
          <w:szCs w:val="26"/>
        </w:rPr>
        <w:t>1</w:t>
      </w:r>
      <w:r w:rsidR="001D19A1">
        <w:rPr>
          <w:sz w:val="26"/>
          <w:szCs w:val="26"/>
        </w:rPr>
        <w:t>5</w:t>
      </w:r>
      <w:r w:rsidR="0072100F" w:rsidRPr="00987B24">
        <w:rPr>
          <w:sz w:val="26"/>
          <w:szCs w:val="26"/>
        </w:rPr>
        <w:t>.</w:t>
      </w:r>
      <w:r w:rsidR="0072100F" w:rsidRPr="00987B24">
        <w:rPr>
          <w:sz w:val="26"/>
          <w:szCs w:val="26"/>
        </w:rPr>
        <w:tab/>
        <w:t>That the Pennsylvania Public Utility Commission retains jurisdiction over any enforcement issues arising from noncompliance with Ordering Paragraphs Nos. 1-1</w:t>
      </w:r>
      <w:r w:rsidR="001D19A1">
        <w:rPr>
          <w:sz w:val="26"/>
          <w:szCs w:val="26"/>
        </w:rPr>
        <w:t>3</w:t>
      </w:r>
      <w:r w:rsidR="0072100F" w:rsidRPr="00987B24">
        <w:rPr>
          <w:sz w:val="26"/>
          <w:szCs w:val="26"/>
        </w:rPr>
        <w:t xml:space="preserve"> and per the body of this</w:t>
      </w:r>
      <w:r>
        <w:rPr>
          <w:sz w:val="26"/>
          <w:szCs w:val="26"/>
        </w:rPr>
        <w:t xml:space="preserve"> Initial</w:t>
      </w:r>
      <w:r w:rsidR="0072100F" w:rsidRPr="00987B24">
        <w:rPr>
          <w:sz w:val="26"/>
          <w:szCs w:val="26"/>
        </w:rPr>
        <w:t xml:space="preserve"> Decision. </w:t>
      </w:r>
    </w:p>
    <w:p w14:paraId="07B16503" w14:textId="77777777" w:rsidR="0072100F" w:rsidRPr="00105726" w:rsidRDefault="0072100F" w:rsidP="00E45BD7">
      <w:pPr>
        <w:tabs>
          <w:tab w:val="num" w:pos="1440"/>
        </w:tabs>
        <w:autoSpaceDE w:val="0"/>
        <w:autoSpaceDN w:val="0"/>
        <w:spacing w:line="360" w:lineRule="auto"/>
      </w:pPr>
    </w:p>
    <w:p w14:paraId="3B7CE534" w14:textId="54ED61D5" w:rsidR="00A06AA8" w:rsidRDefault="00EA0EDB" w:rsidP="00E45BD7">
      <w:pPr>
        <w:tabs>
          <w:tab w:val="num" w:pos="1440"/>
        </w:tabs>
        <w:autoSpaceDE w:val="0"/>
        <w:autoSpaceDN w:val="0"/>
        <w:spacing w:line="360" w:lineRule="auto"/>
        <w:rPr>
          <w:sz w:val="26"/>
          <w:szCs w:val="26"/>
        </w:rPr>
      </w:pPr>
      <w:r>
        <w:tab/>
      </w:r>
      <w:r w:rsidR="0072100F" w:rsidRPr="00EA0EDB">
        <w:rPr>
          <w:sz w:val="26"/>
          <w:szCs w:val="26"/>
        </w:rPr>
        <w:t>1</w:t>
      </w:r>
      <w:r w:rsidR="001D19A1">
        <w:rPr>
          <w:sz w:val="26"/>
          <w:szCs w:val="26"/>
        </w:rPr>
        <w:t>6</w:t>
      </w:r>
      <w:r w:rsidR="0072100F" w:rsidRPr="00EA0EDB">
        <w:rPr>
          <w:sz w:val="26"/>
          <w:szCs w:val="26"/>
        </w:rPr>
        <w:t>.</w:t>
      </w:r>
      <w:r w:rsidR="0072100F" w:rsidRPr="00EA0EDB">
        <w:rPr>
          <w:sz w:val="26"/>
          <w:szCs w:val="26"/>
        </w:rPr>
        <w:tab/>
        <w:t xml:space="preserve">That beginning one year after the date of entry of the Final Order in this proceeding and for the following two years, Sunoco Pipeline, L.P. </w:t>
      </w:r>
      <w:r>
        <w:rPr>
          <w:sz w:val="26"/>
          <w:szCs w:val="26"/>
        </w:rPr>
        <w:t xml:space="preserve"> </w:t>
      </w:r>
      <w:r w:rsidR="0072100F" w:rsidRPr="00EA0EDB">
        <w:rPr>
          <w:sz w:val="26"/>
          <w:szCs w:val="26"/>
        </w:rPr>
        <w:t>shall file an annual progress report on its compliance with the directives in Ordering Paragraph Nos.</w:t>
      </w:r>
      <w:r w:rsidR="00E31339">
        <w:rPr>
          <w:sz w:val="26"/>
          <w:szCs w:val="26"/>
        </w:rPr>
        <w:t> </w:t>
      </w:r>
      <w:r w:rsidR="0072100F" w:rsidRPr="00EA0EDB">
        <w:rPr>
          <w:sz w:val="26"/>
          <w:szCs w:val="26"/>
        </w:rPr>
        <w:t>3-1</w:t>
      </w:r>
      <w:r w:rsidR="001D19A1">
        <w:rPr>
          <w:sz w:val="26"/>
          <w:szCs w:val="26"/>
        </w:rPr>
        <w:t>3</w:t>
      </w:r>
      <w:r w:rsidR="0072100F" w:rsidRPr="00EA0EDB">
        <w:rPr>
          <w:sz w:val="26"/>
          <w:szCs w:val="26"/>
        </w:rPr>
        <w:t>, and that a copy of the progress report be served upon the Reliability and Emergency Preparedness Section of the Bureau of Technical Utility Services.</w:t>
      </w:r>
    </w:p>
    <w:p w14:paraId="4171CFD0" w14:textId="77777777" w:rsidR="00A06AA8" w:rsidRDefault="00A06AA8" w:rsidP="00E45BD7">
      <w:pPr>
        <w:tabs>
          <w:tab w:val="num" w:pos="1440"/>
        </w:tabs>
        <w:autoSpaceDE w:val="0"/>
        <w:autoSpaceDN w:val="0"/>
        <w:spacing w:line="360" w:lineRule="auto"/>
        <w:rPr>
          <w:sz w:val="26"/>
          <w:szCs w:val="26"/>
        </w:rPr>
      </w:pPr>
    </w:p>
    <w:p w14:paraId="463E22D2" w14:textId="77777777" w:rsidR="00A06AA8" w:rsidRPr="00F41401" w:rsidRDefault="00A06AA8" w:rsidP="00E45BD7">
      <w:pPr>
        <w:tabs>
          <w:tab w:val="num" w:pos="1440"/>
        </w:tabs>
        <w:autoSpaceDE w:val="0"/>
        <w:autoSpaceDN w:val="0"/>
        <w:spacing w:line="360" w:lineRule="auto"/>
        <w:rPr>
          <w:strike/>
          <w:sz w:val="26"/>
          <w:szCs w:val="26"/>
        </w:rPr>
      </w:pPr>
      <w:r>
        <w:rPr>
          <w:sz w:val="26"/>
          <w:szCs w:val="26"/>
        </w:rPr>
        <w:tab/>
        <w:t xml:space="preserve">17. </w:t>
      </w:r>
      <w:r>
        <w:rPr>
          <w:sz w:val="26"/>
          <w:szCs w:val="26"/>
        </w:rPr>
        <w:tab/>
      </w:r>
      <w:r w:rsidRPr="00F41401">
        <w:rPr>
          <w:sz w:val="26"/>
          <w:szCs w:val="26"/>
        </w:rPr>
        <w:t>That</w:t>
      </w:r>
      <w:r>
        <w:rPr>
          <w:sz w:val="26"/>
          <w:szCs w:val="26"/>
        </w:rPr>
        <w:t xml:space="preserve"> Sunoco Pipeline, L.P.</w:t>
      </w:r>
      <w:r w:rsidRPr="00F41401">
        <w:rPr>
          <w:sz w:val="26"/>
          <w:szCs w:val="26"/>
        </w:rPr>
        <w:t>,</w:t>
      </w:r>
      <w:r>
        <w:rPr>
          <w:sz w:val="26"/>
          <w:szCs w:val="26"/>
        </w:rPr>
        <w:t xml:space="preserve"> the Commission’s Bureau of Investigation and Enforcement</w:t>
      </w:r>
      <w:r w:rsidRPr="00F41401">
        <w:rPr>
          <w:sz w:val="26"/>
          <w:szCs w:val="26"/>
        </w:rPr>
        <w:t xml:space="preserve">, or any other active parties and interested parties shall have ten (10) days from the date of entry of this Tentative Opinion and Order to file comments.  Also, pursuant to the terms of the Settlement, </w:t>
      </w:r>
      <w:r>
        <w:rPr>
          <w:sz w:val="26"/>
          <w:szCs w:val="26"/>
        </w:rPr>
        <w:t xml:space="preserve">the </w:t>
      </w:r>
      <w:r w:rsidRPr="00F41401">
        <w:rPr>
          <w:sz w:val="26"/>
          <w:szCs w:val="26"/>
        </w:rPr>
        <w:t xml:space="preserve">Joint Petitioners may </w:t>
      </w:r>
      <w:r w:rsidRPr="00F41401">
        <w:rPr>
          <w:sz w:val="26"/>
          <w:szCs w:val="26"/>
        </w:rPr>
        <w:lastRenderedPageBreak/>
        <w:t xml:space="preserve">withdraw from the Settlement Agreement within </w:t>
      </w:r>
      <w:r w:rsidR="00EB73DF">
        <w:rPr>
          <w:sz w:val="26"/>
          <w:szCs w:val="26"/>
        </w:rPr>
        <w:t>twenty</w:t>
      </w:r>
      <w:r w:rsidRPr="00F41401">
        <w:rPr>
          <w:sz w:val="26"/>
          <w:szCs w:val="26"/>
        </w:rPr>
        <w:t xml:space="preserve"> (</w:t>
      </w:r>
      <w:r w:rsidR="00EB73DF">
        <w:rPr>
          <w:sz w:val="26"/>
          <w:szCs w:val="26"/>
        </w:rPr>
        <w:t>20</w:t>
      </w:r>
      <w:r w:rsidRPr="00F41401">
        <w:rPr>
          <w:sz w:val="26"/>
          <w:szCs w:val="26"/>
        </w:rPr>
        <w:t>) days from the date of entry of this Tentative Opinion and Order.</w:t>
      </w:r>
    </w:p>
    <w:p w14:paraId="58CABE56" w14:textId="77777777" w:rsidR="00A06AA8" w:rsidRDefault="00A06AA8" w:rsidP="00E00873">
      <w:pPr>
        <w:spacing w:line="360" w:lineRule="auto"/>
        <w:rPr>
          <w:sz w:val="26"/>
          <w:szCs w:val="26"/>
        </w:rPr>
      </w:pPr>
    </w:p>
    <w:p w14:paraId="74F4C03B" w14:textId="77777777" w:rsidR="00A06AA8" w:rsidRDefault="00A06AA8" w:rsidP="00935697">
      <w:pPr>
        <w:spacing w:line="360" w:lineRule="auto"/>
        <w:ind w:firstLine="1440"/>
        <w:rPr>
          <w:sz w:val="26"/>
          <w:szCs w:val="26"/>
        </w:rPr>
      </w:pPr>
      <w:r>
        <w:rPr>
          <w:sz w:val="26"/>
          <w:szCs w:val="26"/>
        </w:rPr>
        <w:t xml:space="preserve">18. </w:t>
      </w:r>
      <w:r>
        <w:rPr>
          <w:sz w:val="26"/>
          <w:szCs w:val="26"/>
        </w:rPr>
        <w:tab/>
      </w:r>
      <w:r w:rsidRPr="00F41401">
        <w:rPr>
          <w:sz w:val="26"/>
          <w:szCs w:val="26"/>
        </w:rPr>
        <w:t>That</w:t>
      </w:r>
      <w:r>
        <w:rPr>
          <w:sz w:val="26"/>
          <w:szCs w:val="26"/>
        </w:rPr>
        <w:t>,</w:t>
      </w:r>
      <w:r w:rsidRPr="00401971">
        <w:rPr>
          <w:sz w:val="26"/>
          <w:szCs w:val="26"/>
        </w:rPr>
        <w:t xml:space="preserve"> if </w:t>
      </w:r>
      <w:r>
        <w:rPr>
          <w:sz w:val="26"/>
          <w:szCs w:val="26"/>
        </w:rPr>
        <w:t>Sunoco Pipeline, L.P.</w:t>
      </w:r>
      <w:r w:rsidRPr="00F41401">
        <w:rPr>
          <w:sz w:val="26"/>
          <w:szCs w:val="26"/>
        </w:rPr>
        <w:t>,</w:t>
      </w:r>
      <w:r>
        <w:rPr>
          <w:sz w:val="26"/>
          <w:szCs w:val="26"/>
        </w:rPr>
        <w:t xml:space="preserve"> the Commission’s Bureau of Investigation and Enforcement</w:t>
      </w:r>
      <w:r w:rsidRPr="00401971">
        <w:rPr>
          <w:sz w:val="26"/>
          <w:szCs w:val="26"/>
        </w:rPr>
        <w:t xml:space="preserve">, or any other active and interested parties </w:t>
      </w:r>
      <w:r w:rsidRPr="00F41401">
        <w:rPr>
          <w:sz w:val="26"/>
          <w:szCs w:val="26"/>
        </w:rPr>
        <w:t>do not file any timely adverse comments</w:t>
      </w:r>
      <w:r>
        <w:rPr>
          <w:sz w:val="26"/>
          <w:szCs w:val="26"/>
        </w:rPr>
        <w:t>,</w:t>
      </w:r>
      <w:r w:rsidRPr="00401971">
        <w:rPr>
          <w:sz w:val="26"/>
          <w:szCs w:val="26"/>
        </w:rPr>
        <w:t xml:space="preserve"> and </w:t>
      </w:r>
      <w:r w:rsidRPr="00401971">
        <w:rPr>
          <w:rFonts w:eastAsiaTheme="minorHAnsi"/>
          <w:sz w:val="26"/>
          <w:szCs w:val="26"/>
        </w:rPr>
        <w:t>if no party withdraws from the Settlement Agreement</w:t>
      </w:r>
      <w:r w:rsidRPr="00401971">
        <w:rPr>
          <w:sz w:val="26"/>
          <w:szCs w:val="26"/>
        </w:rPr>
        <w:t xml:space="preserve">, this </w:t>
      </w:r>
      <w:r w:rsidRPr="00F41401">
        <w:rPr>
          <w:sz w:val="26"/>
          <w:szCs w:val="26"/>
        </w:rPr>
        <w:t>Tentative Opinion and Order shall become final without further Commission action.</w:t>
      </w:r>
    </w:p>
    <w:p w14:paraId="6C7F9336" w14:textId="77777777" w:rsidR="00A06AA8" w:rsidRDefault="00A06AA8">
      <w:pPr>
        <w:spacing w:line="360" w:lineRule="auto"/>
        <w:ind w:firstLine="1440"/>
        <w:rPr>
          <w:sz w:val="26"/>
          <w:szCs w:val="26"/>
        </w:rPr>
      </w:pPr>
    </w:p>
    <w:p w14:paraId="753F8184" w14:textId="77777777" w:rsidR="00DD3E8F" w:rsidRPr="0072100F" w:rsidRDefault="00A06AA8" w:rsidP="00E45BD7">
      <w:pPr>
        <w:keepNext/>
        <w:keepLines/>
        <w:spacing w:line="360" w:lineRule="auto"/>
        <w:ind w:firstLine="1440"/>
        <w:rPr>
          <w:sz w:val="26"/>
          <w:szCs w:val="26"/>
        </w:rPr>
      </w:pPr>
      <w:r>
        <w:rPr>
          <w:sz w:val="26"/>
          <w:szCs w:val="26"/>
        </w:rPr>
        <w:t xml:space="preserve">19. </w:t>
      </w:r>
      <w:r>
        <w:rPr>
          <w:sz w:val="26"/>
          <w:szCs w:val="26"/>
        </w:rPr>
        <w:tab/>
      </w:r>
      <w:r w:rsidRPr="00F41401">
        <w:rPr>
          <w:sz w:val="26"/>
          <w:szCs w:val="26"/>
        </w:rPr>
        <w:t>That a copy of this Tentative Opinion and Order be served upon all the parties of record in the instant proceeding.</w:t>
      </w:r>
    </w:p>
    <w:p w14:paraId="20588B62" w14:textId="77777777" w:rsidR="00BC5D6A" w:rsidRPr="00F41401" w:rsidRDefault="00BC5D6A" w:rsidP="00E45BD7">
      <w:pPr>
        <w:keepNext/>
        <w:keepLines/>
        <w:rPr>
          <w:rFonts w:eastAsiaTheme="minorHAnsi"/>
          <w:sz w:val="26"/>
          <w:szCs w:val="26"/>
        </w:rPr>
      </w:pPr>
    </w:p>
    <w:p w14:paraId="7F9956C2" w14:textId="77777777" w:rsidR="00BC5D6A" w:rsidRPr="00F41401" w:rsidRDefault="00BC5D6A" w:rsidP="00935697">
      <w:pPr>
        <w:keepNext/>
        <w:keepLines/>
        <w:suppressAutoHyphens/>
        <w:rPr>
          <w:b/>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b/>
          <w:sz w:val="26"/>
          <w:szCs w:val="26"/>
        </w:rPr>
        <w:t>BY THE COMMISSION,</w:t>
      </w:r>
    </w:p>
    <w:p w14:paraId="38A259AC" w14:textId="77777777" w:rsidR="00BC5D6A" w:rsidRPr="00F41401" w:rsidRDefault="00BC5D6A">
      <w:pPr>
        <w:keepNext/>
        <w:keepLines/>
        <w:suppressAutoHyphens/>
        <w:rPr>
          <w:b/>
          <w:sz w:val="26"/>
          <w:szCs w:val="26"/>
        </w:rPr>
      </w:pPr>
    </w:p>
    <w:p w14:paraId="4756E570" w14:textId="1AB7C269" w:rsidR="00BC5D6A" w:rsidRDefault="00BD23EA">
      <w:pPr>
        <w:keepNext/>
        <w:keepLines/>
        <w:suppressAutoHyphens/>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noProof/>
          <w:sz w:val="26"/>
          <w:szCs w:val="26"/>
        </w:rPr>
        <w:drawing>
          <wp:inline distT="0" distB="0" distL="0" distR="0" wp14:anchorId="16AA04F9" wp14:editId="70D1F562">
            <wp:extent cx="2057400" cy="786384"/>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7400" cy="786384"/>
                    </a:xfrm>
                    <a:prstGeom prst="rect">
                      <a:avLst/>
                    </a:prstGeom>
                  </pic:spPr>
                </pic:pic>
              </a:graphicData>
            </a:graphic>
          </wp:inline>
        </w:drawing>
      </w:r>
    </w:p>
    <w:p w14:paraId="714C6535" w14:textId="1AD38CA8" w:rsidR="00E31339" w:rsidRDefault="00E31339">
      <w:pPr>
        <w:keepNext/>
        <w:keepLines/>
        <w:suppressAutoHyphens/>
        <w:rPr>
          <w:b/>
          <w:sz w:val="26"/>
          <w:szCs w:val="26"/>
        </w:rPr>
      </w:pPr>
    </w:p>
    <w:p w14:paraId="40C7B9CF" w14:textId="77777777" w:rsidR="00E31339" w:rsidRPr="00F41401" w:rsidRDefault="00E31339">
      <w:pPr>
        <w:keepNext/>
        <w:keepLines/>
        <w:suppressAutoHyphens/>
        <w:rPr>
          <w:b/>
          <w:sz w:val="26"/>
          <w:szCs w:val="26"/>
        </w:rPr>
      </w:pPr>
    </w:p>
    <w:p w14:paraId="6BACDE3D" w14:textId="77777777" w:rsidR="00BC5D6A" w:rsidRPr="00F41401" w:rsidRDefault="00BC5D6A" w:rsidP="00BC5D6A">
      <w:pPr>
        <w:keepNext/>
        <w:keepLines/>
        <w:suppressAutoHyphens/>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Rosemary Chiavetta</w:t>
      </w:r>
    </w:p>
    <w:p w14:paraId="61D6C138" w14:textId="77777777" w:rsidR="00BC5D6A" w:rsidRPr="00F41401" w:rsidRDefault="00BC5D6A" w:rsidP="00BC5D6A">
      <w:pPr>
        <w:keepNext/>
        <w:keepLines/>
        <w:suppressAutoHyphens/>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Secretary</w:t>
      </w:r>
    </w:p>
    <w:p w14:paraId="06BF7350" w14:textId="77777777" w:rsidR="00BC5D6A" w:rsidRPr="00F41401" w:rsidRDefault="00BC5D6A" w:rsidP="00BC5D6A">
      <w:pPr>
        <w:keepNext/>
        <w:keepLines/>
        <w:suppressAutoHyphens/>
        <w:rPr>
          <w:sz w:val="26"/>
          <w:szCs w:val="26"/>
        </w:rPr>
      </w:pPr>
    </w:p>
    <w:p w14:paraId="79B7821A" w14:textId="77777777" w:rsidR="00BC5D6A" w:rsidRPr="00F41401" w:rsidRDefault="00BC5D6A" w:rsidP="00BC5D6A">
      <w:pPr>
        <w:keepNext/>
        <w:keepLines/>
        <w:rPr>
          <w:sz w:val="26"/>
          <w:szCs w:val="26"/>
        </w:rPr>
      </w:pPr>
      <w:r w:rsidRPr="00F41401">
        <w:rPr>
          <w:sz w:val="26"/>
          <w:szCs w:val="26"/>
        </w:rPr>
        <w:t>(SEAL)</w:t>
      </w:r>
    </w:p>
    <w:p w14:paraId="10070893" w14:textId="77777777" w:rsidR="00BC5D6A" w:rsidRPr="00F41401" w:rsidRDefault="00BC5D6A" w:rsidP="00BC5D6A">
      <w:pPr>
        <w:keepNext/>
        <w:keepLines/>
        <w:rPr>
          <w:sz w:val="26"/>
          <w:szCs w:val="26"/>
        </w:rPr>
      </w:pPr>
    </w:p>
    <w:p w14:paraId="78E09CE1" w14:textId="77777777" w:rsidR="00BC5D6A" w:rsidRPr="00F41401" w:rsidRDefault="00BC5D6A" w:rsidP="00BC5D6A">
      <w:pPr>
        <w:keepNext/>
        <w:keepLines/>
        <w:rPr>
          <w:sz w:val="26"/>
          <w:szCs w:val="26"/>
        </w:rPr>
      </w:pPr>
      <w:r w:rsidRPr="00F41401">
        <w:rPr>
          <w:sz w:val="26"/>
          <w:szCs w:val="26"/>
        </w:rPr>
        <w:t xml:space="preserve">ORDER ADOPTED:  </w:t>
      </w:r>
      <w:r w:rsidR="0072100F">
        <w:rPr>
          <w:sz w:val="26"/>
          <w:szCs w:val="26"/>
        </w:rPr>
        <w:t>February 2</w:t>
      </w:r>
      <w:r w:rsidR="00FE3033">
        <w:rPr>
          <w:sz w:val="26"/>
          <w:szCs w:val="26"/>
        </w:rPr>
        <w:t>7</w:t>
      </w:r>
      <w:r w:rsidRPr="00F41401">
        <w:rPr>
          <w:sz w:val="26"/>
          <w:szCs w:val="26"/>
        </w:rPr>
        <w:t>, 20</w:t>
      </w:r>
      <w:r w:rsidR="0072100F">
        <w:rPr>
          <w:sz w:val="26"/>
          <w:szCs w:val="26"/>
        </w:rPr>
        <w:t>20</w:t>
      </w:r>
    </w:p>
    <w:p w14:paraId="5BEF6DC1" w14:textId="77777777" w:rsidR="00BC5D6A" w:rsidRPr="00F41401" w:rsidRDefault="00BC5D6A" w:rsidP="00BC5D6A">
      <w:pPr>
        <w:keepNext/>
        <w:keepLines/>
        <w:rPr>
          <w:sz w:val="26"/>
          <w:szCs w:val="26"/>
        </w:rPr>
      </w:pPr>
    </w:p>
    <w:p w14:paraId="0B52756F" w14:textId="5B473C82" w:rsidR="00BC5D6A" w:rsidRDefault="00BC5D6A" w:rsidP="001736CB">
      <w:pPr>
        <w:keepNext/>
        <w:keepLines/>
        <w:rPr>
          <w:sz w:val="26"/>
          <w:szCs w:val="26"/>
        </w:rPr>
      </w:pPr>
      <w:r w:rsidRPr="00F41401">
        <w:rPr>
          <w:sz w:val="26"/>
          <w:szCs w:val="26"/>
        </w:rPr>
        <w:t>ORDER ENTERED</w:t>
      </w:r>
      <w:r w:rsidR="00BD23EA">
        <w:rPr>
          <w:sz w:val="26"/>
          <w:szCs w:val="26"/>
        </w:rPr>
        <w:t xml:space="preserve">: March </w:t>
      </w:r>
      <w:r w:rsidR="00923B3E">
        <w:rPr>
          <w:sz w:val="26"/>
          <w:szCs w:val="26"/>
        </w:rPr>
        <w:t>10</w:t>
      </w:r>
      <w:bookmarkStart w:id="1" w:name="_GoBack"/>
      <w:bookmarkEnd w:id="1"/>
      <w:r w:rsidR="00BD23EA">
        <w:rPr>
          <w:sz w:val="26"/>
          <w:szCs w:val="26"/>
        </w:rPr>
        <w:t>, 2020</w:t>
      </w:r>
    </w:p>
    <w:p w14:paraId="756FE183" w14:textId="77777777" w:rsidR="00BC5D6A" w:rsidRDefault="00BC5D6A" w:rsidP="004E64B8">
      <w:pPr>
        <w:spacing w:line="360" w:lineRule="auto"/>
        <w:contextualSpacing/>
        <w:rPr>
          <w:sz w:val="26"/>
          <w:szCs w:val="26"/>
        </w:rPr>
      </w:pPr>
    </w:p>
    <w:p w14:paraId="602B55A6" w14:textId="77777777" w:rsidR="00BC5D6A" w:rsidRDefault="00BC5D6A" w:rsidP="004E64B8">
      <w:pPr>
        <w:spacing w:line="360" w:lineRule="auto"/>
        <w:contextualSpacing/>
        <w:rPr>
          <w:sz w:val="26"/>
          <w:szCs w:val="26"/>
        </w:rPr>
      </w:pPr>
    </w:p>
    <w:p w14:paraId="7981B344" w14:textId="77777777" w:rsidR="00BC5D6A" w:rsidRDefault="00BC5D6A" w:rsidP="004E64B8">
      <w:pPr>
        <w:spacing w:line="360" w:lineRule="auto"/>
        <w:contextualSpacing/>
        <w:rPr>
          <w:sz w:val="26"/>
          <w:szCs w:val="26"/>
        </w:rPr>
      </w:pPr>
    </w:p>
    <w:p w14:paraId="7FC74277" w14:textId="77777777" w:rsidR="00BC5D6A" w:rsidRDefault="00BC5D6A" w:rsidP="004E64B8">
      <w:pPr>
        <w:spacing w:line="360" w:lineRule="auto"/>
        <w:contextualSpacing/>
        <w:rPr>
          <w:sz w:val="26"/>
          <w:szCs w:val="26"/>
        </w:rPr>
      </w:pPr>
    </w:p>
    <w:p w14:paraId="1A4DDEB9" w14:textId="77777777" w:rsidR="00BC5D6A" w:rsidRPr="004E64B8" w:rsidRDefault="00BC5D6A" w:rsidP="004E64B8">
      <w:pPr>
        <w:spacing w:line="360" w:lineRule="auto"/>
        <w:contextualSpacing/>
        <w:rPr>
          <w:sz w:val="26"/>
          <w:szCs w:val="26"/>
        </w:rPr>
      </w:pPr>
    </w:p>
    <w:p w14:paraId="38660CB0" w14:textId="77777777" w:rsidR="009304FE" w:rsidRPr="004E64B8" w:rsidRDefault="00277E9A" w:rsidP="00EA0EDB">
      <w:pPr>
        <w:spacing w:line="360" w:lineRule="auto"/>
        <w:contextualSpacing/>
        <w:rPr>
          <w:sz w:val="26"/>
          <w:szCs w:val="26"/>
        </w:rPr>
      </w:pPr>
      <w:r w:rsidRPr="004E64B8">
        <w:rPr>
          <w:sz w:val="26"/>
          <w:szCs w:val="26"/>
        </w:rPr>
        <w:tab/>
      </w:r>
      <w:r w:rsidRPr="004E64B8">
        <w:rPr>
          <w:sz w:val="26"/>
          <w:szCs w:val="26"/>
        </w:rPr>
        <w:tab/>
      </w:r>
      <w:r w:rsidR="00DD3119" w:rsidRPr="004E64B8">
        <w:rPr>
          <w:sz w:val="26"/>
          <w:szCs w:val="26"/>
        </w:rPr>
        <w:t xml:space="preserve"> </w:t>
      </w:r>
    </w:p>
    <w:sectPr w:rsidR="009304FE" w:rsidRPr="004E64B8"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49FB" w14:textId="77777777" w:rsidR="00CB6505" w:rsidRDefault="00CB6505">
      <w:r>
        <w:separator/>
      </w:r>
    </w:p>
  </w:endnote>
  <w:endnote w:type="continuationSeparator" w:id="0">
    <w:p w14:paraId="7969C135" w14:textId="77777777" w:rsidR="00CB6505" w:rsidRDefault="00CB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2AAC" w14:textId="77777777"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839">
      <w:rPr>
        <w:rStyle w:val="PageNumber"/>
        <w:noProof/>
      </w:rPr>
      <w:t>8</w:t>
    </w:r>
    <w:r>
      <w:rPr>
        <w:rStyle w:val="PageNumber"/>
      </w:rPr>
      <w:fldChar w:fldCharType="end"/>
    </w:r>
  </w:p>
  <w:p w14:paraId="2F0FFCA0" w14:textId="77777777" w:rsidR="008F6315" w:rsidRDefault="008F6315">
    <w:pPr>
      <w:pStyle w:val="Footer"/>
    </w:pPr>
  </w:p>
  <w:p w14:paraId="135B4E95" w14:textId="77777777" w:rsidR="00217154" w:rsidRDefault="002171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4A2C" w14:textId="77777777" w:rsidR="008F6315" w:rsidRPr="00F83989" w:rsidRDefault="008F6315" w:rsidP="00654A2F">
    <w:pPr>
      <w:pStyle w:val="Footer"/>
      <w:framePr w:wrap="around" w:vAnchor="text" w:hAnchor="margin" w:xAlign="center" w:y="1"/>
      <w:rPr>
        <w:rStyle w:val="PageNumber"/>
        <w:sz w:val="26"/>
        <w:szCs w:val="26"/>
      </w:rPr>
    </w:pPr>
    <w:r w:rsidRPr="00F83989">
      <w:rPr>
        <w:rStyle w:val="PageNumber"/>
        <w:sz w:val="26"/>
        <w:szCs w:val="26"/>
      </w:rPr>
      <w:fldChar w:fldCharType="begin"/>
    </w:r>
    <w:r w:rsidRPr="00F83989">
      <w:rPr>
        <w:rStyle w:val="PageNumber"/>
        <w:sz w:val="26"/>
        <w:szCs w:val="26"/>
      </w:rPr>
      <w:instrText xml:space="preserve">PAGE  </w:instrText>
    </w:r>
    <w:r w:rsidRPr="00F83989">
      <w:rPr>
        <w:rStyle w:val="PageNumber"/>
        <w:sz w:val="26"/>
        <w:szCs w:val="26"/>
      </w:rPr>
      <w:fldChar w:fldCharType="separate"/>
    </w:r>
    <w:r w:rsidR="00F76051">
      <w:rPr>
        <w:rStyle w:val="PageNumber"/>
        <w:noProof/>
        <w:sz w:val="26"/>
        <w:szCs w:val="26"/>
      </w:rPr>
      <w:t>6</w:t>
    </w:r>
    <w:r w:rsidRPr="00F83989">
      <w:rPr>
        <w:rStyle w:val="PageNumber"/>
        <w:sz w:val="26"/>
        <w:szCs w:val="26"/>
      </w:rPr>
      <w:fldChar w:fldCharType="end"/>
    </w:r>
  </w:p>
  <w:p w14:paraId="5226DABE" w14:textId="77777777" w:rsidR="00217154" w:rsidRDefault="00217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2B9E" w14:textId="77777777" w:rsidR="00CB6505" w:rsidRDefault="00CB6505">
      <w:r>
        <w:separator/>
      </w:r>
    </w:p>
  </w:footnote>
  <w:footnote w:type="continuationSeparator" w:id="0">
    <w:p w14:paraId="614E8DEB" w14:textId="77777777" w:rsidR="00CB6505" w:rsidRDefault="00CB6505">
      <w:r>
        <w:continuationSeparator/>
      </w:r>
    </w:p>
  </w:footnote>
  <w:footnote w:id="1">
    <w:p w14:paraId="652945AA" w14:textId="77777777" w:rsidR="00D239EE" w:rsidRPr="006D78B1" w:rsidRDefault="00D239EE">
      <w:pPr>
        <w:pStyle w:val="FootnoteText"/>
        <w:rPr>
          <w:rFonts w:ascii="Times New Roman" w:hAnsi="Times New Roman"/>
          <w:sz w:val="26"/>
          <w:szCs w:val="26"/>
        </w:rPr>
      </w:pPr>
      <w:r>
        <w:tab/>
      </w:r>
      <w:r w:rsidRPr="006D78B1">
        <w:rPr>
          <w:rStyle w:val="FootnoteReference"/>
          <w:rFonts w:ascii="Times New Roman" w:hAnsi="Times New Roman"/>
        </w:rPr>
        <w:footnoteRef/>
      </w:r>
      <w:r w:rsidRPr="006D78B1">
        <w:rPr>
          <w:rFonts w:ascii="Times New Roman" w:hAnsi="Times New Roman"/>
          <w:sz w:val="26"/>
          <w:szCs w:val="26"/>
        </w:rPr>
        <w:t xml:space="preserve"> </w:t>
      </w:r>
      <w:r w:rsidRPr="006D78B1">
        <w:rPr>
          <w:rFonts w:ascii="Times New Roman" w:hAnsi="Times New Roman"/>
          <w:sz w:val="26"/>
          <w:szCs w:val="26"/>
        </w:rPr>
        <w:tab/>
      </w:r>
      <w:r w:rsidR="006417CA" w:rsidRPr="006D78B1">
        <w:rPr>
          <w:rFonts w:ascii="Times New Roman" w:hAnsi="Times New Roman"/>
          <w:sz w:val="26"/>
          <w:szCs w:val="26"/>
        </w:rPr>
        <w:t xml:space="preserve">“Additional Process” as used herein shall mean a procedural process in excess of notice and Comment and Reply Comment including, but not limited to, granting interventions, discovery, hearings, briefings or other process.  </w:t>
      </w:r>
    </w:p>
  </w:footnote>
  <w:footnote w:id="2">
    <w:p w14:paraId="7B6289FC" w14:textId="77777777" w:rsidR="00847693" w:rsidRPr="006417CA" w:rsidRDefault="00847693">
      <w:pPr>
        <w:pStyle w:val="FootnoteText"/>
        <w:rPr>
          <w:rFonts w:ascii="Times New Roman" w:hAnsi="Times New Roman"/>
          <w:sz w:val="26"/>
          <w:szCs w:val="26"/>
        </w:rPr>
      </w:pPr>
      <w:r w:rsidRPr="006D78B1">
        <w:rPr>
          <w:rFonts w:ascii="Times New Roman" w:hAnsi="Times New Roman"/>
          <w:sz w:val="26"/>
          <w:szCs w:val="26"/>
        </w:rPr>
        <w:tab/>
      </w:r>
      <w:r w:rsidRPr="006D78B1">
        <w:rPr>
          <w:rStyle w:val="FootnoteReference"/>
          <w:rFonts w:ascii="Times New Roman" w:hAnsi="Times New Roman"/>
        </w:rPr>
        <w:footnoteRef/>
      </w:r>
      <w:r w:rsidRPr="006D78B1">
        <w:rPr>
          <w:rFonts w:ascii="Times New Roman" w:hAnsi="Times New Roman"/>
          <w:sz w:val="26"/>
          <w:szCs w:val="26"/>
        </w:rPr>
        <w:t xml:space="preserve"> </w:t>
      </w:r>
      <w:r w:rsidR="006417CA" w:rsidRPr="006D78B1">
        <w:rPr>
          <w:rFonts w:ascii="Times New Roman" w:hAnsi="Times New Roman"/>
          <w:sz w:val="26"/>
          <w:szCs w:val="26"/>
        </w:rPr>
        <w:tab/>
        <w:t>For instance, if the ALJ made a ruling that modified the Settlement, the Parties may elect</w:t>
      </w:r>
      <w:r w:rsidR="006417CA" w:rsidRPr="006417CA">
        <w:rPr>
          <w:rFonts w:ascii="Times New Roman" w:hAnsi="Times New Roman"/>
          <w:sz w:val="26"/>
          <w:szCs w:val="26"/>
        </w:rPr>
        <w:t xml:space="preserve"> to withdraw then or elect to withdraw within 20 days of the Commission’s final ruling upon review of the ALJ’s proposed modifications.</w:t>
      </w:r>
    </w:p>
  </w:footnote>
  <w:footnote w:id="3">
    <w:p w14:paraId="0E5472B9" w14:textId="7DE43606" w:rsidR="00B5694D" w:rsidRPr="006D6AAA" w:rsidRDefault="00B5694D">
      <w:pPr>
        <w:pStyle w:val="FootnoteText"/>
        <w:rPr>
          <w:rFonts w:ascii="Times New Roman" w:hAnsi="Times New Roman"/>
          <w:sz w:val="26"/>
          <w:szCs w:val="26"/>
        </w:rPr>
      </w:pPr>
      <w:r>
        <w:tab/>
      </w:r>
      <w:r w:rsidRPr="006D6AAA">
        <w:rPr>
          <w:rStyle w:val="FootnoteReference"/>
          <w:rFonts w:ascii="Times New Roman" w:hAnsi="Times New Roman"/>
        </w:rPr>
        <w:footnoteRef/>
      </w:r>
      <w:r w:rsidRPr="006D6AAA">
        <w:rPr>
          <w:rFonts w:ascii="Times New Roman" w:hAnsi="Times New Roman"/>
          <w:sz w:val="26"/>
          <w:szCs w:val="26"/>
        </w:rPr>
        <w:t xml:space="preserve"> </w:t>
      </w:r>
      <w:r w:rsidR="006417CA" w:rsidRPr="006D6AAA">
        <w:rPr>
          <w:rFonts w:ascii="Times New Roman" w:hAnsi="Times New Roman"/>
          <w:sz w:val="26"/>
          <w:szCs w:val="26"/>
        </w:rPr>
        <w:tab/>
        <w:t>These include undertaking on an expedited basis a Remaining Life Study for ME</w:t>
      </w:r>
      <w:r w:rsidR="00AB760F">
        <w:rPr>
          <w:rFonts w:ascii="Times New Roman" w:hAnsi="Times New Roman"/>
          <w:sz w:val="26"/>
          <w:szCs w:val="26"/>
        </w:rPr>
        <w:t>1</w:t>
      </w:r>
      <w:r w:rsidR="006417CA" w:rsidRPr="006D6AAA">
        <w:rPr>
          <w:rFonts w:ascii="Times New Roman" w:hAnsi="Times New Roman"/>
          <w:sz w:val="26"/>
          <w:szCs w:val="26"/>
        </w:rPr>
        <w:t>, which was suggested by Governor Wolf in a statement he released on February</w:t>
      </w:r>
      <w:r w:rsidR="00E31339">
        <w:rPr>
          <w:rFonts w:ascii="Times New Roman" w:hAnsi="Times New Roman"/>
          <w:sz w:val="26"/>
          <w:szCs w:val="26"/>
        </w:rPr>
        <w:t> </w:t>
      </w:r>
      <w:r w:rsidR="006417CA" w:rsidRPr="006D6AAA">
        <w:rPr>
          <w:rFonts w:ascii="Times New Roman" w:hAnsi="Times New Roman"/>
          <w:sz w:val="26"/>
          <w:szCs w:val="26"/>
        </w:rPr>
        <w:t>8, 2019.  The Study will assess the longevity of ME1, including risks to the pipeline and SPLP</w:t>
      </w:r>
      <w:r w:rsidR="00F01A24">
        <w:rPr>
          <w:rFonts w:ascii="Times New Roman" w:hAnsi="Times New Roman"/>
          <w:sz w:val="26"/>
          <w:szCs w:val="26"/>
        </w:rPr>
        <w:t xml:space="preserve"> [Sunoco]</w:t>
      </w:r>
      <w:r w:rsidR="006417CA" w:rsidRPr="006D6AAA">
        <w:rPr>
          <w:rFonts w:ascii="Times New Roman" w:hAnsi="Times New Roman"/>
          <w:sz w:val="26"/>
          <w:szCs w:val="26"/>
        </w:rPr>
        <w:t xml:space="preserve"> procedures.  This study will be conducted by an independent expert and submitted to BIE</w:t>
      </w:r>
      <w:r w:rsidR="00F01A24">
        <w:rPr>
          <w:rFonts w:ascii="Times New Roman" w:hAnsi="Times New Roman"/>
          <w:sz w:val="26"/>
          <w:szCs w:val="26"/>
        </w:rPr>
        <w:t xml:space="preserve"> [I&amp;E] </w:t>
      </w:r>
      <w:r w:rsidR="006417CA" w:rsidRPr="006D6AAA">
        <w:rPr>
          <w:rFonts w:ascii="Times New Roman" w:hAnsi="Times New Roman"/>
          <w:sz w:val="26"/>
          <w:szCs w:val="26"/>
        </w:rPr>
        <w:t xml:space="preserve">with ongoing annual summary reports.  The Settlement also provides for ILI </w:t>
      </w:r>
      <w:r w:rsidR="00DD2C51">
        <w:rPr>
          <w:rFonts w:ascii="Times New Roman" w:hAnsi="Times New Roman"/>
          <w:sz w:val="26"/>
          <w:szCs w:val="26"/>
        </w:rPr>
        <w:t xml:space="preserve">[In-Line Inspection] </w:t>
      </w:r>
      <w:r w:rsidR="006417CA" w:rsidRPr="006D6AAA">
        <w:rPr>
          <w:rFonts w:ascii="Times New Roman" w:hAnsi="Times New Roman"/>
          <w:sz w:val="26"/>
          <w:szCs w:val="26"/>
        </w:rPr>
        <w:t xml:space="preserve">tool runs at intervals that are accelerated and other testing and reporting that are above and beyond what existing state and federal regulations or law require.  Finally, the Settlement includes Close Interval Surveys of ME1 pipeline at accelerated intervals above and beyond any federal or state </w:t>
      </w:r>
      <w:r w:rsidR="006D6AAA" w:rsidRPr="006D6AAA">
        <w:rPr>
          <w:rFonts w:ascii="Times New Roman" w:hAnsi="Times New Roman"/>
          <w:sz w:val="26"/>
          <w:szCs w:val="26"/>
        </w:rPr>
        <w:t>regulation or law.  All of these features of the Settlement will be significantly delayed if any procedure other than notice, Comments and Reply Comments occurs.</w:t>
      </w:r>
    </w:p>
  </w:footnote>
  <w:footnote w:id="4">
    <w:p w14:paraId="58C1E584" w14:textId="6B7E516C" w:rsidR="00FC4B68" w:rsidRPr="006D6AAA" w:rsidRDefault="00FC4B68">
      <w:pPr>
        <w:pStyle w:val="FootnoteText"/>
        <w:rPr>
          <w:rFonts w:ascii="Times New Roman" w:hAnsi="Times New Roman"/>
          <w:sz w:val="26"/>
          <w:szCs w:val="26"/>
        </w:rPr>
      </w:pPr>
      <w:r w:rsidRPr="006D6AAA">
        <w:rPr>
          <w:rFonts w:ascii="Times New Roman" w:hAnsi="Times New Roman"/>
          <w:sz w:val="26"/>
          <w:szCs w:val="26"/>
        </w:rPr>
        <w:tab/>
      </w:r>
      <w:r w:rsidRPr="006D6AAA">
        <w:rPr>
          <w:rStyle w:val="FootnoteReference"/>
          <w:rFonts w:ascii="Times New Roman" w:hAnsi="Times New Roman"/>
        </w:rPr>
        <w:footnoteRef/>
      </w:r>
      <w:r w:rsidRPr="006D6AAA">
        <w:rPr>
          <w:rFonts w:ascii="Times New Roman" w:hAnsi="Times New Roman"/>
          <w:sz w:val="26"/>
          <w:szCs w:val="26"/>
        </w:rPr>
        <w:t xml:space="preserve"> </w:t>
      </w:r>
      <w:r w:rsidRPr="006D6AAA">
        <w:rPr>
          <w:rFonts w:ascii="Times New Roman" w:hAnsi="Times New Roman"/>
          <w:sz w:val="26"/>
          <w:szCs w:val="26"/>
        </w:rPr>
        <w:tab/>
        <w:t>Megan Flynn, Rosemary Fuller, Michael Walsh, Nancy Harkins, Gerald McMullen, Caroline Hughes, and Melissa Haines are Complainants in a separate proceeding involving Sunoco (</w:t>
      </w:r>
      <w:r w:rsidRPr="006D6AAA">
        <w:rPr>
          <w:rFonts w:ascii="Times New Roman" w:hAnsi="Times New Roman"/>
          <w:i/>
          <w:iCs/>
          <w:sz w:val="26"/>
          <w:szCs w:val="26"/>
        </w:rPr>
        <w:t>See</w:t>
      </w:r>
      <w:r w:rsidRPr="006D6AAA">
        <w:rPr>
          <w:rFonts w:ascii="Times New Roman" w:hAnsi="Times New Roman"/>
          <w:sz w:val="26"/>
          <w:szCs w:val="26"/>
        </w:rPr>
        <w:t xml:space="preserve"> </w:t>
      </w:r>
      <w:r w:rsidRPr="006D6AAA">
        <w:rPr>
          <w:rFonts w:ascii="Times New Roman" w:hAnsi="Times New Roman"/>
          <w:i/>
          <w:iCs/>
          <w:sz w:val="26"/>
          <w:szCs w:val="26"/>
        </w:rPr>
        <w:t>Flynn v. Sunoco Pipeline</w:t>
      </w:r>
      <w:r w:rsidRPr="006D6AAA">
        <w:rPr>
          <w:rFonts w:ascii="Times New Roman" w:hAnsi="Times New Roman"/>
          <w:sz w:val="26"/>
          <w:szCs w:val="26"/>
        </w:rPr>
        <w:t>, L.P., Docket No. C</w:t>
      </w:r>
      <w:r w:rsidR="00E31339">
        <w:rPr>
          <w:rFonts w:ascii="Times New Roman" w:hAnsi="Times New Roman"/>
          <w:sz w:val="26"/>
          <w:szCs w:val="26"/>
        </w:rPr>
        <w:noBreakHyphen/>
      </w:r>
      <w:r w:rsidRPr="006D6AAA">
        <w:rPr>
          <w:rFonts w:ascii="Times New Roman" w:hAnsi="Times New Roman"/>
          <w:sz w:val="26"/>
          <w:szCs w:val="26"/>
        </w:rPr>
        <w:t>2018</w:t>
      </w:r>
      <w:r w:rsidR="00E31339">
        <w:rPr>
          <w:rFonts w:ascii="Times New Roman" w:hAnsi="Times New Roman"/>
          <w:sz w:val="26"/>
          <w:szCs w:val="26"/>
        </w:rPr>
        <w:noBreakHyphen/>
      </w:r>
      <w:r w:rsidRPr="006D6AAA">
        <w:rPr>
          <w:rFonts w:ascii="Times New Roman" w:hAnsi="Times New Roman"/>
          <w:sz w:val="26"/>
          <w:szCs w:val="26"/>
        </w:rPr>
        <w:t xml:space="preserve">3006116).  They are not </w:t>
      </w:r>
      <w:r w:rsidR="00E31339" w:rsidRPr="006D6AAA">
        <w:rPr>
          <w:rFonts w:ascii="Times New Roman" w:hAnsi="Times New Roman"/>
          <w:sz w:val="26"/>
          <w:szCs w:val="26"/>
        </w:rPr>
        <w:t>Complainants but</w:t>
      </w:r>
      <w:r w:rsidRPr="006D6AAA">
        <w:rPr>
          <w:rFonts w:ascii="Times New Roman" w:hAnsi="Times New Roman"/>
          <w:sz w:val="26"/>
          <w:szCs w:val="26"/>
        </w:rPr>
        <w:t xml:space="preserve"> are Intervenors in the instant</w:t>
      </w:r>
      <w:r w:rsidR="00BE404F" w:rsidRPr="006D6AAA">
        <w:rPr>
          <w:rFonts w:ascii="Times New Roman" w:hAnsi="Times New Roman"/>
          <w:sz w:val="26"/>
          <w:szCs w:val="26"/>
        </w:rPr>
        <w:t xml:space="preserve"> proceeding</w:t>
      </w:r>
      <w:r w:rsidRPr="006D6AAA">
        <w:rPr>
          <w:rFonts w:ascii="Times New Roman" w:hAnsi="Times New Roman"/>
          <w:sz w:val="26"/>
          <w:szCs w:val="26"/>
        </w:rPr>
        <w:t xml:space="preserve">.  </w:t>
      </w:r>
    </w:p>
  </w:footnote>
  <w:footnote w:id="5">
    <w:p w14:paraId="218EEFA4" w14:textId="77777777" w:rsidR="009D5BF3" w:rsidRPr="009E0845" w:rsidRDefault="009D5BF3">
      <w:pPr>
        <w:pStyle w:val="FootnoteText"/>
        <w:rPr>
          <w:rFonts w:ascii="Times New Roman" w:hAnsi="Times New Roman"/>
          <w:sz w:val="26"/>
          <w:szCs w:val="26"/>
        </w:rPr>
      </w:pPr>
      <w:r>
        <w:tab/>
      </w:r>
      <w:r w:rsidRPr="009E0845">
        <w:rPr>
          <w:rStyle w:val="FootnoteReference"/>
          <w:rFonts w:ascii="Times New Roman" w:hAnsi="Times New Roman"/>
        </w:rPr>
        <w:footnoteRef/>
      </w:r>
      <w:r w:rsidRPr="009E0845">
        <w:rPr>
          <w:rFonts w:ascii="Times New Roman" w:hAnsi="Times New Roman"/>
          <w:sz w:val="26"/>
          <w:szCs w:val="26"/>
        </w:rPr>
        <w:t xml:space="preserve"> </w:t>
      </w:r>
      <w:r w:rsidRPr="009E0845">
        <w:rPr>
          <w:rFonts w:ascii="Times New Roman" w:hAnsi="Times New Roman"/>
          <w:sz w:val="26"/>
          <w:szCs w:val="26"/>
        </w:rPr>
        <w:tab/>
      </w:r>
      <w:r w:rsidR="005C2F27">
        <w:rPr>
          <w:rFonts w:ascii="Times New Roman" w:hAnsi="Times New Roman"/>
          <w:sz w:val="26"/>
          <w:szCs w:val="26"/>
        </w:rPr>
        <w:t>Pages 15</w:t>
      </w:r>
      <w:r w:rsidR="00857CAB">
        <w:rPr>
          <w:rFonts w:ascii="Times New Roman" w:hAnsi="Times New Roman"/>
          <w:sz w:val="26"/>
          <w:szCs w:val="26"/>
        </w:rPr>
        <w:t xml:space="preserve"> through </w:t>
      </w:r>
      <w:r w:rsidR="005C2F27">
        <w:rPr>
          <w:rFonts w:ascii="Times New Roman" w:hAnsi="Times New Roman"/>
          <w:sz w:val="26"/>
          <w:szCs w:val="26"/>
        </w:rPr>
        <w:t xml:space="preserve">37 of the ALJ’s Initial Decision contains a </w:t>
      </w:r>
      <w:r w:rsidRPr="009E0845">
        <w:rPr>
          <w:rFonts w:ascii="Times New Roman" w:hAnsi="Times New Roman"/>
          <w:sz w:val="26"/>
          <w:szCs w:val="26"/>
        </w:rPr>
        <w:t>discussion</w:t>
      </w:r>
      <w:r w:rsidR="005C2F27">
        <w:rPr>
          <w:rFonts w:ascii="Times New Roman" w:hAnsi="Times New Roman"/>
          <w:sz w:val="26"/>
          <w:szCs w:val="26"/>
        </w:rPr>
        <w:t xml:space="preserve"> of </w:t>
      </w:r>
      <w:r w:rsidRPr="009E0845">
        <w:rPr>
          <w:rFonts w:ascii="Times New Roman" w:hAnsi="Times New Roman"/>
          <w:sz w:val="26"/>
          <w:szCs w:val="26"/>
        </w:rPr>
        <w:t xml:space="preserve">the issues </w:t>
      </w:r>
      <w:r w:rsidR="005C2F27">
        <w:rPr>
          <w:rFonts w:ascii="Times New Roman" w:hAnsi="Times New Roman"/>
          <w:sz w:val="26"/>
          <w:szCs w:val="26"/>
        </w:rPr>
        <w:t xml:space="preserve">in this proceeding </w:t>
      </w:r>
      <w:r w:rsidRPr="009E0845">
        <w:rPr>
          <w:rFonts w:ascii="Times New Roman" w:hAnsi="Times New Roman"/>
          <w:sz w:val="26"/>
          <w:szCs w:val="26"/>
        </w:rPr>
        <w:t>including</w:t>
      </w:r>
      <w:r w:rsidR="00C71CF1">
        <w:rPr>
          <w:rFonts w:ascii="Times New Roman" w:hAnsi="Times New Roman"/>
          <w:sz w:val="26"/>
          <w:szCs w:val="26"/>
        </w:rPr>
        <w:t>: (1)</w:t>
      </w:r>
      <w:r w:rsidRPr="009E0845">
        <w:rPr>
          <w:rFonts w:ascii="Times New Roman" w:hAnsi="Times New Roman"/>
          <w:sz w:val="26"/>
          <w:szCs w:val="26"/>
        </w:rPr>
        <w:t xml:space="preserve"> </w:t>
      </w:r>
      <w:r w:rsidR="00C71CF1">
        <w:rPr>
          <w:rFonts w:ascii="Times New Roman" w:hAnsi="Times New Roman"/>
          <w:sz w:val="26"/>
          <w:szCs w:val="26"/>
        </w:rPr>
        <w:t>C</w:t>
      </w:r>
      <w:r w:rsidRPr="009E0845">
        <w:rPr>
          <w:rFonts w:ascii="Times New Roman" w:hAnsi="Times New Roman"/>
          <w:sz w:val="26"/>
          <w:szCs w:val="26"/>
        </w:rPr>
        <w:t xml:space="preserve">ivil </w:t>
      </w:r>
      <w:r w:rsidR="00C71CF1">
        <w:rPr>
          <w:rFonts w:ascii="Times New Roman" w:hAnsi="Times New Roman"/>
          <w:sz w:val="26"/>
          <w:szCs w:val="26"/>
        </w:rPr>
        <w:t>P</w:t>
      </w:r>
      <w:r w:rsidRPr="009E0845">
        <w:rPr>
          <w:rFonts w:ascii="Times New Roman" w:hAnsi="Times New Roman"/>
          <w:sz w:val="26"/>
          <w:szCs w:val="26"/>
        </w:rPr>
        <w:t>enalty</w:t>
      </w:r>
      <w:r w:rsidR="005C2F27">
        <w:rPr>
          <w:rFonts w:ascii="Times New Roman" w:hAnsi="Times New Roman"/>
          <w:sz w:val="26"/>
          <w:szCs w:val="26"/>
        </w:rPr>
        <w:t xml:space="preserve"> (I.D. at 15-24)</w:t>
      </w:r>
      <w:r w:rsidR="00C71CF1">
        <w:rPr>
          <w:rFonts w:ascii="Times New Roman" w:hAnsi="Times New Roman"/>
          <w:sz w:val="26"/>
          <w:szCs w:val="26"/>
        </w:rPr>
        <w:t>; (2)</w:t>
      </w:r>
      <w:r w:rsidRPr="009E0845">
        <w:rPr>
          <w:rFonts w:ascii="Times New Roman" w:hAnsi="Times New Roman"/>
          <w:sz w:val="26"/>
          <w:szCs w:val="26"/>
        </w:rPr>
        <w:t xml:space="preserve"> </w:t>
      </w:r>
      <w:r w:rsidR="007269C8">
        <w:rPr>
          <w:rFonts w:ascii="Times New Roman" w:hAnsi="Times New Roman"/>
          <w:sz w:val="26"/>
          <w:szCs w:val="26"/>
        </w:rPr>
        <w:t>R</w:t>
      </w:r>
      <w:r w:rsidRPr="009E0845">
        <w:rPr>
          <w:rFonts w:ascii="Times New Roman" w:hAnsi="Times New Roman"/>
          <w:sz w:val="26"/>
          <w:szCs w:val="26"/>
        </w:rPr>
        <w:t xml:space="preserve">emaining </w:t>
      </w:r>
      <w:r w:rsidR="007269C8">
        <w:rPr>
          <w:rFonts w:ascii="Times New Roman" w:hAnsi="Times New Roman"/>
          <w:sz w:val="26"/>
          <w:szCs w:val="26"/>
        </w:rPr>
        <w:t>L</w:t>
      </w:r>
      <w:r w:rsidRPr="009E0845">
        <w:rPr>
          <w:rFonts w:ascii="Times New Roman" w:hAnsi="Times New Roman"/>
          <w:sz w:val="26"/>
          <w:szCs w:val="26"/>
        </w:rPr>
        <w:t xml:space="preserve">ife </w:t>
      </w:r>
      <w:r w:rsidR="007269C8">
        <w:rPr>
          <w:rFonts w:ascii="Times New Roman" w:hAnsi="Times New Roman"/>
          <w:sz w:val="26"/>
          <w:szCs w:val="26"/>
        </w:rPr>
        <w:t>S</w:t>
      </w:r>
      <w:r w:rsidRPr="009E0845">
        <w:rPr>
          <w:rFonts w:ascii="Times New Roman" w:hAnsi="Times New Roman"/>
          <w:sz w:val="26"/>
          <w:szCs w:val="26"/>
        </w:rPr>
        <w:t>tudy</w:t>
      </w:r>
      <w:r w:rsidR="005C2F27">
        <w:rPr>
          <w:rFonts w:ascii="Times New Roman" w:hAnsi="Times New Roman"/>
          <w:sz w:val="26"/>
          <w:szCs w:val="26"/>
        </w:rPr>
        <w:t xml:space="preserve"> (I.D. at 24-30)</w:t>
      </w:r>
      <w:r w:rsidR="00C71CF1">
        <w:rPr>
          <w:rFonts w:ascii="Times New Roman" w:hAnsi="Times New Roman"/>
          <w:sz w:val="26"/>
          <w:szCs w:val="26"/>
        </w:rPr>
        <w:t>; (3)</w:t>
      </w:r>
      <w:r w:rsidR="005C2F27">
        <w:rPr>
          <w:rFonts w:ascii="Times New Roman" w:hAnsi="Times New Roman"/>
          <w:sz w:val="26"/>
          <w:szCs w:val="26"/>
        </w:rPr>
        <w:t xml:space="preserve"> </w:t>
      </w:r>
      <w:r w:rsidR="00C71CF1">
        <w:rPr>
          <w:rFonts w:ascii="Times New Roman" w:hAnsi="Times New Roman"/>
          <w:sz w:val="26"/>
          <w:szCs w:val="26"/>
        </w:rPr>
        <w:t>I</w:t>
      </w:r>
      <w:r w:rsidRPr="009E0845">
        <w:rPr>
          <w:rFonts w:ascii="Times New Roman" w:hAnsi="Times New Roman"/>
          <w:sz w:val="26"/>
          <w:szCs w:val="26"/>
        </w:rPr>
        <w:t>n-</w:t>
      </w:r>
      <w:r w:rsidR="00C71CF1">
        <w:rPr>
          <w:rFonts w:ascii="Times New Roman" w:hAnsi="Times New Roman"/>
          <w:sz w:val="26"/>
          <w:szCs w:val="26"/>
        </w:rPr>
        <w:t>L</w:t>
      </w:r>
      <w:r w:rsidRPr="009E0845">
        <w:rPr>
          <w:rFonts w:ascii="Times New Roman" w:hAnsi="Times New Roman"/>
          <w:sz w:val="26"/>
          <w:szCs w:val="26"/>
        </w:rPr>
        <w:t xml:space="preserve">ine </w:t>
      </w:r>
      <w:r w:rsidR="00C71CF1">
        <w:rPr>
          <w:rFonts w:ascii="Times New Roman" w:hAnsi="Times New Roman"/>
          <w:sz w:val="26"/>
          <w:szCs w:val="26"/>
        </w:rPr>
        <w:t>I</w:t>
      </w:r>
      <w:r w:rsidRPr="009E0845">
        <w:rPr>
          <w:rFonts w:ascii="Times New Roman" w:hAnsi="Times New Roman"/>
          <w:sz w:val="26"/>
          <w:szCs w:val="26"/>
        </w:rPr>
        <w:t xml:space="preserve">nspection and </w:t>
      </w:r>
      <w:r w:rsidR="00C71CF1">
        <w:rPr>
          <w:rFonts w:ascii="Times New Roman" w:hAnsi="Times New Roman"/>
          <w:sz w:val="26"/>
          <w:szCs w:val="26"/>
        </w:rPr>
        <w:t>C</w:t>
      </w:r>
      <w:r w:rsidRPr="009E0845">
        <w:rPr>
          <w:rFonts w:ascii="Times New Roman" w:hAnsi="Times New Roman"/>
          <w:sz w:val="26"/>
          <w:szCs w:val="26"/>
        </w:rPr>
        <w:t xml:space="preserve">lose </w:t>
      </w:r>
      <w:r w:rsidR="00C71CF1">
        <w:rPr>
          <w:rFonts w:ascii="Times New Roman" w:hAnsi="Times New Roman"/>
          <w:sz w:val="26"/>
          <w:szCs w:val="26"/>
        </w:rPr>
        <w:t>I</w:t>
      </w:r>
      <w:r w:rsidRPr="009E0845">
        <w:rPr>
          <w:rFonts w:ascii="Times New Roman" w:hAnsi="Times New Roman"/>
          <w:sz w:val="26"/>
          <w:szCs w:val="26"/>
        </w:rPr>
        <w:t xml:space="preserve">nterval </w:t>
      </w:r>
      <w:r w:rsidR="00C71CF1">
        <w:rPr>
          <w:rFonts w:ascii="Times New Roman" w:hAnsi="Times New Roman"/>
          <w:sz w:val="26"/>
          <w:szCs w:val="26"/>
        </w:rPr>
        <w:t>S</w:t>
      </w:r>
      <w:r w:rsidRPr="009E0845">
        <w:rPr>
          <w:rFonts w:ascii="Times New Roman" w:hAnsi="Times New Roman"/>
          <w:sz w:val="26"/>
          <w:szCs w:val="26"/>
        </w:rPr>
        <w:t>urvey of ME1</w:t>
      </w:r>
      <w:r w:rsidR="005C2F27">
        <w:rPr>
          <w:rFonts w:ascii="Times New Roman" w:hAnsi="Times New Roman"/>
          <w:sz w:val="26"/>
          <w:szCs w:val="26"/>
        </w:rPr>
        <w:t xml:space="preserve"> (I.D. at 30-35)</w:t>
      </w:r>
      <w:r w:rsidR="00C71CF1">
        <w:rPr>
          <w:rFonts w:ascii="Times New Roman" w:hAnsi="Times New Roman"/>
          <w:sz w:val="26"/>
          <w:szCs w:val="26"/>
        </w:rPr>
        <w:t xml:space="preserve">; </w:t>
      </w:r>
      <w:r w:rsidR="005C2F27">
        <w:rPr>
          <w:rFonts w:ascii="Times New Roman" w:hAnsi="Times New Roman"/>
          <w:sz w:val="26"/>
          <w:szCs w:val="26"/>
        </w:rPr>
        <w:t xml:space="preserve">and </w:t>
      </w:r>
      <w:r w:rsidR="00C71CF1">
        <w:rPr>
          <w:rFonts w:ascii="Times New Roman" w:hAnsi="Times New Roman"/>
          <w:sz w:val="26"/>
          <w:szCs w:val="26"/>
        </w:rPr>
        <w:t>(4)</w:t>
      </w:r>
      <w:r w:rsidRPr="009E0845">
        <w:rPr>
          <w:rFonts w:ascii="Times New Roman" w:hAnsi="Times New Roman"/>
          <w:sz w:val="26"/>
          <w:szCs w:val="26"/>
        </w:rPr>
        <w:t xml:space="preserve"> </w:t>
      </w:r>
      <w:r w:rsidR="00C71CF1">
        <w:rPr>
          <w:rFonts w:ascii="Times New Roman" w:hAnsi="Times New Roman"/>
          <w:sz w:val="26"/>
          <w:szCs w:val="26"/>
        </w:rPr>
        <w:t>R</w:t>
      </w:r>
      <w:r w:rsidRPr="009E0845">
        <w:rPr>
          <w:rFonts w:ascii="Times New Roman" w:hAnsi="Times New Roman"/>
          <w:sz w:val="26"/>
          <w:szCs w:val="26"/>
        </w:rPr>
        <w:t xml:space="preserve">evision of </w:t>
      </w:r>
      <w:r w:rsidR="00C71CF1">
        <w:rPr>
          <w:rFonts w:ascii="Times New Roman" w:hAnsi="Times New Roman"/>
          <w:sz w:val="26"/>
          <w:szCs w:val="26"/>
        </w:rPr>
        <w:t>P</w:t>
      </w:r>
      <w:r w:rsidRPr="009E0845">
        <w:rPr>
          <w:rFonts w:ascii="Times New Roman" w:hAnsi="Times New Roman"/>
          <w:sz w:val="26"/>
          <w:szCs w:val="26"/>
        </w:rPr>
        <w:t xml:space="preserve">rocedures and </w:t>
      </w:r>
      <w:r w:rsidR="00C71CF1">
        <w:rPr>
          <w:rFonts w:ascii="Times New Roman" w:hAnsi="Times New Roman"/>
          <w:sz w:val="26"/>
          <w:szCs w:val="26"/>
        </w:rPr>
        <w:t>P</w:t>
      </w:r>
      <w:r w:rsidRPr="009E0845">
        <w:rPr>
          <w:rFonts w:ascii="Times New Roman" w:hAnsi="Times New Roman"/>
          <w:sz w:val="26"/>
          <w:szCs w:val="26"/>
        </w:rPr>
        <w:t xml:space="preserve">ipeline </w:t>
      </w:r>
      <w:r w:rsidR="00C71CF1">
        <w:rPr>
          <w:rFonts w:ascii="Times New Roman" w:hAnsi="Times New Roman"/>
          <w:sz w:val="26"/>
          <w:szCs w:val="26"/>
        </w:rPr>
        <w:t>R</w:t>
      </w:r>
      <w:r w:rsidRPr="009E0845">
        <w:rPr>
          <w:rFonts w:ascii="Times New Roman" w:hAnsi="Times New Roman"/>
          <w:sz w:val="26"/>
          <w:szCs w:val="26"/>
        </w:rPr>
        <w:t>eplacement</w:t>
      </w:r>
      <w:r w:rsidR="005C2F27">
        <w:rPr>
          <w:rFonts w:ascii="Times New Roman" w:hAnsi="Times New Roman"/>
          <w:sz w:val="26"/>
          <w:szCs w:val="26"/>
        </w:rPr>
        <w:t xml:space="preserve"> (I.D. at 36-37)</w:t>
      </w:r>
      <w:r w:rsidRPr="009E0845">
        <w:rPr>
          <w:rFonts w:ascii="Times New Roman" w:hAnsi="Times New Roman"/>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FE8F02"/>
    <w:multiLevelType w:val="hybridMultilevel"/>
    <w:tmpl w:val="57BB39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CF243"/>
    <w:multiLevelType w:val="hybridMultilevel"/>
    <w:tmpl w:val="4B46E97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313B4F"/>
    <w:multiLevelType w:val="hybridMultilevel"/>
    <w:tmpl w:val="13AD335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20FFEA"/>
    <w:multiLevelType w:val="hybridMultilevel"/>
    <w:tmpl w:val="3CD602D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FA83DF"/>
    <w:multiLevelType w:val="hybridMultilevel"/>
    <w:tmpl w:val="B65358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FE4156"/>
    <w:multiLevelType w:val="hybridMultilevel"/>
    <w:tmpl w:val="B1523078"/>
    <w:lvl w:ilvl="0" w:tplc="0B04EF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E70CF9"/>
    <w:multiLevelType w:val="hybridMultilevel"/>
    <w:tmpl w:val="96688004"/>
    <w:lvl w:ilvl="0" w:tplc="EAD0DC1C">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8D64F3"/>
    <w:multiLevelType w:val="hybridMultilevel"/>
    <w:tmpl w:val="2DBAC3C8"/>
    <w:lvl w:ilvl="0" w:tplc="E9B42C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D95F8B"/>
    <w:multiLevelType w:val="hybridMultilevel"/>
    <w:tmpl w:val="9AE4937E"/>
    <w:lvl w:ilvl="0" w:tplc="4A122A5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FA76B7"/>
    <w:multiLevelType w:val="hybridMultilevel"/>
    <w:tmpl w:val="43CB42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AC175E"/>
    <w:multiLevelType w:val="hybridMultilevel"/>
    <w:tmpl w:val="A4909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4EF3B"/>
    <w:multiLevelType w:val="hybridMultilevel"/>
    <w:tmpl w:val="AB2F32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2F864B9"/>
    <w:multiLevelType w:val="hybridMultilevel"/>
    <w:tmpl w:val="BBB4E2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756022F"/>
    <w:multiLevelType w:val="hybridMultilevel"/>
    <w:tmpl w:val="C8F61812"/>
    <w:lvl w:ilvl="0" w:tplc="096CC3CC">
      <w:start w:val="1"/>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AB875"/>
    <w:multiLevelType w:val="hybridMultilevel"/>
    <w:tmpl w:val="96033C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7"/>
  </w:num>
  <w:num w:numId="3">
    <w:abstractNumId w:val="22"/>
  </w:num>
  <w:num w:numId="4">
    <w:abstractNumId w:val="9"/>
  </w:num>
  <w:num w:numId="5">
    <w:abstractNumId w:val="12"/>
  </w:num>
  <w:num w:numId="6">
    <w:abstractNumId w:val="10"/>
  </w:num>
  <w:num w:numId="7">
    <w:abstractNumId w:val="8"/>
  </w:num>
  <w:num w:numId="8">
    <w:abstractNumId w:val="11"/>
  </w:num>
  <w:num w:numId="9">
    <w:abstractNumId w:val="21"/>
  </w:num>
  <w:num w:numId="10">
    <w:abstractNumId w:val="6"/>
  </w:num>
  <w:num w:numId="11">
    <w:abstractNumId w:val="4"/>
  </w:num>
  <w:num w:numId="12">
    <w:abstractNumId w:val="18"/>
  </w:num>
  <w:num w:numId="13">
    <w:abstractNumId w:val="13"/>
  </w:num>
  <w:num w:numId="14">
    <w:abstractNumId w:val="23"/>
  </w:num>
  <w:num w:numId="15">
    <w:abstractNumId w:val="19"/>
  </w:num>
  <w:num w:numId="16">
    <w:abstractNumId w:val="2"/>
  </w:num>
  <w:num w:numId="17">
    <w:abstractNumId w:val="0"/>
  </w:num>
  <w:num w:numId="18">
    <w:abstractNumId w:val="25"/>
  </w:num>
  <w:num w:numId="19">
    <w:abstractNumId w:val="5"/>
  </w:num>
  <w:num w:numId="20">
    <w:abstractNumId w:val="1"/>
  </w:num>
  <w:num w:numId="21">
    <w:abstractNumId w:val="17"/>
  </w:num>
  <w:num w:numId="22">
    <w:abstractNumId w:val="3"/>
  </w:num>
  <w:num w:numId="23">
    <w:abstractNumId w:val="24"/>
  </w:num>
  <w:num w:numId="24">
    <w:abstractNumId w:val="15"/>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178C"/>
    <w:rsid w:val="0000209B"/>
    <w:rsid w:val="00002615"/>
    <w:rsid w:val="0000290A"/>
    <w:rsid w:val="00002F2A"/>
    <w:rsid w:val="00003A51"/>
    <w:rsid w:val="00004C36"/>
    <w:rsid w:val="000063E9"/>
    <w:rsid w:val="000064C2"/>
    <w:rsid w:val="00006E37"/>
    <w:rsid w:val="00007106"/>
    <w:rsid w:val="0000719A"/>
    <w:rsid w:val="000074DC"/>
    <w:rsid w:val="00010322"/>
    <w:rsid w:val="0001099D"/>
    <w:rsid w:val="00011888"/>
    <w:rsid w:val="00012A95"/>
    <w:rsid w:val="00013B94"/>
    <w:rsid w:val="00013E71"/>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972"/>
    <w:rsid w:val="00025B28"/>
    <w:rsid w:val="000261D5"/>
    <w:rsid w:val="00026E4B"/>
    <w:rsid w:val="0002723A"/>
    <w:rsid w:val="0002744F"/>
    <w:rsid w:val="000274A7"/>
    <w:rsid w:val="00027EE5"/>
    <w:rsid w:val="000310BE"/>
    <w:rsid w:val="00031A0A"/>
    <w:rsid w:val="00031E93"/>
    <w:rsid w:val="0003278B"/>
    <w:rsid w:val="00032D5F"/>
    <w:rsid w:val="00033CB2"/>
    <w:rsid w:val="0003588B"/>
    <w:rsid w:val="00035F25"/>
    <w:rsid w:val="000366C0"/>
    <w:rsid w:val="00037182"/>
    <w:rsid w:val="000378DC"/>
    <w:rsid w:val="0004071F"/>
    <w:rsid w:val="000416ED"/>
    <w:rsid w:val="00044438"/>
    <w:rsid w:val="00045A15"/>
    <w:rsid w:val="0004679E"/>
    <w:rsid w:val="000472A4"/>
    <w:rsid w:val="00047CB0"/>
    <w:rsid w:val="000510D0"/>
    <w:rsid w:val="000510FD"/>
    <w:rsid w:val="000537BC"/>
    <w:rsid w:val="00053CED"/>
    <w:rsid w:val="000541A0"/>
    <w:rsid w:val="00054407"/>
    <w:rsid w:val="00054F7A"/>
    <w:rsid w:val="00055EF9"/>
    <w:rsid w:val="00057057"/>
    <w:rsid w:val="000573BD"/>
    <w:rsid w:val="0006057C"/>
    <w:rsid w:val="0006074F"/>
    <w:rsid w:val="000607CB"/>
    <w:rsid w:val="000610F9"/>
    <w:rsid w:val="00061284"/>
    <w:rsid w:val="00061850"/>
    <w:rsid w:val="000629CD"/>
    <w:rsid w:val="00062AEC"/>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46C"/>
    <w:rsid w:val="00076F62"/>
    <w:rsid w:val="000777D8"/>
    <w:rsid w:val="00077822"/>
    <w:rsid w:val="00080C6A"/>
    <w:rsid w:val="000820F1"/>
    <w:rsid w:val="0008251E"/>
    <w:rsid w:val="0008328F"/>
    <w:rsid w:val="0008445E"/>
    <w:rsid w:val="00084E42"/>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6853"/>
    <w:rsid w:val="00097048"/>
    <w:rsid w:val="0009781B"/>
    <w:rsid w:val="00097D66"/>
    <w:rsid w:val="000A1364"/>
    <w:rsid w:val="000A161F"/>
    <w:rsid w:val="000A2F11"/>
    <w:rsid w:val="000A35F4"/>
    <w:rsid w:val="000A4C46"/>
    <w:rsid w:val="000A5051"/>
    <w:rsid w:val="000A6EB3"/>
    <w:rsid w:val="000A770A"/>
    <w:rsid w:val="000A7F96"/>
    <w:rsid w:val="000A7FDF"/>
    <w:rsid w:val="000B0753"/>
    <w:rsid w:val="000B2688"/>
    <w:rsid w:val="000B2A1C"/>
    <w:rsid w:val="000B2B80"/>
    <w:rsid w:val="000B3FB4"/>
    <w:rsid w:val="000B4F29"/>
    <w:rsid w:val="000B5487"/>
    <w:rsid w:val="000B54E5"/>
    <w:rsid w:val="000B5DF8"/>
    <w:rsid w:val="000B71E3"/>
    <w:rsid w:val="000B77E2"/>
    <w:rsid w:val="000B7E7F"/>
    <w:rsid w:val="000C285E"/>
    <w:rsid w:val="000C33A1"/>
    <w:rsid w:val="000C4BFD"/>
    <w:rsid w:val="000C608B"/>
    <w:rsid w:val="000C6C92"/>
    <w:rsid w:val="000C742F"/>
    <w:rsid w:val="000D0485"/>
    <w:rsid w:val="000D0BAC"/>
    <w:rsid w:val="000D0D75"/>
    <w:rsid w:val="000D1965"/>
    <w:rsid w:val="000D1A21"/>
    <w:rsid w:val="000D1DF8"/>
    <w:rsid w:val="000D31BC"/>
    <w:rsid w:val="000D5951"/>
    <w:rsid w:val="000D5F87"/>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5DF"/>
    <w:rsid w:val="000F5A80"/>
    <w:rsid w:val="000F6D5A"/>
    <w:rsid w:val="000F7735"/>
    <w:rsid w:val="000F7F57"/>
    <w:rsid w:val="000F7F65"/>
    <w:rsid w:val="0010013C"/>
    <w:rsid w:val="001006F0"/>
    <w:rsid w:val="00100B90"/>
    <w:rsid w:val="00100BF3"/>
    <w:rsid w:val="00101745"/>
    <w:rsid w:val="001026AA"/>
    <w:rsid w:val="00103A52"/>
    <w:rsid w:val="00103EBA"/>
    <w:rsid w:val="001048B3"/>
    <w:rsid w:val="00104F3D"/>
    <w:rsid w:val="00105084"/>
    <w:rsid w:val="001050C5"/>
    <w:rsid w:val="00105104"/>
    <w:rsid w:val="00105193"/>
    <w:rsid w:val="00106537"/>
    <w:rsid w:val="001112D8"/>
    <w:rsid w:val="0011244B"/>
    <w:rsid w:val="0011311C"/>
    <w:rsid w:val="001133C8"/>
    <w:rsid w:val="00114D80"/>
    <w:rsid w:val="00115F86"/>
    <w:rsid w:val="00115FD9"/>
    <w:rsid w:val="001160BA"/>
    <w:rsid w:val="00116D79"/>
    <w:rsid w:val="00120C2F"/>
    <w:rsid w:val="00120D85"/>
    <w:rsid w:val="00122E0F"/>
    <w:rsid w:val="00123068"/>
    <w:rsid w:val="001234F1"/>
    <w:rsid w:val="00124134"/>
    <w:rsid w:val="00124138"/>
    <w:rsid w:val="00124A50"/>
    <w:rsid w:val="00126152"/>
    <w:rsid w:val="0012697D"/>
    <w:rsid w:val="00127076"/>
    <w:rsid w:val="001270AB"/>
    <w:rsid w:val="00127623"/>
    <w:rsid w:val="00127671"/>
    <w:rsid w:val="00127C7C"/>
    <w:rsid w:val="00130C69"/>
    <w:rsid w:val="00130D74"/>
    <w:rsid w:val="00131B43"/>
    <w:rsid w:val="00132193"/>
    <w:rsid w:val="00132429"/>
    <w:rsid w:val="00132DE7"/>
    <w:rsid w:val="00133878"/>
    <w:rsid w:val="001350BC"/>
    <w:rsid w:val="001351B9"/>
    <w:rsid w:val="00135C86"/>
    <w:rsid w:val="00136C34"/>
    <w:rsid w:val="00136E3D"/>
    <w:rsid w:val="00137A60"/>
    <w:rsid w:val="00137C4A"/>
    <w:rsid w:val="001401EC"/>
    <w:rsid w:val="0014045D"/>
    <w:rsid w:val="00141877"/>
    <w:rsid w:val="00141882"/>
    <w:rsid w:val="00141DF0"/>
    <w:rsid w:val="0014205C"/>
    <w:rsid w:val="00142D3A"/>
    <w:rsid w:val="00143F43"/>
    <w:rsid w:val="00144166"/>
    <w:rsid w:val="001448EA"/>
    <w:rsid w:val="00144E09"/>
    <w:rsid w:val="001457F2"/>
    <w:rsid w:val="00145EDC"/>
    <w:rsid w:val="00146E12"/>
    <w:rsid w:val="00147415"/>
    <w:rsid w:val="00147521"/>
    <w:rsid w:val="00150989"/>
    <w:rsid w:val="001509E0"/>
    <w:rsid w:val="001510BB"/>
    <w:rsid w:val="00151ABD"/>
    <w:rsid w:val="001523CA"/>
    <w:rsid w:val="0015662E"/>
    <w:rsid w:val="001569C9"/>
    <w:rsid w:val="001572C5"/>
    <w:rsid w:val="0016005F"/>
    <w:rsid w:val="001606BC"/>
    <w:rsid w:val="00160F0A"/>
    <w:rsid w:val="0016115A"/>
    <w:rsid w:val="00162A88"/>
    <w:rsid w:val="00162BEE"/>
    <w:rsid w:val="001636E2"/>
    <w:rsid w:val="00163AA3"/>
    <w:rsid w:val="00164012"/>
    <w:rsid w:val="0016441E"/>
    <w:rsid w:val="00164715"/>
    <w:rsid w:val="00164C98"/>
    <w:rsid w:val="00165932"/>
    <w:rsid w:val="00166006"/>
    <w:rsid w:val="00166135"/>
    <w:rsid w:val="00167530"/>
    <w:rsid w:val="001679F1"/>
    <w:rsid w:val="00167CDE"/>
    <w:rsid w:val="001701B3"/>
    <w:rsid w:val="001704F7"/>
    <w:rsid w:val="0017084A"/>
    <w:rsid w:val="001721FA"/>
    <w:rsid w:val="001736CB"/>
    <w:rsid w:val="00173EDA"/>
    <w:rsid w:val="0017591C"/>
    <w:rsid w:val="00175F2D"/>
    <w:rsid w:val="00176049"/>
    <w:rsid w:val="00177A43"/>
    <w:rsid w:val="00180E89"/>
    <w:rsid w:val="001811B8"/>
    <w:rsid w:val="00181347"/>
    <w:rsid w:val="001827DB"/>
    <w:rsid w:val="00182D08"/>
    <w:rsid w:val="00183173"/>
    <w:rsid w:val="00183D96"/>
    <w:rsid w:val="00185B5E"/>
    <w:rsid w:val="001865B9"/>
    <w:rsid w:val="00186887"/>
    <w:rsid w:val="00186B09"/>
    <w:rsid w:val="00187BC6"/>
    <w:rsid w:val="00191250"/>
    <w:rsid w:val="0019214E"/>
    <w:rsid w:val="0019251E"/>
    <w:rsid w:val="0019318F"/>
    <w:rsid w:val="00193EF0"/>
    <w:rsid w:val="00197920"/>
    <w:rsid w:val="00197C2F"/>
    <w:rsid w:val="00197F3D"/>
    <w:rsid w:val="001A0516"/>
    <w:rsid w:val="001A18D5"/>
    <w:rsid w:val="001A1AD3"/>
    <w:rsid w:val="001A2F1D"/>
    <w:rsid w:val="001A3C6A"/>
    <w:rsid w:val="001A4A0C"/>
    <w:rsid w:val="001A4C6C"/>
    <w:rsid w:val="001A5029"/>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035F"/>
    <w:rsid w:val="001C0758"/>
    <w:rsid w:val="001C08C7"/>
    <w:rsid w:val="001C37DD"/>
    <w:rsid w:val="001C396E"/>
    <w:rsid w:val="001C42FD"/>
    <w:rsid w:val="001C4B37"/>
    <w:rsid w:val="001C4CAD"/>
    <w:rsid w:val="001C53B1"/>
    <w:rsid w:val="001C7CAD"/>
    <w:rsid w:val="001C7E91"/>
    <w:rsid w:val="001C7F88"/>
    <w:rsid w:val="001D01F1"/>
    <w:rsid w:val="001D02A2"/>
    <w:rsid w:val="001D0E29"/>
    <w:rsid w:val="001D19A1"/>
    <w:rsid w:val="001D1A8B"/>
    <w:rsid w:val="001D24BD"/>
    <w:rsid w:val="001D2BAD"/>
    <w:rsid w:val="001D491F"/>
    <w:rsid w:val="001D5345"/>
    <w:rsid w:val="001D70A6"/>
    <w:rsid w:val="001D7137"/>
    <w:rsid w:val="001D751E"/>
    <w:rsid w:val="001E05C6"/>
    <w:rsid w:val="001E0B29"/>
    <w:rsid w:val="001E0F56"/>
    <w:rsid w:val="001E19BC"/>
    <w:rsid w:val="001E1A53"/>
    <w:rsid w:val="001E2CFB"/>
    <w:rsid w:val="001E3574"/>
    <w:rsid w:val="001E3854"/>
    <w:rsid w:val="001E4225"/>
    <w:rsid w:val="001E5B8E"/>
    <w:rsid w:val="001F0488"/>
    <w:rsid w:val="001F3060"/>
    <w:rsid w:val="001F3BF4"/>
    <w:rsid w:val="001F3C68"/>
    <w:rsid w:val="001F4194"/>
    <w:rsid w:val="001F49F1"/>
    <w:rsid w:val="001F55D5"/>
    <w:rsid w:val="001F5F40"/>
    <w:rsid w:val="001F75D6"/>
    <w:rsid w:val="001F79C6"/>
    <w:rsid w:val="001F7B55"/>
    <w:rsid w:val="00200D0C"/>
    <w:rsid w:val="00203954"/>
    <w:rsid w:val="00203F27"/>
    <w:rsid w:val="00205136"/>
    <w:rsid w:val="00205242"/>
    <w:rsid w:val="00205B95"/>
    <w:rsid w:val="0020640C"/>
    <w:rsid w:val="00206D03"/>
    <w:rsid w:val="00206F1D"/>
    <w:rsid w:val="00207449"/>
    <w:rsid w:val="00207453"/>
    <w:rsid w:val="0020784E"/>
    <w:rsid w:val="00210868"/>
    <w:rsid w:val="00210BB0"/>
    <w:rsid w:val="0021230D"/>
    <w:rsid w:val="00213B95"/>
    <w:rsid w:val="00214C25"/>
    <w:rsid w:val="00215192"/>
    <w:rsid w:val="002170BF"/>
    <w:rsid w:val="00217154"/>
    <w:rsid w:val="002174D8"/>
    <w:rsid w:val="00217C4E"/>
    <w:rsid w:val="00223564"/>
    <w:rsid w:val="00223917"/>
    <w:rsid w:val="002242F7"/>
    <w:rsid w:val="00225BD2"/>
    <w:rsid w:val="0022626D"/>
    <w:rsid w:val="002278A0"/>
    <w:rsid w:val="00230396"/>
    <w:rsid w:val="0023097E"/>
    <w:rsid w:val="00230BAB"/>
    <w:rsid w:val="00232A03"/>
    <w:rsid w:val="0023377F"/>
    <w:rsid w:val="00233A9F"/>
    <w:rsid w:val="0023535F"/>
    <w:rsid w:val="00237CE3"/>
    <w:rsid w:val="00241AA6"/>
    <w:rsid w:val="00242B9D"/>
    <w:rsid w:val="00243016"/>
    <w:rsid w:val="0024349F"/>
    <w:rsid w:val="00243CC9"/>
    <w:rsid w:val="00243D31"/>
    <w:rsid w:val="00244528"/>
    <w:rsid w:val="002450F3"/>
    <w:rsid w:val="00245B0C"/>
    <w:rsid w:val="00246451"/>
    <w:rsid w:val="002469C9"/>
    <w:rsid w:val="00247332"/>
    <w:rsid w:val="00250E63"/>
    <w:rsid w:val="00252313"/>
    <w:rsid w:val="00252626"/>
    <w:rsid w:val="00253CC7"/>
    <w:rsid w:val="00254560"/>
    <w:rsid w:val="00254840"/>
    <w:rsid w:val="00255125"/>
    <w:rsid w:val="002556E9"/>
    <w:rsid w:val="002564D7"/>
    <w:rsid w:val="00256631"/>
    <w:rsid w:val="00256A4C"/>
    <w:rsid w:val="0025718D"/>
    <w:rsid w:val="00260276"/>
    <w:rsid w:val="002618AC"/>
    <w:rsid w:val="00262564"/>
    <w:rsid w:val="0026312F"/>
    <w:rsid w:val="00264ABB"/>
    <w:rsid w:val="002652DF"/>
    <w:rsid w:val="00265BD8"/>
    <w:rsid w:val="00266009"/>
    <w:rsid w:val="00266167"/>
    <w:rsid w:val="00266A79"/>
    <w:rsid w:val="0026727E"/>
    <w:rsid w:val="00267FDA"/>
    <w:rsid w:val="00271322"/>
    <w:rsid w:val="00271DE6"/>
    <w:rsid w:val="002723CB"/>
    <w:rsid w:val="00273450"/>
    <w:rsid w:val="0027458E"/>
    <w:rsid w:val="00274EC0"/>
    <w:rsid w:val="00275533"/>
    <w:rsid w:val="00277997"/>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43FF"/>
    <w:rsid w:val="00296493"/>
    <w:rsid w:val="00296D1A"/>
    <w:rsid w:val="00297040"/>
    <w:rsid w:val="00297213"/>
    <w:rsid w:val="002A0E82"/>
    <w:rsid w:val="002A17A4"/>
    <w:rsid w:val="002A2280"/>
    <w:rsid w:val="002A2F11"/>
    <w:rsid w:val="002A3250"/>
    <w:rsid w:val="002A3A6E"/>
    <w:rsid w:val="002A3AC8"/>
    <w:rsid w:val="002A4DEF"/>
    <w:rsid w:val="002A5399"/>
    <w:rsid w:val="002A740E"/>
    <w:rsid w:val="002A782B"/>
    <w:rsid w:val="002B0089"/>
    <w:rsid w:val="002B03EA"/>
    <w:rsid w:val="002B159E"/>
    <w:rsid w:val="002B31AD"/>
    <w:rsid w:val="002B3767"/>
    <w:rsid w:val="002B4B0D"/>
    <w:rsid w:val="002B6B0C"/>
    <w:rsid w:val="002B7197"/>
    <w:rsid w:val="002C011D"/>
    <w:rsid w:val="002C116F"/>
    <w:rsid w:val="002C2053"/>
    <w:rsid w:val="002C20BD"/>
    <w:rsid w:val="002C348A"/>
    <w:rsid w:val="002C4014"/>
    <w:rsid w:val="002C4311"/>
    <w:rsid w:val="002C61A7"/>
    <w:rsid w:val="002C6681"/>
    <w:rsid w:val="002D08E2"/>
    <w:rsid w:val="002D0BD9"/>
    <w:rsid w:val="002D13F6"/>
    <w:rsid w:val="002D33E8"/>
    <w:rsid w:val="002D3B9E"/>
    <w:rsid w:val="002D5216"/>
    <w:rsid w:val="002D5341"/>
    <w:rsid w:val="002D5C5B"/>
    <w:rsid w:val="002D650D"/>
    <w:rsid w:val="002D6FE5"/>
    <w:rsid w:val="002D775A"/>
    <w:rsid w:val="002E00A3"/>
    <w:rsid w:val="002E0503"/>
    <w:rsid w:val="002E1CA7"/>
    <w:rsid w:val="002E3288"/>
    <w:rsid w:val="002E4908"/>
    <w:rsid w:val="002E6029"/>
    <w:rsid w:val="002E6F2D"/>
    <w:rsid w:val="002E7206"/>
    <w:rsid w:val="002F0238"/>
    <w:rsid w:val="002F1287"/>
    <w:rsid w:val="002F14FA"/>
    <w:rsid w:val="002F3B92"/>
    <w:rsid w:val="002F4D5E"/>
    <w:rsid w:val="002F50FB"/>
    <w:rsid w:val="002F5F71"/>
    <w:rsid w:val="002F6563"/>
    <w:rsid w:val="002F6B3D"/>
    <w:rsid w:val="002F716A"/>
    <w:rsid w:val="002F7FB8"/>
    <w:rsid w:val="00300C9D"/>
    <w:rsid w:val="00301735"/>
    <w:rsid w:val="00301857"/>
    <w:rsid w:val="00302FC9"/>
    <w:rsid w:val="00303915"/>
    <w:rsid w:val="00304ABF"/>
    <w:rsid w:val="00304F7D"/>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56F0"/>
    <w:rsid w:val="00316B27"/>
    <w:rsid w:val="00316BFA"/>
    <w:rsid w:val="00321AF8"/>
    <w:rsid w:val="00322A65"/>
    <w:rsid w:val="00322B47"/>
    <w:rsid w:val="0032388C"/>
    <w:rsid w:val="00324417"/>
    <w:rsid w:val="00324791"/>
    <w:rsid w:val="00324B2C"/>
    <w:rsid w:val="00324E5B"/>
    <w:rsid w:val="00325440"/>
    <w:rsid w:val="0032579A"/>
    <w:rsid w:val="0032615A"/>
    <w:rsid w:val="00326A17"/>
    <w:rsid w:val="00327CBE"/>
    <w:rsid w:val="00327DF8"/>
    <w:rsid w:val="00330392"/>
    <w:rsid w:val="00331406"/>
    <w:rsid w:val="0033198B"/>
    <w:rsid w:val="003320A9"/>
    <w:rsid w:val="0033589A"/>
    <w:rsid w:val="00337C48"/>
    <w:rsid w:val="00337DFD"/>
    <w:rsid w:val="00340B42"/>
    <w:rsid w:val="00340BE3"/>
    <w:rsid w:val="00340E96"/>
    <w:rsid w:val="00341386"/>
    <w:rsid w:val="00342149"/>
    <w:rsid w:val="003428C1"/>
    <w:rsid w:val="0034353D"/>
    <w:rsid w:val="003440BD"/>
    <w:rsid w:val="00344581"/>
    <w:rsid w:val="003459E2"/>
    <w:rsid w:val="00346964"/>
    <w:rsid w:val="003471B4"/>
    <w:rsid w:val="00350442"/>
    <w:rsid w:val="00350B3E"/>
    <w:rsid w:val="00351EDF"/>
    <w:rsid w:val="00351F81"/>
    <w:rsid w:val="00352BC7"/>
    <w:rsid w:val="003536D6"/>
    <w:rsid w:val="003538E3"/>
    <w:rsid w:val="00353BBC"/>
    <w:rsid w:val="00353F42"/>
    <w:rsid w:val="0035474E"/>
    <w:rsid w:val="00354EEE"/>
    <w:rsid w:val="00355E73"/>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291"/>
    <w:rsid w:val="0037692B"/>
    <w:rsid w:val="003807E7"/>
    <w:rsid w:val="0038091E"/>
    <w:rsid w:val="00380951"/>
    <w:rsid w:val="00381C7A"/>
    <w:rsid w:val="003821C2"/>
    <w:rsid w:val="00383324"/>
    <w:rsid w:val="00383585"/>
    <w:rsid w:val="00384B25"/>
    <w:rsid w:val="00385898"/>
    <w:rsid w:val="0039007A"/>
    <w:rsid w:val="003902DE"/>
    <w:rsid w:val="00390871"/>
    <w:rsid w:val="00390A6D"/>
    <w:rsid w:val="00390D1D"/>
    <w:rsid w:val="00390D53"/>
    <w:rsid w:val="00390FB3"/>
    <w:rsid w:val="00391865"/>
    <w:rsid w:val="00391B6F"/>
    <w:rsid w:val="00391BFC"/>
    <w:rsid w:val="00392572"/>
    <w:rsid w:val="003928E1"/>
    <w:rsid w:val="00392B85"/>
    <w:rsid w:val="003943C4"/>
    <w:rsid w:val="00394901"/>
    <w:rsid w:val="00395F28"/>
    <w:rsid w:val="003967A2"/>
    <w:rsid w:val="0039729A"/>
    <w:rsid w:val="00397F28"/>
    <w:rsid w:val="003A07CB"/>
    <w:rsid w:val="003A16F3"/>
    <w:rsid w:val="003A2DA0"/>
    <w:rsid w:val="003A2E3E"/>
    <w:rsid w:val="003A2FF8"/>
    <w:rsid w:val="003A37DD"/>
    <w:rsid w:val="003A4184"/>
    <w:rsid w:val="003A50AE"/>
    <w:rsid w:val="003A5385"/>
    <w:rsid w:val="003A5498"/>
    <w:rsid w:val="003A54C7"/>
    <w:rsid w:val="003A76DB"/>
    <w:rsid w:val="003B0BE3"/>
    <w:rsid w:val="003B25BE"/>
    <w:rsid w:val="003B3893"/>
    <w:rsid w:val="003B3CEA"/>
    <w:rsid w:val="003B3E5F"/>
    <w:rsid w:val="003B4E05"/>
    <w:rsid w:val="003B561F"/>
    <w:rsid w:val="003B6109"/>
    <w:rsid w:val="003B68C7"/>
    <w:rsid w:val="003B6D2E"/>
    <w:rsid w:val="003B7522"/>
    <w:rsid w:val="003B7738"/>
    <w:rsid w:val="003B7B99"/>
    <w:rsid w:val="003C042A"/>
    <w:rsid w:val="003C0F72"/>
    <w:rsid w:val="003C1FBE"/>
    <w:rsid w:val="003C23C6"/>
    <w:rsid w:val="003C31AF"/>
    <w:rsid w:val="003C384E"/>
    <w:rsid w:val="003C3DBC"/>
    <w:rsid w:val="003C4355"/>
    <w:rsid w:val="003C446B"/>
    <w:rsid w:val="003C729B"/>
    <w:rsid w:val="003C75CF"/>
    <w:rsid w:val="003C7EE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4FFA"/>
    <w:rsid w:val="003E5CB0"/>
    <w:rsid w:val="003E73BC"/>
    <w:rsid w:val="003E78A1"/>
    <w:rsid w:val="003F07AF"/>
    <w:rsid w:val="003F0A4A"/>
    <w:rsid w:val="003F0ABA"/>
    <w:rsid w:val="003F12B4"/>
    <w:rsid w:val="003F1C7C"/>
    <w:rsid w:val="003F25E5"/>
    <w:rsid w:val="003F27D1"/>
    <w:rsid w:val="003F287E"/>
    <w:rsid w:val="003F2BF4"/>
    <w:rsid w:val="003F3939"/>
    <w:rsid w:val="003F5CC4"/>
    <w:rsid w:val="003F6450"/>
    <w:rsid w:val="003F6D6E"/>
    <w:rsid w:val="003F78A2"/>
    <w:rsid w:val="00400A4D"/>
    <w:rsid w:val="0040233B"/>
    <w:rsid w:val="004023F4"/>
    <w:rsid w:val="00402479"/>
    <w:rsid w:val="00404C07"/>
    <w:rsid w:val="004051BE"/>
    <w:rsid w:val="004059A2"/>
    <w:rsid w:val="00406D11"/>
    <w:rsid w:val="00407896"/>
    <w:rsid w:val="00410104"/>
    <w:rsid w:val="004107DC"/>
    <w:rsid w:val="00410A81"/>
    <w:rsid w:val="00411FC9"/>
    <w:rsid w:val="00411FED"/>
    <w:rsid w:val="00413A90"/>
    <w:rsid w:val="004140BA"/>
    <w:rsid w:val="004144EB"/>
    <w:rsid w:val="004144EE"/>
    <w:rsid w:val="004146BE"/>
    <w:rsid w:val="00414855"/>
    <w:rsid w:val="004149C3"/>
    <w:rsid w:val="00415460"/>
    <w:rsid w:val="00415483"/>
    <w:rsid w:val="00415A5E"/>
    <w:rsid w:val="0041704E"/>
    <w:rsid w:val="00417CCE"/>
    <w:rsid w:val="00421E3B"/>
    <w:rsid w:val="004246D3"/>
    <w:rsid w:val="00425651"/>
    <w:rsid w:val="00425C2F"/>
    <w:rsid w:val="00426953"/>
    <w:rsid w:val="00427697"/>
    <w:rsid w:val="00427F6D"/>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464B"/>
    <w:rsid w:val="00446699"/>
    <w:rsid w:val="00446BCB"/>
    <w:rsid w:val="00447592"/>
    <w:rsid w:val="00451543"/>
    <w:rsid w:val="004551AB"/>
    <w:rsid w:val="00455685"/>
    <w:rsid w:val="00455C99"/>
    <w:rsid w:val="004566AB"/>
    <w:rsid w:val="004572B4"/>
    <w:rsid w:val="00457386"/>
    <w:rsid w:val="00457839"/>
    <w:rsid w:val="004610A5"/>
    <w:rsid w:val="00461752"/>
    <w:rsid w:val="00461AC0"/>
    <w:rsid w:val="00461E0C"/>
    <w:rsid w:val="004622AF"/>
    <w:rsid w:val="004631B6"/>
    <w:rsid w:val="00463C5C"/>
    <w:rsid w:val="00464789"/>
    <w:rsid w:val="00465338"/>
    <w:rsid w:val="004659EF"/>
    <w:rsid w:val="00466D2B"/>
    <w:rsid w:val="004715B6"/>
    <w:rsid w:val="0047285B"/>
    <w:rsid w:val="0047307A"/>
    <w:rsid w:val="00473CA5"/>
    <w:rsid w:val="00474DBB"/>
    <w:rsid w:val="00474F36"/>
    <w:rsid w:val="00474FC8"/>
    <w:rsid w:val="0047525F"/>
    <w:rsid w:val="00475639"/>
    <w:rsid w:val="004760F2"/>
    <w:rsid w:val="004761B9"/>
    <w:rsid w:val="00476B76"/>
    <w:rsid w:val="004800AD"/>
    <w:rsid w:val="00481FD0"/>
    <w:rsid w:val="004854BF"/>
    <w:rsid w:val="0048674B"/>
    <w:rsid w:val="0048747D"/>
    <w:rsid w:val="00492432"/>
    <w:rsid w:val="00492787"/>
    <w:rsid w:val="004938FA"/>
    <w:rsid w:val="00493959"/>
    <w:rsid w:val="004949D0"/>
    <w:rsid w:val="0049771B"/>
    <w:rsid w:val="0049798B"/>
    <w:rsid w:val="00497BCA"/>
    <w:rsid w:val="004A0A0E"/>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3672"/>
    <w:rsid w:val="004C40E8"/>
    <w:rsid w:val="004C4EAE"/>
    <w:rsid w:val="004C4F45"/>
    <w:rsid w:val="004C54A0"/>
    <w:rsid w:val="004C5B03"/>
    <w:rsid w:val="004C6A40"/>
    <w:rsid w:val="004C749A"/>
    <w:rsid w:val="004C7AC4"/>
    <w:rsid w:val="004D08F5"/>
    <w:rsid w:val="004D12A1"/>
    <w:rsid w:val="004D2270"/>
    <w:rsid w:val="004D2C34"/>
    <w:rsid w:val="004D311C"/>
    <w:rsid w:val="004D31D0"/>
    <w:rsid w:val="004D34A0"/>
    <w:rsid w:val="004D362A"/>
    <w:rsid w:val="004D3C08"/>
    <w:rsid w:val="004D55FA"/>
    <w:rsid w:val="004D5A16"/>
    <w:rsid w:val="004D5B29"/>
    <w:rsid w:val="004D5D76"/>
    <w:rsid w:val="004D5E02"/>
    <w:rsid w:val="004D5F70"/>
    <w:rsid w:val="004D75C4"/>
    <w:rsid w:val="004D75D8"/>
    <w:rsid w:val="004D7E68"/>
    <w:rsid w:val="004E05E7"/>
    <w:rsid w:val="004E1757"/>
    <w:rsid w:val="004E2F35"/>
    <w:rsid w:val="004E3204"/>
    <w:rsid w:val="004E3FFF"/>
    <w:rsid w:val="004E4465"/>
    <w:rsid w:val="004E58C3"/>
    <w:rsid w:val="004E64B8"/>
    <w:rsid w:val="004E65E9"/>
    <w:rsid w:val="004E66DA"/>
    <w:rsid w:val="004E680A"/>
    <w:rsid w:val="004E75A8"/>
    <w:rsid w:val="004E7901"/>
    <w:rsid w:val="004E79BD"/>
    <w:rsid w:val="004F2383"/>
    <w:rsid w:val="004F23E9"/>
    <w:rsid w:val="004F2FF1"/>
    <w:rsid w:val="004F366A"/>
    <w:rsid w:val="004F3D3B"/>
    <w:rsid w:val="004F53C9"/>
    <w:rsid w:val="004F5854"/>
    <w:rsid w:val="004F72E9"/>
    <w:rsid w:val="00500EDA"/>
    <w:rsid w:val="00501D8F"/>
    <w:rsid w:val="00502D50"/>
    <w:rsid w:val="00503295"/>
    <w:rsid w:val="00503571"/>
    <w:rsid w:val="00503A81"/>
    <w:rsid w:val="00503B2F"/>
    <w:rsid w:val="00503E65"/>
    <w:rsid w:val="0050431D"/>
    <w:rsid w:val="005045AE"/>
    <w:rsid w:val="00504CED"/>
    <w:rsid w:val="00504D5D"/>
    <w:rsid w:val="00505BA0"/>
    <w:rsid w:val="00505E50"/>
    <w:rsid w:val="00505FBC"/>
    <w:rsid w:val="005075B6"/>
    <w:rsid w:val="0051072B"/>
    <w:rsid w:val="00512853"/>
    <w:rsid w:val="00512A05"/>
    <w:rsid w:val="00512C92"/>
    <w:rsid w:val="00514497"/>
    <w:rsid w:val="00514988"/>
    <w:rsid w:val="00515110"/>
    <w:rsid w:val="005154BC"/>
    <w:rsid w:val="0051662C"/>
    <w:rsid w:val="0051695D"/>
    <w:rsid w:val="00517333"/>
    <w:rsid w:val="005174A1"/>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408"/>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4DF5"/>
    <w:rsid w:val="00545FB5"/>
    <w:rsid w:val="005460F4"/>
    <w:rsid w:val="005469D0"/>
    <w:rsid w:val="005519BC"/>
    <w:rsid w:val="00551BEE"/>
    <w:rsid w:val="0055360E"/>
    <w:rsid w:val="005545BF"/>
    <w:rsid w:val="00554781"/>
    <w:rsid w:val="00555069"/>
    <w:rsid w:val="00555A12"/>
    <w:rsid w:val="00555CA0"/>
    <w:rsid w:val="00557536"/>
    <w:rsid w:val="00557627"/>
    <w:rsid w:val="00560E96"/>
    <w:rsid w:val="005611AB"/>
    <w:rsid w:val="005618BC"/>
    <w:rsid w:val="0056564F"/>
    <w:rsid w:val="00565EAB"/>
    <w:rsid w:val="005673FC"/>
    <w:rsid w:val="00567F85"/>
    <w:rsid w:val="00570A21"/>
    <w:rsid w:val="00572F46"/>
    <w:rsid w:val="00574E15"/>
    <w:rsid w:val="005759A9"/>
    <w:rsid w:val="00580871"/>
    <w:rsid w:val="0058183A"/>
    <w:rsid w:val="00581A44"/>
    <w:rsid w:val="0058351F"/>
    <w:rsid w:val="00584D1A"/>
    <w:rsid w:val="005850E9"/>
    <w:rsid w:val="00585605"/>
    <w:rsid w:val="00585FF4"/>
    <w:rsid w:val="00587D7D"/>
    <w:rsid w:val="00590A8E"/>
    <w:rsid w:val="005921ED"/>
    <w:rsid w:val="00592536"/>
    <w:rsid w:val="00592CAB"/>
    <w:rsid w:val="00593628"/>
    <w:rsid w:val="00593636"/>
    <w:rsid w:val="0059500A"/>
    <w:rsid w:val="0059672C"/>
    <w:rsid w:val="00596A48"/>
    <w:rsid w:val="0059771C"/>
    <w:rsid w:val="005A08BE"/>
    <w:rsid w:val="005A098A"/>
    <w:rsid w:val="005A3BEF"/>
    <w:rsid w:val="005A3CB8"/>
    <w:rsid w:val="005A4358"/>
    <w:rsid w:val="005A4F7D"/>
    <w:rsid w:val="005A5F10"/>
    <w:rsid w:val="005A6378"/>
    <w:rsid w:val="005A69E2"/>
    <w:rsid w:val="005A6C7B"/>
    <w:rsid w:val="005A6F79"/>
    <w:rsid w:val="005B01F2"/>
    <w:rsid w:val="005B48B6"/>
    <w:rsid w:val="005B4F29"/>
    <w:rsid w:val="005B5378"/>
    <w:rsid w:val="005B5F54"/>
    <w:rsid w:val="005C1345"/>
    <w:rsid w:val="005C2F27"/>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451A"/>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26E4"/>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2281"/>
    <w:rsid w:val="00622289"/>
    <w:rsid w:val="00623C44"/>
    <w:rsid w:val="00624226"/>
    <w:rsid w:val="00625470"/>
    <w:rsid w:val="00625C7F"/>
    <w:rsid w:val="006301EB"/>
    <w:rsid w:val="006313B8"/>
    <w:rsid w:val="00631505"/>
    <w:rsid w:val="006327F5"/>
    <w:rsid w:val="0063491D"/>
    <w:rsid w:val="00635B90"/>
    <w:rsid w:val="00636992"/>
    <w:rsid w:val="00637857"/>
    <w:rsid w:val="00640D08"/>
    <w:rsid w:val="00640D3D"/>
    <w:rsid w:val="006417CA"/>
    <w:rsid w:val="00642706"/>
    <w:rsid w:val="00642A13"/>
    <w:rsid w:val="00642A8F"/>
    <w:rsid w:val="006437DA"/>
    <w:rsid w:val="00643ECB"/>
    <w:rsid w:val="0064401B"/>
    <w:rsid w:val="0064422C"/>
    <w:rsid w:val="00644D7F"/>
    <w:rsid w:val="00645170"/>
    <w:rsid w:val="006451ED"/>
    <w:rsid w:val="00645E6F"/>
    <w:rsid w:val="00646563"/>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1DD"/>
    <w:rsid w:val="00664676"/>
    <w:rsid w:val="00664A88"/>
    <w:rsid w:val="00664F45"/>
    <w:rsid w:val="006652C6"/>
    <w:rsid w:val="00665368"/>
    <w:rsid w:val="00666BF3"/>
    <w:rsid w:val="0066706F"/>
    <w:rsid w:val="00667712"/>
    <w:rsid w:val="006706A5"/>
    <w:rsid w:val="006709E7"/>
    <w:rsid w:val="0067105F"/>
    <w:rsid w:val="00671138"/>
    <w:rsid w:val="0067116A"/>
    <w:rsid w:val="00671309"/>
    <w:rsid w:val="00671A52"/>
    <w:rsid w:val="00671D61"/>
    <w:rsid w:val="00672851"/>
    <w:rsid w:val="00676A37"/>
    <w:rsid w:val="00676E08"/>
    <w:rsid w:val="00677568"/>
    <w:rsid w:val="00677B32"/>
    <w:rsid w:val="00677D41"/>
    <w:rsid w:val="00680324"/>
    <w:rsid w:val="00680712"/>
    <w:rsid w:val="00680C89"/>
    <w:rsid w:val="006811E0"/>
    <w:rsid w:val="006836BF"/>
    <w:rsid w:val="0068479A"/>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08"/>
    <w:rsid w:val="00695654"/>
    <w:rsid w:val="006A0461"/>
    <w:rsid w:val="006A0550"/>
    <w:rsid w:val="006A0B82"/>
    <w:rsid w:val="006A172E"/>
    <w:rsid w:val="006A2727"/>
    <w:rsid w:val="006A29BE"/>
    <w:rsid w:val="006A4113"/>
    <w:rsid w:val="006A4C05"/>
    <w:rsid w:val="006A555A"/>
    <w:rsid w:val="006A5CFC"/>
    <w:rsid w:val="006A5DB1"/>
    <w:rsid w:val="006A5EA8"/>
    <w:rsid w:val="006A780B"/>
    <w:rsid w:val="006A7DB6"/>
    <w:rsid w:val="006A7FE0"/>
    <w:rsid w:val="006B1632"/>
    <w:rsid w:val="006B23FF"/>
    <w:rsid w:val="006B247F"/>
    <w:rsid w:val="006B3C0B"/>
    <w:rsid w:val="006B460D"/>
    <w:rsid w:val="006B59EF"/>
    <w:rsid w:val="006C0B6D"/>
    <w:rsid w:val="006C0F2D"/>
    <w:rsid w:val="006C2D84"/>
    <w:rsid w:val="006C3710"/>
    <w:rsid w:val="006C56A5"/>
    <w:rsid w:val="006C58A2"/>
    <w:rsid w:val="006C5BFF"/>
    <w:rsid w:val="006C5D46"/>
    <w:rsid w:val="006C5DAF"/>
    <w:rsid w:val="006C65F1"/>
    <w:rsid w:val="006D0207"/>
    <w:rsid w:val="006D04EE"/>
    <w:rsid w:val="006D08B1"/>
    <w:rsid w:val="006D250A"/>
    <w:rsid w:val="006D3169"/>
    <w:rsid w:val="006D3773"/>
    <w:rsid w:val="006D506E"/>
    <w:rsid w:val="006D590F"/>
    <w:rsid w:val="006D60A4"/>
    <w:rsid w:val="006D6AAA"/>
    <w:rsid w:val="006D6E56"/>
    <w:rsid w:val="006D7726"/>
    <w:rsid w:val="006D78B1"/>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68BB"/>
    <w:rsid w:val="006F7A04"/>
    <w:rsid w:val="006F7ABC"/>
    <w:rsid w:val="00700664"/>
    <w:rsid w:val="00700E59"/>
    <w:rsid w:val="00701FAC"/>
    <w:rsid w:val="0070271E"/>
    <w:rsid w:val="00702EF7"/>
    <w:rsid w:val="007035F4"/>
    <w:rsid w:val="00704294"/>
    <w:rsid w:val="00704460"/>
    <w:rsid w:val="007047B6"/>
    <w:rsid w:val="00704A66"/>
    <w:rsid w:val="007052E1"/>
    <w:rsid w:val="0070698C"/>
    <w:rsid w:val="00706A32"/>
    <w:rsid w:val="00707331"/>
    <w:rsid w:val="007078B7"/>
    <w:rsid w:val="00710EAE"/>
    <w:rsid w:val="007119DA"/>
    <w:rsid w:val="007132B5"/>
    <w:rsid w:val="0071440E"/>
    <w:rsid w:val="00714A09"/>
    <w:rsid w:val="00715A44"/>
    <w:rsid w:val="00715D19"/>
    <w:rsid w:val="00716C70"/>
    <w:rsid w:val="00716DBB"/>
    <w:rsid w:val="0071704D"/>
    <w:rsid w:val="00717887"/>
    <w:rsid w:val="00717AA6"/>
    <w:rsid w:val="00720090"/>
    <w:rsid w:val="0072100F"/>
    <w:rsid w:val="007227BD"/>
    <w:rsid w:val="00723F00"/>
    <w:rsid w:val="0072487D"/>
    <w:rsid w:val="007258B9"/>
    <w:rsid w:val="007262BB"/>
    <w:rsid w:val="007269C8"/>
    <w:rsid w:val="007302CD"/>
    <w:rsid w:val="00732741"/>
    <w:rsid w:val="00732ABD"/>
    <w:rsid w:val="00732C4E"/>
    <w:rsid w:val="00733D05"/>
    <w:rsid w:val="0073478E"/>
    <w:rsid w:val="00735921"/>
    <w:rsid w:val="007362EA"/>
    <w:rsid w:val="00736CA8"/>
    <w:rsid w:val="00737C3A"/>
    <w:rsid w:val="00737D14"/>
    <w:rsid w:val="00737F05"/>
    <w:rsid w:val="0074236D"/>
    <w:rsid w:val="007431F5"/>
    <w:rsid w:val="00745223"/>
    <w:rsid w:val="00745908"/>
    <w:rsid w:val="00747304"/>
    <w:rsid w:val="007473AC"/>
    <w:rsid w:val="007477F4"/>
    <w:rsid w:val="00752178"/>
    <w:rsid w:val="0075282E"/>
    <w:rsid w:val="00752F02"/>
    <w:rsid w:val="00754881"/>
    <w:rsid w:val="00754AB5"/>
    <w:rsid w:val="00755117"/>
    <w:rsid w:val="007557CA"/>
    <w:rsid w:val="0075617D"/>
    <w:rsid w:val="007564AB"/>
    <w:rsid w:val="00756930"/>
    <w:rsid w:val="00756975"/>
    <w:rsid w:val="00756DFA"/>
    <w:rsid w:val="00757C4B"/>
    <w:rsid w:val="0076041D"/>
    <w:rsid w:val="007611CB"/>
    <w:rsid w:val="00761B0B"/>
    <w:rsid w:val="007631E0"/>
    <w:rsid w:val="00763430"/>
    <w:rsid w:val="00765781"/>
    <w:rsid w:val="00766353"/>
    <w:rsid w:val="00766448"/>
    <w:rsid w:val="00771098"/>
    <w:rsid w:val="00773BDD"/>
    <w:rsid w:val="00774460"/>
    <w:rsid w:val="00774922"/>
    <w:rsid w:val="00776EC9"/>
    <w:rsid w:val="00780290"/>
    <w:rsid w:val="00780296"/>
    <w:rsid w:val="00780707"/>
    <w:rsid w:val="00780972"/>
    <w:rsid w:val="00780E2F"/>
    <w:rsid w:val="00781C27"/>
    <w:rsid w:val="00783386"/>
    <w:rsid w:val="00787B2C"/>
    <w:rsid w:val="00787B36"/>
    <w:rsid w:val="00787D24"/>
    <w:rsid w:val="007906AE"/>
    <w:rsid w:val="00791EEE"/>
    <w:rsid w:val="00792C57"/>
    <w:rsid w:val="007946EB"/>
    <w:rsid w:val="0079538E"/>
    <w:rsid w:val="0079543C"/>
    <w:rsid w:val="00795F8D"/>
    <w:rsid w:val="00796AEA"/>
    <w:rsid w:val="007A0DEA"/>
    <w:rsid w:val="007A1316"/>
    <w:rsid w:val="007A1DC5"/>
    <w:rsid w:val="007A20AD"/>
    <w:rsid w:val="007A28CD"/>
    <w:rsid w:val="007A31E4"/>
    <w:rsid w:val="007A3F8F"/>
    <w:rsid w:val="007A5A18"/>
    <w:rsid w:val="007A5D05"/>
    <w:rsid w:val="007A5E2B"/>
    <w:rsid w:val="007A6BB9"/>
    <w:rsid w:val="007A7331"/>
    <w:rsid w:val="007A7415"/>
    <w:rsid w:val="007A7EEE"/>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11D"/>
    <w:rsid w:val="007D298C"/>
    <w:rsid w:val="007D30DA"/>
    <w:rsid w:val="007D3420"/>
    <w:rsid w:val="007D5362"/>
    <w:rsid w:val="007D6110"/>
    <w:rsid w:val="007D6BBA"/>
    <w:rsid w:val="007D6C48"/>
    <w:rsid w:val="007D71F7"/>
    <w:rsid w:val="007E000F"/>
    <w:rsid w:val="007E0AB8"/>
    <w:rsid w:val="007E14BD"/>
    <w:rsid w:val="007E156E"/>
    <w:rsid w:val="007E23B6"/>
    <w:rsid w:val="007E2E70"/>
    <w:rsid w:val="007E300A"/>
    <w:rsid w:val="007E3501"/>
    <w:rsid w:val="007E4C3F"/>
    <w:rsid w:val="007E52B4"/>
    <w:rsid w:val="007E65B1"/>
    <w:rsid w:val="007F05C7"/>
    <w:rsid w:val="007F0FF4"/>
    <w:rsid w:val="007F2683"/>
    <w:rsid w:val="007F2956"/>
    <w:rsid w:val="007F2E32"/>
    <w:rsid w:val="007F3A08"/>
    <w:rsid w:val="007F6940"/>
    <w:rsid w:val="007F6A11"/>
    <w:rsid w:val="008002AA"/>
    <w:rsid w:val="008015EA"/>
    <w:rsid w:val="008018EF"/>
    <w:rsid w:val="0080230D"/>
    <w:rsid w:val="008036FD"/>
    <w:rsid w:val="0080383D"/>
    <w:rsid w:val="00807429"/>
    <w:rsid w:val="008106A5"/>
    <w:rsid w:val="00810827"/>
    <w:rsid w:val="008127D6"/>
    <w:rsid w:val="00814E45"/>
    <w:rsid w:val="00815227"/>
    <w:rsid w:val="00815360"/>
    <w:rsid w:val="00817346"/>
    <w:rsid w:val="00817DA7"/>
    <w:rsid w:val="00820805"/>
    <w:rsid w:val="0082161C"/>
    <w:rsid w:val="00821B16"/>
    <w:rsid w:val="00822D03"/>
    <w:rsid w:val="00823378"/>
    <w:rsid w:val="008235BA"/>
    <w:rsid w:val="00823797"/>
    <w:rsid w:val="008243DF"/>
    <w:rsid w:val="0082459D"/>
    <w:rsid w:val="00824CEF"/>
    <w:rsid w:val="008254AB"/>
    <w:rsid w:val="00826480"/>
    <w:rsid w:val="00827496"/>
    <w:rsid w:val="00830148"/>
    <w:rsid w:val="008316AD"/>
    <w:rsid w:val="00831855"/>
    <w:rsid w:val="00832D13"/>
    <w:rsid w:val="00832F75"/>
    <w:rsid w:val="0083362F"/>
    <w:rsid w:val="00835315"/>
    <w:rsid w:val="00835AEB"/>
    <w:rsid w:val="0083669A"/>
    <w:rsid w:val="00836BE5"/>
    <w:rsid w:val="00836F2D"/>
    <w:rsid w:val="008379D5"/>
    <w:rsid w:val="00840D0F"/>
    <w:rsid w:val="0084200E"/>
    <w:rsid w:val="00842A84"/>
    <w:rsid w:val="00842FDE"/>
    <w:rsid w:val="008445D4"/>
    <w:rsid w:val="008446F1"/>
    <w:rsid w:val="00846FF0"/>
    <w:rsid w:val="00847693"/>
    <w:rsid w:val="00847CD0"/>
    <w:rsid w:val="00854B56"/>
    <w:rsid w:val="00855374"/>
    <w:rsid w:val="0085728C"/>
    <w:rsid w:val="008575DC"/>
    <w:rsid w:val="00857A42"/>
    <w:rsid w:val="00857CAB"/>
    <w:rsid w:val="00857F65"/>
    <w:rsid w:val="00860737"/>
    <w:rsid w:val="008611A4"/>
    <w:rsid w:val="00861FD7"/>
    <w:rsid w:val="0086249A"/>
    <w:rsid w:val="00862B1B"/>
    <w:rsid w:val="00862B56"/>
    <w:rsid w:val="0086363F"/>
    <w:rsid w:val="008639C9"/>
    <w:rsid w:val="008667AD"/>
    <w:rsid w:val="00866D13"/>
    <w:rsid w:val="00867150"/>
    <w:rsid w:val="00870F40"/>
    <w:rsid w:val="008747EE"/>
    <w:rsid w:val="00874DEF"/>
    <w:rsid w:val="0087656E"/>
    <w:rsid w:val="00876D09"/>
    <w:rsid w:val="00877308"/>
    <w:rsid w:val="0088013C"/>
    <w:rsid w:val="00881882"/>
    <w:rsid w:val="00882AC7"/>
    <w:rsid w:val="00882CC5"/>
    <w:rsid w:val="008835E3"/>
    <w:rsid w:val="00884416"/>
    <w:rsid w:val="00884452"/>
    <w:rsid w:val="00886E1F"/>
    <w:rsid w:val="008904A9"/>
    <w:rsid w:val="008905D7"/>
    <w:rsid w:val="008934C7"/>
    <w:rsid w:val="008957C4"/>
    <w:rsid w:val="00895B87"/>
    <w:rsid w:val="00895EB5"/>
    <w:rsid w:val="008960B7"/>
    <w:rsid w:val="008962F2"/>
    <w:rsid w:val="00896511"/>
    <w:rsid w:val="00896657"/>
    <w:rsid w:val="0089692A"/>
    <w:rsid w:val="00896A7B"/>
    <w:rsid w:val="00896F35"/>
    <w:rsid w:val="008975E7"/>
    <w:rsid w:val="008A08D2"/>
    <w:rsid w:val="008A0DE1"/>
    <w:rsid w:val="008A2E7B"/>
    <w:rsid w:val="008A3423"/>
    <w:rsid w:val="008A3EA4"/>
    <w:rsid w:val="008A3FB1"/>
    <w:rsid w:val="008A5548"/>
    <w:rsid w:val="008A7133"/>
    <w:rsid w:val="008A7273"/>
    <w:rsid w:val="008A7AE9"/>
    <w:rsid w:val="008B0176"/>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627D"/>
    <w:rsid w:val="008E7390"/>
    <w:rsid w:val="008E7B58"/>
    <w:rsid w:val="008E7CDD"/>
    <w:rsid w:val="008F05C2"/>
    <w:rsid w:val="008F1D7A"/>
    <w:rsid w:val="008F1E28"/>
    <w:rsid w:val="008F1F00"/>
    <w:rsid w:val="008F41ED"/>
    <w:rsid w:val="008F42BB"/>
    <w:rsid w:val="008F47D1"/>
    <w:rsid w:val="008F6315"/>
    <w:rsid w:val="008F6D2B"/>
    <w:rsid w:val="008F7005"/>
    <w:rsid w:val="00900E01"/>
    <w:rsid w:val="00901E6F"/>
    <w:rsid w:val="0090291C"/>
    <w:rsid w:val="009043BE"/>
    <w:rsid w:val="00905434"/>
    <w:rsid w:val="00905C39"/>
    <w:rsid w:val="00905E46"/>
    <w:rsid w:val="00906628"/>
    <w:rsid w:val="009070B5"/>
    <w:rsid w:val="009072F6"/>
    <w:rsid w:val="00907697"/>
    <w:rsid w:val="009077DB"/>
    <w:rsid w:val="00910B93"/>
    <w:rsid w:val="00910D1A"/>
    <w:rsid w:val="009113AE"/>
    <w:rsid w:val="009116CC"/>
    <w:rsid w:val="00911955"/>
    <w:rsid w:val="00911A3E"/>
    <w:rsid w:val="00912262"/>
    <w:rsid w:val="00912A52"/>
    <w:rsid w:val="00912BE1"/>
    <w:rsid w:val="00913539"/>
    <w:rsid w:val="009145A4"/>
    <w:rsid w:val="0091586C"/>
    <w:rsid w:val="00915F47"/>
    <w:rsid w:val="009160E0"/>
    <w:rsid w:val="00917DA1"/>
    <w:rsid w:val="00921B80"/>
    <w:rsid w:val="00921F3C"/>
    <w:rsid w:val="00923A05"/>
    <w:rsid w:val="00923B3E"/>
    <w:rsid w:val="00924F4A"/>
    <w:rsid w:val="009259EF"/>
    <w:rsid w:val="00925E74"/>
    <w:rsid w:val="00926659"/>
    <w:rsid w:val="00927725"/>
    <w:rsid w:val="00927DC4"/>
    <w:rsid w:val="009304FE"/>
    <w:rsid w:val="00930782"/>
    <w:rsid w:val="009310F0"/>
    <w:rsid w:val="0093251E"/>
    <w:rsid w:val="0093296D"/>
    <w:rsid w:val="00933B85"/>
    <w:rsid w:val="0093422B"/>
    <w:rsid w:val="009353DF"/>
    <w:rsid w:val="00935697"/>
    <w:rsid w:val="0093570A"/>
    <w:rsid w:val="00935F40"/>
    <w:rsid w:val="009363C8"/>
    <w:rsid w:val="00936C3C"/>
    <w:rsid w:val="00936EC8"/>
    <w:rsid w:val="009378D2"/>
    <w:rsid w:val="00937AD5"/>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5CF8"/>
    <w:rsid w:val="009564F3"/>
    <w:rsid w:val="009565E3"/>
    <w:rsid w:val="00956972"/>
    <w:rsid w:val="0095714D"/>
    <w:rsid w:val="00957687"/>
    <w:rsid w:val="00957E20"/>
    <w:rsid w:val="00961E91"/>
    <w:rsid w:val="00963140"/>
    <w:rsid w:val="00963876"/>
    <w:rsid w:val="00964CD3"/>
    <w:rsid w:val="00966051"/>
    <w:rsid w:val="00966BD1"/>
    <w:rsid w:val="00970E28"/>
    <w:rsid w:val="00971B7E"/>
    <w:rsid w:val="00972474"/>
    <w:rsid w:val="00973088"/>
    <w:rsid w:val="00974568"/>
    <w:rsid w:val="0097493A"/>
    <w:rsid w:val="00974BBF"/>
    <w:rsid w:val="0097619C"/>
    <w:rsid w:val="00976280"/>
    <w:rsid w:val="009765DF"/>
    <w:rsid w:val="00977973"/>
    <w:rsid w:val="009803C8"/>
    <w:rsid w:val="00981F79"/>
    <w:rsid w:val="009834E9"/>
    <w:rsid w:val="00983A72"/>
    <w:rsid w:val="00984653"/>
    <w:rsid w:val="009850EF"/>
    <w:rsid w:val="009868FC"/>
    <w:rsid w:val="00986D78"/>
    <w:rsid w:val="00987676"/>
    <w:rsid w:val="00987B24"/>
    <w:rsid w:val="00987E09"/>
    <w:rsid w:val="00987F49"/>
    <w:rsid w:val="00987FE0"/>
    <w:rsid w:val="00990566"/>
    <w:rsid w:val="00991A16"/>
    <w:rsid w:val="00991AA5"/>
    <w:rsid w:val="00993BEE"/>
    <w:rsid w:val="00994BED"/>
    <w:rsid w:val="00995700"/>
    <w:rsid w:val="00995CC1"/>
    <w:rsid w:val="009961EE"/>
    <w:rsid w:val="0099682E"/>
    <w:rsid w:val="00996FC8"/>
    <w:rsid w:val="00997386"/>
    <w:rsid w:val="009A0BF1"/>
    <w:rsid w:val="009A23A4"/>
    <w:rsid w:val="009A2E64"/>
    <w:rsid w:val="009A3BAF"/>
    <w:rsid w:val="009A43AF"/>
    <w:rsid w:val="009A4914"/>
    <w:rsid w:val="009A4ED0"/>
    <w:rsid w:val="009A5035"/>
    <w:rsid w:val="009A5986"/>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5D6A"/>
    <w:rsid w:val="009C65B2"/>
    <w:rsid w:val="009C6C72"/>
    <w:rsid w:val="009C77A0"/>
    <w:rsid w:val="009C79CB"/>
    <w:rsid w:val="009C7C61"/>
    <w:rsid w:val="009D0B36"/>
    <w:rsid w:val="009D1640"/>
    <w:rsid w:val="009D21D0"/>
    <w:rsid w:val="009D2D1D"/>
    <w:rsid w:val="009D2FBA"/>
    <w:rsid w:val="009D351E"/>
    <w:rsid w:val="009D50ED"/>
    <w:rsid w:val="009D5768"/>
    <w:rsid w:val="009D5BF3"/>
    <w:rsid w:val="009D6D73"/>
    <w:rsid w:val="009D73AC"/>
    <w:rsid w:val="009D7787"/>
    <w:rsid w:val="009E02C9"/>
    <w:rsid w:val="009E0845"/>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6E1"/>
    <w:rsid w:val="00A0588B"/>
    <w:rsid w:val="00A05916"/>
    <w:rsid w:val="00A05AA6"/>
    <w:rsid w:val="00A05B21"/>
    <w:rsid w:val="00A06192"/>
    <w:rsid w:val="00A06818"/>
    <w:rsid w:val="00A06AA8"/>
    <w:rsid w:val="00A07065"/>
    <w:rsid w:val="00A0735A"/>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4EC7"/>
    <w:rsid w:val="00A26956"/>
    <w:rsid w:val="00A27ACC"/>
    <w:rsid w:val="00A27C20"/>
    <w:rsid w:val="00A30322"/>
    <w:rsid w:val="00A303DA"/>
    <w:rsid w:val="00A30EA6"/>
    <w:rsid w:val="00A31499"/>
    <w:rsid w:val="00A31523"/>
    <w:rsid w:val="00A31536"/>
    <w:rsid w:val="00A31FAC"/>
    <w:rsid w:val="00A332F7"/>
    <w:rsid w:val="00A346FE"/>
    <w:rsid w:val="00A3596C"/>
    <w:rsid w:val="00A36B1D"/>
    <w:rsid w:val="00A36D6B"/>
    <w:rsid w:val="00A36E14"/>
    <w:rsid w:val="00A40446"/>
    <w:rsid w:val="00A40A8F"/>
    <w:rsid w:val="00A41B06"/>
    <w:rsid w:val="00A42098"/>
    <w:rsid w:val="00A4277B"/>
    <w:rsid w:val="00A43468"/>
    <w:rsid w:val="00A437BB"/>
    <w:rsid w:val="00A4716C"/>
    <w:rsid w:val="00A47359"/>
    <w:rsid w:val="00A50430"/>
    <w:rsid w:val="00A50BF4"/>
    <w:rsid w:val="00A50DA6"/>
    <w:rsid w:val="00A511E6"/>
    <w:rsid w:val="00A52978"/>
    <w:rsid w:val="00A52C86"/>
    <w:rsid w:val="00A53130"/>
    <w:rsid w:val="00A5412B"/>
    <w:rsid w:val="00A547F1"/>
    <w:rsid w:val="00A55158"/>
    <w:rsid w:val="00A55C16"/>
    <w:rsid w:val="00A57DA5"/>
    <w:rsid w:val="00A6042C"/>
    <w:rsid w:val="00A60BF6"/>
    <w:rsid w:val="00A61E0C"/>
    <w:rsid w:val="00A628DE"/>
    <w:rsid w:val="00A63B97"/>
    <w:rsid w:val="00A63D74"/>
    <w:rsid w:val="00A64735"/>
    <w:rsid w:val="00A64AC6"/>
    <w:rsid w:val="00A6521D"/>
    <w:rsid w:val="00A65CB6"/>
    <w:rsid w:val="00A66253"/>
    <w:rsid w:val="00A666B7"/>
    <w:rsid w:val="00A66B50"/>
    <w:rsid w:val="00A677C0"/>
    <w:rsid w:val="00A67FAE"/>
    <w:rsid w:val="00A72556"/>
    <w:rsid w:val="00A72AF8"/>
    <w:rsid w:val="00A7322E"/>
    <w:rsid w:val="00A73601"/>
    <w:rsid w:val="00A7422E"/>
    <w:rsid w:val="00A746B4"/>
    <w:rsid w:val="00A74F96"/>
    <w:rsid w:val="00A80B08"/>
    <w:rsid w:val="00A80E67"/>
    <w:rsid w:val="00A81E64"/>
    <w:rsid w:val="00A82AD7"/>
    <w:rsid w:val="00A8326A"/>
    <w:rsid w:val="00A8367E"/>
    <w:rsid w:val="00A84536"/>
    <w:rsid w:val="00A84FC0"/>
    <w:rsid w:val="00A8510A"/>
    <w:rsid w:val="00A85226"/>
    <w:rsid w:val="00A857A7"/>
    <w:rsid w:val="00A85CF2"/>
    <w:rsid w:val="00A860D4"/>
    <w:rsid w:val="00A915BB"/>
    <w:rsid w:val="00A91F1C"/>
    <w:rsid w:val="00A92240"/>
    <w:rsid w:val="00A926BB"/>
    <w:rsid w:val="00A92D24"/>
    <w:rsid w:val="00A9350D"/>
    <w:rsid w:val="00A940EA"/>
    <w:rsid w:val="00A94442"/>
    <w:rsid w:val="00A944A8"/>
    <w:rsid w:val="00A94FA2"/>
    <w:rsid w:val="00A95E1A"/>
    <w:rsid w:val="00A973D1"/>
    <w:rsid w:val="00A97F64"/>
    <w:rsid w:val="00AA0D13"/>
    <w:rsid w:val="00AA2F56"/>
    <w:rsid w:val="00AA32F4"/>
    <w:rsid w:val="00AA3F68"/>
    <w:rsid w:val="00AA3FE6"/>
    <w:rsid w:val="00AA46CF"/>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B760F"/>
    <w:rsid w:val="00AB7AA8"/>
    <w:rsid w:val="00AB7FEE"/>
    <w:rsid w:val="00AC042B"/>
    <w:rsid w:val="00AC0A37"/>
    <w:rsid w:val="00AC113A"/>
    <w:rsid w:val="00AC1E64"/>
    <w:rsid w:val="00AC275F"/>
    <w:rsid w:val="00AC2919"/>
    <w:rsid w:val="00AC3473"/>
    <w:rsid w:val="00AC3742"/>
    <w:rsid w:val="00AC3CC5"/>
    <w:rsid w:val="00AC4230"/>
    <w:rsid w:val="00AC4746"/>
    <w:rsid w:val="00AC5FB9"/>
    <w:rsid w:val="00AC6001"/>
    <w:rsid w:val="00AC66CB"/>
    <w:rsid w:val="00AC6CAC"/>
    <w:rsid w:val="00AC6F04"/>
    <w:rsid w:val="00AC7080"/>
    <w:rsid w:val="00AC7204"/>
    <w:rsid w:val="00AD07F3"/>
    <w:rsid w:val="00AD149E"/>
    <w:rsid w:val="00AD1FB6"/>
    <w:rsid w:val="00AD20E2"/>
    <w:rsid w:val="00AD22B6"/>
    <w:rsid w:val="00AD2ADC"/>
    <w:rsid w:val="00AD2B54"/>
    <w:rsid w:val="00AD3216"/>
    <w:rsid w:val="00AD46E9"/>
    <w:rsid w:val="00AD5C38"/>
    <w:rsid w:val="00AD73AB"/>
    <w:rsid w:val="00AD76C7"/>
    <w:rsid w:val="00AD7C13"/>
    <w:rsid w:val="00AE011D"/>
    <w:rsid w:val="00AE210C"/>
    <w:rsid w:val="00AE2494"/>
    <w:rsid w:val="00AE253D"/>
    <w:rsid w:val="00AE2B63"/>
    <w:rsid w:val="00AE2D37"/>
    <w:rsid w:val="00AE2D7B"/>
    <w:rsid w:val="00AE364A"/>
    <w:rsid w:val="00AE402B"/>
    <w:rsid w:val="00AE61D9"/>
    <w:rsid w:val="00AE646E"/>
    <w:rsid w:val="00AE655A"/>
    <w:rsid w:val="00AF08B5"/>
    <w:rsid w:val="00AF0AC1"/>
    <w:rsid w:val="00AF16AA"/>
    <w:rsid w:val="00AF41FA"/>
    <w:rsid w:val="00AF4B50"/>
    <w:rsid w:val="00AF4BB9"/>
    <w:rsid w:val="00AF4E66"/>
    <w:rsid w:val="00AF545D"/>
    <w:rsid w:val="00AF6DD9"/>
    <w:rsid w:val="00B001CE"/>
    <w:rsid w:val="00B00FBD"/>
    <w:rsid w:val="00B01F47"/>
    <w:rsid w:val="00B02144"/>
    <w:rsid w:val="00B021F9"/>
    <w:rsid w:val="00B03575"/>
    <w:rsid w:val="00B03703"/>
    <w:rsid w:val="00B0404E"/>
    <w:rsid w:val="00B044F4"/>
    <w:rsid w:val="00B05C76"/>
    <w:rsid w:val="00B068F0"/>
    <w:rsid w:val="00B077A2"/>
    <w:rsid w:val="00B07E37"/>
    <w:rsid w:val="00B101A9"/>
    <w:rsid w:val="00B106F6"/>
    <w:rsid w:val="00B10907"/>
    <w:rsid w:val="00B10A00"/>
    <w:rsid w:val="00B10F4E"/>
    <w:rsid w:val="00B11E5B"/>
    <w:rsid w:val="00B146AF"/>
    <w:rsid w:val="00B1511A"/>
    <w:rsid w:val="00B15D08"/>
    <w:rsid w:val="00B16E7E"/>
    <w:rsid w:val="00B17456"/>
    <w:rsid w:val="00B204F4"/>
    <w:rsid w:val="00B20655"/>
    <w:rsid w:val="00B206E5"/>
    <w:rsid w:val="00B20AC4"/>
    <w:rsid w:val="00B215A1"/>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548B"/>
    <w:rsid w:val="00B46895"/>
    <w:rsid w:val="00B46B93"/>
    <w:rsid w:val="00B508E9"/>
    <w:rsid w:val="00B50A01"/>
    <w:rsid w:val="00B50EFF"/>
    <w:rsid w:val="00B513A5"/>
    <w:rsid w:val="00B52B1B"/>
    <w:rsid w:val="00B52D58"/>
    <w:rsid w:val="00B531F1"/>
    <w:rsid w:val="00B547FB"/>
    <w:rsid w:val="00B555ED"/>
    <w:rsid w:val="00B55B97"/>
    <w:rsid w:val="00B56942"/>
    <w:rsid w:val="00B5694D"/>
    <w:rsid w:val="00B56E5D"/>
    <w:rsid w:val="00B5729D"/>
    <w:rsid w:val="00B5735F"/>
    <w:rsid w:val="00B573B5"/>
    <w:rsid w:val="00B57E11"/>
    <w:rsid w:val="00B61727"/>
    <w:rsid w:val="00B6173F"/>
    <w:rsid w:val="00B62BFC"/>
    <w:rsid w:val="00B631DC"/>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93B"/>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86C96"/>
    <w:rsid w:val="00B9003F"/>
    <w:rsid w:val="00B903FE"/>
    <w:rsid w:val="00B912BF"/>
    <w:rsid w:val="00B91853"/>
    <w:rsid w:val="00B9185F"/>
    <w:rsid w:val="00B918B1"/>
    <w:rsid w:val="00B91E89"/>
    <w:rsid w:val="00B92D56"/>
    <w:rsid w:val="00B934B4"/>
    <w:rsid w:val="00B93DAD"/>
    <w:rsid w:val="00B9411D"/>
    <w:rsid w:val="00B94551"/>
    <w:rsid w:val="00B94598"/>
    <w:rsid w:val="00B951C0"/>
    <w:rsid w:val="00B95A7D"/>
    <w:rsid w:val="00B96A3D"/>
    <w:rsid w:val="00BA013C"/>
    <w:rsid w:val="00BA0275"/>
    <w:rsid w:val="00BA03C0"/>
    <w:rsid w:val="00BA188B"/>
    <w:rsid w:val="00BA27FF"/>
    <w:rsid w:val="00BA4EA6"/>
    <w:rsid w:val="00BA5014"/>
    <w:rsid w:val="00BA5041"/>
    <w:rsid w:val="00BA5777"/>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15D3"/>
    <w:rsid w:val="00BC17E1"/>
    <w:rsid w:val="00BC2DCC"/>
    <w:rsid w:val="00BC2DF0"/>
    <w:rsid w:val="00BC321A"/>
    <w:rsid w:val="00BC3F05"/>
    <w:rsid w:val="00BC45CB"/>
    <w:rsid w:val="00BC4D98"/>
    <w:rsid w:val="00BC5AB0"/>
    <w:rsid w:val="00BC5C7E"/>
    <w:rsid w:val="00BC5D6A"/>
    <w:rsid w:val="00BD06E2"/>
    <w:rsid w:val="00BD074E"/>
    <w:rsid w:val="00BD1AD4"/>
    <w:rsid w:val="00BD1E93"/>
    <w:rsid w:val="00BD1F85"/>
    <w:rsid w:val="00BD223D"/>
    <w:rsid w:val="00BD23EA"/>
    <w:rsid w:val="00BD27A4"/>
    <w:rsid w:val="00BD4D28"/>
    <w:rsid w:val="00BD4E1D"/>
    <w:rsid w:val="00BD57BE"/>
    <w:rsid w:val="00BD6587"/>
    <w:rsid w:val="00BD720D"/>
    <w:rsid w:val="00BE0162"/>
    <w:rsid w:val="00BE07AC"/>
    <w:rsid w:val="00BE0929"/>
    <w:rsid w:val="00BE1981"/>
    <w:rsid w:val="00BE1985"/>
    <w:rsid w:val="00BE2DFC"/>
    <w:rsid w:val="00BE33C9"/>
    <w:rsid w:val="00BE37E1"/>
    <w:rsid w:val="00BE404F"/>
    <w:rsid w:val="00BE448A"/>
    <w:rsid w:val="00BE6B92"/>
    <w:rsid w:val="00BE6BBF"/>
    <w:rsid w:val="00BE7433"/>
    <w:rsid w:val="00BF0712"/>
    <w:rsid w:val="00BF0886"/>
    <w:rsid w:val="00BF0D7D"/>
    <w:rsid w:val="00BF335C"/>
    <w:rsid w:val="00BF3465"/>
    <w:rsid w:val="00BF3876"/>
    <w:rsid w:val="00BF4490"/>
    <w:rsid w:val="00BF457F"/>
    <w:rsid w:val="00BF48C1"/>
    <w:rsid w:val="00BF57E1"/>
    <w:rsid w:val="00BF5828"/>
    <w:rsid w:val="00BF6C75"/>
    <w:rsid w:val="00C00570"/>
    <w:rsid w:val="00C00AE5"/>
    <w:rsid w:val="00C017AD"/>
    <w:rsid w:val="00C028B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B9E"/>
    <w:rsid w:val="00C14D24"/>
    <w:rsid w:val="00C15225"/>
    <w:rsid w:val="00C152B8"/>
    <w:rsid w:val="00C15D71"/>
    <w:rsid w:val="00C16120"/>
    <w:rsid w:val="00C168A9"/>
    <w:rsid w:val="00C16966"/>
    <w:rsid w:val="00C16E1E"/>
    <w:rsid w:val="00C21F0C"/>
    <w:rsid w:val="00C22F84"/>
    <w:rsid w:val="00C25222"/>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3DF9"/>
    <w:rsid w:val="00C45358"/>
    <w:rsid w:val="00C45513"/>
    <w:rsid w:val="00C4681F"/>
    <w:rsid w:val="00C51391"/>
    <w:rsid w:val="00C5494A"/>
    <w:rsid w:val="00C5582E"/>
    <w:rsid w:val="00C56CDC"/>
    <w:rsid w:val="00C56DC5"/>
    <w:rsid w:val="00C577BF"/>
    <w:rsid w:val="00C609DF"/>
    <w:rsid w:val="00C60A9B"/>
    <w:rsid w:val="00C6107C"/>
    <w:rsid w:val="00C6111C"/>
    <w:rsid w:val="00C61780"/>
    <w:rsid w:val="00C63F3F"/>
    <w:rsid w:val="00C65A7D"/>
    <w:rsid w:val="00C65E9D"/>
    <w:rsid w:val="00C67EB5"/>
    <w:rsid w:val="00C70497"/>
    <w:rsid w:val="00C704B8"/>
    <w:rsid w:val="00C7149A"/>
    <w:rsid w:val="00C71CB1"/>
    <w:rsid w:val="00C71CF1"/>
    <w:rsid w:val="00C72CFB"/>
    <w:rsid w:val="00C72D10"/>
    <w:rsid w:val="00C738D5"/>
    <w:rsid w:val="00C74861"/>
    <w:rsid w:val="00C74E95"/>
    <w:rsid w:val="00C74FDD"/>
    <w:rsid w:val="00C760D9"/>
    <w:rsid w:val="00C81097"/>
    <w:rsid w:val="00C812A4"/>
    <w:rsid w:val="00C81704"/>
    <w:rsid w:val="00C8216D"/>
    <w:rsid w:val="00C8399C"/>
    <w:rsid w:val="00C848D1"/>
    <w:rsid w:val="00C85A27"/>
    <w:rsid w:val="00C85B39"/>
    <w:rsid w:val="00C85E5F"/>
    <w:rsid w:val="00C86351"/>
    <w:rsid w:val="00C869F3"/>
    <w:rsid w:val="00C86F0C"/>
    <w:rsid w:val="00C87880"/>
    <w:rsid w:val="00C918DF"/>
    <w:rsid w:val="00C93939"/>
    <w:rsid w:val="00C93C0C"/>
    <w:rsid w:val="00C95721"/>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740"/>
    <w:rsid w:val="00CA6891"/>
    <w:rsid w:val="00CA6B73"/>
    <w:rsid w:val="00CA6BAF"/>
    <w:rsid w:val="00CB0B66"/>
    <w:rsid w:val="00CB0FE1"/>
    <w:rsid w:val="00CB1C25"/>
    <w:rsid w:val="00CB3617"/>
    <w:rsid w:val="00CB5B9E"/>
    <w:rsid w:val="00CB6336"/>
    <w:rsid w:val="00CB6505"/>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1A"/>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415"/>
    <w:rsid w:val="00CF0839"/>
    <w:rsid w:val="00CF0BAF"/>
    <w:rsid w:val="00CF1884"/>
    <w:rsid w:val="00CF1B89"/>
    <w:rsid w:val="00CF225D"/>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0D76"/>
    <w:rsid w:val="00D11139"/>
    <w:rsid w:val="00D11D66"/>
    <w:rsid w:val="00D11EF2"/>
    <w:rsid w:val="00D12482"/>
    <w:rsid w:val="00D12493"/>
    <w:rsid w:val="00D12E44"/>
    <w:rsid w:val="00D141F3"/>
    <w:rsid w:val="00D14BE7"/>
    <w:rsid w:val="00D14EF9"/>
    <w:rsid w:val="00D151DF"/>
    <w:rsid w:val="00D15AE9"/>
    <w:rsid w:val="00D15CA6"/>
    <w:rsid w:val="00D21282"/>
    <w:rsid w:val="00D217EE"/>
    <w:rsid w:val="00D21CD0"/>
    <w:rsid w:val="00D222D0"/>
    <w:rsid w:val="00D2291E"/>
    <w:rsid w:val="00D2292C"/>
    <w:rsid w:val="00D229F9"/>
    <w:rsid w:val="00D2377A"/>
    <w:rsid w:val="00D239EE"/>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3FE6"/>
    <w:rsid w:val="00D4491E"/>
    <w:rsid w:val="00D45FDF"/>
    <w:rsid w:val="00D50742"/>
    <w:rsid w:val="00D50EE4"/>
    <w:rsid w:val="00D53BB6"/>
    <w:rsid w:val="00D540B2"/>
    <w:rsid w:val="00D54954"/>
    <w:rsid w:val="00D54BCD"/>
    <w:rsid w:val="00D55558"/>
    <w:rsid w:val="00D5566B"/>
    <w:rsid w:val="00D556A2"/>
    <w:rsid w:val="00D5575F"/>
    <w:rsid w:val="00D55FDF"/>
    <w:rsid w:val="00D5616B"/>
    <w:rsid w:val="00D5673B"/>
    <w:rsid w:val="00D56769"/>
    <w:rsid w:val="00D56F3D"/>
    <w:rsid w:val="00D57E6D"/>
    <w:rsid w:val="00D63483"/>
    <w:rsid w:val="00D63FC0"/>
    <w:rsid w:val="00D65037"/>
    <w:rsid w:val="00D66349"/>
    <w:rsid w:val="00D66661"/>
    <w:rsid w:val="00D66EFC"/>
    <w:rsid w:val="00D66F4D"/>
    <w:rsid w:val="00D7257E"/>
    <w:rsid w:val="00D74447"/>
    <w:rsid w:val="00D7563C"/>
    <w:rsid w:val="00D75B68"/>
    <w:rsid w:val="00D75DD0"/>
    <w:rsid w:val="00D76810"/>
    <w:rsid w:val="00D76D9C"/>
    <w:rsid w:val="00D76EF3"/>
    <w:rsid w:val="00D80A47"/>
    <w:rsid w:val="00D81263"/>
    <w:rsid w:val="00D83927"/>
    <w:rsid w:val="00D848FA"/>
    <w:rsid w:val="00D85E86"/>
    <w:rsid w:val="00D867A5"/>
    <w:rsid w:val="00D90AB8"/>
    <w:rsid w:val="00D923E5"/>
    <w:rsid w:val="00D92798"/>
    <w:rsid w:val="00D93586"/>
    <w:rsid w:val="00D942D5"/>
    <w:rsid w:val="00D94DB6"/>
    <w:rsid w:val="00D964B5"/>
    <w:rsid w:val="00D97D9B"/>
    <w:rsid w:val="00DA11B1"/>
    <w:rsid w:val="00DA1938"/>
    <w:rsid w:val="00DA24EA"/>
    <w:rsid w:val="00DA2CEC"/>
    <w:rsid w:val="00DA3073"/>
    <w:rsid w:val="00DA3675"/>
    <w:rsid w:val="00DA3BAC"/>
    <w:rsid w:val="00DA4B4A"/>
    <w:rsid w:val="00DA5597"/>
    <w:rsid w:val="00DA5DF4"/>
    <w:rsid w:val="00DA6967"/>
    <w:rsid w:val="00DA70E4"/>
    <w:rsid w:val="00DA7199"/>
    <w:rsid w:val="00DB07BF"/>
    <w:rsid w:val="00DB1610"/>
    <w:rsid w:val="00DB2622"/>
    <w:rsid w:val="00DB2A52"/>
    <w:rsid w:val="00DB393B"/>
    <w:rsid w:val="00DB56B4"/>
    <w:rsid w:val="00DB61A8"/>
    <w:rsid w:val="00DB6841"/>
    <w:rsid w:val="00DB6E40"/>
    <w:rsid w:val="00DB75A7"/>
    <w:rsid w:val="00DC0275"/>
    <w:rsid w:val="00DC07A5"/>
    <w:rsid w:val="00DC0B14"/>
    <w:rsid w:val="00DC134F"/>
    <w:rsid w:val="00DC14DE"/>
    <w:rsid w:val="00DC2DC4"/>
    <w:rsid w:val="00DC2FD3"/>
    <w:rsid w:val="00DC3A95"/>
    <w:rsid w:val="00DC3FEE"/>
    <w:rsid w:val="00DC4F0E"/>
    <w:rsid w:val="00DC5992"/>
    <w:rsid w:val="00DC5F21"/>
    <w:rsid w:val="00DC6174"/>
    <w:rsid w:val="00DC6C80"/>
    <w:rsid w:val="00DD009F"/>
    <w:rsid w:val="00DD0EEF"/>
    <w:rsid w:val="00DD2C51"/>
    <w:rsid w:val="00DD3119"/>
    <w:rsid w:val="00DD3432"/>
    <w:rsid w:val="00DD3E1A"/>
    <w:rsid w:val="00DD3E8F"/>
    <w:rsid w:val="00DD461A"/>
    <w:rsid w:val="00DD479B"/>
    <w:rsid w:val="00DD4AD2"/>
    <w:rsid w:val="00DD58FD"/>
    <w:rsid w:val="00DD5FC9"/>
    <w:rsid w:val="00DD6697"/>
    <w:rsid w:val="00DD6A5C"/>
    <w:rsid w:val="00DD6F0B"/>
    <w:rsid w:val="00DD7643"/>
    <w:rsid w:val="00DD7963"/>
    <w:rsid w:val="00DE06B7"/>
    <w:rsid w:val="00DE06E8"/>
    <w:rsid w:val="00DE0726"/>
    <w:rsid w:val="00DE139F"/>
    <w:rsid w:val="00DE167F"/>
    <w:rsid w:val="00DE19D6"/>
    <w:rsid w:val="00DE1F57"/>
    <w:rsid w:val="00DE2B38"/>
    <w:rsid w:val="00DE3207"/>
    <w:rsid w:val="00DE4D90"/>
    <w:rsid w:val="00DE553B"/>
    <w:rsid w:val="00DE5D05"/>
    <w:rsid w:val="00DE6CE8"/>
    <w:rsid w:val="00DE6DAB"/>
    <w:rsid w:val="00DE7AB3"/>
    <w:rsid w:val="00DF0036"/>
    <w:rsid w:val="00DF04E0"/>
    <w:rsid w:val="00DF0724"/>
    <w:rsid w:val="00DF1666"/>
    <w:rsid w:val="00DF1797"/>
    <w:rsid w:val="00DF1A1E"/>
    <w:rsid w:val="00DF2BFF"/>
    <w:rsid w:val="00DF2DAE"/>
    <w:rsid w:val="00DF3463"/>
    <w:rsid w:val="00DF4141"/>
    <w:rsid w:val="00DF4AA9"/>
    <w:rsid w:val="00DF6AC2"/>
    <w:rsid w:val="00DF7AAA"/>
    <w:rsid w:val="00E007AE"/>
    <w:rsid w:val="00E00873"/>
    <w:rsid w:val="00E01407"/>
    <w:rsid w:val="00E02E7F"/>
    <w:rsid w:val="00E04197"/>
    <w:rsid w:val="00E045C7"/>
    <w:rsid w:val="00E050C0"/>
    <w:rsid w:val="00E05189"/>
    <w:rsid w:val="00E05801"/>
    <w:rsid w:val="00E05C7D"/>
    <w:rsid w:val="00E06113"/>
    <w:rsid w:val="00E064FC"/>
    <w:rsid w:val="00E066B1"/>
    <w:rsid w:val="00E07E27"/>
    <w:rsid w:val="00E1053D"/>
    <w:rsid w:val="00E122C4"/>
    <w:rsid w:val="00E12301"/>
    <w:rsid w:val="00E12922"/>
    <w:rsid w:val="00E12E16"/>
    <w:rsid w:val="00E13204"/>
    <w:rsid w:val="00E139B4"/>
    <w:rsid w:val="00E13CEA"/>
    <w:rsid w:val="00E140A6"/>
    <w:rsid w:val="00E14272"/>
    <w:rsid w:val="00E148B8"/>
    <w:rsid w:val="00E14908"/>
    <w:rsid w:val="00E1561C"/>
    <w:rsid w:val="00E15FC7"/>
    <w:rsid w:val="00E1648B"/>
    <w:rsid w:val="00E167BB"/>
    <w:rsid w:val="00E16FE2"/>
    <w:rsid w:val="00E17087"/>
    <w:rsid w:val="00E209D0"/>
    <w:rsid w:val="00E21E25"/>
    <w:rsid w:val="00E22AF2"/>
    <w:rsid w:val="00E22B89"/>
    <w:rsid w:val="00E23D74"/>
    <w:rsid w:val="00E240F1"/>
    <w:rsid w:val="00E245C5"/>
    <w:rsid w:val="00E25274"/>
    <w:rsid w:val="00E26111"/>
    <w:rsid w:val="00E2649B"/>
    <w:rsid w:val="00E266C1"/>
    <w:rsid w:val="00E26951"/>
    <w:rsid w:val="00E26E0C"/>
    <w:rsid w:val="00E2780A"/>
    <w:rsid w:val="00E302B8"/>
    <w:rsid w:val="00E31339"/>
    <w:rsid w:val="00E31C44"/>
    <w:rsid w:val="00E32765"/>
    <w:rsid w:val="00E33779"/>
    <w:rsid w:val="00E34401"/>
    <w:rsid w:val="00E34CCD"/>
    <w:rsid w:val="00E3553E"/>
    <w:rsid w:val="00E35C31"/>
    <w:rsid w:val="00E3700C"/>
    <w:rsid w:val="00E375A3"/>
    <w:rsid w:val="00E375EE"/>
    <w:rsid w:val="00E37A09"/>
    <w:rsid w:val="00E40E74"/>
    <w:rsid w:val="00E412C8"/>
    <w:rsid w:val="00E4139F"/>
    <w:rsid w:val="00E41FF0"/>
    <w:rsid w:val="00E4224E"/>
    <w:rsid w:val="00E42464"/>
    <w:rsid w:val="00E4269C"/>
    <w:rsid w:val="00E42B0D"/>
    <w:rsid w:val="00E44177"/>
    <w:rsid w:val="00E442D3"/>
    <w:rsid w:val="00E45BD7"/>
    <w:rsid w:val="00E46795"/>
    <w:rsid w:val="00E46C3A"/>
    <w:rsid w:val="00E47B98"/>
    <w:rsid w:val="00E501E9"/>
    <w:rsid w:val="00E50CDF"/>
    <w:rsid w:val="00E53376"/>
    <w:rsid w:val="00E53916"/>
    <w:rsid w:val="00E5391F"/>
    <w:rsid w:val="00E54B68"/>
    <w:rsid w:val="00E54F24"/>
    <w:rsid w:val="00E55533"/>
    <w:rsid w:val="00E555ED"/>
    <w:rsid w:val="00E56AEC"/>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67627"/>
    <w:rsid w:val="00E70F33"/>
    <w:rsid w:val="00E7230C"/>
    <w:rsid w:val="00E72523"/>
    <w:rsid w:val="00E73C65"/>
    <w:rsid w:val="00E741A1"/>
    <w:rsid w:val="00E743EC"/>
    <w:rsid w:val="00E74D5E"/>
    <w:rsid w:val="00E77ADD"/>
    <w:rsid w:val="00E80795"/>
    <w:rsid w:val="00E83AD0"/>
    <w:rsid w:val="00E849FB"/>
    <w:rsid w:val="00E84AE9"/>
    <w:rsid w:val="00E85E59"/>
    <w:rsid w:val="00E865EA"/>
    <w:rsid w:val="00E874EE"/>
    <w:rsid w:val="00E90EE6"/>
    <w:rsid w:val="00E912EB"/>
    <w:rsid w:val="00E91331"/>
    <w:rsid w:val="00E91337"/>
    <w:rsid w:val="00E91896"/>
    <w:rsid w:val="00E9272A"/>
    <w:rsid w:val="00E93FDD"/>
    <w:rsid w:val="00E9423B"/>
    <w:rsid w:val="00E95165"/>
    <w:rsid w:val="00E966E3"/>
    <w:rsid w:val="00E968B2"/>
    <w:rsid w:val="00E97BC1"/>
    <w:rsid w:val="00EA086B"/>
    <w:rsid w:val="00EA0EDB"/>
    <w:rsid w:val="00EA1B47"/>
    <w:rsid w:val="00EA3B35"/>
    <w:rsid w:val="00EA4EBA"/>
    <w:rsid w:val="00EA5CCE"/>
    <w:rsid w:val="00EA7014"/>
    <w:rsid w:val="00EB2D91"/>
    <w:rsid w:val="00EB3F2D"/>
    <w:rsid w:val="00EB41FD"/>
    <w:rsid w:val="00EB52D7"/>
    <w:rsid w:val="00EB5DBD"/>
    <w:rsid w:val="00EB6994"/>
    <w:rsid w:val="00EB73DF"/>
    <w:rsid w:val="00EB7911"/>
    <w:rsid w:val="00EC0FE8"/>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495"/>
    <w:rsid w:val="00ED5899"/>
    <w:rsid w:val="00ED64E6"/>
    <w:rsid w:val="00ED6560"/>
    <w:rsid w:val="00ED6C5C"/>
    <w:rsid w:val="00ED6EB2"/>
    <w:rsid w:val="00ED785A"/>
    <w:rsid w:val="00ED7F27"/>
    <w:rsid w:val="00EE21F4"/>
    <w:rsid w:val="00EE33DE"/>
    <w:rsid w:val="00EE37FC"/>
    <w:rsid w:val="00EE3C9B"/>
    <w:rsid w:val="00EE3F7C"/>
    <w:rsid w:val="00EE4286"/>
    <w:rsid w:val="00EE5C56"/>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1A24"/>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6B6"/>
    <w:rsid w:val="00F1579D"/>
    <w:rsid w:val="00F157FF"/>
    <w:rsid w:val="00F15AA1"/>
    <w:rsid w:val="00F167EB"/>
    <w:rsid w:val="00F1720D"/>
    <w:rsid w:val="00F17303"/>
    <w:rsid w:val="00F177E3"/>
    <w:rsid w:val="00F2072E"/>
    <w:rsid w:val="00F21485"/>
    <w:rsid w:val="00F2175E"/>
    <w:rsid w:val="00F23162"/>
    <w:rsid w:val="00F24526"/>
    <w:rsid w:val="00F24926"/>
    <w:rsid w:val="00F24C1C"/>
    <w:rsid w:val="00F26C41"/>
    <w:rsid w:val="00F3088E"/>
    <w:rsid w:val="00F30A79"/>
    <w:rsid w:val="00F31616"/>
    <w:rsid w:val="00F32D74"/>
    <w:rsid w:val="00F332CF"/>
    <w:rsid w:val="00F35F83"/>
    <w:rsid w:val="00F360EF"/>
    <w:rsid w:val="00F3684A"/>
    <w:rsid w:val="00F37123"/>
    <w:rsid w:val="00F37CE2"/>
    <w:rsid w:val="00F409F0"/>
    <w:rsid w:val="00F40A17"/>
    <w:rsid w:val="00F4141C"/>
    <w:rsid w:val="00F416AA"/>
    <w:rsid w:val="00F41CC2"/>
    <w:rsid w:val="00F43DE6"/>
    <w:rsid w:val="00F44E4B"/>
    <w:rsid w:val="00F458CA"/>
    <w:rsid w:val="00F45B85"/>
    <w:rsid w:val="00F45B98"/>
    <w:rsid w:val="00F45C6F"/>
    <w:rsid w:val="00F45DB2"/>
    <w:rsid w:val="00F46751"/>
    <w:rsid w:val="00F46D6C"/>
    <w:rsid w:val="00F4770C"/>
    <w:rsid w:val="00F47CD9"/>
    <w:rsid w:val="00F506AF"/>
    <w:rsid w:val="00F50AED"/>
    <w:rsid w:val="00F50C10"/>
    <w:rsid w:val="00F50F89"/>
    <w:rsid w:val="00F52C7E"/>
    <w:rsid w:val="00F54ECE"/>
    <w:rsid w:val="00F550EA"/>
    <w:rsid w:val="00F55BED"/>
    <w:rsid w:val="00F5729E"/>
    <w:rsid w:val="00F57512"/>
    <w:rsid w:val="00F57956"/>
    <w:rsid w:val="00F60783"/>
    <w:rsid w:val="00F60984"/>
    <w:rsid w:val="00F620AF"/>
    <w:rsid w:val="00F62172"/>
    <w:rsid w:val="00F62448"/>
    <w:rsid w:val="00F63FB8"/>
    <w:rsid w:val="00F64418"/>
    <w:rsid w:val="00F647C8"/>
    <w:rsid w:val="00F65036"/>
    <w:rsid w:val="00F6506C"/>
    <w:rsid w:val="00F65147"/>
    <w:rsid w:val="00F652BB"/>
    <w:rsid w:val="00F6694C"/>
    <w:rsid w:val="00F66AF2"/>
    <w:rsid w:val="00F6700A"/>
    <w:rsid w:val="00F70645"/>
    <w:rsid w:val="00F717AF"/>
    <w:rsid w:val="00F73965"/>
    <w:rsid w:val="00F74101"/>
    <w:rsid w:val="00F74D99"/>
    <w:rsid w:val="00F76051"/>
    <w:rsid w:val="00F803E8"/>
    <w:rsid w:val="00F8097F"/>
    <w:rsid w:val="00F8178D"/>
    <w:rsid w:val="00F81EC5"/>
    <w:rsid w:val="00F83989"/>
    <w:rsid w:val="00F83BAD"/>
    <w:rsid w:val="00F86732"/>
    <w:rsid w:val="00F86CD7"/>
    <w:rsid w:val="00F87775"/>
    <w:rsid w:val="00F87B77"/>
    <w:rsid w:val="00F923D8"/>
    <w:rsid w:val="00F93027"/>
    <w:rsid w:val="00F94597"/>
    <w:rsid w:val="00F945B3"/>
    <w:rsid w:val="00F948A6"/>
    <w:rsid w:val="00F95BA3"/>
    <w:rsid w:val="00F96208"/>
    <w:rsid w:val="00F96664"/>
    <w:rsid w:val="00F97807"/>
    <w:rsid w:val="00FA1E4A"/>
    <w:rsid w:val="00FA2C64"/>
    <w:rsid w:val="00FA3E11"/>
    <w:rsid w:val="00FA4F12"/>
    <w:rsid w:val="00FA5043"/>
    <w:rsid w:val="00FA5509"/>
    <w:rsid w:val="00FA6846"/>
    <w:rsid w:val="00FA737D"/>
    <w:rsid w:val="00FB0336"/>
    <w:rsid w:val="00FB0722"/>
    <w:rsid w:val="00FB1225"/>
    <w:rsid w:val="00FB1D58"/>
    <w:rsid w:val="00FB26F7"/>
    <w:rsid w:val="00FB2808"/>
    <w:rsid w:val="00FB29D2"/>
    <w:rsid w:val="00FB32B4"/>
    <w:rsid w:val="00FB37EA"/>
    <w:rsid w:val="00FB4320"/>
    <w:rsid w:val="00FB65AC"/>
    <w:rsid w:val="00FB6C98"/>
    <w:rsid w:val="00FB6CD4"/>
    <w:rsid w:val="00FB6F86"/>
    <w:rsid w:val="00FC04C8"/>
    <w:rsid w:val="00FC21C6"/>
    <w:rsid w:val="00FC42E4"/>
    <w:rsid w:val="00FC4B68"/>
    <w:rsid w:val="00FC4BD9"/>
    <w:rsid w:val="00FC4D9A"/>
    <w:rsid w:val="00FC501B"/>
    <w:rsid w:val="00FC5547"/>
    <w:rsid w:val="00FC5E5D"/>
    <w:rsid w:val="00FC71E8"/>
    <w:rsid w:val="00FD14FE"/>
    <w:rsid w:val="00FD2521"/>
    <w:rsid w:val="00FD286B"/>
    <w:rsid w:val="00FD2B91"/>
    <w:rsid w:val="00FD3549"/>
    <w:rsid w:val="00FD428B"/>
    <w:rsid w:val="00FD4876"/>
    <w:rsid w:val="00FD497B"/>
    <w:rsid w:val="00FD5BB3"/>
    <w:rsid w:val="00FD7D6E"/>
    <w:rsid w:val="00FE0478"/>
    <w:rsid w:val="00FE0C89"/>
    <w:rsid w:val="00FE3033"/>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DF4"/>
    <w:rsid w:val="00FF3F67"/>
    <w:rsid w:val="00FF4547"/>
    <w:rsid w:val="00FF4A2A"/>
    <w:rsid w:val="00FF4F7F"/>
    <w:rsid w:val="00FF5008"/>
    <w:rsid w:val="00FF505C"/>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8FA1"/>
  <w15:docId w15:val="{3FA76A51-D52D-4810-BBF7-2CF2DAF0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 w:type="paragraph" w:styleId="Header">
    <w:name w:val="header"/>
    <w:basedOn w:val="Normal"/>
    <w:link w:val="HeaderChar"/>
    <w:uiPriority w:val="99"/>
    <w:unhideWhenUsed/>
    <w:rsid w:val="001C035F"/>
    <w:pPr>
      <w:tabs>
        <w:tab w:val="center" w:pos="4680"/>
        <w:tab w:val="right" w:pos="9360"/>
      </w:tabs>
    </w:pPr>
  </w:style>
  <w:style w:type="character" w:customStyle="1" w:styleId="HeaderChar">
    <w:name w:val="Header Char"/>
    <w:basedOn w:val="DefaultParagraphFont"/>
    <w:link w:val="Header"/>
    <w:uiPriority w:val="99"/>
    <w:rsid w:val="001C035F"/>
    <w:rPr>
      <w:sz w:val="24"/>
      <w:szCs w:val="24"/>
    </w:rPr>
  </w:style>
  <w:style w:type="character" w:customStyle="1" w:styleId="FooterChar">
    <w:name w:val="Footer Char"/>
    <w:link w:val="Footer"/>
    <w:uiPriority w:val="99"/>
    <w:rsid w:val="001661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DB14-5BFE-4B49-A752-B08674127A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AB497E-F821-4D08-847B-BE635C39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023D3-ACA5-489A-9CFE-CCFC1EB2D663}">
  <ds:schemaRefs>
    <ds:schemaRef ds:uri="http://schemas.microsoft.com/sharepoint/v3/contenttype/forms"/>
  </ds:schemaRefs>
</ds:datastoreItem>
</file>

<file path=customXml/itemProps4.xml><?xml version="1.0" encoding="utf-8"?>
<ds:datastoreItem xmlns:ds="http://schemas.openxmlformats.org/officeDocument/2006/customXml" ds:itemID="{7349948A-9C12-47C5-B10D-C1CC37E3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4</cp:revision>
  <cp:lastPrinted>2020-03-05T16:53:00Z</cp:lastPrinted>
  <dcterms:created xsi:type="dcterms:W3CDTF">2020-03-09T17:55:00Z</dcterms:created>
  <dcterms:modified xsi:type="dcterms:W3CDTF">2020-03-10T11:30:00Z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