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46FC" w14:textId="77777777" w:rsidR="003B0CA2" w:rsidRDefault="003B0CA2" w:rsidP="003B0CA2">
      <w:pPr>
        <w:spacing w:line="240" w:lineRule="auto"/>
        <w:rPr>
          <w:b/>
        </w:rPr>
      </w:pPr>
      <w:r>
        <w:rPr>
          <w:b/>
        </w:rPr>
        <w:t>BEFORE THE</w:t>
      </w:r>
    </w:p>
    <w:p w14:paraId="509D0877" w14:textId="77777777" w:rsidR="003B0CA2" w:rsidRDefault="003B0CA2" w:rsidP="003B0CA2">
      <w:pPr>
        <w:spacing w:line="240" w:lineRule="auto"/>
        <w:rPr>
          <w:b/>
        </w:rPr>
      </w:pPr>
      <w:r>
        <w:rPr>
          <w:b/>
        </w:rPr>
        <w:t>PENNSYLVANIA PUBLIC UTILITY COMMISSION</w:t>
      </w:r>
    </w:p>
    <w:p w14:paraId="335A8BAE" w14:textId="77777777" w:rsidR="003B0CA2" w:rsidRDefault="003B0CA2" w:rsidP="003B0CA2">
      <w:pPr>
        <w:spacing w:line="240" w:lineRule="auto"/>
        <w:rPr>
          <w:b/>
        </w:rPr>
      </w:pPr>
    </w:p>
    <w:p w14:paraId="33AD72DF" w14:textId="77777777" w:rsidR="003B0CA2" w:rsidRDefault="003B0CA2" w:rsidP="003B0CA2">
      <w:pPr>
        <w:spacing w:line="240" w:lineRule="auto"/>
        <w:rPr>
          <w:b/>
        </w:rPr>
      </w:pPr>
    </w:p>
    <w:p w14:paraId="201C94A1" w14:textId="77777777" w:rsidR="003B0CA2" w:rsidRDefault="003B0CA2" w:rsidP="003B0CA2">
      <w:pPr>
        <w:spacing w:line="240" w:lineRule="auto"/>
        <w:jc w:val="left"/>
        <w:rPr>
          <w:b/>
        </w:rPr>
      </w:pPr>
    </w:p>
    <w:p w14:paraId="037EA023" w14:textId="77777777" w:rsidR="003B0CA2" w:rsidRDefault="003B0CA2" w:rsidP="003B0CA2">
      <w:pPr>
        <w:spacing w:line="240" w:lineRule="auto"/>
        <w:jc w:val="left"/>
      </w:pPr>
      <w:r>
        <w:t xml:space="preserve">Tracy Lyn </w:t>
      </w:r>
      <w:proofErr w:type="spellStart"/>
      <w:r>
        <w:t>Scopel</w:t>
      </w:r>
      <w:proofErr w:type="spellEnd"/>
      <w:r>
        <w:tab/>
      </w:r>
      <w:r>
        <w:tab/>
      </w:r>
      <w:r>
        <w:tab/>
      </w:r>
      <w:r>
        <w:tab/>
      </w:r>
      <w:r>
        <w:tab/>
        <w:t>:</w:t>
      </w:r>
    </w:p>
    <w:p w14:paraId="2BD2024F" w14:textId="77777777" w:rsidR="003B0CA2" w:rsidRDefault="003B0CA2" w:rsidP="003B0CA2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32AF4EE4" w14:textId="77777777" w:rsidR="003B0CA2" w:rsidRDefault="003B0CA2" w:rsidP="003B0CA2">
      <w:pPr>
        <w:spacing w:line="240" w:lineRule="auto"/>
        <w:jc w:val="left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C-2019-3015037</w:t>
      </w:r>
    </w:p>
    <w:p w14:paraId="0A725188" w14:textId="77777777" w:rsidR="003B0CA2" w:rsidRDefault="003B0CA2" w:rsidP="003B0CA2">
      <w:pPr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5EAE7392" w14:textId="77777777" w:rsidR="003B0CA2" w:rsidRDefault="003B0CA2" w:rsidP="003B0CA2">
      <w:pPr>
        <w:spacing w:line="240" w:lineRule="auto"/>
        <w:jc w:val="left"/>
      </w:pPr>
      <w:r>
        <w:t>Duquesne Light Company</w:t>
      </w:r>
      <w:r>
        <w:tab/>
      </w:r>
      <w:r>
        <w:tab/>
      </w:r>
      <w:r>
        <w:tab/>
      </w:r>
      <w:r>
        <w:tab/>
        <w:t>:</w:t>
      </w:r>
    </w:p>
    <w:p w14:paraId="65948579" w14:textId="77777777" w:rsidR="003B0CA2" w:rsidRDefault="003B0CA2" w:rsidP="003B0CA2">
      <w:pPr>
        <w:spacing w:line="240" w:lineRule="auto"/>
        <w:jc w:val="left"/>
      </w:pPr>
    </w:p>
    <w:p w14:paraId="0DD16035" w14:textId="77777777" w:rsidR="003B0CA2" w:rsidRDefault="003B0CA2" w:rsidP="003B0CA2">
      <w:pPr>
        <w:spacing w:line="240" w:lineRule="auto"/>
        <w:jc w:val="left"/>
      </w:pPr>
    </w:p>
    <w:p w14:paraId="34647E49" w14:textId="77777777" w:rsidR="003B0CA2" w:rsidRDefault="003B0CA2" w:rsidP="003B0CA2">
      <w:pPr>
        <w:spacing w:line="240" w:lineRule="auto"/>
      </w:pPr>
    </w:p>
    <w:p w14:paraId="0E4D96BB" w14:textId="77777777" w:rsidR="003B0CA2" w:rsidRPr="006023A7" w:rsidRDefault="003B0CA2" w:rsidP="003B0CA2">
      <w:pPr>
        <w:spacing w:line="240" w:lineRule="auto"/>
        <w:rPr>
          <w:b/>
          <w:u w:val="single"/>
        </w:rPr>
      </w:pPr>
      <w:r w:rsidRPr="006023A7">
        <w:rPr>
          <w:b/>
          <w:u w:val="single"/>
        </w:rPr>
        <w:t>ORDER DENYING MOTION FOR CONTINUANCE</w:t>
      </w:r>
    </w:p>
    <w:p w14:paraId="519C401A" w14:textId="77777777" w:rsidR="003B0CA2" w:rsidRDefault="003B0CA2" w:rsidP="003B0CA2">
      <w:pPr>
        <w:spacing w:line="240" w:lineRule="auto"/>
        <w:rPr>
          <w:b/>
        </w:rPr>
      </w:pPr>
    </w:p>
    <w:p w14:paraId="7253F9D0" w14:textId="77777777" w:rsidR="003B0CA2" w:rsidRDefault="003B0CA2" w:rsidP="003B0CA2">
      <w:pPr>
        <w:spacing w:line="240" w:lineRule="auto"/>
        <w:rPr>
          <w:b/>
        </w:rPr>
      </w:pPr>
    </w:p>
    <w:p w14:paraId="1AA38EA3" w14:textId="77777777" w:rsidR="003B0CA2" w:rsidRDefault="003B0CA2" w:rsidP="003B0CA2">
      <w:pPr>
        <w:jc w:val="left"/>
      </w:pPr>
      <w:r>
        <w:tab/>
      </w:r>
      <w:r>
        <w:tab/>
        <w:t xml:space="preserve">On December 14, 2019, Tracy </w:t>
      </w:r>
      <w:proofErr w:type="spellStart"/>
      <w:r>
        <w:t>Scopel</w:t>
      </w:r>
      <w:proofErr w:type="spellEnd"/>
      <w:r>
        <w:t xml:space="preserve"> (Complainant) filed a formal </w:t>
      </w:r>
      <w:r w:rsidR="000C406B">
        <w:t>c</w:t>
      </w:r>
      <w:r>
        <w:t xml:space="preserve">omplaint alleging that Duquesne Light Company (Duquesne Light or Respondent) had threatened to terminate her residential </w:t>
      </w:r>
      <w:r w:rsidR="00303ADE">
        <w:t>electric</w:t>
      </w:r>
      <w:r>
        <w:t xml:space="preserve"> service or had already shut off her service. As relief Complainant requests a payment arrangement.</w:t>
      </w:r>
    </w:p>
    <w:p w14:paraId="0FA3B040" w14:textId="77777777" w:rsidR="003B0CA2" w:rsidRDefault="003B0CA2" w:rsidP="003B0CA2">
      <w:pPr>
        <w:jc w:val="left"/>
      </w:pPr>
    </w:p>
    <w:p w14:paraId="15AD4119" w14:textId="77777777" w:rsidR="003B0CA2" w:rsidRDefault="003B0CA2" w:rsidP="003B0CA2">
      <w:pPr>
        <w:jc w:val="left"/>
      </w:pPr>
      <w:r>
        <w:tab/>
      </w:r>
      <w:r>
        <w:tab/>
        <w:t>The Complaint was served by the Commission's Secretary on December 19, 2019.</w:t>
      </w:r>
    </w:p>
    <w:p w14:paraId="32A71840" w14:textId="77777777" w:rsidR="003B0CA2" w:rsidRDefault="003B0CA2" w:rsidP="003B0CA2">
      <w:pPr>
        <w:jc w:val="left"/>
      </w:pPr>
    </w:p>
    <w:p w14:paraId="4F5A239E" w14:textId="77777777" w:rsidR="002356EB" w:rsidRDefault="003B0CA2" w:rsidP="003B0CA2">
      <w:pPr>
        <w:jc w:val="left"/>
      </w:pPr>
      <w:r>
        <w:tab/>
      </w:r>
      <w:r>
        <w:tab/>
        <w:t>On January 7, 2020, Duquesne Light filed its Answer and New Matter. In the Answer Respondent admitted Complainant had been sent termination notices, however, denie</w:t>
      </w:r>
      <w:r w:rsidR="002356EB">
        <w:t>d</w:t>
      </w:r>
      <w:r>
        <w:t xml:space="preserve"> doing so was improper.  </w:t>
      </w:r>
      <w:r w:rsidR="002356EB">
        <w:t>In the New Matter</w:t>
      </w:r>
      <w:r w:rsidR="000C406B">
        <w:t>,</w:t>
      </w:r>
      <w:r w:rsidR="002356EB">
        <w:t xml:space="preserve"> Respondent averred Complainant should not be afforded a payment arrangement as she had not made a good-faith effort to pay for her electric service</w:t>
      </w:r>
      <w:r w:rsidR="000C406B">
        <w:t xml:space="preserve"> bills</w:t>
      </w:r>
      <w:r w:rsidR="002356EB">
        <w:t xml:space="preserve">, therefore the </w:t>
      </w:r>
      <w:r w:rsidR="000C406B">
        <w:t>c</w:t>
      </w:r>
      <w:r w:rsidR="002356EB">
        <w:t xml:space="preserve">omplaint should be dismissed.  </w:t>
      </w:r>
    </w:p>
    <w:p w14:paraId="50155278" w14:textId="77777777" w:rsidR="003B0CA2" w:rsidRDefault="003B0CA2" w:rsidP="003B0CA2">
      <w:pPr>
        <w:jc w:val="left"/>
      </w:pPr>
    </w:p>
    <w:p w14:paraId="3DFBBB45" w14:textId="77777777" w:rsidR="00613297" w:rsidRDefault="003B0CA2" w:rsidP="003B0CA2">
      <w:pPr>
        <w:jc w:val="left"/>
        <w:sectPr w:rsidR="00613297"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  <w:r>
        <w:tab/>
        <w:t xml:space="preserve">On </w:t>
      </w:r>
      <w:r w:rsidR="002356EB">
        <w:t>February 4, 2020</w:t>
      </w:r>
      <w:r>
        <w:t xml:space="preserve">, a Telephonic Hearing Notice was issued which scheduled a </w:t>
      </w:r>
      <w:r w:rsidR="002356EB">
        <w:t xml:space="preserve">call-in telephonic hearing </w:t>
      </w:r>
      <w:r>
        <w:t xml:space="preserve">for Wednesday, </w:t>
      </w:r>
      <w:r w:rsidR="002356EB">
        <w:t>March 11, 2020</w:t>
      </w:r>
      <w:r>
        <w:t xml:space="preserve">, and assigned the </w:t>
      </w:r>
      <w:r w:rsidR="002356EB">
        <w:t>undersigned as Presiding Officer</w:t>
      </w:r>
      <w:r>
        <w:t xml:space="preserve">.  </w:t>
      </w:r>
      <w:r w:rsidR="002356EB">
        <w:t>Also, on February 4, 2020</w:t>
      </w:r>
      <w:r w:rsidR="000C406B">
        <w:t xml:space="preserve">, </w:t>
      </w:r>
      <w:r w:rsidR="002356EB">
        <w:t>a P</w:t>
      </w:r>
      <w:r>
        <w:t xml:space="preserve">rehearing </w:t>
      </w:r>
      <w:r w:rsidR="002356EB">
        <w:t>O</w:t>
      </w:r>
      <w:r>
        <w:t>rder</w:t>
      </w:r>
      <w:r w:rsidR="002356EB">
        <w:t xml:space="preserve"> was entered </w:t>
      </w:r>
      <w:r w:rsidR="002356EB" w:rsidRPr="00B32D2F">
        <w:t>remind</w:t>
      </w:r>
      <w:r w:rsidR="002356EB">
        <w:t>ing</w:t>
      </w:r>
      <w:r w:rsidR="002356EB" w:rsidRPr="00B32D2F">
        <w:t xml:space="preserve"> the </w:t>
      </w:r>
      <w:r w:rsidR="002356EB">
        <w:t>P</w:t>
      </w:r>
      <w:r w:rsidR="002356EB" w:rsidRPr="00B32D2F">
        <w:t xml:space="preserve">arties of the date and time of the hearing and addressed, </w:t>
      </w:r>
      <w:r w:rsidR="002356EB" w:rsidRPr="00B32D2F">
        <w:rPr>
          <w:i/>
          <w:iCs/>
        </w:rPr>
        <w:t>inter alia</w:t>
      </w:r>
      <w:r w:rsidR="002356EB" w:rsidRPr="00B32D2F">
        <w:t>, the procedures applicable to the hearing including the method by which a party could request a change of the scheduled hearing date if the date was not convenient for them.</w:t>
      </w:r>
      <w:r>
        <w:t xml:space="preserve">  </w:t>
      </w:r>
      <w:r w:rsidR="002356EB">
        <w:t xml:space="preserve">Specifically, </w:t>
      </w:r>
      <w:r w:rsidR="009823F1">
        <w:t xml:space="preserve">the Prehearing Order directed the Parties that a continuance request must state the agreement or opposition of other parties and </w:t>
      </w:r>
    </w:p>
    <w:p w14:paraId="5D0998EA" w14:textId="242BC39A" w:rsidR="003B0CA2" w:rsidRDefault="009823F1" w:rsidP="003B0CA2">
      <w:pPr>
        <w:jc w:val="left"/>
      </w:pPr>
      <w:r>
        <w:lastRenderedPageBreak/>
        <w:t>must be submitted in writing no later than five (5) days prior to the hearing and that a continuance would only be granted for good cause shown.</w:t>
      </w:r>
    </w:p>
    <w:p w14:paraId="543C223F" w14:textId="77777777" w:rsidR="003B0CA2" w:rsidRDefault="003B0CA2" w:rsidP="003B0CA2">
      <w:pPr>
        <w:jc w:val="left"/>
      </w:pPr>
    </w:p>
    <w:p w14:paraId="21FAB18A" w14:textId="77777777" w:rsidR="003B0CA2" w:rsidRDefault="003B0CA2" w:rsidP="003B0CA2">
      <w:pPr>
        <w:jc w:val="left"/>
      </w:pPr>
      <w:r>
        <w:tab/>
      </w:r>
      <w:r>
        <w:tab/>
        <w:t xml:space="preserve">On </w:t>
      </w:r>
      <w:r w:rsidR="009823F1">
        <w:t>March 10, 2020</w:t>
      </w:r>
      <w:r>
        <w:t xml:space="preserve">, </w:t>
      </w:r>
      <w:r w:rsidR="009823F1">
        <w:t xml:space="preserve">Complainant faxed a letter to the undersigned requesting a continuance due to not being able to “make the 10 am time on Wednesday.”  Following receiving Ms. </w:t>
      </w:r>
      <w:proofErr w:type="spellStart"/>
      <w:r w:rsidR="009823F1">
        <w:t>Scopel’s</w:t>
      </w:r>
      <w:proofErr w:type="spellEnd"/>
      <w:r w:rsidR="009823F1">
        <w:t xml:space="preserve"> continuance request, I emailed a copy of the letter to Attorney Farah, counsel for Respondent to inform her of Ms. </w:t>
      </w:r>
      <w:proofErr w:type="spellStart"/>
      <w:r w:rsidR="009823F1">
        <w:t>Scopel’s</w:t>
      </w:r>
      <w:proofErr w:type="spellEnd"/>
      <w:r w:rsidR="009823F1">
        <w:t xml:space="preserve"> request </w:t>
      </w:r>
      <w:r w:rsidR="00933B7D">
        <w:t xml:space="preserve">as Ms. </w:t>
      </w:r>
      <w:proofErr w:type="spellStart"/>
      <w:r w:rsidR="00933B7D">
        <w:t>Scopel’s</w:t>
      </w:r>
      <w:proofErr w:type="spellEnd"/>
      <w:r w:rsidR="00933B7D">
        <w:t xml:space="preserve"> letter indicated Respondent was not aware of her continuance reques</w:t>
      </w:r>
      <w:r w:rsidR="000C406B">
        <w:t>t.</w:t>
      </w:r>
      <w:r w:rsidR="00933B7D">
        <w:t xml:space="preserve">  Respondent, through Attorney Farah, objected to the continuance due to the last-minute nature of the request.</w:t>
      </w:r>
    </w:p>
    <w:p w14:paraId="2979CF21" w14:textId="77777777" w:rsidR="00933B7D" w:rsidRDefault="00933B7D" w:rsidP="003B0CA2">
      <w:pPr>
        <w:jc w:val="left"/>
        <w:rPr>
          <w:spacing w:val="-3"/>
        </w:rPr>
      </w:pPr>
    </w:p>
    <w:p w14:paraId="410BF037" w14:textId="77777777" w:rsidR="00933B7D" w:rsidRDefault="00303ADE" w:rsidP="00933B7D">
      <w:pPr>
        <w:ind w:firstLine="1440"/>
        <w:jc w:val="left"/>
        <w:rPr>
          <w:spacing w:val="-3"/>
        </w:rPr>
      </w:pPr>
      <w:r>
        <w:rPr>
          <w:spacing w:val="-3"/>
        </w:rPr>
        <w:t xml:space="preserve">As directed by the Prehearing Order a request for a change of the scheduled hearing date must state the agreement of the opposing parties and must be submitted no later than five (5) days prior to the hearing.  Moreover, a </w:t>
      </w:r>
      <w:r w:rsidR="00933B7D" w:rsidRPr="0071019A">
        <w:rPr>
          <w:spacing w:val="-3"/>
        </w:rPr>
        <w:t xml:space="preserve">Motion for Continuances will be granted only if good cause exists.  </w:t>
      </w:r>
      <w:r>
        <w:rPr>
          <w:spacing w:val="-3"/>
        </w:rPr>
        <w:t>Requesting a hearing continuance</w:t>
      </w:r>
      <w:r w:rsidR="00933B7D" w:rsidRPr="0071019A">
        <w:rPr>
          <w:spacing w:val="-3"/>
        </w:rPr>
        <w:t xml:space="preserve"> due to </w:t>
      </w:r>
      <w:r>
        <w:rPr>
          <w:spacing w:val="-3"/>
        </w:rPr>
        <w:t>improper planning, one day prior to the scheduled hearing is not good cause shown.</w:t>
      </w:r>
      <w:r w:rsidR="00933B7D" w:rsidRPr="0071019A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933B7D" w:rsidRPr="0071019A">
        <w:rPr>
          <w:spacing w:val="-3"/>
        </w:rPr>
        <w:t>Furthermore, the Respondent object</w:t>
      </w:r>
      <w:r>
        <w:rPr>
          <w:spacing w:val="-3"/>
        </w:rPr>
        <w:t>ed</w:t>
      </w:r>
      <w:r w:rsidR="00933B7D" w:rsidRPr="0071019A">
        <w:rPr>
          <w:spacing w:val="-3"/>
        </w:rPr>
        <w:t xml:space="preserve"> to the continuance request.  Therefore, </w:t>
      </w:r>
      <w:proofErr w:type="gramStart"/>
      <w:r w:rsidR="00933B7D" w:rsidRPr="0071019A">
        <w:rPr>
          <w:spacing w:val="-3"/>
        </w:rPr>
        <w:t>in light of</w:t>
      </w:r>
      <w:proofErr w:type="gramEnd"/>
      <w:r w:rsidR="00933B7D" w:rsidRPr="0071019A">
        <w:rPr>
          <w:spacing w:val="-3"/>
        </w:rPr>
        <w:t xml:space="preserve"> all of the above,</w:t>
      </w:r>
      <w:r>
        <w:rPr>
          <w:spacing w:val="-3"/>
        </w:rPr>
        <w:t xml:space="preserve"> Complainant’s request for a continuance is denied and the hearing will proceed as scheduled on March 11, 2020, at 10:00 a.m.</w:t>
      </w:r>
    </w:p>
    <w:p w14:paraId="020B55E9" w14:textId="1CF4C651" w:rsidR="00303ADE" w:rsidRDefault="00303ADE" w:rsidP="00933B7D">
      <w:pPr>
        <w:ind w:firstLine="1440"/>
        <w:jc w:val="left"/>
      </w:pPr>
    </w:p>
    <w:p w14:paraId="7568E498" w14:textId="77777777" w:rsidR="00613297" w:rsidRDefault="00613297" w:rsidP="00933B7D">
      <w:pPr>
        <w:ind w:firstLine="1440"/>
        <w:jc w:val="left"/>
      </w:pPr>
    </w:p>
    <w:p w14:paraId="07EB7CA7" w14:textId="4B157CAA" w:rsidR="003B0CA2" w:rsidRDefault="003B0CA2" w:rsidP="003B0CA2">
      <w:pPr>
        <w:jc w:val="left"/>
      </w:pPr>
      <w:r>
        <w:tab/>
      </w:r>
      <w:r>
        <w:tab/>
        <w:t>THEREFORE,</w:t>
      </w:r>
    </w:p>
    <w:p w14:paraId="7019BE33" w14:textId="77777777" w:rsidR="003B0CA2" w:rsidRDefault="003B0CA2" w:rsidP="003B0CA2">
      <w:pPr>
        <w:jc w:val="left"/>
      </w:pPr>
    </w:p>
    <w:p w14:paraId="26A2AFD1" w14:textId="77777777" w:rsidR="003B0CA2" w:rsidRDefault="003B0CA2" w:rsidP="003B0CA2">
      <w:pPr>
        <w:jc w:val="left"/>
      </w:pPr>
      <w:r>
        <w:tab/>
      </w:r>
      <w:r>
        <w:tab/>
        <w:t>IT IS ORDERED:</w:t>
      </w:r>
    </w:p>
    <w:p w14:paraId="4A3FB4E0" w14:textId="77777777" w:rsidR="003B0CA2" w:rsidRDefault="003B0CA2" w:rsidP="003B0CA2">
      <w:pPr>
        <w:jc w:val="left"/>
      </w:pPr>
    </w:p>
    <w:p w14:paraId="090AC7F3" w14:textId="77777777" w:rsidR="00303ADE" w:rsidRDefault="00303ADE" w:rsidP="00303ADE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71019A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 xml:space="preserve">Tracy </w:t>
      </w:r>
      <w:proofErr w:type="spellStart"/>
      <w:r>
        <w:rPr>
          <w:rFonts w:ascii="Times New Roman" w:hAnsi="Times New Roman" w:cs="Times New Roman"/>
          <w:spacing w:val="-3"/>
        </w:rPr>
        <w:t>Scopel</w:t>
      </w:r>
      <w:r w:rsidRPr="0071019A">
        <w:rPr>
          <w:rFonts w:ascii="Times New Roman" w:hAnsi="Times New Roman" w:cs="Times New Roman"/>
          <w:spacing w:val="-3"/>
        </w:rPr>
        <w:t>’s</w:t>
      </w:r>
      <w:proofErr w:type="spellEnd"/>
      <w:r w:rsidRPr="0071019A">
        <w:rPr>
          <w:rFonts w:ascii="Times New Roman" w:hAnsi="Times New Roman" w:cs="Times New Roman"/>
          <w:spacing w:val="-3"/>
        </w:rPr>
        <w:t xml:space="preserve"> Motion for Continuance in the matter of </w:t>
      </w:r>
      <w:r>
        <w:rPr>
          <w:rFonts w:ascii="Times New Roman" w:hAnsi="Times New Roman" w:cs="Times New Roman"/>
          <w:spacing w:val="-3"/>
        </w:rPr>
        <w:t xml:space="preserve">Tracy Lyn </w:t>
      </w:r>
      <w:proofErr w:type="spellStart"/>
      <w:r>
        <w:rPr>
          <w:rFonts w:ascii="Times New Roman" w:hAnsi="Times New Roman" w:cs="Times New Roman"/>
          <w:spacing w:val="-3"/>
        </w:rPr>
        <w:t>Scopel</w:t>
      </w:r>
      <w:proofErr w:type="spellEnd"/>
      <w:r w:rsidRPr="0071019A">
        <w:rPr>
          <w:rFonts w:ascii="Times New Roman" w:hAnsi="Times New Roman" w:cs="Times New Roman"/>
          <w:spacing w:val="-3"/>
        </w:rPr>
        <w:t xml:space="preserve"> v. </w:t>
      </w:r>
      <w:r>
        <w:rPr>
          <w:rFonts w:ascii="Times New Roman" w:hAnsi="Times New Roman" w:cs="Times New Roman"/>
          <w:spacing w:val="-3"/>
        </w:rPr>
        <w:t>Duquesne Light</w:t>
      </w:r>
      <w:r w:rsidRPr="0071019A">
        <w:rPr>
          <w:rFonts w:ascii="Times New Roman" w:hAnsi="Times New Roman" w:cs="Times New Roman"/>
          <w:spacing w:val="-3"/>
        </w:rPr>
        <w:t xml:space="preserve"> Company, at Docket No. C-2019-301</w:t>
      </w:r>
      <w:r>
        <w:rPr>
          <w:rFonts w:ascii="Times New Roman" w:hAnsi="Times New Roman" w:cs="Times New Roman"/>
          <w:spacing w:val="-3"/>
        </w:rPr>
        <w:t>5037</w:t>
      </w:r>
      <w:r w:rsidRPr="0071019A">
        <w:rPr>
          <w:rFonts w:ascii="Times New Roman" w:hAnsi="Times New Roman" w:cs="Times New Roman"/>
          <w:spacing w:val="-3"/>
        </w:rPr>
        <w:t xml:space="preserve"> is </w:t>
      </w:r>
      <w:r>
        <w:rPr>
          <w:rFonts w:ascii="Times New Roman" w:hAnsi="Times New Roman" w:cs="Times New Roman"/>
          <w:spacing w:val="-3"/>
        </w:rPr>
        <w:t>denied</w:t>
      </w:r>
      <w:r w:rsidRPr="0071019A">
        <w:rPr>
          <w:rFonts w:ascii="Times New Roman" w:hAnsi="Times New Roman" w:cs="Times New Roman"/>
          <w:spacing w:val="-3"/>
        </w:rPr>
        <w:t xml:space="preserve">. </w:t>
      </w:r>
    </w:p>
    <w:p w14:paraId="7DA56F32" w14:textId="77777777" w:rsidR="00303ADE" w:rsidRPr="00303ADE" w:rsidRDefault="00303ADE" w:rsidP="00303ADE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EA7BAAA" w14:textId="77777777" w:rsidR="00303ADE" w:rsidRPr="00303ADE" w:rsidRDefault="00303ADE" w:rsidP="00303ADE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hearing will be held as scheduled on Wednesday, March 11, 2020, at 10:00 a.m.</w:t>
      </w:r>
    </w:p>
    <w:p w14:paraId="13B0DC02" w14:textId="77777777" w:rsidR="003B0CA2" w:rsidRDefault="003B0CA2" w:rsidP="00303ADE">
      <w:pPr>
        <w:jc w:val="left"/>
      </w:pPr>
    </w:p>
    <w:p w14:paraId="0C2CD500" w14:textId="77777777" w:rsidR="000C406B" w:rsidRPr="000C406B" w:rsidRDefault="000C406B" w:rsidP="000C406B">
      <w:pPr>
        <w:tabs>
          <w:tab w:val="left" w:pos="720"/>
          <w:tab w:val="left" w:pos="5040"/>
        </w:tabs>
        <w:suppressAutoHyphens/>
        <w:autoSpaceDE w:val="0"/>
        <w:autoSpaceDN w:val="0"/>
        <w:spacing w:line="240" w:lineRule="auto"/>
        <w:jc w:val="left"/>
        <w:rPr>
          <w:rFonts w:eastAsia="Times New Roman"/>
          <w:spacing w:val="-3"/>
          <w:u w:val="single"/>
        </w:rPr>
      </w:pPr>
      <w:r w:rsidRPr="000C406B">
        <w:rPr>
          <w:rFonts w:eastAsia="Times New Roman"/>
          <w:spacing w:val="-3"/>
        </w:rPr>
        <w:t xml:space="preserve">Date:  </w:t>
      </w:r>
      <w:r>
        <w:rPr>
          <w:rFonts w:eastAsia="Times New Roman"/>
          <w:spacing w:val="-3"/>
          <w:u w:val="single"/>
        </w:rPr>
        <w:t>March 10</w:t>
      </w:r>
      <w:r w:rsidRPr="000C406B">
        <w:rPr>
          <w:rFonts w:eastAsia="Times New Roman"/>
          <w:spacing w:val="-3"/>
          <w:u w:val="single"/>
        </w:rPr>
        <w:t>, 2020</w:t>
      </w:r>
      <w:r w:rsidRPr="000C406B">
        <w:rPr>
          <w:rFonts w:eastAsia="Times New Roman"/>
          <w:spacing w:val="-3"/>
        </w:rPr>
        <w:tab/>
      </w:r>
      <w:r w:rsidRPr="000C406B">
        <w:rPr>
          <w:rFonts w:eastAsia="Times New Roman"/>
          <w:spacing w:val="-3"/>
          <w:u w:val="single"/>
        </w:rPr>
        <w:tab/>
      </w:r>
      <w:r w:rsidRPr="000C406B">
        <w:rPr>
          <w:rFonts w:eastAsia="Times New Roman"/>
          <w:spacing w:val="-3"/>
          <w:u w:val="single"/>
        </w:rPr>
        <w:tab/>
        <w:t>/s/</w:t>
      </w:r>
      <w:r w:rsidRPr="000C406B">
        <w:rPr>
          <w:rFonts w:eastAsia="Times New Roman"/>
          <w:spacing w:val="-3"/>
          <w:u w:val="single"/>
        </w:rPr>
        <w:tab/>
      </w:r>
      <w:r w:rsidRPr="000C406B">
        <w:rPr>
          <w:rFonts w:eastAsia="Times New Roman"/>
          <w:spacing w:val="-3"/>
          <w:u w:val="single"/>
        </w:rPr>
        <w:tab/>
      </w:r>
      <w:r w:rsidRPr="000C406B">
        <w:rPr>
          <w:rFonts w:eastAsia="Times New Roman"/>
          <w:spacing w:val="-3"/>
          <w:u w:val="single"/>
        </w:rPr>
        <w:tab/>
      </w:r>
    </w:p>
    <w:p w14:paraId="2EF425A3" w14:textId="77777777" w:rsidR="000C406B" w:rsidRPr="000C406B" w:rsidRDefault="000C406B" w:rsidP="000C406B">
      <w:pPr>
        <w:tabs>
          <w:tab w:val="left" w:pos="720"/>
          <w:tab w:val="left" w:pos="5040"/>
        </w:tabs>
        <w:suppressAutoHyphens/>
        <w:autoSpaceDE w:val="0"/>
        <w:autoSpaceDN w:val="0"/>
        <w:spacing w:line="240" w:lineRule="auto"/>
        <w:jc w:val="left"/>
        <w:rPr>
          <w:rFonts w:eastAsia="Times New Roman"/>
          <w:spacing w:val="-3"/>
        </w:rPr>
      </w:pPr>
      <w:r w:rsidRPr="000C406B">
        <w:rPr>
          <w:rFonts w:eastAsia="Times New Roman"/>
          <w:spacing w:val="-3"/>
        </w:rPr>
        <w:tab/>
      </w:r>
      <w:r w:rsidRPr="000C406B">
        <w:rPr>
          <w:rFonts w:eastAsia="Times New Roman"/>
          <w:spacing w:val="-3"/>
        </w:rPr>
        <w:tab/>
        <w:t xml:space="preserve">Kailey B. Maguire </w:t>
      </w:r>
    </w:p>
    <w:p w14:paraId="07ABE1D4" w14:textId="77777777" w:rsidR="00613297" w:rsidRDefault="000C406B" w:rsidP="000C406B">
      <w:pPr>
        <w:tabs>
          <w:tab w:val="left" w:pos="720"/>
          <w:tab w:val="left" w:pos="5040"/>
        </w:tabs>
        <w:suppressAutoHyphens/>
        <w:autoSpaceDE w:val="0"/>
        <w:autoSpaceDN w:val="0"/>
        <w:spacing w:line="240" w:lineRule="auto"/>
        <w:jc w:val="left"/>
        <w:rPr>
          <w:rFonts w:eastAsia="Times New Roman"/>
        </w:rPr>
        <w:sectPr w:rsidR="0061329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C406B">
        <w:rPr>
          <w:rFonts w:eastAsia="Times New Roman"/>
        </w:rPr>
        <w:tab/>
      </w:r>
      <w:r w:rsidRPr="000C406B">
        <w:rPr>
          <w:rFonts w:eastAsia="Times New Roman"/>
        </w:rPr>
        <w:tab/>
        <w:t>Special Agent</w:t>
      </w:r>
    </w:p>
    <w:p w14:paraId="6754B75E" w14:textId="6C5B5A80" w:rsidR="008674A5" w:rsidRDefault="00E347F6" w:rsidP="000C406B">
      <w:pPr>
        <w:tabs>
          <w:tab w:val="left" w:pos="720"/>
          <w:tab w:val="left" w:pos="5040"/>
        </w:tabs>
        <w:suppressAutoHyphens/>
        <w:autoSpaceDE w:val="0"/>
        <w:autoSpaceDN w:val="0"/>
        <w:spacing w:line="240" w:lineRule="auto"/>
        <w:jc w:val="left"/>
        <w:rPr>
          <w:rFonts w:eastAsia="Times New Roman"/>
        </w:rPr>
      </w:pPr>
    </w:p>
    <w:p w14:paraId="40C7CF1A" w14:textId="77777777" w:rsidR="00613297" w:rsidRPr="00613297" w:rsidRDefault="00613297" w:rsidP="00613297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</w:rPr>
      </w:pPr>
      <w:r w:rsidRPr="00613297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C-2019-3015037 - TRACY SCOPEL V. DUQUESNE LIGHT COMPANY</w:t>
      </w:r>
      <w:r w:rsidRPr="0061329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1329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13297">
        <w:rPr>
          <w:rFonts w:ascii="Microsoft Sans Serif" w:eastAsia="Microsoft Sans Serif" w:hAnsi="Microsoft Sans Serif" w:cs="Microsoft Sans Serif"/>
          <w:szCs w:val="22"/>
        </w:rPr>
        <w:t>TRACY SCOPEL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115 NORTH SOUTH DRIVE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PITTSBURGH PA  15237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</w:r>
      <w:r w:rsidRPr="00613297">
        <w:rPr>
          <w:rFonts w:ascii="Microsoft Sans Serif" w:eastAsia="Microsoft Sans Serif" w:hAnsi="Microsoft Sans Serif" w:cs="Microsoft Sans Serif"/>
          <w:b/>
          <w:bCs/>
          <w:szCs w:val="22"/>
        </w:rPr>
        <w:t>412.977.4144</w:t>
      </w:r>
      <w:r w:rsidRPr="0061329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613297">
        <w:rPr>
          <w:rFonts w:ascii="Microsoft Sans Serif" w:eastAsia="Microsoft Sans Serif" w:hAnsi="Microsoft Sans Serif" w:cs="Microsoft Sans Serif"/>
          <w:szCs w:val="22"/>
        </w:rPr>
        <w:cr/>
      </w:r>
      <w:r w:rsidRPr="00613297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613297">
        <w:rPr>
          <w:rFonts w:ascii="Microsoft Sans Serif" w:eastAsia="Microsoft Sans Serif" w:hAnsi="Microsoft Sans Serif" w:cs="Microsoft Sans Serif"/>
          <w:b/>
          <w:bCs/>
          <w:szCs w:val="22"/>
        </w:rPr>
        <w:br/>
        <w:t>ACCEPTS E-SERVICE</w:t>
      </w:r>
      <w:r w:rsidRPr="00613297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4C60E52C" w14:textId="77777777" w:rsidR="00613297" w:rsidRPr="00613297" w:rsidRDefault="00613297" w:rsidP="00613297">
      <w:pPr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0027A913" w14:textId="77777777" w:rsidR="00613297" w:rsidRPr="000C406B" w:rsidRDefault="00613297" w:rsidP="000C406B">
      <w:pPr>
        <w:tabs>
          <w:tab w:val="left" w:pos="720"/>
          <w:tab w:val="left" w:pos="5040"/>
        </w:tabs>
        <w:suppressAutoHyphens/>
        <w:autoSpaceDE w:val="0"/>
        <w:autoSpaceDN w:val="0"/>
        <w:spacing w:line="240" w:lineRule="auto"/>
        <w:jc w:val="left"/>
        <w:rPr>
          <w:rFonts w:eastAsia="Times New Roman"/>
        </w:rPr>
      </w:pPr>
      <w:bookmarkStart w:id="0" w:name="_GoBack"/>
      <w:bookmarkEnd w:id="0"/>
    </w:p>
    <w:sectPr w:rsidR="00613297" w:rsidRPr="000C40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06A1" w14:textId="77777777" w:rsidR="00E347F6" w:rsidRDefault="00E347F6">
      <w:pPr>
        <w:spacing w:line="240" w:lineRule="auto"/>
      </w:pPr>
      <w:r>
        <w:separator/>
      </w:r>
    </w:p>
  </w:endnote>
  <w:endnote w:type="continuationSeparator" w:id="0">
    <w:p w14:paraId="5F1EE7CC" w14:textId="77777777" w:rsidR="00E347F6" w:rsidRDefault="00E34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7110" w14:textId="77777777" w:rsidR="006023A7" w:rsidRDefault="00E347F6">
    <w:pPr>
      <w:pStyle w:val="Footer"/>
    </w:pPr>
  </w:p>
  <w:p w14:paraId="1D6969F3" w14:textId="77777777" w:rsidR="006023A7" w:rsidRDefault="00E34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788189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9D6AE32" w14:textId="77777777" w:rsidR="00613297" w:rsidRPr="006023A7" w:rsidRDefault="00613297">
        <w:pPr>
          <w:pStyle w:val="Footer"/>
          <w:rPr>
            <w:sz w:val="20"/>
            <w:szCs w:val="20"/>
          </w:rPr>
        </w:pPr>
        <w:r w:rsidRPr="006023A7">
          <w:rPr>
            <w:sz w:val="20"/>
            <w:szCs w:val="20"/>
          </w:rPr>
          <w:fldChar w:fldCharType="begin"/>
        </w:r>
        <w:r w:rsidRPr="006023A7">
          <w:rPr>
            <w:sz w:val="20"/>
            <w:szCs w:val="20"/>
          </w:rPr>
          <w:instrText xml:space="preserve"> PAGE   \* MERGEFORMAT </w:instrText>
        </w:r>
        <w:r w:rsidRPr="006023A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6023A7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1D18" w14:textId="1B40AB30" w:rsidR="00613297" w:rsidRPr="006023A7" w:rsidRDefault="0061329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EA8B" w14:textId="77777777" w:rsidR="00E347F6" w:rsidRDefault="00E347F6">
      <w:pPr>
        <w:spacing w:line="240" w:lineRule="auto"/>
      </w:pPr>
      <w:r>
        <w:separator/>
      </w:r>
    </w:p>
  </w:footnote>
  <w:footnote w:type="continuationSeparator" w:id="0">
    <w:p w14:paraId="522BF4BF" w14:textId="77777777" w:rsidR="00E347F6" w:rsidRDefault="00E347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A2"/>
    <w:rsid w:val="000C406B"/>
    <w:rsid w:val="002356EB"/>
    <w:rsid w:val="00303ADE"/>
    <w:rsid w:val="003B0CA2"/>
    <w:rsid w:val="003C554C"/>
    <w:rsid w:val="0040477B"/>
    <w:rsid w:val="00613297"/>
    <w:rsid w:val="007F0A66"/>
    <w:rsid w:val="00933B7D"/>
    <w:rsid w:val="009823F1"/>
    <w:rsid w:val="00E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8FB4AB"/>
  <w15:chartTrackingRefBased/>
  <w15:docId w15:val="{B813D5AA-38BF-42C6-A1AA-9A1F98B5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A2"/>
    <w:pPr>
      <w:spacing w:after="0" w:line="36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0C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A2"/>
    <w:rPr>
      <w:rFonts w:ascii="Times New Roman" w:hAnsi="Times New Roman" w:cs="Times New Roman"/>
      <w:sz w:val="24"/>
      <w:szCs w:val="24"/>
    </w:rPr>
  </w:style>
  <w:style w:type="paragraph" w:customStyle="1" w:styleId="ParaTab1">
    <w:name w:val="ParaTab 1"/>
    <w:rsid w:val="00933B7D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2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2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D1AEA618774F9427E60E9733B686" ma:contentTypeVersion="5" ma:contentTypeDescription="Create a new document." ma:contentTypeScope="" ma:versionID="fa1a3c16ce247b1867fc2d625418d6c9">
  <xsd:schema xmlns:xsd="http://www.w3.org/2001/XMLSchema" xmlns:xs="http://www.w3.org/2001/XMLSchema" xmlns:p="http://schemas.microsoft.com/office/2006/metadata/properties" xmlns:ns3="16508e22-2c49-4159-974b-803112f2c295" targetNamespace="http://schemas.microsoft.com/office/2006/metadata/properties" ma:root="true" ma:fieldsID="0018bce0161654b7faf48eb6966fa6da" ns3:_="">
    <xsd:import namespace="16508e22-2c49-4159-974b-803112f2c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08e22-2c49-4159-974b-803112f2c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74CA4-02B6-4D6F-8C26-18BBDDB95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48B860-EA36-4844-897A-B62AB02CD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6CFA1-DAE2-4D82-A4F6-5E4AAB0BA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08e22-2c49-4159-974b-803112f2c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Kailey</dc:creator>
  <cp:keywords/>
  <dc:description/>
  <cp:lastModifiedBy>Williams, Bobbie Jo</cp:lastModifiedBy>
  <cp:revision>2</cp:revision>
  <dcterms:created xsi:type="dcterms:W3CDTF">2020-03-10T20:05:00Z</dcterms:created>
  <dcterms:modified xsi:type="dcterms:W3CDTF">2020-03-10T20:05:00Z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0x0101001E97D1AEA618774F9427E60E9733B686</vt:lpwstr>
  </property>
</Properties>
</file>