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0595B" w14:textId="77777777" w:rsidR="00F45196" w:rsidRPr="00233A1C" w:rsidRDefault="00F45196" w:rsidP="00233A1C">
      <w:pPr>
        <w:tabs>
          <w:tab w:val="left" w:pos="360"/>
        </w:tabs>
        <w:jc w:val="center"/>
        <w:rPr>
          <w:b/>
        </w:rPr>
      </w:pPr>
      <w:r w:rsidRPr="00233A1C">
        <w:rPr>
          <w:b/>
        </w:rPr>
        <w:t>BEFORE THE</w:t>
      </w:r>
    </w:p>
    <w:p w14:paraId="25D0E11C" w14:textId="77777777" w:rsidR="00F45196" w:rsidRPr="00233A1C" w:rsidRDefault="00F45196" w:rsidP="00233A1C">
      <w:pPr>
        <w:tabs>
          <w:tab w:val="left" w:pos="360"/>
        </w:tabs>
        <w:jc w:val="center"/>
        <w:rPr>
          <w:b/>
        </w:rPr>
      </w:pPr>
      <w:r w:rsidRPr="00233A1C">
        <w:rPr>
          <w:b/>
        </w:rPr>
        <w:t>PENNSYLVANIA PUBLIC UTILITY COMMISSION</w:t>
      </w:r>
    </w:p>
    <w:p w14:paraId="5958BBF9" w14:textId="77777777" w:rsidR="00F45196" w:rsidRPr="00233A1C" w:rsidRDefault="00F45196" w:rsidP="00233A1C">
      <w:pPr>
        <w:tabs>
          <w:tab w:val="left" w:pos="360"/>
        </w:tabs>
        <w:jc w:val="both"/>
        <w:rPr>
          <w:b/>
        </w:rPr>
      </w:pPr>
    </w:p>
    <w:p w14:paraId="3C302044" w14:textId="77777777" w:rsidR="00F45196" w:rsidRPr="00233A1C" w:rsidRDefault="00F45196" w:rsidP="00233A1C">
      <w:pPr>
        <w:tabs>
          <w:tab w:val="left" w:pos="360"/>
        </w:tabs>
        <w:jc w:val="both"/>
        <w:rPr>
          <w:b/>
        </w:rPr>
      </w:pPr>
    </w:p>
    <w:p w14:paraId="6D7A07F2" w14:textId="77777777" w:rsidR="00CA4E9F" w:rsidRPr="00233A1C" w:rsidRDefault="00CA4E9F" w:rsidP="00233A1C">
      <w:pPr>
        <w:tabs>
          <w:tab w:val="left" w:pos="0"/>
        </w:tabs>
        <w:jc w:val="both"/>
        <w:rPr>
          <w:b/>
        </w:rPr>
      </w:pPr>
    </w:p>
    <w:p w14:paraId="7D8FB94F" w14:textId="77777777" w:rsidR="00CA4E9F" w:rsidRPr="00233A1C" w:rsidRDefault="00CA4E9F" w:rsidP="00233A1C">
      <w:pPr>
        <w:tabs>
          <w:tab w:val="left" w:pos="0"/>
        </w:tabs>
        <w:jc w:val="both"/>
      </w:pPr>
      <w:r w:rsidRPr="00233A1C">
        <w:t xml:space="preserve">Tanya J. McCloskey, Acting Consumer Advocate </w:t>
      </w:r>
      <w:r w:rsidRPr="00233A1C">
        <w:tab/>
        <w:t>:</w:t>
      </w:r>
      <w:r w:rsidRPr="00233A1C">
        <w:tab/>
      </w:r>
      <w:r w:rsidRPr="00233A1C">
        <w:tab/>
      </w:r>
      <w:bookmarkStart w:id="0" w:name="_GoBack"/>
      <w:r w:rsidRPr="00233A1C">
        <w:t>C-2014-2447138</w:t>
      </w:r>
      <w:bookmarkEnd w:id="0"/>
    </w:p>
    <w:p w14:paraId="0DC50935" w14:textId="77777777" w:rsidR="00CA4E9F" w:rsidRPr="00233A1C" w:rsidRDefault="00CA4E9F" w:rsidP="00233A1C">
      <w:pPr>
        <w:tabs>
          <w:tab w:val="left" w:pos="0"/>
        </w:tabs>
        <w:ind w:left="720" w:hanging="720"/>
        <w:jc w:val="both"/>
      </w:pPr>
      <w:r w:rsidRPr="00233A1C">
        <w:tab/>
      </w:r>
      <w:r w:rsidRPr="00233A1C">
        <w:tab/>
      </w:r>
      <w:r w:rsidRPr="00233A1C">
        <w:tab/>
      </w:r>
      <w:r w:rsidRPr="00233A1C">
        <w:tab/>
      </w:r>
      <w:r w:rsidRPr="00233A1C">
        <w:tab/>
      </w:r>
      <w:r w:rsidRPr="00233A1C">
        <w:tab/>
      </w:r>
      <w:r w:rsidRPr="00233A1C">
        <w:tab/>
        <w:t>:</w:t>
      </w:r>
    </w:p>
    <w:p w14:paraId="5AFEF352" w14:textId="77777777" w:rsidR="00CA4E9F" w:rsidRPr="00233A1C" w:rsidRDefault="00CA4E9F" w:rsidP="00233A1C">
      <w:pPr>
        <w:tabs>
          <w:tab w:val="left" w:pos="0"/>
        </w:tabs>
        <w:jc w:val="both"/>
        <w:rPr>
          <w:b/>
        </w:rPr>
      </w:pPr>
      <w:r w:rsidRPr="00233A1C">
        <w:tab/>
        <w:t>v.</w:t>
      </w:r>
      <w:r w:rsidRPr="00233A1C">
        <w:tab/>
      </w:r>
      <w:r w:rsidRPr="00233A1C">
        <w:tab/>
      </w:r>
      <w:r w:rsidRPr="00233A1C">
        <w:tab/>
      </w:r>
      <w:r w:rsidRPr="00233A1C">
        <w:tab/>
      </w:r>
      <w:r w:rsidRPr="00233A1C">
        <w:tab/>
      </w:r>
      <w:r w:rsidRPr="00233A1C">
        <w:tab/>
        <w:t>:</w:t>
      </w:r>
      <w:r w:rsidRPr="00233A1C">
        <w:rPr>
          <w:b/>
        </w:rPr>
        <w:tab/>
      </w:r>
    </w:p>
    <w:p w14:paraId="01C96C0E" w14:textId="77777777" w:rsidR="00CA4E9F" w:rsidRPr="00233A1C" w:rsidRDefault="00CA4E9F" w:rsidP="00233A1C">
      <w:pPr>
        <w:tabs>
          <w:tab w:val="left" w:pos="0"/>
        </w:tabs>
        <w:jc w:val="both"/>
      </w:pPr>
      <w:r w:rsidRPr="00233A1C">
        <w:rPr>
          <w:b/>
        </w:rPr>
        <w:tab/>
      </w:r>
      <w:r w:rsidRPr="00233A1C">
        <w:rPr>
          <w:b/>
        </w:rPr>
        <w:tab/>
      </w:r>
      <w:r w:rsidRPr="00233A1C">
        <w:rPr>
          <w:b/>
        </w:rPr>
        <w:tab/>
      </w:r>
      <w:r w:rsidRPr="00233A1C">
        <w:rPr>
          <w:b/>
        </w:rPr>
        <w:tab/>
      </w:r>
      <w:r w:rsidRPr="00233A1C">
        <w:rPr>
          <w:b/>
        </w:rPr>
        <w:tab/>
      </w:r>
      <w:r w:rsidRPr="00233A1C">
        <w:rPr>
          <w:b/>
        </w:rPr>
        <w:tab/>
      </w:r>
      <w:r w:rsidRPr="00233A1C">
        <w:rPr>
          <w:b/>
        </w:rPr>
        <w:tab/>
      </w:r>
      <w:r w:rsidRPr="00233A1C">
        <w:t>:</w:t>
      </w:r>
    </w:p>
    <w:p w14:paraId="274311B4" w14:textId="77777777" w:rsidR="00CA4E9F" w:rsidRPr="00233A1C" w:rsidRDefault="00CA4E9F" w:rsidP="00233A1C">
      <w:pPr>
        <w:tabs>
          <w:tab w:val="left" w:pos="0"/>
        </w:tabs>
        <w:jc w:val="both"/>
      </w:pPr>
      <w:r w:rsidRPr="00233A1C">
        <w:t>Hidden Valley Utility Services, L.P. - Water</w:t>
      </w:r>
      <w:r w:rsidRPr="00233A1C">
        <w:tab/>
      </w:r>
      <w:r w:rsidRPr="00233A1C">
        <w:tab/>
        <w:t>:</w:t>
      </w:r>
    </w:p>
    <w:p w14:paraId="530AFE35" w14:textId="77777777" w:rsidR="00CA4E9F" w:rsidRPr="00233A1C" w:rsidRDefault="00CA4E9F" w:rsidP="00233A1C">
      <w:pPr>
        <w:tabs>
          <w:tab w:val="left" w:pos="0"/>
        </w:tabs>
        <w:jc w:val="both"/>
      </w:pPr>
      <w:r w:rsidRPr="00233A1C">
        <w:tab/>
      </w:r>
    </w:p>
    <w:p w14:paraId="67C72399" w14:textId="77777777" w:rsidR="00CA4E9F" w:rsidRPr="00233A1C" w:rsidRDefault="00CA4E9F" w:rsidP="00233A1C">
      <w:pPr>
        <w:tabs>
          <w:tab w:val="left" w:pos="0"/>
        </w:tabs>
        <w:jc w:val="both"/>
        <w:rPr>
          <w:b/>
        </w:rPr>
      </w:pPr>
    </w:p>
    <w:p w14:paraId="5DAD9772" w14:textId="77777777" w:rsidR="00CA4E9F" w:rsidRPr="00233A1C" w:rsidRDefault="00CA4E9F" w:rsidP="00233A1C">
      <w:pPr>
        <w:tabs>
          <w:tab w:val="left" w:pos="0"/>
        </w:tabs>
        <w:jc w:val="both"/>
      </w:pPr>
      <w:r w:rsidRPr="00233A1C">
        <w:t xml:space="preserve">Tanya J. McCloskey, Acting Consumer Advocate </w:t>
      </w:r>
      <w:r w:rsidRPr="00233A1C">
        <w:tab/>
        <w:t>:</w:t>
      </w:r>
      <w:r w:rsidRPr="00233A1C">
        <w:tab/>
      </w:r>
      <w:r w:rsidRPr="00233A1C">
        <w:tab/>
        <w:t>C-2014-2447169</w:t>
      </w:r>
    </w:p>
    <w:p w14:paraId="6797DBB6" w14:textId="77777777" w:rsidR="00CA4E9F" w:rsidRPr="00233A1C" w:rsidRDefault="00CA4E9F" w:rsidP="00233A1C">
      <w:pPr>
        <w:tabs>
          <w:tab w:val="left" w:pos="0"/>
        </w:tabs>
        <w:ind w:left="720" w:hanging="720"/>
        <w:jc w:val="both"/>
      </w:pPr>
      <w:r w:rsidRPr="00233A1C">
        <w:tab/>
      </w:r>
      <w:r w:rsidRPr="00233A1C">
        <w:tab/>
      </w:r>
      <w:r w:rsidRPr="00233A1C">
        <w:tab/>
      </w:r>
      <w:r w:rsidRPr="00233A1C">
        <w:tab/>
      </w:r>
      <w:r w:rsidRPr="00233A1C">
        <w:tab/>
      </w:r>
      <w:r w:rsidRPr="00233A1C">
        <w:tab/>
      </w:r>
      <w:r w:rsidRPr="00233A1C">
        <w:tab/>
        <w:t>:</w:t>
      </w:r>
    </w:p>
    <w:p w14:paraId="47D4B327" w14:textId="77777777" w:rsidR="00CA4E9F" w:rsidRPr="00233A1C" w:rsidRDefault="00CA4E9F" w:rsidP="00233A1C">
      <w:pPr>
        <w:tabs>
          <w:tab w:val="left" w:pos="0"/>
        </w:tabs>
        <w:jc w:val="both"/>
        <w:rPr>
          <w:b/>
        </w:rPr>
      </w:pPr>
      <w:r w:rsidRPr="00233A1C">
        <w:tab/>
        <w:t>v.</w:t>
      </w:r>
      <w:r w:rsidRPr="00233A1C">
        <w:tab/>
      </w:r>
      <w:r w:rsidRPr="00233A1C">
        <w:tab/>
      </w:r>
      <w:r w:rsidRPr="00233A1C">
        <w:tab/>
      </w:r>
      <w:r w:rsidRPr="00233A1C">
        <w:tab/>
      </w:r>
      <w:r w:rsidRPr="00233A1C">
        <w:tab/>
      </w:r>
      <w:r w:rsidRPr="00233A1C">
        <w:tab/>
        <w:t>:</w:t>
      </w:r>
      <w:r w:rsidRPr="00233A1C">
        <w:rPr>
          <w:b/>
        </w:rPr>
        <w:tab/>
      </w:r>
    </w:p>
    <w:p w14:paraId="45E9B76F" w14:textId="77777777" w:rsidR="00CA4E9F" w:rsidRPr="00233A1C" w:rsidRDefault="00CA4E9F" w:rsidP="00233A1C">
      <w:pPr>
        <w:tabs>
          <w:tab w:val="left" w:pos="0"/>
        </w:tabs>
        <w:jc w:val="both"/>
      </w:pPr>
      <w:r w:rsidRPr="00233A1C">
        <w:rPr>
          <w:b/>
        </w:rPr>
        <w:tab/>
      </w:r>
      <w:r w:rsidRPr="00233A1C">
        <w:rPr>
          <w:b/>
        </w:rPr>
        <w:tab/>
      </w:r>
      <w:r w:rsidRPr="00233A1C">
        <w:rPr>
          <w:b/>
        </w:rPr>
        <w:tab/>
      </w:r>
      <w:r w:rsidRPr="00233A1C">
        <w:rPr>
          <w:b/>
        </w:rPr>
        <w:tab/>
      </w:r>
      <w:r w:rsidRPr="00233A1C">
        <w:rPr>
          <w:b/>
        </w:rPr>
        <w:tab/>
      </w:r>
      <w:r w:rsidRPr="00233A1C">
        <w:rPr>
          <w:b/>
        </w:rPr>
        <w:tab/>
      </w:r>
      <w:r w:rsidRPr="00233A1C">
        <w:rPr>
          <w:b/>
        </w:rPr>
        <w:tab/>
      </w:r>
      <w:r w:rsidRPr="00233A1C">
        <w:t>:</w:t>
      </w:r>
    </w:p>
    <w:p w14:paraId="322EF61E" w14:textId="77777777" w:rsidR="00CA4E9F" w:rsidRPr="00233A1C" w:rsidRDefault="00CA4E9F" w:rsidP="00233A1C">
      <w:pPr>
        <w:tabs>
          <w:tab w:val="left" w:pos="0"/>
        </w:tabs>
        <w:jc w:val="both"/>
      </w:pPr>
      <w:r w:rsidRPr="00233A1C">
        <w:t>Hidden Valley Utility Services, L.P. - Wastewater</w:t>
      </w:r>
      <w:r w:rsidRPr="00233A1C">
        <w:tab/>
        <w:t>:</w:t>
      </w:r>
    </w:p>
    <w:p w14:paraId="4EA499BD" w14:textId="77777777" w:rsidR="00CA4E9F" w:rsidRPr="00233A1C" w:rsidRDefault="00CA4E9F" w:rsidP="00233A1C">
      <w:pPr>
        <w:tabs>
          <w:tab w:val="left" w:pos="0"/>
        </w:tabs>
        <w:jc w:val="both"/>
        <w:rPr>
          <w:b/>
        </w:rPr>
      </w:pPr>
    </w:p>
    <w:p w14:paraId="1BAAD462" w14:textId="77777777" w:rsidR="00CA4E9F" w:rsidRPr="00233A1C" w:rsidRDefault="00CA4E9F" w:rsidP="00233A1C">
      <w:pPr>
        <w:tabs>
          <w:tab w:val="left" w:pos="0"/>
        </w:tabs>
        <w:jc w:val="both"/>
        <w:rPr>
          <w:b/>
        </w:rPr>
      </w:pPr>
    </w:p>
    <w:p w14:paraId="2836C291" w14:textId="77777777" w:rsidR="00E520E2" w:rsidRPr="00233A1C" w:rsidRDefault="00E520E2" w:rsidP="00233A1C">
      <w:pPr>
        <w:jc w:val="center"/>
        <w:rPr>
          <w:b/>
          <w:u w:val="single"/>
        </w:rPr>
      </w:pPr>
    </w:p>
    <w:p w14:paraId="57D2ECB9" w14:textId="6F05ECCE" w:rsidR="00AA19E6" w:rsidRPr="00233A1C" w:rsidRDefault="00AA19E6" w:rsidP="00233A1C">
      <w:pPr>
        <w:jc w:val="center"/>
        <w:rPr>
          <w:b/>
          <w:u w:val="single"/>
        </w:rPr>
      </w:pPr>
      <w:r w:rsidRPr="00233A1C">
        <w:rPr>
          <w:b/>
          <w:u w:val="single"/>
        </w:rPr>
        <w:t>PREHEARING ORDER</w:t>
      </w:r>
    </w:p>
    <w:p w14:paraId="51D049F3" w14:textId="77777777" w:rsidR="00E520E2" w:rsidRPr="00233A1C" w:rsidRDefault="00E520E2" w:rsidP="00233A1C">
      <w:pPr>
        <w:spacing w:line="360" w:lineRule="auto"/>
        <w:jc w:val="both"/>
      </w:pPr>
    </w:p>
    <w:p w14:paraId="402453EB" w14:textId="4D03EB82" w:rsidR="00441AC4" w:rsidRPr="00233A1C" w:rsidRDefault="00E520E2" w:rsidP="00233A1C">
      <w:pPr>
        <w:spacing w:line="360" w:lineRule="auto"/>
        <w:ind w:firstLine="1440"/>
      </w:pPr>
      <w:r w:rsidRPr="00233A1C">
        <w:t xml:space="preserve">On </w:t>
      </w:r>
      <w:r w:rsidR="00A90C79" w:rsidRPr="00233A1C">
        <w:t>May 15, 2019, the Commonwealth Court of Pennsylvania</w:t>
      </w:r>
      <w:r w:rsidR="00441AC4" w:rsidRPr="00233A1C">
        <w:t xml:space="preserve"> issued its </w:t>
      </w:r>
      <w:r w:rsidR="00441AC4" w:rsidRPr="00233A1C">
        <w:rPr>
          <w:bCs/>
        </w:rPr>
        <w:t>Memorandum Opinion in which it</w:t>
      </w:r>
      <w:r w:rsidR="00A90C79" w:rsidRPr="00233A1C">
        <w:t xml:space="preserve"> quashed the Petition for Review filed by Hidden Valley Utility Services, L.P. </w:t>
      </w:r>
      <w:r w:rsidR="000466BA" w:rsidRPr="00233A1C">
        <w:t>(</w:t>
      </w:r>
      <w:r w:rsidR="00407A89" w:rsidRPr="00233A1C">
        <w:t>Hidden Valley</w:t>
      </w:r>
      <w:r w:rsidR="000466BA" w:rsidRPr="00233A1C">
        <w:t xml:space="preserve">) </w:t>
      </w:r>
      <w:r w:rsidR="00A90C79" w:rsidRPr="00233A1C">
        <w:t>in the two proceedings cited above</w:t>
      </w:r>
      <w:r w:rsidR="005F79A1" w:rsidRPr="00233A1C">
        <w:t xml:space="preserve">.  </w:t>
      </w:r>
      <w:r w:rsidR="00407A89" w:rsidRPr="00233A1C">
        <w:t>Hidden Valley</w:t>
      </w:r>
      <w:r w:rsidR="005F79A1" w:rsidRPr="00233A1C">
        <w:t xml:space="preserve"> had filed the Petition for Review in order to </w:t>
      </w:r>
      <w:r w:rsidR="00A90C79" w:rsidRPr="00233A1C">
        <w:t xml:space="preserve">appeal the </w:t>
      </w:r>
      <w:r w:rsidR="000466BA" w:rsidRPr="00233A1C">
        <w:t>Commission’s Opinion and Order</w:t>
      </w:r>
      <w:r w:rsidR="00441AC4" w:rsidRPr="00233A1C">
        <w:t>,</w:t>
      </w:r>
      <w:r w:rsidR="000466BA" w:rsidRPr="00233A1C">
        <w:t xml:space="preserve"> dated </w:t>
      </w:r>
      <w:r w:rsidR="00A90C79" w:rsidRPr="00233A1C">
        <w:t xml:space="preserve">January </w:t>
      </w:r>
      <w:r w:rsidR="000466BA" w:rsidRPr="00233A1C">
        <w:t>17, 2019</w:t>
      </w:r>
      <w:r w:rsidRPr="00233A1C">
        <w:t>.</w:t>
      </w:r>
      <w:r w:rsidR="00A90C79" w:rsidRPr="00233A1C">
        <w:t xml:space="preserve">  In its Memorandum Opinion, the appellate court noted</w:t>
      </w:r>
      <w:r w:rsidRPr="00233A1C">
        <w:t xml:space="preserve"> </w:t>
      </w:r>
      <w:r w:rsidR="000466BA" w:rsidRPr="00233A1C">
        <w:t xml:space="preserve">the January 17, 2019 Opinion and Order was interlocutory in nature and had directed an evidentiary hearing would be scheduled concerning the propriety of </w:t>
      </w:r>
      <w:r w:rsidR="00407A89" w:rsidRPr="00233A1C">
        <w:t>Hidden Valley</w:t>
      </w:r>
      <w:r w:rsidR="000466BA" w:rsidRPr="00233A1C">
        <w:t>’</w:t>
      </w:r>
      <w:r w:rsidR="00407A89" w:rsidRPr="00233A1C">
        <w:t>s</w:t>
      </w:r>
      <w:r w:rsidR="000466BA" w:rsidRPr="00233A1C">
        <w:t xml:space="preserve"> engineer’s report</w:t>
      </w:r>
      <w:r w:rsidR="005F79A1" w:rsidRPr="00233A1C">
        <w:t xml:space="preserve">, with </w:t>
      </w:r>
      <w:r w:rsidR="009C28B2">
        <w:t>his</w:t>
      </w:r>
      <w:r w:rsidR="005F79A1" w:rsidRPr="00233A1C">
        <w:t xml:space="preserve"> estimated schedule included,</w:t>
      </w:r>
      <w:r w:rsidR="000466BA" w:rsidRPr="00233A1C">
        <w:t xml:space="preserve"> dated April 18, 2019.  </w:t>
      </w:r>
    </w:p>
    <w:p w14:paraId="36FA5704" w14:textId="77777777" w:rsidR="00441AC4" w:rsidRPr="00233A1C" w:rsidRDefault="00441AC4" w:rsidP="00233A1C">
      <w:pPr>
        <w:spacing w:line="360" w:lineRule="auto"/>
        <w:ind w:firstLine="1440"/>
      </w:pPr>
    </w:p>
    <w:p w14:paraId="3EB1D9D3" w14:textId="7BFD445E" w:rsidR="00E520E2" w:rsidRPr="00233A1C" w:rsidRDefault="000466BA" w:rsidP="00233A1C">
      <w:pPr>
        <w:spacing w:line="360" w:lineRule="auto"/>
        <w:ind w:firstLine="1440"/>
      </w:pPr>
      <w:r w:rsidRPr="00233A1C">
        <w:t>The Commonwealth Court noted the Commission</w:t>
      </w:r>
      <w:r w:rsidR="00407A89" w:rsidRPr="00233A1C">
        <w:t xml:space="preserve"> previously</w:t>
      </w:r>
      <w:r w:rsidRPr="00233A1C">
        <w:t xml:space="preserve"> had envisioned conducting a hearing at which time the Commission</w:t>
      </w:r>
      <w:r w:rsidR="00441AC4" w:rsidRPr="00233A1C">
        <w:t xml:space="preserve"> would</w:t>
      </w:r>
      <w:r w:rsidRPr="00233A1C">
        <w:t xml:space="preserve"> review the engineer’s report and at which time Hidden Valley could raise an issue of whether the compliance deadlines set forth in prior Commission order</w:t>
      </w:r>
      <w:r w:rsidR="005F79A1" w:rsidRPr="00233A1C">
        <w:t>s</w:t>
      </w:r>
      <w:r w:rsidRPr="00233A1C">
        <w:t xml:space="preserve"> </w:t>
      </w:r>
      <w:r w:rsidR="00407A89" w:rsidRPr="00233A1C">
        <w:t xml:space="preserve">(including Commission Orders dated January 17, 2019 and May 3, 2018) </w:t>
      </w:r>
      <w:r w:rsidRPr="00233A1C">
        <w:t>should be extended.</w:t>
      </w:r>
      <w:r w:rsidR="00441AC4" w:rsidRPr="00233A1C">
        <w:t xml:space="preserve">  The appellate court noted the Commission </w:t>
      </w:r>
      <w:r w:rsidR="005F79A1" w:rsidRPr="00233A1C">
        <w:t>had already indicated it w</w:t>
      </w:r>
      <w:r w:rsidR="00441AC4" w:rsidRPr="00233A1C">
        <w:t>ould conduct a hearing forthwith “regarding the sufficiency of both the engineer’s report and the previously ordered one-year compliance deadline.”</w:t>
      </w:r>
    </w:p>
    <w:p w14:paraId="4C43A96B" w14:textId="1478238D" w:rsidR="00407A89" w:rsidRPr="00233A1C" w:rsidRDefault="00CA4E9F" w:rsidP="00233A1C">
      <w:pPr>
        <w:spacing w:line="360" w:lineRule="auto"/>
        <w:rPr>
          <w:bCs/>
        </w:rPr>
      </w:pPr>
      <w:r w:rsidRPr="00233A1C">
        <w:rPr>
          <w:bCs/>
        </w:rPr>
        <w:lastRenderedPageBreak/>
        <w:tab/>
      </w:r>
      <w:r w:rsidRPr="00233A1C">
        <w:rPr>
          <w:bCs/>
        </w:rPr>
        <w:tab/>
      </w:r>
      <w:r w:rsidR="00407A89" w:rsidRPr="00233A1C">
        <w:rPr>
          <w:bCs/>
        </w:rPr>
        <w:t xml:space="preserve">On November 20, 2019, </w:t>
      </w:r>
      <w:r w:rsidR="00407A89" w:rsidRPr="00233A1C">
        <w:t xml:space="preserve">the Office of Consumer Advocate (OCA) sent a letter to the Commission’s Secretary’s Bureau informing the Commission that Hidden Valley had </w:t>
      </w:r>
      <w:r w:rsidR="009C28B2">
        <w:t>f</w:t>
      </w:r>
      <w:r w:rsidR="00407A89" w:rsidRPr="00233A1C">
        <w:t>ailed to comply with deadlines specified in the Commission’s May 3, 2018 Order.  OCA requested hearings be scheduled as outlined in the Commission’s previous orders and pursuant to the Commonwealth Court’s Memorandum Opinion dated May 15, 2019.  OCA also request</w:t>
      </w:r>
      <w:r w:rsidR="00023CE3" w:rsidRPr="00233A1C">
        <w:t xml:space="preserve">ed a separate proceeding be initiated pursuant to 66 Pa.C.S.A. § 529 as required by the Commission in its May 3, 2018 Order.  </w:t>
      </w:r>
    </w:p>
    <w:p w14:paraId="2B44B536" w14:textId="77777777" w:rsidR="00407A89" w:rsidRPr="00233A1C" w:rsidRDefault="00407A89" w:rsidP="00233A1C">
      <w:pPr>
        <w:spacing w:line="360" w:lineRule="auto"/>
        <w:rPr>
          <w:bCs/>
        </w:rPr>
      </w:pPr>
    </w:p>
    <w:p w14:paraId="4CDA2514" w14:textId="181898C9" w:rsidR="00E520E2" w:rsidRPr="00233A1C" w:rsidRDefault="00CA4E9F" w:rsidP="00233A1C">
      <w:pPr>
        <w:spacing w:line="360" w:lineRule="auto"/>
        <w:ind w:firstLine="1440"/>
      </w:pPr>
      <w:r w:rsidRPr="00233A1C">
        <w:rPr>
          <w:bCs/>
        </w:rPr>
        <w:t xml:space="preserve">Pursuant to </w:t>
      </w:r>
      <w:r w:rsidR="00023CE3" w:rsidRPr="00233A1C">
        <w:rPr>
          <w:bCs/>
        </w:rPr>
        <w:t>the</w:t>
      </w:r>
      <w:r w:rsidRPr="00233A1C">
        <w:rPr>
          <w:bCs/>
        </w:rPr>
        <w:t xml:space="preserve"> </w:t>
      </w:r>
      <w:r w:rsidR="00023CE3" w:rsidRPr="00233A1C">
        <w:rPr>
          <w:bCs/>
        </w:rPr>
        <w:t xml:space="preserve">appellate court’s </w:t>
      </w:r>
      <w:r w:rsidRPr="00233A1C">
        <w:rPr>
          <w:bCs/>
        </w:rPr>
        <w:t>Memorandum Opinion, dated May 15, 2019</w:t>
      </w:r>
      <w:r w:rsidR="005F79A1" w:rsidRPr="00233A1C">
        <w:rPr>
          <w:bCs/>
        </w:rPr>
        <w:t>,</w:t>
      </w:r>
      <w:r w:rsidRPr="00233A1C">
        <w:rPr>
          <w:bCs/>
        </w:rPr>
        <w:t xml:space="preserve"> and </w:t>
      </w:r>
      <w:r w:rsidR="00407A89" w:rsidRPr="00233A1C">
        <w:rPr>
          <w:bCs/>
        </w:rPr>
        <w:t>following the Commission’s directives in its</w:t>
      </w:r>
      <w:r w:rsidRPr="00233A1C">
        <w:rPr>
          <w:bCs/>
        </w:rPr>
        <w:t xml:space="preserve"> Opinion and Order of the Commission, dated January 17, 2019, </w:t>
      </w:r>
      <w:r w:rsidR="00441AC4" w:rsidRPr="00233A1C">
        <w:rPr>
          <w:bCs/>
        </w:rPr>
        <w:t xml:space="preserve">the Office of Administrative Law Judge (OALJ) issued a Call-In Telephone Pre-Hearing Conference Notice on February 7, 2020 and scheduled </w:t>
      </w:r>
      <w:r w:rsidRPr="00233A1C">
        <w:rPr>
          <w:bCs/>
        </w:rPr>
        <w:t>a</w:t>
      </w:r>
      <w:r w:rsidRPr="00233A1C">
        <w:t xml:space="preserve"> telephonic prehearing conference in this case for </w:t>
      </w:r>
      <w:r w:rsidRPr="00233A1C">
        <w:rPr>
          <w:b/>
          <w:bCs/>
        </w:rPr>
        <w:t>Tuesday,</w:t>
      </w:r>
      <w:r w:rsidRPr="00233A1C">
        <w:t xml:space="preserve"> </w:t>
      </w:r>
      <w:r w:rsidRPr="00233A1C">
        <w:rPr>
          <w:b/>
          <w:bCs/>
        </w:rPr>
        <w:t>February 25, 2020</w:t>
      </w:r>
      <w:r w:rsidRPr="00233A1C">
        <w:t xml:space="preserve">, at 9:00 a.m. </w:t>
      </w:r>
      <w:r w:rsidR="00441AC4" w:rsidRPr="00233A1C">
        <w:t>before Administrative Law Judge (ALJ) Katrina L. Dunderdale.</w:t>
      </w:r>
      <w:r w:rsidRPr="00233A1C">
        <w:t xml:space="preserve"> </w:t>
      </w:r>
    </w:p>
    <w:p w14:paraId="62822969" w14:textId="77777777" w:rsidR="00CA4E9F" w:rsidRPr="00233A1C" w:rsidRDefault="00CA4E9F" w:rsidP="00233A1C">
      <w:pPr>
        <w:spacing w:line="360" w:lineRule="auto"/>
      </w:pPr>
    </w:p>
    <w:p w14:paraId="67CD5052" w14:textId="19C286AD" w:rsidR="0048107B" w:rsidRPr="00233A1C" w:rsidRDefault="009734DC" w:rsidP="00233A1C">
      <w:pPr>
        <w:spacing w:line="360" w:lineRule="auto"/>
        <w:ind w:firstLine="1440"/>
      </w:pPr>
      <w:r w:rsidRPr="00233A1C">
        <w:t xml:space="preserve">The </w:t>
      </w:r>
      <w:r w:rsidR="00441AC4" w:rsidRPr="00233A1C">
        <w:t>ALJ</w:t>
      </w:r>
      <w:r w:rsidRPr="00233A1C">
        <w:t xml:space="preserve"> conducted </w:t>
      </w:r>
      <w:r w:rsidR="00441AC4" w:rsidRPr="00233A1C">
        <w:t>the</w:t>
      </w:r>
      <w:r w:rsidR="00146506" w:rsidRPr="00233A1C">
        <w:t xml:space="preserve"> prehearing conference </w:t>
      </w:r>
      <w:r w:rsidRPr="00233A1C">
        <w:t xml:space="preserve">on </w:t>
      </w:r>
      <w:r w:rsidR="00441AC4" w:rsidRPr="00233A1C">
        <w:t xml:space="preserve">February 25, 2020, as scheduled, from </w:t>
      </w:r>
      <w:r w:rsidR="00E520E2" w:rsidRPr="00233A1C">
        <w:t xml:space="preserve">the Commission’s hearing room </w:t>
      </w:r>
      <w:r w:rsidR="00B5428F" w:rsidRPr="00233A1C">
        <w:t>in Pittsburgh</w:t>
      </w:r>
      <w:r w:rsidR="00243D71" w:rsidRPr="00233A1C">
        <w:t xml:space="preserve">.  </w:t>
      </w:r>
      <w:r w:rsidR="00B40D5C" w:rsidRPr="00233A1C">
        <w:t xml:space="preserve">The parties participating </w:t>
      </w:r>
      <w:r w:rsidR="009C28B2" w:rsidRPr="00233A1C">
        <w:t>were</w:t>
      </w:r>
      <w:r w:rsidR="00F32231" w:rsidRPr="00233A1C">
        <w:t xml:space="preserve"> OCA, </w:t>
      </w:r>
      <w:r w:rsidR="00407A89" w:rsidRPr="00233A1C">
        <w:t>Hidden Valley</w:t>
      </w:r>
      <w:r w:rsidR="00F32231" w:rsidRPr="00233A1C">
        <w:t>, the Bureau of Investigations and Enforcement (BIE) and one individual homeowner, Robert Kollar (Mr. Kollar).</w:t>
      </w:r>
      <w:r w:rsidR="00CA4E9F" w:rsidRPr="00233A1C">
        <w:t xml:space="preserve">  At the prehearing conference, the parties considered issues raised by the complaint</w:t>
      </w:r>
      <w:r w:rsidR="002558CA" w:rsidRPr="00233A1C">
        <w:t>s</w:t>
      </w:r>
      <w:r w:rsidR="00CA4E9F" w:rsidRPr="00233A1C">
        <w:t xml:space="preserve"> and established a litigation schedule.  </w:t>
      </w:r>
      <w:r w:rsidR="00B11623" w:rsidRPr="00233A1C">
        <w:t>This prehearing order memorializes the matters discussed, decided and agreed to by the parties during the prehearing conference</w:t>
      </w:r>
      <w:r w:rsidR="00CA4E9F" w:rsidRPr="00233A1C">
        <w:t>, in addition to establishing a litigation schedule and ruling on requests from the parties</w:t>
      </w:r>
      <w:r w:rsidR="00B11623" w:rsidRPr="00233A1C">
        <w:t>.</w:t>
      </w:r>
      <w:r w:rsidR="00F618C2" w:rsidRPr="00233A1C">
        <w:t xml:space="preserve">  </w:t>
      </w:r>
    </w:p>
    <w:p w14:paraId="3255D5A8" w14:textId="21F2500C" w:rsidR="002558CA" w:rsidRPr="00233A1C" w:rsidRDefault="002558CA" w:rsidP="00233A1C">
      <w:pPr>
        <w:spacing w:line="360" w:lineRule="auto"/>
        <w:ind w:firstLine="1440"/>
      </w:pPr>
    </w:p>
    <w:p w14:paraId="67F590CF" w14:textId="6F291F9D" w:rsidR="002558CA" w:rsidRPr="00233A1C" w:rsidRDefault="002558CA" w:rsidP="00233A1C">
      <w:pPr>
        <w:spacing w:line="360" w:lineRule="auto"/>
        <w:ind w:firstLine="1440"/>
      </w:pPr>
      <w:r w:rsidRPr="00233A1C">
        <w:t xml:space="preserve">One request discussed between the parties and the </w:t>
      </w:r>
      <w:r w:rsidR="000E0E81" w:rsidRPr="00233A1C">
        <w:t xml:space="preserve">Administrative Law Judge </w:t>
      </w:r>
      <w:r w:rsidRPr="00233A1C">
        <w:t xml:space="preserve"> concerned a request from OCA in its letter dated November 20, 2019, in which OCA requested, </w:t>
      </w:r>
      <w:r w:rsidRPr="00233A1C">
        <w:rPr>
          <w:i/>
          <w:iCs/>
        </w:rPr>
        <w:t>inter alia</w:t>
      </w:r>
      <w:r w:rsidRPr="00233A1C">
        <w:t xml:space="preserve">, the Commission initiate a Section 529 proceeding (pursuant to 66 Pa.C.S.A. § 529, </w:t>
      </w:r>
      <w:r w:rsidRPr="00233A1C">
        <w:rPr>
          <w:i/>
          <w:iCs/>
        </w:rPr>
        <w:t>et seq</w:t>
      </w:r>
      <w:r w:rsidRPr="00233A1C">
        <w:t xml:space="preserve">.) against Hidden Valley as a separate proceeding.  BIE contended it could file a complaint to initiate the proceeding but that the Secretary’s Bureau could docket a separate proceeding without a complaint due to Ordering Paragraph No. 26 in the Commission’s May 3, 2018 Order.  Paragraph No. 26 provided that if Hidden Valley failed to comply with any time deadlines </w:t>
      </w:r>
      <w:r w:rsidRPr="00233A1C">
        <w:lastRenderedPageBreak/>
        <w:t>outlined in the May 3, 2018 Order, then OCA was to notify the Secretary’s Bureau and BIE within 30 days of the missed deadlines.  After discussion, BIE agreed to contact the Secretary’s Bureau to request the Secretary’s Bureau initiate a separate proceeding pursuant to 66 Pa.C.S.A. § 529.</w:t>
      </w:r>
    </w:p>
    <w:p w14:paraId="4A8F54BF" w14:textId="77777777" w:rsidR="003D1269" w:rsidRPr="00233A1C" w:rsidRDefault="003D1269" w:rsidP="00233A1C">
      <w:pPr>
        <w:spacing w:line="360" w:lineRule="auto"/>
      </w:pPr>
    </w:p>
    <w:p w14:paraId="77B2FFFF" w14:textId="77777777" w:rsidR="00B31865" w:rsidRPr="00233A1C" w:rsidRDefault="00B31865" w:rsidP="00E60449">
      <w:pPr>
        <w:spacing w:line="360" w:lineRule="auto"/>
        <w:ind w:firstLine="1440"/>
      </w:pPr>
      <w:r w:rsidRPr="00233A1C">
        <w:t>THEREFORE,</w:t>
      </w:r>
    </w:p>
    <w:p w14:paraId="2913C6F5" w14:textId="77777777" w:rsidR="00B31865" w:rsidRPr="00233A1C" w:rsidRDefault="00B31865" w:rsidP="00233A1C">
      <w:pPr>
        <w:spacing w:line="360" w:lineRule="auto"/>
      </w:pPr>
    </w:p>
    <w:p w14:paraId="76C47F70" w14:textId="77777777" w:rsidR="00B31865" w:rsidRPr="00233A1C" w:rsidRDefault="00B31865" w:rsidP="00233A1C">
      <w:pPr>
        <w:spacing w:line="360" w:lineRule="auto"/>
      </w:pPr>
      <w:r w:rsidRPr="00233A1C">
        <w:tab/>
      </w:r>
      <w:r w:rsidRPr="00233A1C">
        <w:tab/>
        <w:t>IT IS ORDERED:</w:t>
      </w:r>
    </w:p>
    <w:p w14:paraId="6B59F51B" w14:textId="77777777" w:rsidR="00B31865" w:rsidRPr="00233A1C" w:rsidRDefault="00B31865" w:rsidP="00233A1C">
      <w:pPr>
        <w:spacing w:line="360" w:lineRule="auto"/>
      </w:pPr>
    </w:p>
    <w:p w14:paraId="49C83547" w14:textId="7CD89210" w:rsidR="009127EA" w:rsidRPr="00233A1C" w:rsidRDefault="00BE3712" w:rsidP="00233A1C">
      <w:pPr>
        <w:spacing w:line="360" w:lineRule="auto"/>
      </w:pPr>
      <w:r w:rsidRPr="00233A1C">
        <w:tab/>
      </w:r>
      <w:r w:rsidRPr="00233A1C">
        <w:tab/>
      </w:r>
      <w:r w:rsidR="00B31865" w:rsidRPr="00233A1C">
        <w:t>1.</w:t>
      </w:r>
      <w:r w:rsidR="00B31865" w:rsidRPr="00233A1C">
        <w:tab/>
        <w:t>That</w:t>
      </w:r>
      <w:r w:rsidR="009127EA" w:rsidRPr="00233A1C">
        <w:t xml:space="preserve">, </w:t>
      </w:r>
      <w:r w:rsidR="009354ED" w:rsidRPr="00233A1C">
        <w:t>pursuant to the request from the Office of Consumer Advocate on November 20, 2019,</w:t>
      </w:r>
      <w:r w:rsidR="00427D6C" w:rsidRPr="00233A1C">
        <w:t xml:space="preserve"> the Bureau of Investigation and Enforcement shall notify the Commission’s Secretary’s Bureau to initiate a separate proceeding against Hidden Valley Utility Services, L.P. (both the water and wastewater divisions)</w:t>
      </w:r>
      <w:r w:rsidR="005A419C" w:rsidRPr="00233A1C">
        <w:t xml:space="preserve">, pursuant to the provisions in 66 Pa.C.S.A. § 529, </w:t>
      </w:r>
      <w:r w:rsidR="005A419C" w:rsidRPr="00233A1C">
        <w:rPr>
          <w:i/>
          <w:iCs/>
        </w:rPr>
        <w:t>et seq</w:t>
      </w:r>
      <w:r w:rsidR="009354ED" w:rsidRPr="00233A1C">
        <w:t>.</w:t>
      </w:r>
      <w:r w:rsidR="00427D6C" w:rsidRPr="00233A1C">
        <w:t>, and as outlined under Ordering Paragraph No. 26 of the Commission’s Order dated May 3, 2018.</w:t>
      </w:r>
    </w:p>
    <w:p w14:paraId="4674B2B8" w14:textId="77777777" w:rsidR="00427D6C" w:rsidRPr="00233A1C" w:rsidRDefault="00427D6C" w:rsidP="00233A1C">
      <w:pPr>
        <w:spacing w:line="360" w:lineRule="auto"/>
        <w:ind w:firstLine="1440"/>
      </w:pPr>
    </w:p>
    <w:p w14:paraId="05F91484" w14:textId="6E50C6F3" w:rsidR="00427D6C" w:rsidRPr="00233A1C" w:rsidRDefault="00427D6C" w:rsidP="00233A1C">
      <w:pPr>
        <w:spacing w:line="360" w:lineRule="auto"/>
        <w:ind w:firstLine="1440"/>
      </w:pPr>
      <w:r w:rsidRPr="00233A1C">
        <w:t>2.</w:t>
      </w:r>
      <w:r w:rsidRPr="00233A1C">
        <w:tab/>
        <w:t>That the litigation schedule for this case shall be as follows:</w:t>
      </w:r>
    </w:p>
    <w:p w14:paraId="3F94ACFF" w14:textId="77777777" w:rsidR="00427D6C" w:rsidRPr="00233A1C" w:rsidRDefault="00427D6C" w:rsidP="00233A1C">
      <w:pPr>
        <w:spacing w:line="360" w:lineRule="auto"/>
        <w:ind w:firstLine="1440"/>
      </w:pPr>
    </w:p>
    <w:p w14:paraId="45BD9072" w14:textId="77777777" w:rsidR="00427D6C" w:rsidRPr="00233A1C" w:rsidRDefault="00427D6C" w:rsidP="00E43123">
      <w:r w:rsidRPr="00233A1C">
        <w:tab/>
      </w:r>
      <w:r w:rsidRPr="00233A1C">
        <w:tab/>
      </w:r>
      <w:r w:rsidRPr="00233A1C">
        <w:tab/>
        <w:t>Direct testimony from Hidden Valley</w:t>
      </w:r>
      <w:r w:rsidRPr="00233A1C">
        <w:tab/>
      </w:r>
      <w:r w:rsidRPr="00233A1C">
        <w:tab/>
        <w:t>April 3, 2020</w:t>
      </w:r>
      <w:r w:rsidRPr="00233A1C">
        <w:tab/>
      </w:r>
      <w:r w:rsidRPr="00233A1C">
        <w:tab/>
      </w:r>
      <w:r w:rsidRPr="00233A1C">
        <w:tab/>
      </w:r>
    </w:p>
    <w:p w14:paraId="145B4F24" w14:textId="77777777" w:rsidR="00427D6C" w:rsidRPr="00233A1C" w:rsidRDefault="00427D6C" w:rsidP="00E43123">
      <w:r w:rsidRPr="00233A1C">
        <w:tab/>
      </w:r>
      <w:r w:rsidRPr="00233A1C">
        <w:tab/>
      </w:r>
      <w:r w:rsidRPr="00233A1C">
        <w:tab/>
        <w:t>Direct testimony of Respondents</w:t>
      </w:r>
      <w:r w:rsidRPr="00233A1C">
        <w:tab/>
      </w:r>
      <w:r w:rsidRPr="00233A1C">
        <w:tab/>
        <w:t>April 24, 2020</w:t>
      </w:r>
    </w:p>
    <w:p w14:paraId="0DF7D6DF" w14:textId="77777777" w:rsidR="00427D6C" w:rsidRPr="00233A1C" w:rsidRDefault="00427D6C" w:rsidP="00E43123">
      <w:r w:rsidRPr="00233A1C">
        <w:tab/>
      </w:r>
      <w:r w:rsidRPr="00233A1C">
        <w:tab/>
      </w:r>
      <w:r w:rsidRPr="00233A1C">
        <w:tab/>
        <w:t>Rebuttal testimony</w:t>
      </w:r>
      <w:r w:rsidRPr="00233A1C">
        <w:tab/>
      </w:r>
      <w:r w:rsidRPr="00233A1C">
        <w:tab/>
      </w:r>
      <w:r w:rsidRPr="00233A1C">
        <w:tab/>
      </w:r>
      <w:r w:rsidRPr="00233A1C">
        <w:tab/>
        <w:t>May 8, 2020</w:t>
      </w:r>
    </w:p>
    <w:p w14:paraId="77FAE4BA" w14:textId="77777777" w:rsidR="00427D6C" w:rsidRPr="00233A1C" w:rsidRDefault="00427D6C" w:rsidP="00E43123">
      <w:r w:rsidRPr="00233A1C">
        <w:tab/>
      </w:r>
      <w:r w:rsidRPr="00233A1C">
        <w:tab/>
      </w:r>
      <w:r w:rsidRPr="00233A1C">
        <w:tab/>
        <w:t>Surrebuttal testimony</w:t>
      </w:r>
      <w:r w:rsidRPr="00233A1C">
        <w:tab/>
      </w:r>
      <w:r w:rsidRPr="00233A1C">
        <w:tab/>
      </w:r>
      <w:r w:rsidRPr="00233A1C">
        <w:tab/>
      </w:r>
      <w:r w:rsidRPr="00233A1C">
        <w:tab/>
        <w:t>May 15, 2020</w:t>
      </w:r>
    </w:p>
    <w:p w14:paraId="6F25AADB" w14:textId="77777777" w:rsidR="00427D6C" w:rsidRPr="00233A1C" w:rsidRDefault="00427D6C" w:rsidP="00E43123">
      <w:r w:rsidRPr="00233A1C">
        <w:tab/>
      </w:r>
      <w:r w:rsidRPr="00233A1C">
        <w:tab/>
      </w:r>
      <w:r w:rsidRPr="00233A1C">
        <w:tab/>
        <w:t>Hearings – Pittsburgh</w:t>
      </w:r>
      <w:r w:rsidRPr="00233A1C">
        <w:tab/>
      </w:r>
      <w:r w:rsidRPr="00233A1C">
        <w:tab/>
      </w:r>
      <w:r w:rsidRPr="00233A1C">
        <w:tab/>
      </w:r>
      <w:r w:rsidRPr="00233A1C">
        <w:tab/>
        <w:t>May 19 &amp; 20, 2020</w:t>
      </w:r>
    </w:p>
    <w:p w14:paraId="131873FF" w14:textId="77777777" w:rsidR="00427D6C" w:rsidRPr="00233A1C" w:rsidRDefault="00427D6C" w:rsidP="00E43123">
      <w:r w:rsidRPr="00233A1C">
        <w:tab/>
      </w:r>
      <w:r w:rsidRPr="00233A1C">
        <w:tab/>
      </w:r>
      <w:r w:rsidRPr="00233A1C">
        <w:tab/>
        <w:t>Main briefs due</w:t>
      </w:r>
      <w:r w:rsidRPr="00233A1C">
        <w:tab/>
      </w:r>
      <w:r w:rsidRPr="00233A1C">
        <w:tab/>
      </w:r>
      <w:r w:rsidRPr="00233A1C">
        <w:tab/>
      </w:r>
      <w:r w:rsidRPr="00233A1C">
        <w:tab/>
        <w:t>June 19, 2020</w:t>
      </w:r>
    </w:p>
    <w:p w14:paraId="2C26A86C" w14:textId="77777777" w:rsidR="00427D6C" w:rsidRPr="00233A1C" w:rsidRDefault="00427D6C" w:rsidP="00E43123">
      <w:r w:rsidRPr="00233A1C">
        <w:tab/>
      </w:r>
      <w:r w:rsidRPr="00233A1C">
        <w:tab/>
      </w:r>
      <w:r w:rsidRPr="00233A1C">
        <w:tab/>
        <w:t>Reply briefs due</w:t>
      </w:r>
      <w:r w:rsidRPr="00233A1C">
        <w:tab/>
      </w:r>
      <w:r w:rsidRPr="00233A1C">
        <w:tab/>
      </w:r>
      <w:r w:rsidRPr="00233A1C">
        <w:tab/>
      </w:r>
      <w:r w:rsidRPr="00233A1C">
        <w:tab/>
        <w:t>July 2, 2020</w:t>
      </w:r>
    </w:p>
    <w:p w14:paraId="20B0BBC9" w14:textId="77777777" w:rsidR="002A6709" w:rsidRPr="00233A1C" w:rsidRDefault="002A6709" w:rsidP="00233A1C">
      <w:pPr>
        <w:spacing w:line="360" w:lineRule="auto"/>
      </w:pPr>
    </w:p>
    <w:p w14:paraId="31F0239E" w14:textId="47016B20" w:rsidR="002A6709" w:rsidRPr="00233A1C" w:rsidRDefault="002A6709" w:rsidP="00233A1C">
      <w:pPr>
        <w:spacing w:line="360" w:lineRule="auto"/>
        <w:contextualSpacing/>
      </w:pPr>
      <w:r w:rsidRPr="00233A1C">
        <w:tab/>
      </w:r>
      <w:r w:rsidRPr="00233A1C">
        <w:tab/>
      </w:r>
      <w:r w:rsidR="00427D6C" w:rsidRPr="00233A1C">
        <w:t>3</w:t>
      </w:r>
      <w:r w:rsidRPr="00233A1C">
        <w:t>.</w:t>
      </w:r>
      <w:r w:rsidRPr="00233A1C">
        <w:tab/>
        <w:t xml:space="preserve">That </w:t>
      </w:r>
      <w:r w:rsidR="00FB2276" w:rsidRPr="00233A1C">
        <w:t>any</w:t>
      </w:r>
      <w:r w:rsidRPr="00233A1C">
        <w:t xml:space="preserve"> document containing the direct testimony shall be served on the </w:t>
      </w:r>
      <w:r w:rsidR="000E0E81" w:rsidRPr="00233A1C">
        <w:t>Administrative Law Judge</w:t>
      </w:r>
      <w:r w:rsidRPr="00233A1C">
        <w:t xml:space="preserve">, and the other parties to the proceeding.  </w:t>
      </w:r>
    </w:p>
    <w:p w14:paraId="64933BFD" w14:textId="77777777" w:rsidR="002A6709" w:rsidRPr="00233A1C" w:rsidRDefault="002A6709" w:rsidP="00233A1C">
      <w:pPr>
        <w:spacing w:line="360" w:lineRule="auto"/>
      </w:pPr>
    </w:p>
    <w:p w14:paraId="7F713FB5" w14:textId="31BCA869" w:rsidR="002A6709" w:rsidRPr="00233A1C" w:rsidRDefault="002A6709" w:rsidP="00233A1C">
      <w:pPr>
        <w:spacing w:line="360" w:lineRule="auto"/>
      </w:pPr>
      <w:r w:rsidRPr="00233A1C">
        <w:tab/>
      </w:r>
      <w:r w:rsidRPr="00233A1C">
        <w:tab/>
      </w:r>
      <w:r w:rsidR="00427D6C" w:rsidRPr="00233A1C">
        <w:t>4</w:t>
      </w:r>
      <w:r w:rsidRPr="00233A1C">
        <w:t>.</w:t>
      </w:r>
      <w:r w:rsidRPr="00233A1C">
        <w:tab/>
        <w:t xml:space="preserve">That </w:t>
      </w:r>
      <w:r w:rsidR="00427D6C" w:rsidRPr="00233A1C">
        <w:t>w</w:t>
      </w:r>
      <w:r w:rsidRPr="00233A1C">
        <w:t xml:space="preserve">ritten </w:t>
      </w:r>
      <w:r w:rsidR="00427D6C" w:rsidRPr="00233A1C">
        <w:t>d</w:t>
      </w:r>
      <w:r w:rsidRPr="00233A1C">
        <w:t>irect</w:t>
      </w:r>
      <w:r w:rsidR="00427D6C" w:rsidRPr="00233A1C">
        <w:t xml:space="preserve"> t</w:t>
      </w:r>
      <w:r w:rsidRPr="00233A1C">
        <w:t xml:space="preserve">estimony shall be served </w:t>
      </w:r>
      <w:r w:rsidRPr="00233A1C">
        <w:rPr>
          <w:b/>
          <w:u w:val="single"/>
        </w:rPr>
        <w:t>but not filed</w:t>
      </w:r>
      <w:r w:rsidRPr="00233A1C">
        <w:t xml:space="preserve"> with the Secretary’s Bureau.  All </w:t>
      </w:r>
      <w:r w:rsidR="00427D6C" w:rsidRPr="00233A1C">
        <w:t>w</w:t>
      </w:r>
      <w:r w:rsidRPr="00233A1C">
        <w:t xml:space="preserve">ritten </w:t>
      </w:r>
      <w:r w:rsidR="00427D6C" w:rsidRPr="00233A1C">
        <w:t>d</w:t>
      </w:r>
      <w:r w:rsidRPr="00233A1C">
        <w:t xml:space="preserve">irect </w:t>
      </w:r>
      <w:r w:rsidR="00427D6C" w:rsidRPr="00233A1C">
        <w:t>t</w:t>
      </w:r>
      <w:r w:rsidRPr="00233A1C">
        <w:t>estimony will be admitted into the hearing record only upon motion for submission at the evidentiary hearing.</w:t>
      </w:r>
    </w:p>
    <w:p w14:paraId="343E6F50" w14:textId="77777777" w:rsidR="00427D6C" w:rsidRPr="00233A1C" w:rsidRDefault="00427D6C" w:rsidP="00233A1C">
      <w:pPr>
        <w:spacing w:line="360" w:lineRule="auto"/>
      </w:pPr>
    </w:p>
    <w:p w14:paraId="5A411FB6" w14:textId="5DB596EB" w:rsidR="00427D6C" w:rsidRPr="00233A1C" w:rsidRDefault="00427D6C" w:rsidP="00233A1C">
      <w:pPr>
        <w:spacing w:line="360" w:lineRule="auto"/>
      </w:pPr>
      <w:r w:rsidRPr="00233A1C">
        <w:lastRenderedPageBreak/>
        <w:tab/>
      </w:r>
      <w:r w:rsidRPr="00233A1C">
        <w:tab/>
        <w:t>5.</w:t>
      </w:r>
      <w:r w:rsidRPr="00233A1C">
        <w:tab/>
        <w:t>That the dates for the service of testimony and the service and filing of briefs in Ordering Paragraph 2, above, shall mean the “in-hand” receipt date of the testimony or briefs.</w:t>
      </w:r>
    </w:p>
    <w:p w14:paraId="0F6A662E" w14:textId="77777777" w:rsidR="00427D6C" w:rsidRPr="00233A1C" w:rsidRDefault="00427D6C" w:rsidP="00233A1C">
      <w:pPr>
        <w:spacing w:line="360" w:lineRule="auto"/>
      </w:pPr>
    </w:p>
    <w:p w14:paraId="7FDEBD1C" w14:textId="2E4A5ACC" w:rsidR="00427D6C" w:rsidRPr="00233A1C" w:rsidRDefault="00427D6C" w:rsidP="00233A1C">
      <w:pPr>
        <w:spacing w:line="360" w:lineRule="auto"/>
      </w:pPr>
      <w:r w:rsidRPr="00233A1C">
        <w:tab/>
      </w:r>
      <w:r w:rsidRPr="00233A1C">
        <w:tab/>
        <w:t>6.</w:t>
      </w:r>
      <w:r w:rsidRPr="00233A1C">
        <w:tab/>
        <w:t>That service of documents in this proceeding shall be done electronically.  Generally, the “date of service” shall be the date of electronic transmission, subject to the following:</w:t>
      </w:r>
    </w:p>
    <w:p w14:paraId="1F09E98A" w14:textId="77777777" w:rsidR="00427D6C" w:rsidRPr="00233A1C" w:rsidRDefault="00427D6C" w:rsidP="00233A1C">
      <w:pPr>
        <w:spacing w:line="360" w:lineRule="auto"/>
      </w:pPr>
    </w:p>
    <w:p w14:paraId="5A510B1A" w14:textId="77777777" w:rsidR="00427D6C" w:rsidRPr="00233A1C" w:rsidRDefault="00427D6C" w:rsidP="00E60449">
      <w:pPr>
        <w:ind w:left="2880" w:right="720" w:hanging="720"/>
      </w:pPr>
      <w:r w:rsidRPr="00233A1C">
        <w:t>A.</w:t>
      </w:r>
      <w:r w:rsidRPr="00233A1C">
        <w:tab/>
        <w:t>For documents transmitted after 4:30 p.m., Monday through Thursday, the date of service shall be the next regular business day.</w:t>
      </w:r>
    </w:p>
    <w:p w14:paraId="7223D895" w14:textId="77777777" w:rsidR="00427D6C" w:rsidRPr="00233A1C" w:rsidRDefault="00427D6C" w:rsidP="00E60449">
      <w:pPr>
        <w:ind w:left="2880" w:right="720" w:hanging="720"/>
      </w:pPr>
    </w:p>
    <w:p w14:paraId="6438BACC" w14:textId="77777777" w:rsidR="00427D6C" w:rsidRPr="00233A1C" w:rsidRDefault="00427D6C" w:rsidP="00E60449">
      <w:pPr>
        <w:ind w:left="2880" w:hanging="720"/>
      </w:pPr>
      <w:r w:rsidRPr="00233A1C">
        <w:t>B.</w:t>
      </w:r>
      <w:r w:rsidRPr="00233A1C">
        <w:tab/>
        <w:t>For documents served after noon on any Friday, or any day preceding a legal holiday in the Commonwealth of Pennsylvania, or any other day on which the Commission’s Offices are closed, the date of service shall be the next regular business day.  The parties shall forward “hard copies” of all documents served electronically by posting the same in the next day’s mail.</w:t>
      </w:r>
    </w:p>
    <w:p w14:paraId="6F6308E3" w14:textId="77777777" w:rsidR="00427D6C" w:rsidRPr="00233A1C" w:rsidRDefault="00427D6C" w:rsidP="00233A1C">
      <w:pPr>
        <w:spacing w:line="360" w:lineRule="auto"/>
        <w:ind w:left="2880" w:hanging="1440"/>
      </w:pPr>
    </w:p>
    <w:p w14:paraId="4558D211" w14:textId="3F3CD86E" w:rsidR="00427D6C" w:rsidRPr="00233A1C" w:rsidRDefault="00427D6C" w:rsidP="00233A1C">
      <w:pPr>
        <w:spacing w:line="360" w:lineRule="auto"/>
      </w:pPr>
      <w:r w:rsidRPr="00233A1C">
        <w:tab/>
      </w:r>
      <w:r w:rsidRPr="00233A1C">
        <w:tab/>
        <w:t>7.</w:t>
      </w:r>
      <w:r w:rsidRPr="00233A1C">
        <w:tab/>
        <w:t>That the parties may serve the electronic copies of documents in “PDF” format.  However, with respect to documents electronically served on the Administrative Law Judge in this case, the parties are to serve such documents in Word format.  Any party unable to electronically serve a document on the Administrative Law Judge electronically in Word format, shall serve that document in Word format on a CD.</w:t>
      </w:r>
    </w:p>
    <w:p w14:paraId="36A60B0D" w14:textId="77777777" w:rsidR="009127EA" w:rsidRPr="00233A1C" w:rsidRDefault="009127EA" w:rsidP="00233A1C">
      <w:pPr>
        <w:spacing w:line="360" w:lineRule="auto"/>
      </w:pPr>
    </w:p>
    <w:p w14:paraId="1B02B4C9" w14:textId="0802B66B" w:rsidR="00A64DF4" w:rsidRPr="00233A1C" w:rsidRDefault="00427D6C" w:rsidP="00233A1C">
      <w:pPr>
        <w:spacing w:line="360" w:lineRule="auto"/>
        <w:ind w:firstLine="1440"/>
      </w:pPr>
      <w:r w:rsidRPr="00233A1C">
        <w:t>8</w:t>
      </w:r>
      <w:r w:rsidR="00B31865" w:rsidRPr="00233A1C">
        <w:t>.</w:t>
      </w:r>
      <w:r w:rsidR="00B31865" w:rsidRPr="00233A1C">
        <w:tab/>
      </w:r>
      <w:r w:rsidR="00A64DF4" w:rsidRPr="00233A1C">
        <w:t xml:space="preserve">That the proposed discovery procedures </w:t>
      </w:r>
      <w:r w:rsidR="00E520E2" w:rsidRPr="00233A1C">
        <w:t>for</w:t>
      </w:r>
      <w:r w:rsidR="00A64DF4" w:rsidRPr="00233A1C">
        <w:t xml:space="preserve"> the purposes of this case</w:t>
      </w:r>
      <w:r w:rsidR="00E520E2" w:rsidRPr="00233A1C">
        <w:t xml:space="preserve"> are</w:t>
      </w:r>
      <w:r w:rsidR="008B282B" w:rsidRPr="00233A1C">
        <w:t xml:space="preserve"> modified to reflect the following</w:t>
      </w:r>
      <w:r w:rsidR="00A64DF4" w:rsidRPr="00233A1C">
        <w:t>:</w:t>
      </w:r>
    </w:p>
    <w:p w14:paraId="4297C2D2" w14:textId="5319BD5E" w:rsidR="008B282B" w:rsidRPr="00233A1C" w:rsidRDefault="008B282B" w:rsidP="00233A1C">
      <w:pPr>
        <w:spacing w:line="360" w:lineRule="auto"/>
        <w:ind w:firstLine="1440"/>
      </w:pPr>
    </w:p>
    <w:p w14:paraId="1D829924" w14:textId="78DE37D0" w:rsidR="008B282B" w:rsidRPr="00233A1C" w:rsidRDefault="008B282B" w:rsidP="00E60449">
      <w:pPr>
        <w:ind w:left="2160"/>
      </w:pPr>
      <w:r w:rsidRPr="00233A1C">
        <w:t xml:space="preserve">A. </w:t>
      </w:r>
      <w:r w:rsidRPr="00233A1C">
        <w:tab/>
        <w:t>Answers to written interrogatories shall be served in-hand within ten (10) calendar days of service.</w:t>
      </w:r>
    </w:p>
    <w:p w14:paraId="00100F3E" w14:textId="77777777" w:rsidR="00407A89" w:rsidRPr="00233A1C" w:rsidRDefault="00407A89" w:rsidP="00E60449">
      <w:pPr>
        <w:ind w:left="2160"/>
      </w:pPr>
    </w:p>
    <w:p w14:paraId="5F79A16B" w14:textId="03256790" w:rsidR="008B282B" w:rsidRPr="00233A1C" w:rsidRDefault="008B282B" w:rsidP="00E60449">
      <w:pPr>
        <w:ind w:left="2160"/>
      </w:pPr>
      <w:r w:rsidRPr="00233A1C">
        <w:t xml:space="preserve">B. </w:t>
      </w:r>
      <w:r w:rsidRPr="00233A1C">
        <w:tab/>
        <w:t xml:space="preserve">Objections to interrogatories shall be communicated orally within three (3) calendar days of service of interrogatories.  Unresolved objections shall be served to the </w:t>
      </w:r>
      <w:r w:rsidR="000E0E81" w:rsidRPr="00233A1C">
        <w:t>Administrative Law Judge</w:t>
      </w:r>
      <w:r w:rsidRPr="00233A1C">
        <w:t xml:space="preserve"> in writing within five (5) calendar days of service of interrogatories.</w:t>
      </w:r>
    </w:p>
    <w:p w14:paraId="4D02AEF8" w14:textId="77777777" w:rsidR="00407A89" w:rsidRPr="00233A1C" w:rsidRDefault="00407A89" w:rsidP="00E60449">
      <w:pPr>
        <w:ind w:left="2160"/>
      </w:pPr>
    </w:p>
    <w:p w14:paraId="65A1878A" w14:textId="7AFF354D" w:rsidR="008B282B" w:rsidRPr="00233A1C" w:rsidRDefault="008B282B" w:rsidP="00E60449">
      <w:pPr>
        <w:ind w:left="2160"/>
      </w:pPr>
      <w:r w:rsidRPr="00233A1C">
        <w:lastRenderedPageBreak/>
        <w:t xml:space="preserve">C. </w:t>
      </w:r>
      <w:r w:rsidRPr="00233A1C">
        <w:tab/>
        <w:t>Motions to dismiss objections and/or direct the answering of interrogatories shall be filed within three (3) calendar days of service of such objections.</w:t>
      </w:r>
    </w:p>
    <w:p w14:paraId="2BACD777" w14:textId="77777777" w:rsidR="00407A89" w:rsidRPr="00233A1C" w:rsidRDefault="00407A89" w:rsidP="00E60449">
      <w:pPr>
        <w:ind w:left="2160"/>
      </w:pPr>
    </w:p>
    <w:p w14:paraId="2797C716" w14:textId="20D2B9E3" w:rsidR="008B282B" w:rsidRPr="00233A1C" w:rsidRDefault="008B282B" w:rsidP="00E60449">
      <w:pPr>
        <w:ind w:left="2160"/>
      </w:pPr>
      <w:r w:rsidRPr="00233A1C">
        <w:t xml:space="preserve">D. </w:t>
      </w:r>
      <w:r w:rsidRPr="00233A1C">
        <w:tab/>
        <w:t>Answers to motions to dismiss objections and/or answering of interrogatories shall be filed within three (3) calendar days of service of such motions.</w:t>
      </w:r>
    </w:p>
    <w:p w14:paraId="4F320225" w14:textId="77777777" w:rsidR="00407A89" w:rsidRPr="00233A1C" w:rsidRDefault="00407A89" w:rsidP="00E60449">
      <w:pPr>
        <w:ind w:left="2160"/>
      </w:pPr>
    </w:p>
    <w:p w14:paraId="3E6FABB2" w14:textId="4C89269F" w:rsidR="008B282B" w:rsidRPr="00233A1C" w:rsidRDefault="008B282B" w:rsidP="00E60449">
      <w:pPr>
        <w:ind w:left="2160"/>
      </w:pPr>
      <w:r w:rsidRPr="00233A1C">
        <w:t>E.</w:t>
      </w:r>
      <w:r w:rsidRPr="00233A1C">
        <w:tab/>
        <w:t xml:space="preserve">Ruling over such motions shall be issued, if possible, within seven (7) calendar days of the filing of the motion. </w:t>
      </w:r>
    </w:p>
    <w:p w14:paraId="449B9227" w14:textId="77777777" w:rsidR="00407A89" w:rsidRPr="00233A1C" w:rsidRDefault="00407A89" w:rsidP="00E60449">
      <w:pPr>
        <w:ind w:left="2160"/>
      </w:pPr>
    </w:p>
    <w:p w14:paraId="1EB4D972" w14:textId="1F42CDB1" w:rsidR="008B282B" w:rsidRPr="00233A1C" w:rsidRDefault="008B282B" w:rsidP="00E60449">
      <w:pPr>
        <w:ind w:left="2160"/>
      </w:pPr>
      <w:r w:rsidRPr="00233A1C">
        <w:t>F.</w:t>
      </w:r>
      <w:r w:rsidRPr="00233A1C">
        <w:tab/>
        <w:t>Responses to requests for document production, entry for inspection, or other purposes must be served in-hand within ten (10) calendar days.</w:t>
      </w:r>
    </w:p>
    <w:p w14:paraId="60D9CBE0" w14:textId="77777777" w:rsidR="00407A89" w:rsidRPr="00233A1C" w:rsidRDefault="00407A89" w:rsidP="00E60449">
      <w:pPr>
        <w:ind w:left="2160"/>
      </w:pPr>
    </w:p>
    <w:p w14:paraId="1C3B5EDB" w14:textId="1E6F42A5" w:rsidR="008B282B" w:rsidRPr="00233A1C" w:rsidRDefault="008B282B" w:rsidP="00E60449">
      <w:pPr>
        <w:ind w:left="2160"/>
      </w:pPr>
      <w:r w:rsidRPr="00233A1C">
        <w:t xml:space="preserve">G. </w:t>
      </w:r>
      <w:r w:rsidRPr="00233A1C">
        <w:tab/>
        <w:t>Requests for admission will be deemed admitted unless answered within ten (10) calendar days.</w:t>
      </w:r>
    </w:p>
    <w:p w14:paraId="2D5C677E" w14:textId="77777777" w:rsidR="00407A89" w:rsidRPr="00233A1C" w:rsidRDefault="00407A89" w:rsidP="00E60449">
      <w:pPr>
        <w:ind w:left="2160"/>
      </w:pPr>
    </w:p>
    <w:p w14:paraId="2CD190A5" w14:textId="4CFB256A" w:rsidR="008B282B" w:rsidRPr="00233A1C" w:rsidRDefault="008B282B" w:rsidP="00E60449">
      <w:pPr>
        <w:ind w:left="2160"/>
      </w:pPr>
      <w:r w:rsidRPr="00233A1C">
        <w:t>H.</w:t>
      </w:r>
      <w:r w:rsidRPr="00233A1C">
        <w:tab/>
        <w:t>Answers to on-the-record data requests shall be served in-hand within seven (7) calendar days of the request.</w:t>
      </w:r>
    </w:p>
    <w:p w14:paraId="59D728C6" w14:textId="77777777" w:rsidR="00407A89" w:rsidRPr="00233A1C" w:rsidRDefault="00407A89" w:rsidP="00E60449">
      <w:pPr>
        <w:ind w:left="2160"/>
      </w:pPr>
    </w:p>
    <w:p w14:paraId="59FBEB69" w14:textId="2E4428E5" w:rsidR="008B282B" w:rsidRPr="00233A1C" w:rsidRDefault="008B282B" w:rsidP="00E60449">
      <w:pPr>
        <w:ind w:left="2160"/>
      </w:pPr>
      <w:r w:rsidRPr="00233A1C">
        <w:t>I.</w:t>
      </w:r>
      <w:r w:rsidRPr="00233A1C">
        <w:tab/>
        <w:t>Discovery served after 12:00 noon on a Friday or after 12:00 noon on any business day preceding a state holiday will be deemed to be served on the next business day.</w:t>
      </w:r>
    </w:p>
    <w:p w14:paraId="07E1A16D" w14:textId="77777777" w:rsidR="00407A89" w:rsidRPr="00233A1C" w:rsidRDefault="00407A89" w:rsidP="00E60449">
      <w:pPr>
        <w:ind w:left="2160"/>
      </w:pPr>
    </w:p>
    <w:p w14:paraId="4337C40D" w14:textId="536165D0" w:rsidR="008B282B" w:rsidRPr="00233A1C" w:rsidRDefault="008B282B" w:rsidP="00E60449">
      <w:pPr>
        <w:ind w:left="2160"/>
      </w:pPr>
      <w:r w:rsidRPr="00233A1C">
        <w:t>J.</w:t>
      </w:r>
      <w:r w:rsidRPr="00233A1C">
        <w:tab/>
        <w:t xml:space="preserve">The parties are directed to make every reasonable effort to comply with the discovery response times set forth herein.  In those instances when compliance is not possible, despite a party’s best efforts, the responding party shall so </w:t>
      </w:r>
      <w:r w:rsidR="000B34D6" w:rsidRPr="00233A1C">
        <w:t>advise,</w:t>
      </w:r>
      <w:r w:rsidRPr="00233A1C">
        <w:t xml:space="preserve"> and the parties shall work together to address the requests and responses on a timely basis.</w:t>
      </w:r>
    </w:p>
    <w:p w14:paraId="278BD1DA" w14:textId="77777777" w:rsidR="00407A89" w:rsidRPr="00233A1C" w:rsidRDefault="00407A89" w:rsidP="00E60449">
      <w:pPr>
        <w:ind w:left="2160"/>
      </w:pPr>
    </w:p>
    <w:p w14:paraId="7ADCE66C" w14:textId="1B8EC6B7" w:rsidR="004B4219" w:rsidRPr="00233A1C" w:rsidRDefault="008B282B" w:rsidP="00E60449">
      <w:pPr>
        <w:ind w:left="2160"/>
      </w:pPr>
      <w:r w:rsidRPr="00233A1C">
        <w:t xml:space="preserve">K. </w:t>
      </w:r>
      <w:r w:rsidRPr="00233A1C">
        <w:tab/>
        <w:t xml:space="preserve">These discovery rule modifications are for the limited purpose of this proceeding and should not be viewed as binding, or otherwise </w:t>
      </w:r>
    </w:p>
    <w:p w14:paraId="0780B75F" w14:textId="77777777" w:rsidR="004B4219" w:rsidRPr="00233A1C" w:rsidRDefault="004B4219" w:rsidP="00233A1C">
      <w:pPr>
        <w:spacing w:line="360" w:lineRule="auto"/>
      </w:pPr>
    </w:p>
    <w:p w14:paraId="70076DFB" w14:textId="17437429" w:rsidR="004B4219" w:rsidRPr="00233A1C" w:rsidRDefault="004B4219" w:rsidP="00233A1C">
      <w:pPr>
        <w:spacing w:line="360" w:lineRule="auto"/>
      </w:pPr>
      <w:r w:rsidRPr="00233A1C">
        <w:tab/>
      </w:r>
      <w:r w:rsidRPr="00233A1C">
        <w:tab/>
      </w:r>
      <w:r w:rsidR="00427D6C" w:rsidRPr="00233A1C">
        <w:t>9</w:t>
      </w:r>
      <w:r w:rsidRPr="00233A1C">
        <w:t>.</w:t>
      </w:r>
      <w:r w:rsidRPr="00233A1C">
        <w:tab/>
        <w:t>That the</w:t>
      </w:r>
      <w:r w:rsidR="00050834" w:rsidRPr="00233A1C">
        <w:t xml:space="preserve"> evidentiary</w:t>
      </w:r>
      <w:r w:rsidRPr="00233A1C">
        <w:t xml:space="preserve"> hearing</w:t>
      </w:r>
      <w:r w:rsidR="002A1A29" w:rsidRPr="00233A1C">
        <w:t>s</w:t>
      </w:r>
      <w:r w:rsidRPr="00233A1C">
        <w:t xml:space="preserve"> on </w:t>
      </w:r>
      <w:r w:rsidR="008B282B" w:rsidRPr="00233A1C">
        <w:t>May 19, 2020 and May 20, 2020, to be conducted in Pittsburgh, Pennsylvania,</w:t>
      </w:r>
      <w:r w:rsidR="002A1A29" w:rsidRPr="00233A1C">
        <w:t xml:space="preserve"> </w:t>
      </w:r>
      <w:r w:rsidRPr="00233A1C">
        <w:t xml:space="preserve">shall commence at </w:t>
      </w:r>
      <w:r w:rsidR="002A1A29" w:rsidRPr="00233A1C">
        <w:rPr>
          <w:b/>
        </w:rPr>
        <w:t>10</w:t>
      </w:r>
      <w:r w:rsidR="008167E7" w:rsidRPr="00233A1C">
        <w:rPr>
          <w:b/>
        </w:rPr>
        <w:t>:00 a.</w:t>
      </w:r>
      <w:r w:rsidRPr="00233A1C">
        <w:rPr>
          <w:b/>
        </w:rPr>
        <w:t>m.</w:t>
      </w:r>
    </w:p>
    <w:p w14:paraId="68133868" w14:textId="77777777" w:rsidR="004B4219" w:rsidRPr="00233A1C" w:rsidRDefault="004B4219" w:rsidP="00233A1C">
      <w:pPr>
        <w:spacing w:line="360" w:lineRule="auto"/>
      </w:pPr>
    </w:p>
    <w:p w14:paraId="4467E24B" w14:textId="58C04424" w:rsidR="004B4219" w:rsidRPr="00233A1C" w:rsidRDefault="004B4219" w:rsidP="00233A1C">
      <w:pPr>
        <w:spacing w:line="360" w:lineRule="auto"/>
      </w:pPr>
      <w:r w:rsidRPr="00233A1C">
        <w:tab/>
      </w:r>
      <w:r w:rsidRPr="00233A1C">
        <w:tab/>
      </w:r>
      <w:r w:rsidR="005C6AE8" w:rsidRPr="00233A1C">
        <w:t>1</w:t>
      </w:r>
      <w:r w:rsidR="00427D6C" w:rsidRPr="00233A1C">
        <w:t>0</w:t>
      </w:r>
      <w:r w:rsidRPr="00233A1C">
        <w:t>.</w:t>
      </w:r>
      <w:r w:rsidRPr="00233A1C">
        <w:tab/>
        <w:t>That the Service List attached hereto shall be used for the remainder of this case for the service of discovery requests, objections thereto, motions, testimony, etc.  Changes to the Service List shall be on Order of the Administrative Law Judge.</w:t>
      </w:r>
    </w:p>
    <w:p w14:paraId="27C7E8DC" w14:textId="77777777" w:rsidR="000E0E81" w:rsidRPr="00233A1C" w:rsidRDefault="000E0E81" w:rsidP="00233A1C">
      <w:pPr>
        <w:spacing w:line="360" w:lineRule="auto"/>
      </w:pPr>
    </w:p>
    <w:p w14:paraId="3B3D0DA0" w14:textId="04AC41D9" w:rsidR="000E0E81" w:rsidRPr="00233A1C" w:rsidRDefault="000E0E81" w:rsidP="00233A1C">
      <w:pPr>
        <w:spacing w:line="360" w:lineRule="auto"/>
      </w:pPr>
      <w:r w:rsidRPr="00233A1C">
        <w:lastRenderedPageBreak/>
        <w:tab/>
      </w:r>
      <w:r w:rsidRPr="00233A1C">
        <w:tab/>
        <w:t>1</w:t>
      </w:r>
      <w:r w:rsidR="00427D6C" w:rsidRPr="00233A1C">
        <w:t>1</w:t>
      </w:r>
      <w:r w:rsidRPr="00233A1C">
        <w:t>.</w:t>
      </w:r>
      <w:r w:rsidRPr="00233A1C">
        <w:tab/>
        <w:t xml:space="preserve">That any party that wishes to receive communication from the office of the Administrative Law Judge and/or the Commission’s Office of Administrative Law Judge </w:t>
      </w:r>
      <w:r w:rsidRPr="00233A1C">
        <w:rPr>
          <w:b/>
          <w:bCs/>
        </w:rPr>
        <w:t>only</w:t>
      </w:r>
      <w:r w:rsidRPr="00233A1C">
        <w:t xml:space="preserve"> and does not wish to receive service of documents from the other parties may request removal from the Service List by sending a written request to the Administrative Law Judge .</w:t>
      </w:r>
    </w:p>
    <w:p w14:paraId="60614264" w14:textId="77777777" w:rsidR="004B4219" w:rsidRPr="00233A1C" w:rsidRDefault="004B4219" w:rsidP="00233A1C">
      <w:pPr>
        <w:spacing w:line="360" w:lineRule="auto"/>
      </w:pPr>
    </w:p>
    <w:p w14:paraId="0E3CECCB" w14:textId="4A04F2E7" w:rsidR="002F350A" w:rsidRDefault="005417D4" w:rsidP="00233A1C">
      <w:pPr>
        <w:spacing w:line="360" w:lineRule="auto"/>
      </w:pPr>
      <w:r w:rsidRPr="00233A1C">
        <w:tab/>
      </w:r>
      <w:r w:rsidRPr="00233A1C">
        <w:tab/>
      </w:r>
      <w:r w:rsidR="005C6AE8" w:rsidRPr="00233A1C">
        <w:t>1</w:t>
      </w:r>
      <w:r w:rsidR="00427D6C" w:rsidRPr="00233A1C">
        <w:t>2</w:t>
      </w:r>
      <w:r w:rsidRPr="00233A1C">
        <w:t>.</w:t>
      </w:r>
      <w:r w:rsidRPr="00233A1C">
        <w:tab/>
        <w:t xml:space="preserve">That any joint settlement petitions, </w:t>
      </w:r>
      <w:r w:rsidR="00884EF3" w:rsidRPr="00233A1C">
        <w:t xml:space="preserve">whether in whole or in part, </w:t>
      </w:r>
      <w:r w:rsidRPr="00233A1C">
        <w:t xml:space="preserve">which are encouraged by this Commission, </w:t>
      </w:r>
      <w:r w:rsidR="005A03AC" w:rsidRPr="00233A1C">
        <w:t>52 Pa. Code §5.231(a)</w:t>
      </w:r>
      <w:r w:rsidRPr="00233A1C">
        <w:t xml:space="preserve">, </w:t>
      </w:r>
      <w:r w:rsidR="005A03AC" w:rsidRPr="00233A1C">
        <w:t xml:space="preserve">should be served </w:t>
      </w:r>
      <w:r w:rsidR="008167E7" w:rsidRPr="00233A1C">
        <w:t>on the Administrative Law Judge</w:t>
      </w:r>
      <w:r w:rsidR="005A03AC" w:rsidRPr="00233A1C">
        <w:t xml:space="preserve"> on or before </w:t>
      </w:r>
      <w:r w:rsidR="00407A89" w:rsidRPr="00233A1C">
        <w:rPr>
          <w:b/>
        </w:rPr>
        <w:t>July 2, 2020</w:t>
      </w:r>
      <w:r w:rsidR="005A03AC" w:rsidRPr="00233A1C">
        <w:t>.</w:t>
      </w:r>
      <w:r w:rsidR="00FB2276" w:rsidRPr="00233A1C">
        <w:t xml:space="preserve">  T</w:t>
      </w:r>
      <w:r w:rsidR="002F350A" w:rsidRPr="00233A1C">
        <w:t xml:space="preserve">he parties shall notify the Administrative Law Judge on </w:t>
      </w:r>
      <w:r w:rsidR="00884EF3" w:rsidRPr="00233A1C">
        <w:t xml:space="preserve">or before </w:t>
      </w:r>
      <w:r w:rsidR="00884EF3" w:rsidRPr="00233A1C">
        <w:rPr>
          <w:b/>
        </w:rPr>
        <w:t>noon</w:t>
      </w:r>
      <w:r w:rsidR="00884EF3" w:rsidRPr="00233A1C">
        <w:t xml:space="preserve"> on </w:t>
      </w:r>
      <w:r w:rsidR="00407A89" w:rsidRPr="00233A1C">
        <w:t>Friday, May 15, 2020</w:t>
      </w:r>
      <w:r w:rsidR="00516F26">
        <w:t>,</w:t>
      </w:r>
      <w:r w:rsidR="002F350A" w:rsidRPr="00233A1C">
        <w:t xml:space="preserve"> if a settlement has been reached which obviates the need for a full evidentiary hearing.  In that event, the parties will meet</w:t>
      </w:r>
      <w:r w:rsidR="00884EF3" w:rsidRPr="00233A1C">
        <w:t xml:space="preserve"> o</w:t>
      </w:r>
      <w:r w:rsidR="002F350A" w:rsidRPr="00233A1C">
        <w:t>n</w:t>
      </w:r>
      <w:r w:rsidR="00407A89" w:rsidRPr="00233A1C">
        <w:t xml:space="preserve"> Tuesday, May 19, 2020</w:t>
      </w:r>
      <w:r w:rsidR="005666E9" w:rsidRPr="00233A1C">
        <w:t>,</w:t>
      </w:r>
      <w:r w:rsidR="002F350A" w:rsidRPr="00233A1C">
        <w:t xml:space="preserve"> at </w:t>
      </w:r>
      <w:r w:rsidR="00884EF3" w:rsidRPr="00233A1C">
        <w:t>10</w:t>
      </w:r>
      <w:r w:rsidR="002F350A" w:rsidRPr="00233A1C">
        <w:t xml:space="preserve">:00 a.m. </w:t>
      </w:r>
      <w:r w:rsidR="00407A89" w:rsidRPr="00233A1C">
        <w:t>for the purpose of submitting pre-served</w:t>
      </w:r>
      <w:r w:rsidR="002F350A" w:rsidRPr="00233A1C">
        <w:t xml:space="preserve"> evidence into the hearing record.</w:t>
      </w:r>
    </w:p>
    <w:p w14:paraId="6D3BBAF4" w14:textId="77777777" w:rsidR="00E60449" w:rsidRPr="00233A1C" w:rsidRDefault="00E60449" w:rsidP="00233A1C">
      <w:pPr>
        <w:spacing w:line="360" w:lineRule="auto"/>
      </w:pPr>
    </w:p>
    <w:p w14:paraId="1D6ABFDF" w14:textId="3AE76CEC" w:rsidR="00D50D84" w:rsidRPr="00233A1C" w:rsidRDefault="00D50D84" w:rsidP="00233A1C">
      <w:pPr>
        <w:spacing w:line="360" w:lineRule="auto"/>
      </w:pPr>
      <w:r w:rsidRPr="00233A1C">
        <w:tab/>
      </w:r>
      <w:r w:rsidRPr="00233A1C">
        <w:tab/>
      </w:r>
      <w:r w:rsidR="005C6AE8" w:rsidRPr="00233A1C">
        <w:t>1</w:t>
      </w:r>
      <w:r w:rsidR="00427D6C" w:rsidRPr="00233A1C">
        <w:t>3</w:t>
      </w:r>
      <w:r w:rsidRPr="00233A1C">
        <w:t>.</w:t>
      </w:r>
      <w:r w:rsidRPr="00233A1C">
        <w:tab/>
        <w:t xml:space="preserve">That on or before </w:t>
      </w:r>
      <w:r w:rsidR="000E0E81" w:rsidRPr="00233A1C">
        <w:rPr>
          <w:b/>
        </w:rPr>
        <w:t>12:00</w:t>
      </w:r>
      <w:r w:rsidRPr="00233A1C">
        <w:rPr>
          <w:b/>
        </w:rPr>
        <w:t xml:space="preserve"> p.m.</w:t>
      </w:r>
      <w:r w:rsidR="000E0E81" w:rsidRPr="00233A1C">
        <w:rPr>
          <w:b/>
        </w:rPr>
        <w:t xml:space="preserve"> (noon)</w:t>
      </w:r>
      <w:r w:rsidRPr="00233A1C">
        <w:t xml:space="preserve"> on </w:t>
      </w:r>
      <w:r w:rsidR="000E0E81" w:rsidRPr="00233A1C">
        <w:t>Tuesday, May 12, 2020</w:t>
      </w:r>
      <w:r w:rsidRPr="00233A1C">
        <w:t xml:space="preserve">, the parties shall provide a completed witness list to the </w:t>
      </w:r>
      <w:r w:rsidR="000E0E81" w:rsidRPr="00233A1C">
        <w:t>Administrative Law Judge</w:t>
      </w:r>
      <w:r w:rsidRPr="00233A1C">
        <w:t xml:space="preserve"> and al</w:t>
      </w:r>
      <w:r w:rsidR="00FB2276" w:rsidRPr="00233A1C">
        <w:t>l parties on the service list</w:t>
      </w:r>
      <w:r w:rsidR="000E0E81" w:rsidRPr="00233A1C">
        <w:t>, and Hidden Valley Utility Services, L.P., shall provide a Cross-Examination Witness Matrix to the Administrative Law Judge and all parties on the service list</w:t>
      </w:r>
      <w:r w:rsidR="00FB2276" w:rsidRPr="00233A1C">
        <w:t>.</w:t>
      </w:r>
    </w:p>
    <w:p w14:paraId="234F91E6" w14:textId="77777777" w:rsidR="00D50D84" w:rsidRPr="00233A1C" w:rsidRDefault="00D50D84" w:rsidP="00233A1C">
      <w:pPr>
        <w:spacing w:line="360" w:lineRule="auto"/>
      </w:pPr>
    </w:p>
    <w:p w14:paraId="3E9CEDC3" w14:textId="77777777" w:rsidR="00FB2276" w:rsidRPr="00233A1C" w:rsidRDefault="00FB2276" w:rsidP="00233A1C">
      <w:pPr>
        <w:spacing w:line="360" w:lineRule="auto"/>
      </w:pPr>
    </w:p>
    <w:p w14:paraId="5D8E0BEF" w14:textId="33134966" w:rsidR="00233A1C" w:rsidRPr="00233A1C" w:rsidRDefault="00233A1C" w:rsidP="00233A1C">
      <w:pPr>
        <w:widowControl w:val="0"/>
        <w:tabs>
          <w:tab w:val="left" w:pos="0"/>
        </w:tabs>
        <w:autoSpaceDE w:val="0"/>
        <w:autoSpaceDN w:val="0"/>
        <w:adjustRightInd w:val="0"/>
        <w:jc w:val="both"/>
        <w:rPr>
          <w:u w:val="single"/>
        </w:rPr>
      </w:pPr>
      <w:r w:rsidRPr="00233A1C">
        <w:t xml:space="preserve">Date:  </w:t>
      </w:r>
      <w:r w:rsidRPr="00233A1C">
        <w:rPr>
          <w:u w:val="single"/>
        </w:rPr>
        <w:t xml:space="preserve">March </w:t>
      </w:r>
      <w:r>
        <w:rPr>
          <w:u w:val="single"/>
        </w:rPr>
        <w:t>11</w:t>
      </w:r>
      <w:r w:rsidRPr="00233A1C">
        <w:rPr>
          <w:u w:val="single"/>
        </w:rPr>
        <w:t>, 20</w:t>
      </w:r>
      <w:r>
        <w:rPr>
          <w:u w:val="single"/>
        </w:rPr>
        <w:t>20</w:t>
      </w:r>
      <w:r w:rsidRPr="00233A1C">
        <w:tab/>
      </w:r>
      <w:r w:rsidRPr="00233A1C">
        <w:tab/>
      </w:r>
      <w:r w:rsidRPr="00233A1C">
        <w:tab/>
      </w:r>
      <w:r w:rsidRPr="00233A1C">
        <w:tab/>
      </w:r>
      <w:r w:rsidRPr="00233A1C">
        <w:tab/>
      </w:r>
      <w:r w:rsidRPr="00233A1C">
        <w:rPr>
          <w:u w:val="single"/>
        </w:rPr>
        <w:tab/>
      </w:r>
      <w:r w:rsidRPr="00233A1C">
        <w:rPr>
          <w:u w:val="single"/>
        </w:rPr>
        <w:tab/>
        <w:t>/s/</w:t>
      </w:r>
      <w:r w:rsidRPr="00233A1C">
        <w:rPr>
          <w:u w:val="single"/>
        </w:rPr>
        <w:tab/>
      </w:r>
      <w:r w:rsidRPr="00233A1C">
        <w:rPr>
          <w:u w:val="single"/>
        </w:rPr>
        <w:tab/>
      </w:r>
      <w:r w:rsidRPr="00233A1C">
        <w:rPr>
          <w:u w:val="single"/>
        </w:rPr>
        <w:tab/>
      </w:r>
    </w:p>
    <w:p w14:paraId="2D6CC2EA" w14:textId="77777777" w:rsidR="00233A1C" w:rsidRPr="00233A1C" w:rsidRDefault="00233A1C" w:rsidP="00233A1C">
      <w:pPr>
        <w:widowControl w:val="0"/>
        <w:tabs>
          <w:tab w:val="left" w:pos="0"/>
        </w:tabs>
        <w:autoSpaceDE w:val="0"/>
        <w:autoSpaceDN w:val="0"/>
        <w:adjustRightInd w:val="0"/>
        <w:jc w:val="both"/>
      </w:pPr>
      <w:r w:rsidRPr="00233A1C">
        <w:tab/>
      </w:r>
      <w:r w:rsidRPr="00233A1C">
        <w:tab/>
      </w:r>
      <w:r w:rsidRPr="00233A1C">
        <w:tab/>
      </w:r>
      <w:r w:rsidRPr="00233A1C">
        <w:tab/>
      </w:r>
      <w:r w:rsidRPr="00233A1C">
        <w:tab/>
      </w:r>
      <w:r w:rsidRPr="00233A1C">
        <w:tab/>
      </w:r>
      <w:r w:rsidRPr="00233A1C">
        <w:tab/>
      </w:r>
      <w:r w:rsidRPr="00233A1C">
        <w:tab/>
        <w:t>Katrina L. Dunderdale</w:t>
      </w:r>
    </w:p>
    <w:p w14:paraId="407E64D9" w14:textId="77777777" w:rsidR="00233A1C" w:rsidRPr="00233A1C" w:rsidRDefault="00233A1C" w:rsidP="00233A1C">
      <w:pPr>
        <w:widowControl w:val="0"/>
        <w:tabs>
          <w:tab w:val="left" w:pos="0"/>
        </w:tabs>
        <w:autoSpaceDE w:val="0"/>
        <w:autoSpaceDN w:val="0"/>
        <w:adjustRightInd w:val="0"/>
        <w:jc w:val="both"/>
      </w:pPr>
      <w:r w:rsidRPr="00233A1C">
        <w:tab/>
      </w:r>
      <w:r w:rsidRPr="00233A1C">
        <w:tab/>
      </w:r>
      <w:r w:rsidRPr="00233A1C">
        <w:tab/>
      </w:r>
      <w:r w:rsidRPr="00233A1C">
        <w:tab/>
      </w:r>
      <w:r w:rsidRPr="00233A1C">
        <w:tab/>
      </w:r>
      <w:r w:rsidRPr="00233A1C">
        <w:tab/>
      </w:r>
      <w:r w:rsidRPr="00233A1C">
        <w:tab/>
      </w:r>
      <w:r w:rsidRPr="00233A1C">
        <w:tab/>
        <w:t>Administrative Law Judge</w:t>
      </w:r>
    </w:p>
    <w:p w14:paraId="5B3FD551" w14:textId="77777777" w:rsidR="00516F26" w:rsidRDefault="00516F26" w:rsidP="00233A1C">
      <w:pPr>
        <w:sectPr w:rsidR="00516F26" w:rsidSect="00564F99">
          <w:footerReference w:type="even" r:id="rId8"/>
          <w:footerReference w:type="default" r:id="rId9"/>
          <w:pgSz w:w="12240" w:h="15840"/>
          <w:pgMar w:top="1440" w:right="1440" w:bottom="1440" w:left="1440" w:header="720" w:footer="720" w:gutter="0"/>
          <w:pgNumType w:start="1"/>
          <w:cols w:space="720"/>
          <w:titlePg/>
          <w:docGrid w:linePitch="360"/>
        </w:sectPr>
      </w:pPr>
    </w:p>
    <w:p w14:paraId="3AE773FF" w14:textId="77777777" w:rsidR="00516F26" w:rsidRPr="00516F26" w:rsidRDefault="00516F26" w:rsidP="00516F26">
      <w:pPr>
        <w:spacing w:after="160" w:line="259" w:lineRule="auto"/>
        <w:rPr>
          <w:rFonts w:ascii="Microsoft Sans Serif" w:eastAsia="Microsoft Sans Serif" w:hAnsi="Microsoft Sans Serif" w:cs="Microsoft Sans Serif"/>
          <w:b/>
          <w:szCs w:val="22"/>
          <w:u w:val="single"/>
        </w:rPr>
      </w:pPr>
      <w:r w:rsidRPr="00516F26">
        <w:rPr>
          <w:rFonts w:ascii="Microsoft Sans Serif" w:eastAsia="Microsoft Sans Serif" w:hAnsi="Microsoft Sans Serif" w:cs="Microsoft Sans Serif"/>
          <w:b/>
          <w:szCs w:val="22"/>
          <w:u w:val="single"/>
        </w:rPr>
        <w:lastRenderedPageBreak/>
        <w:t>C-2014-2447138/C-2014-2447169 - OFFICE OF CONSUMER ADVOCATE v. HIDDEN VALLEY UTILITY SERVICES LP</w:t>
      </w:r>
      <w:r w:rsidRPr="00516F26">
        <w:rPr>
          <w:rFonts w:ascii="Microsoft Sans Serif" w:eastAsia="Microsoft Sans Serif" w:hAnsi="Microsoft Sans Serif" w:cs="Microsoft Sans Serif"/>
          <w:b/>
          <w:szCs w:val="22"/>
          <w:u w:val="single"/>
        </w:rPr>
        <w:br/>
      </w:r>
      <w:r w:rsidRPr="00516F26">
        <w:rPr>
          <w:rFonts w:ascii="Microsoft Sans Serif" w:eastAsia="Microsoft Sans Serif" w:hAnsi="Microsoft Sans Serif" w:cs="Microsoft Sans Serif"/>
          <w:b/>
          <w:szCs w:val="22"/>
          <w:u w:val="single"/>
        </w:rPr>
        <w:br/>
      </w:r>
      <w:r w:rsidRPr="00516F26">
        <w:rPr>
          <w:rFonts w:ascii="Microsoft Sans Serif" w:eastAsia="Microsoft Sans Serif" w:hAnsi="Microsoft Sans Serif" w:cs="Microsoft Sans Serif"/>
          <w:bCs/>
          <w:i/>
          <w:iCs/>
          <w:sz w:val="22"/>
          <w:szCs w:val="20"/>
        </w:rPr>
        <w:t>Updated 2/7/2020</w:t>
      </w:r>
    </w:p>
    <w:p w14:paraId="56F3E128" w14:textId="77777777" w:rsidR="00516F26" w:rsidRDefault="00516F26" w:rsidP="00516F26">
      <w:pPr>
        <w:spacing w:after="160" w:line="259" w:lineRule="auto"/>
        <w:rPr>
          <w:rFonts w:ascii="Microsoft Sans Serif" w:eastAsia="Microsoft Sans Serif" w:hAnsi="Microsoft Sans Serif" w:cs="Microsoft Sans Serif"/>
          <w:b/>
          <w:szCs w:val="22"/>
          <w:u w:val="single"/>
        </w:rPr>
        <w:sectPr w:rsidR="00516F26" w:rsidSect="00564F99">
          <w:pgSz w:w="12240" w:h="15840"/>
          <w:pgMar w:top="1440" w:right="1440" w:bottom="1440" w:left="1440" w:header="720" w:footer="720" w:gutter="0"/>
          <w:pgNumType w:start="1"/>
          <w:cols w:space="720"/>
          <w:titlePg/>
          <w:docGrid w:linePitch="360"/>
        </w:sectPr>
      </w:pPr>
      <w:r w:rsidRPr="00516F26">
        <w:rPr>
          <w:rFonts w:ascii="Microsoft Sans Serif" w:eastAsia="Microsoft Sans Serif" w:hAnsi="Microsoft Sans Serif" w:cs="Microsoft Sans Serif"/>
          <w:b/>
          <w:szCs w:val="22"/>
          <w:u w:val="single"/>
        </w:rPr>
        <w:cr/>
      </w:r>
    </w:p>
    <w:p w14:paraId="7A95B88E" w14:textId="43881755" w:rsidR="00516F26" w:rsidRPr="00516F26" w:rsidRDefault="00516F26" w:rsidP="00516F26">
      <w:pPr>
        <w:spacing w:after="160" w:line="259" w:lineRule="auto"/>
        <w:rPr>
          <w:rFonts w:ascii="Microsoft Sans Serif" w:eastAsia="Microsoft Sans Serif" w:hAnsi="Microsoft Sans Serif" w:cs="Microsoft Sans Serif"/>
          <w:szCs w:val="22"/>
        </w:rPr>
      </w:pPr>
      <w:r w:rsidRPr="00516F26">
        <w:rPr>
          <w:rFonts w:ascii="Microsoft Sans Serif" w:eastAsia="Microsoft Sans Serif" w:hAnsi="Microsoft Sans Serif" w:cs="Microsoft Sans Serif"/>
          <w:szCs w:val="22"/>
        </w:rPr>
        <w:t>ROBERT J KOLLAR &amp; KELLIE A KUHLEMAN</w:t>
      </w:r>
      <w:r w:rsidRPr="00516F26">
        <w:rPr>
          <w:rFonts w:ascii="Microsoft Sans Serif" w:eastAsia="Microsoft Sans Serif" w:hAnsi="Microsoft Sans Serif" w:cs="Microsoft Sans Serif"/>
          <w:szCs w:val="22"/>
        </w:rPr>
        <w:cr/>
        <w:t xml:space="preserve">1374 LANGPORT DRIVE </w:t>
      </w:r>
      <w:r w:rsidRPr="00516F26">
        <w:rPr>
          <w:rFonts w:ascii="Microsoft Sans Serif" w:eastAsia="Microsoft Sans Serif" w:hAnsi="Microsoft Sans Serif" w:cs="Microsoft Sans Serif"/>
          <w:szCs w:val="22"/>
        </w:rPr>
        <w:cr/>
        <w:t>PITTSBURGH PA  15241</w:t>
      </w:r>
      <w:r w:rsidRPr="00516F26">
        <w:rPr>
          <w:rFonts w:ascii="Microsoft Sans Serif" w:eastAsia="Microsoft Sans Serif" w:hAnsi="Microsoft Sans Serif" w:cs="Microsoft Sans Serif"/>
          <w:szCs w:val="22"/>
        </w:rPr>
        <w:cr/>
      </w:r>
      <w:r w:rsidRPr="00516F26">
        <w:rPr>
          <w:rFonts w:ascii="Microsoft Sans Serif" w:eastAsia="Microsoft Sans Serif" w:hAnsi="Microsoft Sans Serif" w:cs="Microsoft Sans Serif"/>
          <w:b/>
          <w:bCs/>
          <w:szCs w:val="22"/>
        </w:rPr>
        <w:t>412.257.4129</w:t>
      </w:r>
    </w:p>
    <w:p w14:paraId="5CD60DBB" w14:textId="77777777" w:rsidR="00516F26" w:rsidRPr="00516F26" w:rsidRDefault="00516F26" w:rsidP="00516F26">
      <w:pPr>
        <w:spacing w:after="160" w:line="259" w:lineRule="auto"/>
        <w:rPr>
          <w:rFonts w:ascii="Microsoft Sans Serif" w:eastAsia="Microsoft Sans Serif" w:hAnsi="Microsoft Sans Serif" w:cs="Microsoft Sans Serif"/>
          <w:szCs w:val="22"/>
        </w:rPr>
      </w:pPr>
      <w:r w:rsidRPr="00516F26">
        <w:rPr>
          <w:rFonts w:ascii="Microsoft Sans Serif" w:eastAsia="Microsoft Sans Serif" w:hAnsi="Microsoft Sans Serif" w:cs="Microsoft Sans Serif"/>
          <w:szCs w:val="22"/>
        </w:rPr>
        <w:t>REILLY S NOETZEL ATTORNEY</w:t>
      </w:r>
      <w:r w:rsidRPr="00516F26">
        <w:rPr>
          <w:rFonts w:ascii="Microsoft Sans Serif" w:eastAsia="Microsoft Sans Serif" w:hAnsi="Microsoft Sans Serif" w:cs="Microsoft Sans Serif"/>
          <w:szCs w:val="22"/>
        </w:rPr>
        <w:cr/>
        <w:t>OFFICE OF CONSUMER ADVOCATE</w:t>
      </w:r>
      <w:r w:rsidRPr="00516F26">
        <w:rPr>
          <w:rFonts w:ascii="Microsoft Sans Serif" w:eastAsia="Microsoft Sans Serif" w:hAnsi="Microsoft Sans Serif" w:cs="Microsoft Sans Serif"/>
          <w:szCs w:val="22"/>
        </w:rPr>
        <w:cr/>
        <w:t>555 WALNUT STREET 5TH FLOOR FORUM PLACE</w:t>
      </w:r>
      <w:r w:rsidRPr="00516F26">
        <w:rPr>
          <w:rFonts w:ascii="Microsoft Sans Serif" w:eastAsia="Microsoft Sans Serif" w:hAnsi="Microsoft Sans Serif" w:cs="Microsoft Sans Serif"/>
          <w:szCs w:val="22"/>
        </w:rPr>
        <w:cr/>
        <w:t>HARRISBURG PA  17101-1923</w:t>
      </w:r>
      <w:r w:rsidRPr="00516F26">
        <w:rPr>
          <w:rFonts w:ascii="Microsoft Sans Serif" w:eastAsia="Microsoft Sans Serif" w:hAnsi="Microsoft Sans Serif" w:cs="Microsoft Sans Serif"/>
          <w:szCs w:val="22"/>
        </w:rPr>
        <w:cr/>
      </w:r>
      <w:r w:rsidRPr="00516F26">
        <w:rPr>
          <w:rFonts w:ascii="Microsoft Sans Serif" w:eastAsia="Microsoft Sans Serif" w:hAnsi="Microsoft Sans Serif" w:cs="Microsoft Sans Serif"/>
          <w:b/>
          <w:bCs/>
          <w:szCs w:val="22"/>
        </w:rPr>
        <w:t>717.783.5048</w:t>
      </w:r>
    </w:p>
    <w:p w14:paraId="1AD99960" w14:textId="77777777" w:rsidR="00516F26" w:rsidRPr="00516F26" w:rsidRDefault="00516F26" w:rsidP="00516F26">
      <w:pPr>
        <w:spacing w:after="160" w:line="259" w:lineRule="auto"/>
        <w:rPr>
          <w:rFonts w:ascii="Microsoft Sans Serif" w:eastAsia="Microsoft Sans Serif" w:hAnsi="Microsoft Sans Serif" w:cs="Microsoft Sans Serif"/>
          <w:szCs w:val="22"/>
        </w:rPr>
      </w:pPr>
      <w:r w:rsidRPr="00516F26">
        <w:rPr>
          <w:rFonts w:ascii="Microsoft Sans Serif" w:eastAsia="Microsoft Sans Serif" w:hAnsi="Microsoft Sans Serif" w:cs="Microsoft Sans Serif"/>
          <w:szCs w:val="22"/>
        </w:rPr>
        <w:t>PATRICIA T WIEDT ASSISTANT COUNSEL</w:t>
      </w:r>
      <w:r w:rsidRPr="00516F26">
        <w:rPr>
          <w:rFonts w:ascii="Microsoft Sans Serif" w:eastAsia="Microsoft Sans Serif" w:hAnsi="Microsoft Sans Serif" w:cs="Microsoft Sans Serif"/>
          <w:szCs w:val="22"/>
        </w:rPr>
        <w:cr/>
        <w:t>PA PUBLIC UTILITY COMMISSION</w:t>
      </w:r>
      <w:r w:rsidRPr="00516F26">
        <w:rPr>
          <w:rFonts w:ascii="Microsoft Sans Serif" w:eastAsia="Microsoft Sans Serif" w:hAnsi="Microsoft Sans Serif" w:cs="Microsoft Sans Serif"/>
          <w:szCs w:val="22"/>
        </w:rPr>
        <w:cr/>
        <w:t>PO BOX 3265</w:t>
      </w:r>
      <w:r w:rsidRPr="00516F26">
        <w:rPr>
          <w:rFonts w:ascii="Microsoft Sans Serif" w:eastAsia="Microsoft Sans Serif" w:hAnsi="Microsoft Sans Serif" w:cs="Microsoft Sans Serif"/>
          <w:szCs w:val="22"/>
        </w:rPr>
        <w:cr/>
        <w:t>HARRISBURG PA  17105-3265</w:t>
      </w:r>
    </w:p>
    <w:p w14:paraId="28DDB492" w14:textId="77777777" w:rsidR="00516F26" w:rsidRPr="00516F26" w:rsidRDefault="00516F26" w:rsidP="00516F26">
      <w:pPr>
        <w:spacing w:after="160" w:line="259" w:lineRule="auto"/>
        <w:rPr>
          <w:rFonts w:ascii="Microsoft Sans Serif" w:eastAsia="Microsoft Sans Serif" w:hAnsi="Microsoft Sans Serif" w:cs="Microsoft Sans Serif"/>
          <w:szCs w:val="22"/>
        </w:rPr>
      </w:pPr>
      <w:r w:rsidRPr="00516F26">
        <w:rPr>
          <w:rFonts w:ascii="Microsoft Sans Serif" w:eastAsia="Microsoft Sans Serif" w:hAnsi="Microsoft Sans Serif" w:cs="Microsoft Sans Serif"/>
          <w:szCs w:val="22"/>
        </w:rPr>
        <w:t>ERIN L GANNON ESQUIRE</w:t>
      </w:r>
      <w:r w:rsidRPr="00516F26">
        <w:rPr>
          <w:rFonts w:ascii="Microsoft Sans Serif" w:eastAsia="Microsoft Sans Serif" w:hAnsi="Microsoft Sans Serif" w:cs="Microsoft Sans Serif"/>
          <w:szCs w:val="22"/>
        </w:rPr>
        <w:br/>
        <w:t>CHRISTINE M HOOVER ESQUIRE</w:t>
      </w:r>
      <w:r w:rsidRPr="00516F26">
        <w:rPr>
          <w:rFonts w:ascii="Microsoft Sans Serif" w:eastAsia="Microsoft Sans Serif" w:hAnsi="Microsoft Sans Serif" w:cs="Microsoft Sans Serif"/>
          <w:szCs w:val="22"/>
        </w:rPr>
        <w:cr/>
        <w:t>OFFICE OF CONSUMER ADVOCATE</w:t>
      </w:r>
      <w:r w:rsidRPr="00516F26">
        <w:rPr>
          <w:rFonts w:ascii="Microsoft Sans Serif" w:eastAsia="Microsoft Sans Serif" w:hAnsi="Microsoft Sans Serif" w:cs="Microsoft Sans Serif"/>
          <w:szCs w:val="22"/>
        </w:rPr>
        <w:cr/>
        <w:t>555 WALNUT STREET 5TH FLOOR</w:t>
      </w:r>
      <w:r w:rsidRPr="00516F26">
        <w:rPr>
          <w:rFonts w:ascii="Microsoft Sans Serif" w:eastAsia="Microsoft Sans Serif" w:hAnsi="Microsoft Sans Serif" w:cs="Microsoft Sans Serif"/>
          <w:szCs w:val="22"/>
        </w:rPr>
        <w:cr/>
        <w:t>FORUM PLACE</w:t>
      </w:r>
      <w:r w:rsidRPr="00516F26">
        <w:rPr>
          <w:rFonts w:ascii="Microsoft Sans Serif" w:eastAsia="Microsoft Sans Serif" w:hAnsi="Microsoft Sans Serif" w:cs="Microsoft Sans Serif"/>
          <w:szCs w:val="22"/>
        </w:rPr>
        <w:cr/>
        <w:t>HARRISBURG PA  17101</w:t>
      </w:r>
      <w:r w:rsidRPr="00516F26">
        <w:rPr>
          <w:rFonts w:ascii="Microsoft Sans Serif" w:eastAsia="Microsoft Sans Serif" w:hAnsi="Microsoft Sans Serif" w:cs="Microsoft Sans Serif"/>
          <w:szCs w:val="22"/>
        </w:rPr>
        <w:cr/>
      </w:r>
      <w:r w:rsidRPr="00516F26">
        <w:rPr>
          <w:rFonts w:ascii="Microsoft Sans Serif" w:eastAsia="Microsoft Sans Serif" w:hAnsi="Microsoft Sans Serif" w:cs="Microsoft Sans Serif"/>
          <w:b/>
          <w:bCs/>
          <w:szCs w:val="22"/>
        </w:rPr>
        <w:t>717.783.5048</w:t>
      </w:r>
      <w:r w:rsidRPr="00516F26">
        <w:rPr>
          <w:rFonts w:ascii="Microsoft Sans Serif" w:eastAsia="Microsoft Sans Serif" w:hAnsi="Microsoft Sans Serif" w:cs="Microsoft Sans Serif"/>
          <w:b/>
          <w:bCs/>
          <w:szCs w:val="22"/>
        </w:rPr>
        <w:br/>
        <w:t>717.783.5048</w:t>
      </w:r>
      <w:r w:rsidRPr="00516F26">
        <w:rPr>
          <w:rFonts w:ascii="Microsoft Sans Serif" w:eastAsia="Microsoft Sans Serif" w:hAnsi="Microsoft Sans Serif" w:cs="Microsoft Sans Serif"/>
          <w:b/>
          <w:bCs/>
          <w:szCs w:val="22"/>
        </w:rPr>
        <w:br/>
      </w:r>
      <w:r w:rsidRPr="00516F26">
        <w:rPr>
          <w:rFonts w:ascii="Microsoft Sans Serif" w:eastAsia="Microsoft Sans Serif" w:hAnsi="Microsoft Sans Serif" w:cs="Microsoft Sans Serif"/>
          <w:b/>
          <w:bCs/>
          <w:i/>
          <w:iCs/>
          <w:szCs w:val="22"/>
          <w:u w:val="single"/>
        </w:rPr>
        <w:t>ACCEPTS E-SERVICE</w:t>
      </w:r>
    </w:p>
    <w:p w14:paraId="5C64FD75" w14:textId="77777777" w:rsidR="00516F26" w:rsidRPr="00516F26" w:rsidRDefault="00516F26" w:rsidP="00516F26">
      <w:pPr>
        <w:spacing w:after="160" w:line="259" w:lineRule="auto"/>
        <w:rPr>
          <w:rFonts w:ascii="Microsoft Sans Serif" w:eastAsia="Microsoft Sans Serif" w:hAnsi="Microsoft Sans Serif" w:cs="Microsoft Sans Serif"/>
          <w:szCs w:val="22"/>
        </w:rPr>
      </w:pPr>
      <w:r w:rsidRPr="00516F26">
        <w:rPr>
          <w:rFonts w:ascii="Microsoft Sans Serif" w:eastAsia="Microsoft Sans Serif" w:hAnsi="Microsoft Sans Serif" w:cs="Microsoft Sans Serif"/>
          <w:szCs w:val="22"/>
        </w:rPr>
        <w:t>JONATHAN NASE ESQUIRE</w:t>
      </w:r>
      <w:r w:rsidRPr="00516F26">
        <w:rPr>
          <w:rFonts w:ascii="Microsoft Sans Serif" w:eastAsia="Microsoft Sans Serif" w:hAnsi="Microsoft Sans Serif" w:cs="Microsoft Sans Serif"/>
          <w:szCs w:val="22"/>
        </w:rPr>
        <w:br/>
        <w:t>DAVID P ZAMBITO ESQUIRE</w:t>
      </w:r>
      <w:r w:rsidRPr="00516F26">
        <w:rPr>
          <w:rFonts w:ascii="Microsoft Sans Serif" w:eastAsia="Microsoft Sans Serif" w:hAnsi="Microsoft Sans Serif" w:cs="Microsoft Sans Serif"/>
          <w:szCs w:val="22"/>
        </w:rPr>
        <w:cr/>
        <w:t>COZEN O'CONNOR</w:t>
      </w:r>
      <w:r w:rsidRPr="00516F26">
        <w:rPr>
          <w:rFonts w:ascii="Microsoft Sans Serif" w:eastAsia="Microsoft Sans Serif" w:hAnsi="Microsoft Sans Serif" w:cs="Microsoft Sans Serif"/>
          <w:szCs w:val="22"/>
        </w:rPr>
        <w:cr/>
        <w:t>17 NORTH SECOND STREET</w:t>
      </w:r>
      <w:r w:rsidRPr="00516F26">
        <w:rPr>
          <w:rFonts w:ascii="Microsoft Sans Serif" w:eastAsia="Microsoft Sans Serif" w:hAnsi="Microsoft Sans Serif" w:cs="Microsoft Sans Serif"/>
          <w:szCs w:val="22"/>
        </w:rPr>
        <w:cr/>
        <w:t>SUITE 1410</w:t>
      </w:r>
      <w:r w:rsidRPr="00516F26">
        <w:rPr>
          <w:rFonts w:ascii="Microsoft Sans Serif" w:eastAsia="Microsoft Sans Serif" w:hAnsi="Microsoft Sans Serif" w:cs="Microsoft Sans Serif"/>
          <w:szCs w:val="22"/>
        </w:rPr>
        <w:cr/>
        <w:t>HARRISBURG PA  17101</w:t>
      </w:r>
      <w:r w:rsidRPr="00516F26">
        <w:rPr>
          <w:rFonts w:ascii="Microsoft Sans Serif" w:eastAsia="Microsoft Sans Serif" w:hAnsi="Microsoft Sans Serif" w:cs="Microsoft Sans Serif"/>
          <w:szCs w:val="22"/>
        </w:rPr>
        <w:cr/>
      </w:r>
      <w:r w:rsidRPr="00516F26">
        <w:rPr>
          <w:rFonts w:ascii="Microsoft Sans Serif" w:eastAsia="Microsoft Sans Serif" w:hAnsi="Microsoft Sans Serif" w:cs="Microsoft Sans Serif"/>
          <w:b/>
          <w:bCs/>
          <w:szCs w:val="22"/>
        </w:rPr>
        <w:t>717.773.4191</w:t>
      </w:r>
      <w:r w:rsidRPr="00516F26">
        <w:rPr>
          <w:rFonts w:ascii="Microsoft Sans Serif" w:eastAsia="Microsoft Sans Serif" w:hAnsi="Microsoft Sans Serif" w:cs="Microsoft Sans Serif"/>
          <w:b/>
          <w:bCs/>
          <w:szCs w:val="22"/>
        </w:rPr>
        <w:br/>
        <w:t>717.703.5892</w:t>
      </w:r>
      <w:r w:rsidRPr="00516F26">
        <w:rPr>
          <w:rFonts w:ascii="Microsoft Sans Serif" w:eastAsia="Microsoft Sans Serif" w:hAnsi="Microsoft Sans Serif" w:cs="Microsoft Sans Serif"/>
          <w:b/>
          <w:bCs/>
          <w:szCs w:val="22"/>
        </w:rPr>
        <w:br/>
      </w:r>
      <w:r w:rsidRPr="00516F26">
        <w:rPr>
          <w:rFonts w:ascii="Microsoft Sans Serif" w:eastAsia="Microsoft Sans Serif" w:hAnsi="Microsoft Sans Serif" w:cs="Microsoft Sans Serif"/>
          <w:b/>
          <w:bCs/>
          <w:i/>
          <w:iCs/>
          <w:szCs w:val="22"/>
          <w:u w:val="single"/>
        </w:rPr>
        <w:t>ACCEPTS E-SERVICE</w:t>
      </w:r>
    </w:p>
    <w:p w14:paraId="295C6917" w14:textId="77777777" w:rsidR="00516F26" w:rsidRPr="00516F26" w:rsidRDefault="00516F26" w:rsidP="00516F26">
      <w:pPr>
        <w:spacing w:after="160" w:line="259" w:lineRule="auto"/>
        <w:rPr>
          <w:rFonts w:ascii="Microsoft Sans Serif" w:eastAsia="Microsoft Sans Serif" w:hAnsi="Microsoft Sans Serif" w:cs="Microsoft Sans Serif"/>
          <w:szCs w:val="22"/>
        </w:rPr>
      </w:pPr>
    </w:p>
    <w:p w14:paraId="59386D4C" w14:textId="77777777" w:rsidR="00516F26" w:rsidRPr="00516F26" w:rsidRDefault="00516F26" w:rsidP="00516F26">
      <w:pPr>
        <w:spacing w:after="160" w:line="259" w:lineRule="auto"/>
        <w:rPr>
          <w:rFonts w:ascii="Microsoft Sans Serif" w:eastAsia="Microsoft Sans Serif" w:hAnsi="Microsoft Sans Serif" w:cs="Microsoft Sans Serif"/>
          <w:szCs w:val="22"/>
        </w:rPr>
      </w:pPr>
      <w:r w:rsidRPr="00516F26">
        <w:rPr>
          <w:rFonts w:ascii="Microsoft Sans Serif" w:eastAsia="Microsoft Sans Serif" w:hAnsi="Microsoft Sans Serif" w:cs="Microsoft Sans Serif"/>
          <w:szCs w:val="22"/>
        </w:rPr>
        <w:t>RICHARD A KANASKIE ESQUIRE</w:t>
      </w:r>
      <w:r w:rsidRPr="00516F26">
        <w:rPr>
          <w:rFonts w:ascii="Microsoft Sans Serif" w:eastAsia="Microsoft Sans Serif" w:hAnsi="Microsoft Sans Serif" w:cs="Microsoft Sans Serif"/>
          <w:szCs w:val="22"/>
        </w:rPr>
        <w:cr/>
        <w:t>PA PUC BIE LEGAL TECHNICAL</w:t>
      </w:r>
      <w:r w:rsidRPr="00516F26">
        <w:rPr>
          <w:rFonts w:ascii="Microsoft Sans Serif" w:eastAsia="Microsoft Sans Serif" w:hAnsi="Microsoft Sans Serif" w:cs="Microsoft Sans Serif"/>
          <w:szCs w:val="22"/>
        </w:rPr>
        <w:cr/>
        <w:t>SECOND FLOOR WEST</w:t>
      </w:r>
      <w:r w:rsidRPr="00516F26">
        <w:rPr>
          <w:rFonts w:ascii="Microsoft Sans Serif" w:eastAsia="Microsoft Sans Serif" w:hAnsi="Microsoft Sans Serif" w:cs="Microsoft Sans Serif"/>
          <w:szCs w:val="22"/>
        </w:rPr>
        <w:cr/>
        <w:t>400 NORTH STREET</w:t>
      </w:r>
      <w:r w:rsidRPr="00516F26">
        <w:rPr>
          <w:rFonts w:ascii="Microsoft Sans Serif" w:eastAsia="Microsoft Sans Serif" w:hAnsi="Microsoft Sans Serif" w:cs="Microsoft Sans Serif"/>
          <w:szCs w:val="22"/>
        </w:rPr>
        <w:cr/>
        <w:t>HARRISBURG PA  17120</w:t>
      </w:r>
      <w:r w:rsidRPr="00516F26">
        <w:rPr>
          <w:rFonts w:ascii="Microsoft Sans Serif" w:eastAsia="Microsoft Sans Serif" w:hAnsi="Microsoft Sans Serif" w:cs="Microsoft Sans Serif"/>
          <w:szCs w:val="22"/>
        </w:rPr>
        <w:cr/>
      </w:r>
      <w:r w:rsidRPr="00516F26">
        <w:rPr>
          <w:rFonts w:ascii="Microsoft Sans Serif" w:eastAsia="Microsoft Sans Serif" w:hAnsi="Microsoft Sans Serif" w:cs="Microsoft Sans Serif"/>
          <w:b/>
          <w:bCs/>
          <w:szCs w:val="22"/>
        </w:rPr>
        <w:t>717.783.6184</w:t>
      </w:r>
      <w:r w:rsidRPr="00516F26">
        <w:rPr>
          <w:rFonts w:ascii="Microsoft Sans Serif" w:eastAsia="Microsoft Sans Serif" w:hAnsi="Microsoft Sans Serif" w:cs="Microsoft Sans Serif"/>
          <w:b/>
          <w:bCs/>
          <w:szCs w:val="22"/>
        </w:rPr>
        <w:br/>
      </w:r>
      <w:r w:rsidRPr="00516F26">
        <w:rPr>
          <w:rFonts w:ascii="Microsoft Sans Serif" w:eastAsia="Microsoft Sans Serif" w:hAnsi="Microsoft Sans Serif" w:cs="Microsoft Sans Serif"/>
          <w:b/>
          <w:bCs/>
          <w:i/>
          <w:iCs/>
          <w:szCs w:val="22"/>
          <w:u w:val="single"/>
        </w:rPr>
        <w:t>ACCEPTS E-SERVICE</w:t>
      </w:r>
    </w:p>
    <w:p w14:paraId="430E8E8F" w14:textId="567B823A" w:rsidR="008167E7" w:rsidRPr="00233A1C" w:rsidRDefault="008167E7" w:rsidP="00233A1C"/>
    <w:sectPr w:rsidR="008167E7" w:rsidRPr="00233A1C" w:rsidSect="00516F26">
      <w:type w:val="continuous"/>
      <w:pgSz w:w="12240" w:h="15840"/>
      <w:pgMar w:top="1440" w:right="1440" w:bottom="1440" w:left="1440"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1CEBB" w14:textId="77777777" w:rsidR="004E40CE" w:rsidRDefault="004E40CE">
      <w:r>
        <w:separator/>
      </w:r>
    </w:p>
  </w:endnote>
  <w:endnote w:type="continuationSeparator" w:id="0">
    <w:p w14:paraId="5D47AD5C" w14:textId="77777777" w:rsidR="004E40CE" w:rsidRDefault="004E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1340" w14:textId="77777777" w:rsidR="00525310" w:rsidRDefault="00525310" w:rsidP="00564F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925B3D" w14:textId="77777777" w:rsidR="00525310" w:rsidRDefault="00525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B1156" w14:textId="77777777" w:rsidR="00525310" w:rsidRPr="00E60449" w:rsidRDefault="00525310" w:rsidP="00564F99">
    <w:pPr>
      <w:pStyle w:val="Footer"/>
      <w:framePr w:wrap="around" w:vAnchor="text" w:hAnchor="margin" w:xAlign="center" w:y="1"/>
      <w:rPr>
        <w:rStyle w:val="PageNumber"/>
        <w:sz w:val="20"/>
        <w:szCs w:val="20"/>
      </w:rPr>
    </w:pPr>
    <w:r w:rsidRPr="00E60449">
      <w:rPr>
        <w:rStyle w:val="PageNumber"/>
        <w:sz w:val="20"/>
        <w:szCs w:val="20"/>
      </w:rPr>
      <w:fldChar w:fldCharType="begin"/>
    </w:r>
    <w:r w:rsidRPr="00E60449">
      <w:rPr>
        <w:rStyle w:val="PageNumber"/>
        <w:sz w:val="20"/>
        <w:szCs w:val="20"/>
      </w:rPr>
      <w:instrText xml:space="preserve">PAGE  </w:instrText>
    </w:r>
    <w:r w:rsidRPr="00E60449">
      <w:rPr>
        <w:rStyle w:val="PageNumber"/>
        <w:sz w:val="20"/>
        <w:szCs w:val="20"/>
      </w:rPr>
      <w:fldChar w:fldCharType="separate"/>
    </w:r>
    <w:r w:rsidR="00F62D9F" w:rsidRPr="00E60449">
      <w:rPr>
        <w:rStyle w:val="PageNumber"/>
        <w:noProof/>
        <w:sz w:val="20"/>
        <w:szCs w:val="20"/>
      </w:rPr>
      <w:t>6</w:t>
    </w:r>
    <w:r w:rsidRPr="00E60449">
      <w:rPr>
        <w:rStyle w:val="PageNumber"/>
        <w:sz w:val="20"/>
        <w:szCs w:val="20"/>
      </w:rPr>
      <w:fldChar w:fldCharType="end"/>
    </w:r>
  </w:p>
  <w:p w14:paraId="2F551491" w14:textId="77777777" w:rsidR="00525310" w:rsidRDefault="0052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F595C" w14:textId="77777777" w:rsidR="004E40CE" w:rsidRDefault="004E40CE">
      <w:r>
        <w:separator/>
      </w:r>
    </w:p>
  </w:footnote>
  <w:footnote w:type="continuationSeparator" w:id="0">
    <w:p w14:paraId="6E4B24D3" w14:textId="77777777" w:rsidR="004E40CE" w:rsidRDefault="004E4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7"/>
      <w:numFmt w:val="none"/>
      <w:suff w:val="nothing"/>
      <w:lvlText w:val="II"/>
      <w:lvlJc w:val="left"/>
      <w:pPr>
        <w:ind w:left="0" w:firstLine="1440"/>
      </w:pPr>
    </w:lvl>
    <w:lvl w:ilvl="1">
      <w:start w:val="1"/>
      <w:numFmt w:val="upperLetter"/>
      <w:suff w:val="nothing"/>
      <w:lvlText w:val="%2."/>
      <w:lvlJc w:val="left"/>
      <w:pPr>
        <w:ind w:left="0" w:firstLine="1440"/>
      </w:pPr>
    </w:lvl>
    <w:lvl w:ilvl="2">
      <w:start w:val="1"/>
      <w:numFmt w:val="none"/>
      <w:suff w:val="nothing"/>
      <w:lvlText w:val="II"/>
      <w:lvlJc w:val="left"/>
      <w:pPr>
        <w:ind w:left="0" w:firstLine="1440"/>
      </w:pPr>
    </w:lvl>
    <w:lvl w:ilvl="3">
      <w:start w:val="1"/>
      <w:numFmt w:val="none"/>
      <w:suff w:val="nothing"/>
      <w:lvlText w:val="II"/>
      <w:lvlJc w:val="left"/>
      <w:pPr>
        <w:ind w:left="0" w:firstLine="1440"/>
      </w:pPr>
    </w:lvl>
    <w:lvl w:ilvl="4">
      <w:start w:val="1"/>
      <w:numFmt w:val="none"/>
      <w:suff w:val="nothing"/>
      <w:lvlText w:val="II"/>
      <w:lvlJc w:val="left"/>
      <w:pPr>
        <w:ind w:left="0" w:firstLine="1440"/>
      </w:pPr>
    </w:lvl>
    <w:lvl w:ilvl="5">
      <w:start w:val="1"/>
      <w:numFmt w:val="none"/>
      <w:suff w:val="nothing"/>
      <w:lvlText w:val="II"/>
      <w:lvlJc w:val="left"/>
      <w:pPr>
        <w:ind w:left="0" w:firstLine="1440"/>
      </w:pPr>
    </w:lvl>
    <w:lvl w:ilvl="6">
      <w:start w:val="1"/>
      <w:numFmt w:val="none"/>
      <w:suff w:val="nothing"/>
      <w:lvlText w:val="II"/>
      <w:lvlJc w:val="left"/>
      <w:pPr>
        <w:ind w:left="0" w:firstLine="1440"/>
      </w:pPr>
    </w:lvl>
    <w:lvl w:ilvl="7">
      <w:start w:val="1"/>
      <w:numFmt w:val="none"/>
      <w:suff w:val="nothing"/>
      <w:lvlText w:val="II"/>
      <w:lvlJc w:val="left"/>
      <w:pPr>
        <w:ind w:left="0" w:firstLine="1440"/>
      </w:pPr>
    </w:lvl>
    <w:lvl w:ilvl="8">
      <w:start w:val="1"/>
      <w:numFmt w:val="lowerRoman"/>
      <w:suff w:val="nothing"/>
      <w:lvlText w:val="%9)"/>
      <w:lvlJc w:val="left"/>
      <w:pPr>
        <w:ind w:left="0" w:firstLine="144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12"/>
    <w:rsid w:val="00000FDD"/>
    <w:rsid w:val="00007ECF"/>
    <w:rsid w:val="00023CE3"/>
    <w:rsid w:val="00026FE3"/>
    <w:rsid w:val="00032ABB"/>
    <w:rsid w:val="00035253"/>
    <w:rsid w:val="000466BA"/>
    <w:rsid w:val="00050834"/>
    <w:rsid w:val="000549E2"/>
    <w:rsid w:val="00061865"/>
    <w:rsid w:val="0009175F"/>
    <w:rsid w:val="00093170"/>
    <w:rsid w:val="000A31F0"/>
    <w:rsid w:val="000B1206"/>
    <w:rsid w:val="000B34D6"/>
    <w:rsid w:val="000E0E81"/>
    <w:rsid w:val="000F24DE"/>
    <w:rsid w:val="001148F3"/>
    <w:rsid w:val="00116914"/>
    <w:rsid w:val="00116A63"/>
    <w:rsid w:val="00125EC7"/>
    <w:rsid w:val="00131CEE"/>
    <w:rsid w:val="00132A2C"/>
    <w:rsid w:val="00146506"/>
    <w:rsid w:val="00167D9D"/>
    <w:rsid w:val="001C2D17"/>
    <w:rsid w:val="001E4562"/>
    <w:rsid w:val="002042DA"/>
    <w:rsid w:val="00233A1C"/>
    <w:rsid w:val="00243D71"/>
    <w:rsid w:val="002536DC"/>
    <w:rsid w:val="002558CA"/>
    <w:rsid w:val="00266D2C"/>
    <w:rsid w:val="00294178"/>
    <w:rsid w:val="002A1A29"/>
    <w:rsid w:val="002A6709"/>
    <w:rsid w:val="002B0386"/>
    <w:rsid w:val="002B0F2A"/>
    <w:rsid w:val="002B732B"/>
    <w:rsid w:val="002C6437"/>
    <w:rsid w:val="002F0CEF"/>
    <w:rsid w:val="002F350A"/>
    <w:rsid w:val="00317A06"/>
    <w:rsid w:val="0033382D"/>
    <w:rsid w:val="003608FC"/>
    <w:rsid w:val="00370502"/>
    <w:rsid w:val="003732B0"/>
    <w:rsid w:val="003B3341"/>
    <w:rsid w:val="003C2B33"/>
    <w:rsid w:val="003D1269"/>
    <w:rsid w:val="003D2106"/>
    <w:rsid w:val="003E299F"/>
    <w:rsid w:val="003F7360"/>
    <w:rsid w:val="00407A89"/>
    <w:rsid w:val="00414844"/>
    <w:rsid w:val="00427D6C"/>
    <w:rsid w:val="00441AC4"/>
    <w:rsid w:val="0044427B"/>
    <w:rsid w:val="004656EF"/>
    <w:rsid w:val="004665BF"/>
    <w:rsid w:val="00470051"/>
    <w:rsid w:val="00471664"/>
    <w:rsid w:val="0048107B"/>
    <w:rsid w:val="004A5563"/>
    <w:rsid w:val="004B4219"/>
    <w:rsid w:val="004B47CD"/>
    <w:rsid w:val="004C51AA"/>
    <w:rsid w:val="004C5825"/>
    <w:rsid w:val="004E40CE"/>
    <w:rsid w:val="004F2DD3"/>
    <w:rsid w:val="00503677"/>
    <w:rsid w:val="00516F26"/>
    <w:rsid w:val="00520CDE"/>
    <w:rsid w:val="00525310"/>
    <w:rsid w:val="0052731E"/>
    <w:rsid w:val="00540C40"/>
    <w:rsid w:val="005417D4"/>
    <w:rsid w:val="00547421"/>
    <w:rsid w:val="0055592C"/>
    <w:rsid w:val="00561063"/>
    <w:rsid w:val="00564F99"/>
    <w:rsid w:val="005666E9"/>
    <w:rsid w:val="005732F0"/>
    <w:rsid w:val="00591663"/>
    <w:rsid w:val="005A03AC"/>
    <w:rsid w:val="005A1A7B"/>
    <w:rsid w:val="005A359D"/>
    <w:rsid w:val="005A419C"/>
    <w:rsid w:val="005A4FB9"/>
    <w:rsid w:val="005B7F43"/>
    <w:rsid w:val="005C6AE8"/>
    <w:rsid w:val="005E42E2"/>
    <w:rsid w:val="005E7552"/>
    <w:rsid w:val="005F7235"/>
    <w:rsid w:val="005F79A1"/>
    <w:rsid w:val="00601602"/>
    <w:rsid w:val="0060587E"/>
    <w:rsid w:val="00613F8E"/>
    <w:rsid w:val="006528A6"/>
    <w:rsid w:val="0068279C"/>
    <w:rsid w:val="006C155F"/>
    <w:rsid w:val="006D65B9"/>
    <w:rsid w:val="006E2273"/>
    <w:rsid w:val="00713B6D"/>
    <w:rsid w:val="00725837"/>
    <w:rsid w:val="00736A6C"/>
    <w:rsid w:val="007472A4"/>
    <w:rsid w:val="00761700"/>
    <w:rsid w:val="0077699D"/>
    <w:rsid w:val="007842DF"/>
    <w:rsid w:val="007A3CB6"/>
    <w:rsid w:val="007A473A"/>
    <w:rsid w:val="007D59A1"/>
    <w:rsid w:val="007E7E6F"/>
    <w:rsid w:val="007F15A9"/>
    <w:rsid w:val="00807647"/>
    <w:rsid w:val="00810364"/>
    <w:rsid w:val="00811AAD"/>
    <w:rsid w:val="008167E7"/>
    <w:rsid w:val="00884EF3"/>
    <w:rsid w:val="00886EE2"/>
    <w:rsid w:val="00887214"/>
    <w:rsid w:val="00891C48"/>
    <w:rsid w:val="00891C4C"/>
    <w:rsid w:val="008B282B"/>
    <w:rsid w:val="008B6A97"/>
    <w:rsid w:val="008D571C"/>
    <w:rsid w:val="008F3504"/>
    <w:rsid w:val="008F76F4"/>
    <w:rsid w:val="00902012"/>
    <w:rsid w:val="009127EA"/>
    <w:rsid w:val="009155CD"/>
    <w:rsid w:val="009354ED"/>
    <w:rsid w:val="009429B5"/>
    <w:rsid w:val="009734DC"/>
    <w:rsid w:val="0097502E"/>
    <w:rsid w:val="00976176"/>
    <w:rsid w:val="00981E57"/>
    <w:rsid w:val="00990AB0"/>
    <w:rsid w:val="00994DB2"/>
    <w:rsid w:val="0099611B"/>
    <w:rsid w:val="00996EC1"/>
    <w:rsid w:val="00997E1B"/>
    <w:rsid w:val="009B4CC5"/>
    <w:rsid w:val="009C28B2"/>
    <w:rsid w:val="009E4A92"/>
    <w:rsid w:val="00A0107A"/>
    <w:rsid w:val="00A027B6"/>
    <w:rsid w:val="00A26254"/>
    <w:rsid w:val="00A51312"/>
    <w:rsid w:val="00A603B9"/>
    <w:rsid w:val="00A62395"/>
    <w:rsid w:val="00A6376F"/>
    <w:rsid w:val="00A64DF4"/>
    <w:rsid w:val="00A67E9F"/>
    <w:rsid w:val="00A7360A"/>
    <w:rsid w:val="00A90C79"/>
    <w:rsid w:val="00AA19E6"/>
    <w:rsid w:val="00AA6A98"/>
    <w:rsid w:val="00AC17FE"/>
    <w:rsid w:val="00AC332B"/>
    <w:rsid w:val="00AF7CF3"/>
    <w:rsid w:val="00B11623"/>
    <w:rsid w:val="00B31865"/>
    <w:rsid w:val="00B40C6E"/>
    <w:rsid w:val="00B40D5C"/>
    <w:rsid w:val="00B44FC7"/>
    <w:rsid w:val="00B4791C"/>
    <w:rsid w:val="00B5428F"/>
    <w:rsid w:val="00B77B72"/>
    <w:rsid w:val="00B84762"/>
    <w:rsid w:val="00BA4A9C"/>
    <w:rsid w:val="00BC0D66"/>
    <w:rsid w:val="00BE3712"/>
    <w:rsid w:val="00C05BAB"/>
    <w:rsid w:val="00C24F0D"/>
    <w:rsid w:val="00C55DFF"/>
    <w:rsid w:val="00C74544"/>
    <w:rsid w:val="00C95DF6"/>
    <w:rsid w:val="00CA4E9F"/>
    <w:rsid w:val="00CB6667"/>
    <w:rsid w:val="00CC445D"/>
    <w:rsid w:val="00CE3864"/>
    <w:rsid w:val="00CE6651"/>
    <w:rsid w:val="00D20F47"/>
    <w:rsid w:val="00D23480"/>
    <w:rsid w:val="00D27331"/>
    <w:rsid w:val="00D50D84"/>
    <w:rsid w:val="00D53989"/>
    <w:rsid w:val="00D574BF"/>
    <w:rsid w:val="00D7285D"/>
    <w:rsid w:val="00D83BF6"/>
    <w:rsid w:val="00D90471"/>
    <w:rsid w:val="00D96DCB"/>
    <w:rsid w:val="00DB0087"/>
    <w:rsid w:val="00DC611A"/>
    <w:rsid w:val="00DD348A"/>
    <w:rsid w:val="00E01308"/>
    <w:rsid w:val="00E0214A"/>
    <w:rsid w:val="00E0564B"/>
    <w:rsid w:val="00E1455A"/>
    <w:rsid w:val="00E35160"/>
    <w:rsid w:val="00E43123"/>
    <w:rsid w:val="00E520E2"/>
    <w:rsid w:val="00E60449"/>
    <w:rsid w:val="00E81A75"/>
    <w:rsid w:val="00E830EB"/>
    <w:rsid w:val="00E86D7E"/>
    <w:rsid w:val="00E90227"/>
    <w:rsid w:val="00EB7F6E"/>
    <w:rsid w:val="00EC2C25"/>
    <w:rsid w:val="00EC713C"/>
    <w:rsid w:val="00EE7D9E"/>
    <w:rsid w:val="00EF4CC8"/>
    <w:rsid w:val="00EF6A57"/>
    <w:rsid w:val="00EF6A5E"/>
    <w:rsid w:val="00F002AC"/>
    <w:rsid w:val="00F0151F"/>
    <w:rsid w:val="00F06E13"/>
    <w:rsid w:val="00F14E47"/>
    <w:rsid w:val="00F21BF3"/>
    <w:rsid w:val="00F272A6"/>
    <w:rsid w:val="00F32231"/>
    <w:rsid w:val="00F32D0B"/>
    <w:rsid w:val="00F44724"/>
    <w:rsid w:val="00F45196"/>
    <w:rsid w:val="00F618C2"/>
    <w:rsid w:val="00F62D9F"/>
    <w:rsid w:val="00F67790"/>
    <w:rsid w:val="00F71613"/>
    <w:rsid w:val="00F75D17"/>
    <w:rsid w:val="00F77E5B"/>
    <w:rsid w:val="00FA119E"/>
    <w:rsid w:val="00FA39BC"/>
    <w:rsid w:val="00FB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E6207"/>
  <w15:docId w15:val="{D1F63D06-BD29-4FFD-B890-245B9CD9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7421"/>
    <w:rPr>
      <w:color w:val="0000FF"/>
      <w:u w:val="single"/>
    </w:rPr>
  </w:style>
  <w:style w:type="paragraph" w:styleId="Footer">
    <w:name w:val="footer"/>
    <w:basedOn w:val="Normal"/>
    <w:rsid w:val="006C155F"/>
    <w:pPr>
      <w:tabs>
        <w:tab w:val="center" w:pos="4320"/>
        <w:tab w:val="right" w:pos="8640"/>
      </w:tabs>
    </w:pPr>
  </w:style>
  <w:style w:type="character" w:styleId="PageNumber">
    <w:name w:val="page number"/>
    <w:basedOn w:val="DefaultParagraphFont"/>
    <w:rsid w:val="006C155F"/>
  </w:style>
  <w:style w:type="paragraph" w:styleId="BalloonText">
    <w:name w:val="Balloon Text"/>
    <w:basedOn w:val="Normal"/>
    <w:link w:val="BalloonTextChar"/>
    <w:rsid w:val="008167E7"/>
    <w:rPr>
      <w:rFonts w:ascii="Tahoma" w:hAnsi="Tahoma" w:cs="Tahoma"/>
      <w:sz w:val="16"/>
      <w:szCs w:val="16"/>
    </w:rPr>
  </w:style>
  <w:style w:type="character" w:customStyle="1" w:styleId="BalloonTextChar">
    <w:name w:val="Balloon Text Char"/>
    <w:link w:val="BalloonText"/>
    <w:rsid w:val="008167E7"/>
    <w:rPr>
      <w:rFonts w:ascii="Tahoma" w:hAnsi="Tahoma" w:cs="Tahoma"/>
      <w:sz w:val="16"/>
      <w:szCs w:val="16"/>
    </w:rPr>
  </w:style>
  <w:style w:type="paragraph" w:customStyle="1" w:styleId="Level2">
    <w:name w:val="Level 2"/>
    <w:basedOn w:val="Normal"/>
    <w:rsid w:val="00050834"/>
    <w:pPr>
      <w:widowControl w:val="0"/>
    </w:pPr>
    <w:rPr>
      <w:szCs w:val="20"/>
    </w:rPr>
  </w:style>
  <w:style w:type="paragraph" w:styleId="ListParagraph">
    <w:name w:val="List Paragraph"/>
    <w:basedOn w:val="Normal"/>
    <w:uiPriority w:val="34"/>
    <w:qFormat/>
    <w:rsid w:val="00050834"/>
    <w:pPr>
      <w:ind w:left="720"/>
      <w:contextualSpacing/>
    </w:pPr>
  </w:style>
  <w:style w:type="paragraph" w:styleId="FootnoteText">
    <w:name w:val="footnote text"/>
    <w:basedOn w:val="Normal"/>
    <w:link w:val="FootnoteTextChar"/>
    <w:rsid w:val="00E520E2"/>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rsid w:val="00E520E2"/>
  </w:style>
  <w:style w:type="character" w:styleId="FootnoteReference">
    <w:name w:val="footnote reference"/>
    <w:basedOn w:val="DefaultParagraphFont"/>
    <w:rsid w:val="00E520E2"/>
    <w:rPr>
      <w:vertAlign w:val="superscript"/>
    </w:rPr>
  </w:style>
  <w:style w:type="paragraph" w:styleId="Header">
    <w:name w:val="header"/>
    <w:basedOn w:val="Normal"/>
    <w:link w:val="HeaderChar"/>
    <w:unhideWhenUsed/>
    <w:rsid w:val="00E60449"/>
    <w:pPr>
      <w:tabs>
        <w:tab w:val="center" w:pos="4680"/>
        <w:tab w:val="right" w:pos="9360"/>
      </w:tabs>
    </w:pPr>
  </w:style>
  <w:style w:type="character" w:customStyle="1" w:styleId="HeaderChar">
    <w:name w:val="Header Char"/>
    <w:basedOn w:val="DefaultParagraphFont"/>
    <w:link w:val="Header"/>
    <w:rsid w:val="00E604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669657">
      <w:bodyDiv w:val="1"/>
      <w:marLeft w:val="0"/>
      <w:marRight w:val="0"/>
      <w:marTop w:val="0"/>
      <w:marBottom w:val="0"/>
      <w:divBdr>
        <w:top w:val="none" w:sz="0" w:space="0" w:color="auto"/>
        <w:left w:val="none" w:sz="0" w:space="0" w:color="auto"/>
        <w:bottom w:val="none" w:sz="0" w:space="0" w:color="auto"/>
        <w:right w:val="none" w:sz="0" w:space="0" w:color="auto"/>
      </w:divBdr>
    </w:div>
    <w:div w:id="20528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68B8-768A-44C4-AB7E-9F12B42E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mnemec</dc:creator>
  <cp:lastModifiedBy>Miskanic, Nicholas</cp:lastModifiedBy>
  <cp:revision>2</cp:revision>
  <cp:lastPrinted>2012-04-13T13:27:00Z</cp:lastPrinted>
  <dcterms:created xsi:type="dcterms:W3CDTF">2020-03-11T18:47:00Z</dcterms:created>
  <dcterms:modified xsi:type="dcterms:W3CDTF">2020-03-11T18:47:00Z</dcterms:modified>
</cp:coreProperties>
</file>