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111D8" w14:textId="77777777" w:rsidR="0000017F" w:rsidRPr="007A6CA6" w:rsidRDefault="0000017F" w:rsidP="0000017F">
      <w:pPr>
        <w:spacing w:line="240" w:lineRule="auto"/>
        <w:ind w:firstLine="0"/>
        <w:rPr>
          <w:b/>
          <w:sz w:val="26"/>
          <w:szCs w:val="26"/>
        </w:rPr>
      </w:pPr>
      <w:r w:rsidRPr="007A6CA6">
        <w:rPr>
          <w:b/>
          <w:sz w:val="26"/>
          <w:szCs w:val="26"/>
        </w:rPr>
        <w:t>PENNSYLVANIA</w:t>
      </w:r>
    </w:p>
    <w:p w14:paraId="30467C76" w14:textId="77777777" w:rsidR="0000017F" w:rsidRPr="007A6CA6" w:rsidRDefault="0000017F" w:rsidP="0000017F">
      <w:pPr>
        <w:spacing w:line="240" w:lineRule="auto"/>
        <w:ind w:firstLine="0"/>
        <w:rPr>
          <w:b/>
          <w:sz w:val="26"/>
          <w:szCs w:val="26"/>
        </w:rPr>
      </w:pPr>
      <w:r w:rsidRPr="007A6CA6">
        <w:rPr>
          <w:b/>
          <w:sz w:val="26"/>
          <w:szCs w:val="26"/>
        </w:rPr>
        <w:t>PUBLIC UTILITY COMMISSION</w:t>
      </w:r>
    </w:p>
    <w:p w14:paraId="1B219169" w14:textId="77777777" w:rsidR="0000017F" w:rsidRPr="007A6CA6" w:rsidRDefault="0000017F" w:rsidP="00594F26">
      <w:pPr>
        <w:spacing w:line="240" w:lineRule="auto"/>
        <w:ind w:firstLine="0"/>
        <w:rPr>
          <w:sz w:val="26"/>
          <w:szCs w:val="26"/>
        </w:rPr>
      </w:pPr>
      <w:r w:rsidRPr="007A6CA6">
        <w:rPr>
          <w:b/>
          <w:sz w:val="26"/>
          <w:szCs w:val="26"/>
        </w:rPr>
        <w:t>Harrisburg, PA 171</w:t>
      </w:r>
      <w:r w:rsidR="005D3A31" w:rsidRPr="007A6CA6">
        <w:rPr>
          <w:b/>
          <w:sz w:val="26"/>
          <w:szCs w:val="26"/>
        </w:rPr>
        <w:t>20</w:t>
      </w:r>
    </w:p>
    <w:p w14:paraId="71D43B1D" w14:textId="77777777" w:rsidR="00594F26" w:rsidRPr="007A6CA6" w:rsidRDefault="00594F26" w:rsidP="0000017F">
      <w:pPr>
        <w:ind w:firstLine="0"/>
        <w:jc w:val="right"/>
        <w:rPr>
          <w:sz w:val="26"/>
          <w:szCs w:val="26"/>
        </w:rPr>
      </w:pPr>
    </w:p>
    <w:p w14:paraId="75ECBCCC" w14:textId="77777777" w:rsidR="0000017F" w:rsidRPr="007A6CA6" w:rsidRDefault="0000017F" w:rsidP="0000017F">
      <w:pPr>
        <w:ind w:firstLine="0"/>
        <w:jc w:val="right"/>
        <w:rPr>
          <w:sz w:val="26"/>
          <w:szCs w:val="26"/>
        </w:rPr>
      </w:pPr>
      <w:r w:rsidRPr="007A6CA6">
        <w:rPr>
          <w:sz w:val="26"/>
          <w:szCs w:val="26"/>
        </w:rPr>
        <w:t xml:space="preserve">Public Meeting held </w:t>
      </w:r>
      <w:r w:rsidR="004A5C59" w:rsidRPr="007A6CA6">
        <w:rPr>
          <w:sz w:val="26"/>
          <w:szCs w:val="26"/>
        </w:rPr>
        <w:t xml:space="preserve">March </w:t>
      </w:r>
      <w:r w:rsidR="009B797C" w:rsidRPr="007A6CA6">
        <w:rPr>
          <w:sz w:val="26"/>
          <w:szCs w:val="26"/>
        </w:rPr>
        <w:t>12</w:t>
      </w:r>
      <w:r w:rsidRPr="007A6CA6">
        <w:rPr>
          <w:sz w:val="26"/>
          <w:szCs w:val="26"/>
        </w:rPr>
        <w:t>,</w:t>
      </w:r>
      <w:r w:rsidRPr="007A6CA6">
        <w:rPr>
          <w:kern w:val="1"/>
          <w:sz w:val="26"/>
          <w:szCs w:val="26"/>
        </w:rPr>
        <w:t xml:space="preserve"> 2020</w:t>
      </w:r>
    </w:p>
    <w:p w14:paraId="1613C24B" w14:textId="77777777" w:rsidR="0000017F" w:rsidRPr="007A6CA6" w:rsidRDefault="0000017F" w:rsidP="0000017F">
      <w:pPr>
        <w:spacing w:line="240" w:lineRule="auto"/>
        <w:ind w:firstLine="0"/>
        <w:jc w:val="left"/>
        <w:rPr>
          <w:sz w:val="26"/>
          <w:szCs w:val="26"/>
        </w:rPr>
      </w:pPr>
    </w:p>
    <w:p w14:paraId="0F11652E" w14:textId="77777777" w:rsidR="0000017F" w:rsidRPr="007A6CA6" w:rsidRDefault="0000017F" w:rsidP="0000017F">
      <w:pPr>
        <w:spacing w:line="240" w:lineRule="auto"/>
        <w:ind w:firstLine="0"/>
        <w:jc w:val="left"/>
        <w:rPr>
          <w:sz w:val="26"/>
          <w:szCs w:val="26"/>
        </w:rPr>
      </w:pPr>
      <w:r w:rsidRPr="007A6CA6">
        <w:rPr>
          <w:sz w:val="26"/>
          <w:szCs w:val="26"/>
        </w:rPr>
        <w:t>Commissioners Present:</w:t>
      </w:r>
    </w:p>
    <w:p w14:paraId="29635673" w14:textId="77777777" w:rsidR="0000017F" w:rsidRPr="007A6CA6" w:rsidRDefault="0000017F" w:rsidP="0000017F">
      <w:pPr>
        <w:spacing w:line="240" w:lineRule="auto"/>
        <w:ind w:firstLine="0"/>
        <w:jc w:val="left"/>
        <w:rPr>
          <w:sz w:val="26"/>
          <w:szCs w:val="26"/>
        </w:rPr>
      </w:pPr>
    </w:p>
    <w:p w14:paraId="62F85138" w14:textId="77777777" w:rsidR="0000017F" w:rsidRPr="007A6CA6" w:rsidRDefault="0000017F" w:rsidP="0000017F">
      <w:pPr>
        <w:tabs>
          <w:tab w:val="left" w:pos="-720"/>
        </w:tabs>
        <w:spacing w:line="240" w:lineRule="auto"/>
        <w:jc w:val="left"/>
        <w:rPr>
          <w:rFonts w:eastAsia="Times New Roman"/>
          <w:sz w:val="26"/>
          <w:szCs w:val="26"/>
        </w:rPr>
      </w:pPr>
      <w:r w:rsidRPr="007A6CA6">
        <w:rPr>
          <w:rFonts w:eastAsia="Times New Roman"/>
          <w:sz w:val="26"/>
          <w:szCs w:val="26"/>
        </w:rPr>
        <w:t>Gladys Brown Dutrieuille, Chairman</w:t>
      </w:r>
    </w:p>
    <w:p w14:paraId="6B50AA35" w14:textId="77777777" w:rsidR="0000017F" w:rsidRPr="007A6CA6" w:rsidRDefault="0000017F" w:rsidP="0000017F">
      <w:pPr>
        <w:tabs>
          <w:tab w:val="left" w:pos="-720"/>
        </w:tabs>
        <w:spacing w:line="240" w:lineRule="auto"/>
        <w:jc w:val="both"/>
        <w:rPr>
          <w:rFonts w:eastAsia="Times New Roman"/>
          <w:sz w:val="26"/>
          <w:szCs w:val="26"/>
        </w:rPr>
      </w:pPr>
      <w:r w:rsidRPr="007A6CA6">
        <w:rPr>
          <w:rFonts w:eastAsia="Times New Roman"/>
          <w:sz w:val="26"/>
          <w:szCs w:val="26"/>
        </w:rPr>
        <w:t>David W. Sweet, Vice Chairman</w:t>
      </w:r>
    </w:p>
    <w:p w14:paraId="109E9D6E" w14:textId="77777777" w:rsidR="0000017F" w:rsidRPr="007A6CA6" w:rsidRDefault="0000017F" w:rsidP="0000017F">
      <w:pPr>
        <w:tabs>
          <w:tab w:val="left" w:pos="-720"/>
        </w:tabs>
        <w:spacing w:line="240" w:lineRule="auto"/>
        <w:jc w:val="both"/>
        <w:rPr>
          <w:rFonts w:eastAsia="Times New Roman"/>
          <w:sz w:val="26"/>
          <w:szCs w:val="26"/>
        </w:rPr>
      </w:pPr>
      <w:r w:rsidRPr="007A6CA6">
        <w:rPr>
          <w:rFonts w:eastAsia="Times New Roman"/>
          <w:sz w:val="26"/>
          <w:szCs w:val="26"/>
        </w:rPr>
        <w:t>Andrew G. Place</w:t>
      </w:r>
    </w:p>
    <w:p w14:paraId="300A4746" w14:textId="77777777" w:rsidR="0000017F" w:rsidRPr="007A6CA6" w:rsidRDefault="0000017F" w:rsidP="0000017F">
      <w:pPr>
        <w:tabs>
          <w:tab w:val="left" w:pos="-720"/>
        </w:tabs>
        <w:spacing w:line="240" w:lineRule="auto"/>
        <w:jc w:val="both"/>
        <w:rPr>
          <w:rFonts w:eastAsia="Times New Roman"/>
          <w:sz w:val="26"/>
          <w:szCs w:val="26"/>
        </w:rPr>
      </w:pPr>
      <w:r w:rsidRPr="007A6CA6">
        <w:rPr>
          <w:rFonts w:eastAsia="Times New Roman"/>
          <w:sz w:val="26"/>
          <w:szCs w:val="26"/>
        </w:rPr>
        <w:t xml:space="preserve">John F. Coleman, Jr. </w:t>
      </w:r>
    </w:p>
    <w:p w14:paraId="155D18C1" w14:textId="77777777" w:rsidR="0000017F" w:rsidRPr="007A6CA6" w:rsidRDefault="0000017F" w:rsidP="0000017F">
      <w:pPr>
        <w:tabs>
          <w:tab w:val="left" w:pos="-720"/>
        </w:tabs>
        <w:spacing w:line="240" w:lineRule="auto"/>
        <w:jc w:val="both"/>
        <w:rPr>
          <w:rFonts w:eastAsia="Times New Roman"/>
          <w:sz w:val="26"/>
          <w:szCs w:val="26"/>
        </w:rPr>
      </w:pPr>
      <w:r w:rsidRPr="007A6CA6">
        <w:rPr>
          <w:rFonts w:eastAsia="Times New Roman"/>
          <w:sz w:val="26"/>
          <w:szCs w:val="26"/>
        </w:rPr>
        <w:t>Ralph V. Yanora</w:t>
      </w:r>
    </w:p>
    <w:p w14:paraId="2F8B732A" w14:textId="77777777" w:rsidR="0000017F" w:rsidRPr="007A6CA6" w:rsidRDefault="0000017F" w:rsidP="0000017F">
      <w:pPr>
        <w:spacing w:line="240" w:lineRule="auto"/>
        <w:ind w:firstLine="0"/>
        <w:jc w:val="left"/>
        <w:rPr>
          <w:sz w:val="26"/>
          <w:szCs w:val="26"/>
        </w:rPr>
      </w:pPr>
    </w:p>
    <w:p w14:paraId="13CDDDF0" w14:textId="77777777" w:rsidR="0000017F" w:rsidRPr="007A6CA6" w:rsidRDefault="0000017F" w:rsidP="0000017F">
      <w:pPr>
        <w:spacing w:line="240" w:lineRule="auto"/>
        <w:ind w:firstLine="0"/>
        <w:rPr>
          <w:sz w:val="26"/>
          <w:szCs w:val="26"/>
        </w:rPr>
      </w:pPr>
    </w:p>
    <w:p w14:paraId="5BC80532" w14:textId="77777777" w:rsidR="007A6CA6" w:rsidRPr="007A6CA6" w:rsidRDefault="007A6CA6" w:rsidP="0000017F">
      <w:pPr>
        <w:spacing w:line="240" w:lineRule="auto"/>
        <w:ind w:firstLine="0"/>
        <w:rPr>
          <w:sz w:val="26"/>
          <w:szCs w:val="26"/>
        </w:rPr>
      </w:pPr>
    </w:p>
    <w:p w14:paraId="237C342B" w14:textId="77777777" w:rsidR="0000017F" w:rsidRPr="007A6CA6" w:rsidRDefault="0000017F" w:rsidP="0000017F">
      <w:pPr>
        <w:tabs>
          <w:tab w:val="left" w:pos="-720"/>
          <w:tab w:val="left" w:pos="0"/>
        </w:tabs>
        <w:suppressAutoHyphens/>
        <w:spacing w:line="240" w:lineRule="auto"/>
        <w:ind w:firstLine="0"/>
        <w:jc w:val="left"/>
        <w:rPr>
          <w:sz w:val="26"/>
          <w:szCs w:val="26"/>
        </w:rPr>
      </w:pPr>
      <w:r w:rsidRPr="007A6CA6">
        <w:rPr>
          <w:sz w:val="26"/>
          <w:szCs w:val="26"/>
        </w:rPr>
        <w:t xml:space="preserve">Adam Kessler </w:t>
      </w:r>
      <w:r w:rsidRPr="007A6CA6">
        <w:rPr>
          <w:sz w:val="26"/>
          <w:szCs w:val="26"/>
        </w:rPr>
        <w:tab/>
      </w:r>
      <w:r w:rsidRPr="007A6CA6">
        <w:rPr>
          <w:sz w:val="26"/>
          <w:szCs w:val="26"/>
        </w:rPr>
        <w:tab/>
      </w:r>
      <w:r w:rsidRPr="007A6CA6">
        <w:rPr>
          <w:sz w:val="26"/>
          <w:szCs w:val="26"/>
        </w:rPr>
        <w:tab/>
      </w:r>
      <w:r w:rsidRPr="007A6CA6">
        <w:rPr>
          <w:sz w:val="26"/>
          <w:szCs w:val="26"/>
        </w:rPr>
        <w:tab/>
      </w:r>
      <w:r w:rsidRPr="007A6CA6">
        <w:rPr>
          <w:sz w:val="26"/>
          <w:szCs w:val="26"/>
        </w:rPr>
        <w:tab/>
      </w:r>
      <w:r w:rsidRPr="007A6CA6">
        <w:rPr>
          <w:sz w:val="26"/>
          <w:szCs w:val="26"/>
        </w:rPr>
        <w:tab/>
      </w:r>
      <w:r w:rsidRPr="007A6CA6">
        <w:rPr>
          <w:sz w:val="26"/>
          <w:szCs w:val="26"/>
        </w:rPr>
        <w:tab/>
      </w:r>
      <w:r w:rsidRPr="007A6CA6">
        <w:rPr>
          <w:sz w:val="26"/>
          <w:szCs w:val="26"/>
        </w:rPr>
        <w:tab/>
        <w:t xml:space="preserve">     C-2017-2630792</w:t>
      </w:r>
    </w:p>
    <w:p w14:paraId="6EEA29C3" w14:textId="77777777" w:rsidR="0000017F" w:rsidRPr="007A6CA6" w:rsidRDefault="0000017F" w:rsidP="0000017F">
      <w:pPr>
        <w:tabs>
          <w:tab w:val="left" w:pos="-720"/>
          <w:tab w:val="left" w:pos="0"/>
        </w:tabs>
        <w:suppressAutoHyphens/>
        <w:spacing w:line="240" w:lineRule="auto"/>
        <w:ind w:firstLine="0"/>
        <w:jc w:val="left"/>
        <w:rPr>
          <w:b/>
          <w:sz w:val="26"/>
          <w:szCs w:val="26"/>
        </w:rPr>
      </w:pPr>
    </w:p>
    <w:p w14:paraId="28511D5F" w14:textId="77777777" w:rsidR="0000017F" w:rsidRPr="007A6CA6" w:rsidRDefault="0000017F" w:rsidP="0000017F">
      <w:pPr>
        <w:tabs>
          <w:tab w:val="left" w:pos="-720"/>
          <w:tab w:val="left" w:pos="0"/>
        </w:tabs>
        <w:suppressAutoHyphens/>
        <w:spacing w:line="240" w:lineRule="auto"/>
        <w:ind w:firstLine="0"/>
        <w:jc w:val="left"/>
        <w:rPr>
          <w:sz w:val="26"/>
          <w:szCs w:val="26"/>
        </w:rPr>
      </w:pPr>
      <w:r w:rsidRPr="007A6CA6">
        <w:rPr>
          <w:b/>
          <w:sz w:val="26"/>
          <w:szCs w:val="26"/>
        </w:rPr>
        <w:tab/>
      </w:r>
      <w:r w:rsidRPr="007A6CA6">
        <w:rPr>
          <w:sz w:val="26"/>
          <w:szCs w:val="26"/>
        </w:rPr>
        <w:t>v.</w:t>
      </w:r>
    </w:p>
    <w:p w14:paraId="4AE07EFB" w14:textId="77777777" w:rsidR="0000017F" w:rsidRPr="007A6CA6" w:rsidRDefault="0000017F" w:rsidP="0000017F">
      <w:pPr>
        <w:tabs>
          <w:tab w:val="left" w:pos="-720"/>
          <w:tab w:val="left" w:pos="0"/>
        </w:tabs>
        <w:suppressAutoHyphens/>
        <w:spacing w:line="240" w:lineRule="auto"/>
        <w:ind w:firstLine="0"/>
        <w:jc w:val="left"/>
        <w:rPr>
          <w:sz w:val="26"/>
          <w:szCs w:val="26"/>
        </w:rPr>
      </w:pPr>
    </w:p>
    <w:p w14:paraId="2174493D" w14:textId="77777777" w:rsidR="0000017F" w:rsidRPr="007A6CA6" w:rsidRDefault="0000017F" w:rsidP="0000017F">
      <w:pPr>
        <w:tabs>
          <w:tab w:val="left" w:pos="-720"/>
          <w:tab w:val="left" w:pos="0"/>
        </w:tabs>
        <w:suppressAutoHyphens/>
        <w:spacing w:line="240" w:lineRule="auto"/>
        <w:ind w:firstLine="0"/>
        <w:jc w:val="left"/>
        <w:rPr>
          <w:sz w:val="26"/>
          <w:szCs w:val="26"/>
        </w:rPr>
      </w:pPr>
      <w:r w:rsidRPr="007A6CA6">
        <w:rPr>
          <w:sz w:val="26"/>
          <w:szCs w:val="26"/>
        </w:rPr>
        <w:t>PECO Energy Company</w:t>
      </w:r>
    </w:p>
    <w:p w14:paraId="052A6BC6" w14:textId="77777777" w:rsidR="0000017F" w:rsidRPr="007A6CA6" w:rsidRDefault="0000017F" w:rsidP="0000017F">
      <w:pPr>
        <w:tabs>
          <w:tab w:val="left" w:pos="-720"/>
          <w:tab w:val="left" w:pos="0"/>
        </w:tabs>
        <w:suppressAutoHyphens/>
        <w:spacing w:line="240" w:lineRule="auto"/>
        <w:ind w:firstLine="0"/>
        <w:jc w:val="left"/>
        <w:rPr>
          <w:sz w:val="26"/>
          <w:szCs w:val="26"/>
        </w:rPr>
      </w:pPr>
    </w:p>
    <w:p w14:paraId="477550C3" w14:textId="77777777" w:rsidR="0000017F" w:rsidRPr="007A6CA6" w:rsidRDefault="0000017F" w:rsidP="0000017F">
      <w:pPr>
        <w:tabs>
          <w:tab w:val="left" w:pos="-720"/>
        </w:tabs>
        <w:suppressAutoHyphens/>
        <w:ind w:firstLine="0"/>
        <w:jc w:val="left"/>
        <w:rPr>
          <w:sz w:val="26"/>
          <w:szCs w:val="26"/>
        </w:rPr>
      </w:pPr>
    </w:p>
    <w:p w14:paraId="7AA82DC4" w14:textId="77777777" w:rsidR="0000017F" w:rsidRPr="007A6CA6" w:rsidRDefault="0000017F" w:rsidP="0000017F">
      <w:pPr>
        <w:tabs>
          <w:tab w:val="left" w:pos="-720"/>
        </w:tabs>
        <w:suppressAutoHyphens/>
        <w:ind w:firstLine="0"/>
        <w:jc w:val="left"/>
        <w:rPr>
          <w:sz w:val="26"/>
          <w:szCs w:val="26"/>
        </w:rPr>
      </w:pPr>
    </w:p>
    <w:p w14:paraId="20F0ABBF" w14:textId="77777777" w:rsidR="0000017F" w:rsidRPr="007A6CA6" w:rsidRDefault="0000017F" w:rsidP="0000017F">
      <w:pPr>
        <w:suppressAutoHyphens/>
        <w:ind w:firstLine="0"/>
        <w:rPr>
          <w:b/>
          <w:sz w:val="26"/>
          <w:szCs w:val="26"/>
        </w:rPr>
      </w:pPr>
      <w:r w:rsidRPr="007A6CA6">
        <w:rPr>
          <w:b/>
          <w:sz w:val="26"/>
          <w:szCs w:val="26"/>
        </w:rPr>
        <w:t xml:space="preserve">OPINION </w:t>
      </w:r>
      <w:smartTag w:uri="urn:schemas-microsoft-com:office:smarttags" w:element="stockticker">
        <w:r w:rsidRPr="007A6CA6">
          <w:rPr>
            <w:b/>
            <w:sz w:val="26"/>
            <w:szCs w:val="26"/>
          </w:rPr>
          <w:t>AND</w:t>
        </w:r>
      </w:smartTag>
      <w:r w:rsidRPr="007A6CA6">
        <w:rPr>
          <w:b/>
          <w:sz w:val="26"/>
          <w:szCs w:val="26"/>
        </w:rPr>
        <w:t xml:space="preserve"> ORDER</w:t>
      </w:r>
    </w:p>
    <w:p w14:paraId="4BF97575" w14:textId="77777777" w:rsidR="0000017F" w:rsidRPr="007A6CA6" w:rsidRDefault="0000017F" w:rsidP="0000017F">
      <w:pPr>
        <w:suppressAutoHyphens/>
        <w:ind w:firstLine="0"/>
        <w:rPr>
          <w:b/>
          <w:sz w:val="26"/>
          <w:szCs w:val="26"/>
        </w:rPr>
      </w:pPr>
    </w:p>
    <w:p w14:paraId="3C1BF6C0" w14:textId="77777777" w:rsidR="0000017F" w:rsidRPr="007A6CA6" w:rsidRDefault="0000017F" w:rsidP="0000017F">
      <w:pPr>
        <w:tabs>
          <w:tab w:val="left" w:pos="-720"/>
        </w:tabs>
        <w:suppressAutoHyphens/>
        <w:ind w:firstLine="0"/>
        <w:jc w:val="left"/>
        <w:rPr>
          <w:sz w:val="26"/>
          <w:szCs w:val="26"/>
        </w:rPr>
      </w:pPr>
      <w:r w:rsidRPr="007A6CA6">
        <w:rPr>
          <w:b/>
          <w:sz w:val="26"/>
          <w:szCs w:val="26"/>
        </w:rPr>
        <w:t>BY THE COMMISSION:</w:t>
      </w:r>
    </w:p>
    <w:p w14:paraId="17D5F726" w14:textId="77777777" w:rsidR="0000017F" w:rsidRPr="007A6CA6" w:rsidRDefault="0000017F" w:rsidP="0000017F">
      <w:pPr>
        <w:ind w:firstLine="0"/>
        <w:jc w:val="left"/>
        <w:rPr>
          <w:sz w:val="26"/>
          <w:szCs w:val="26"/>
        </w:rPr>
      </w:pPr>
    </w:p>
    <w:p w14:paraId="067726A7" w14:textId="26A0951E" w:rsidR="0000017F" w:rsidRPr="007A6CA6" w:rsidRDefault="0000017F" w:rsidP="0000017F">
      <w:pPr>
        <w:ind w:firstLine="1440"/>
        <w:jc w:val="left"/>
        <w:rPr>
          <w:sz w:val="26"/>
          <w:szCs w:val="26"/>
        </w:rPr>
      </w:pPr>
      <w:r w:rsidRPr="007A6CA6">
        <w:rPr>
          <w:sz w:val="26"/>
          <w:szCs w:val="26"/>
        </w:rPr>
        <w:t>Before the Pennsylvania Public Utility Commission (Commission) for consideration and disposition are the Exceptions of Adam Kessler (Complainant or Mr. Kessler) filed on September 27</w:t>
      </w:r>
      <w:r w:rsidR="005F0384" w:rsidRPr="007A6CA6">
        <w:rPr>
          <w:sz w:val="26"/>
          <w:szCs w:val="26"/>
        </w:rPr>
        <w:t xml:space="preserve">, </w:t>
      </w:r>
      <w:r w:rsidRPr="007A6CA6">
        <w:rPr>
          <w:sz w:val="26"/>
          <w:szCs w:val="26"/>
        </w:rPr>
        <w:t xml:space="preserve">2019, to the Initial Decision </w:t>
      </w:r>
      <w:r w:rsidR="000762F2" w:rsidRPr="007A6CA6">
        <w:rPr>
          <w:sz w:val="26"/>
          <w:szCs w:val="26"/>
        </w:rPr>
        <w:t xml:space="preserve">on Remand </w:t>
      </w:r>
      <w:r w:rsidRPr="007A6CA6">
        <w:rPr>
          <w:sz w:val="26"/>
          <w:szCs w:val="26"/>
        </w:rPr>
        <w:t>(</w:t>
      </w:r>
      <w:r w:rsidR="000762F2" w:rsidRPr="007A6CA6">
        <w:rPr>
          <w:sz w:val="26"/>
          <w:szCs w:val="26"/>
        </w:rPr>
        <w:t xml:space="preserve">Initial Decision or </w:t>
      </w:r>
      <w:r w:rsidRPr="007A6CA6">
        <w:rPr>
          <w:sz w:val="26"/>
          <w:szCs w:val="26"/>
        </w:rPr>
        <w:t xml:space="preserve">I.D.) of Administrative Law Judge (ALJ) Marta Guhl, issued on September 20, 2019, in the above-captioned proceeding.  Replies to Exceptions were filed by PECO Energy </w:t>
      </w:r>
      <w:r w:rsidRPr="007A6CA6">
        <w:rPr>
          <w:sz w:val="26"/>
          <w:szCs w:val="26"/>
        </w:rPr>
        <w:lastRenderedPageBreak/>
        <w:t>Company (PECO) on November 21, 2019.</w:t>
      </w:r>
      <w:r w:rsidRPr="007A6CA6">
        <w:rPr>
          <w:rStyle w:val="FootnoteReference"/>
          <w:sz w:val="26"/>
          <w:szCs w:val="26"/>
        </w:rPr>
        <w:footnoteReference w:id="1"/>
      </w:r>
      <w:r w:rsidRPr="007A6CA6">
        <w:rPr>
          <w:sz w:val="26"/>
          <w:szCs w:val="26"/>
        </w:rPr>
        <w:t xml:space="preserve">  For the reasons stated below, we shall</w:t>
      </w:r>
      <w:r w:rsidR="007724F1">
        <w:rPr>
          <w:sz w:val="26"/>
          <w:szCs w:val="26"/>
        </w:rPr>
        <w:t xml:space="preserve"> </w:t>
      </w:r>
      <w:r w:rsidR="0054032B">
        <w:rPr>
          <w:sz w:val="26"/>
          <w:szCs w:val="26"/>
        </w:rPr>
        <w:t xml:space="preserve">deny </w:t>
      </w:r>
      <w:r w:rsidRPr="007A6CA6">
        <w:rPr>
          <w:sz w:val="26"/>
          <w:szCs w:val="26"/>
        </w:rPr>
        <w:t xml:space="preserve"> the Complainant’s Exceptions and</w:t>
      </w:r>
      <w:r w:rsidR="009B797C" w:rsidRPr="007A6CA6">
        <w:rPr>
          <w:sz w:val="26"/>
          <w:szCs w:val="26"/>
        </w:rPr>
        <w:t xml:space="preserve"> </w:t>
      </w:r>
      <w:r w:rsidRPr="007A6CA6">
        <w:rPr>
          <w:sz w:val="26"/>
          <w:szCs w:val="26"/>
        </w:rPr>
        <w:t xml:space="preserve">adopt the ALJ’s Initial Decision that denied the Complainant’s request for a payment arrangement because he did not satisfy his burden to demonstrate that he is eligible for </w:t>
      </w:r>
      <w:r w:rsidR="00C93734" w:rsidRPr="007A6CA6">
        <w:rPr>
          <w:sz w:val="26"/>
          <w:szCs w:val="26"/>
        </w:rPr>
        <w:t>same</w:t>
      </w:r>
      <w:r w:rsidRPr="007A6CA6">
        <w:rPr>
          <w:sz w:val="26"/>
          <w:szCs w:val="26"/>
        </w:rPr>
        <w:t xml:space="preserve"> pursuant to the Public Utility Code</w:t>
      </w:r>
      <w:r w:rsidR="00244A3A" w:rsidRPr="007A6CA6">
        <w:rPr>
          <w:sz w:val="26"/>
          <w:szCs w:val="26"/>
        </w:rPr>
        <w:t xml:space="preserve"> (Code)</w:t>
      </w:r>
      <w:r w:rsidRPr="007A6CA6">
        <w:rPr>
          <w:sz w:val="26"/>
          <w:szCs w:val="26"/>
        </w:rPr>
        <w:t>.</w:t>
      </w:r>
    </w:p>
    <w:p w14:paraId="241290D6" w14:textId="77777777" w:rsidR="0000017F" w:rsidRPr="007A6CA6" w:rsidRDefault="0000017F" w:rsidP="0000017F">
      <w:pPr>
        <w:spacing w:after="200" w:line="276" w:lineRule="auto"/>
        <w:ind w:firstLine="0"/>
        <w:jc w:val="left"/>
        <w:rPr>
          <w:sz w:val="26"/>
          <w:szCs w:val="26"/>
        </w:rPr>
      </w:pPr>
    </w:p>
    <w:p w14:paraId="774B361C" w14:textId="77777777" w:rsidR="0000017F" w:rsidRPr="007A6CA6" w:rsidRDefault="0000017F" w:rsidP="0000017F">
      <w:pPr>
        <w:pStyle w:val="ListParagraph"/>
        <w:keepNext/>
        <w:keepLines/>
        <w:numPr>
          <w:ilvl w:val="0"/>
          <w:numId w:val="1"/>
        </w:numPr>
        <w:ind w:left="0" w:firstLine="0"/>
        <w:rPr>
          <w:b/>
          <w:sz w:val="26"/>
          <w:szCs w:val="26"/>
        </w:rPr>
      </w:pPr>
      <w:r w:rsidRPr="007A6CA6">
        <w:rPr>
          <w:b/>
          <w:sz w:val="26"/>
          <w:szCs w:val="26"/>
        </w:rPr>
        <w:t>History of the Proceeding</w:t>
      </w:r>
    </w:p>
    <w:p w14:paraId="1B67BE3E" w14:textId="77777777" w:rsidR="0000017F" w:rsidRPr="007A6CA6" w:rsidRDefault="0000017F" w:rsidP="0000017F">
      <w:pPr>
        <w:pStyle w:val="ListParagraph"/>
        <w:keepNext/>
        <w:keepLines/>
        <w:ind w:left="0" w:firstLine="0"/>
        <w:jc w:val="both"/>
        <w:rPr>
          <w:b/>
          <w:sz w:val="26"/>
          <w:szCs w:val="26"/>
        </w:rPr>
      </w:pPr>
    </w:p>
    <w:p w14:paraId="75FA23EA" w14:textId="77777777" w:rsidR="008D6761" w:rsidRPr="007A6CA6" w:rsidRDefault="0000017F" w:rsidP="0000017F">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On </w:t>
      </w:r>
      <w:r w:rsidR="005F0384" w:rsidRPr="007A6CA6">
        <w:rPr>
          <w:rFonts w:ascii="Times New Roman" w:hAnsi="Times New Roman" w:cs="Times New Roman"/>
          <w:sz w:val="26"/>
          <w:szCs w:val="26"/>
        </w:rPr>
        <w:t>October 15</w:t>
      </w:r>
      <w:r w:rsidRPr="007A6CA6">
        <w:rPr>
          <w:rFonts w:ascii="Times New Roman" w:hAnsi="Times New Roman" w:cs="Times New Roman"/>
          <w:sz w:val="26"/>
          <w:szCs w:val="26"/>
        </w:rPr>
        <w:t>, 201</w:t>
      </w:r>
      <w:r w:rsidR="005F0384" w:rsidRPr="007A6CA6">
        <w:rPr>
          <w:rFonts w:ascii="Times New Roman" w:hAnsi="Times New Roman" w:cs="Times New Roman"/>
          <w:sz w:val="26"/>
          <w:szCs w:val="26"/>
        </w:rPr>
        <w:t>7</w:t>
      </w:r>
      <w:r w:rsidRPr="007A6CA6">
        <w:rPr>
          <w:rFonts w:ascii="Times New Roman" w:hAnsi="Times New Roman" w:cs="Times New Roman"/>
          <w:sz w:val="26"/>
          <w:szCs w:val="26"/>
        </w:rPr>
        <w:t xml:space="preserve">, Mr. </w:t>
      </w:r>
      <w:r w:rsidR="005F0384" w:rsidRPr="007A6CA6">
        <w:rPr>
          <w:rFonts w:ascii="Times New Roman" w:hAnsi="Times New Roman" w:cs="Times New Roman"/>
          <w:sz w:val="26"/>
          <w:szCs w:val="26"/>
        </w:rPr>
        <w:t>Kessler</w:t>
      </w:r>
      <w:r w:rsidRPr="007A6CA6">
        <w:rPr>
          <w:rFonts w:ascii="Times New Roman" w:hAnsi="Times New Roman" w:cs="Times New Roman"/>
          <w:sz w:val="26"/>
          <w:szCs w:val="26"/>
        </w:rPr>
        <w:t xml:space="preserve"> filed a Formal Complaint (Complaint) with the Commission </w:t>
      </w:r>
      <w:r w:rsidR="005F0384" w:rsidRPr="007A6CA6">
        <w:rPr>
          <w:rFonts w:ascii="Times New Roman" w:hAnsi="Times New Roman" w:cs="Times New Roman"/>
          <w:sz w:val="26"/>
          <w:szCs w:val="26"/>
        </w:rPr>
        <w:t>seeking a payment arrangement on his account</w:t>
      </w:r>
      <w:r w:rsidRPr="007A6CA6">
        <w:rPr>
          <w:rFonts w:ascii="Times New Roman" w:hAnsi="Times New Roman" w:cs="Times New Roman"/>
          <w:sz w:val="26"/>
          <w:szCs w:val="26"/>
        </w:rPr>
        <w:t xml:space="preserve">. </w:t>
      </w:r>
      <w:r w:rsidR="0033775C" w:rsidRPr="007A6CA6">
        <w:rPr>
          <w:rFonts w:ascii="Times New Roman" w:hAnsi="Times New Roman" w:cs="Times New Roman"/>
          <w:sz w:val="26"/>
          <w:szCs w:val="26"/>
        </w:rPr>
        <w:t xml:space="preserve"> Complaint at 2.  In his Complaint, Mr. Kessler did not request any other relief.  </w:t>
      </w:r>
      <w:r w:rsidR="0033775C" w:rsidRPr="007A6CA6">
        <w:rPr>
          <w:rFonts w:ascii="Times New Roman" w:hAnsi="Times New Roman" w:cs="Times New Roman"/>
          <w:i/>
          <w:sz w:val="26"/>
          <w:szCs w:val="26"/>
        </w:rPr>
        <w:t>Id.</w:t>
      </w:r>
      <w:r w:rsidR="0033775C" w:rsidRPr="007A6CA6">
        <w:rPr>
          <w:rFonts w:ascii="Times New Roman" w:hAnsi="Times New Roman" w:cs="Times New Roman"/>
          <w:sz w:val="26"/>
          <w:szCs w:val="26"/>
        </w:rPr>
        <w:t xml:space="preserve"> </w:t>
      </w:r>
    </w:p>
    <w:p w14:paraId="1840CE95" w14:textId="77777777" w:rsidR="008D6761" w:rsidRPr="007A6CA6" w:rsidRDefault="008D6761" w:rsidP="0000017F">
      <w:pPr>
        <w:pStyle w:val="ParaTab1"/>
        <w:tabs>
          <w:tab w:val="num" w:pos="0"/>
          <w:tab w:val="left" w:pos="2070"/>
        </w:tabs>
        <w:spacing w:line="360" w:lineRule="auto"/>
        <w:rPr>
          <w:rFonts w:ascii="Times New Roman" w:hAnsi="Times New Roman" w:cs="Times New Roman"/>
          <w:sz w:val="26"/>
          <w:szCs w:val="26"/>
        </w:rPr>
      </w:pPr>
    </w:p>
    <w:p w14:paraId="0941E64D" w14:textId="77777777" w:rsidR="005F0384" w:rsidRPr="007A6CA6" w:rsidRDefault="005F0384" w:rsidP="0000017F">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On November 8, 2017, PECO filed an Answer and New Matter</w:t>
      </w:r>
      <w:r w:rsidR="00092970" w:rsidRPr="007A6CA6">
        <w:rPr>
          <w:rFonts w:ascii="Times New Roman" w:hAnsi="Times New Roman" w:cs="Times New Roman"/>
          <w:sz w:val="26"/>
          <w:szCs w:val="26"/>
        </w:rPr>
        <w:t xml:space="preserve"> (Answer)</w:t>
      </w:r>
      <w:r w:rsidR="0033775C" w:rsidRPr="007A6CA6">
        <w:rPr>
          <w:rFonts w:ascii="Times New Roman" w:hAnsi="Times New Roman" w:cs="Times New Roman"/>
          <w:sz w:val="26"/>
          <w:szCs w:val="26"/>
        </w:rPr>
        <w:t xml:space="preserve">.  In its Answer, PECO denied </w:t>
      </w:r>
      <w:r w:rsidR="008D6761" w:rsidRPr="007A6CA6">
        <w:rPr>
          <w:rFonts w:ascii="Times New Roman" w:hAnsi="Times New Roman" w:cs="Times New Roman"/>
          <w:sz w:val="26"/>
          <w:szCs w:val="26"/>
        </w:rPr>
        <w:t>all of the Compl</w:t>
      </w:r>
      <w:r w:rsidR="00F767BF" w:rsidRPr="007A6CA6">
        <w:rPr>
          <w:rFonts w:ascii="Times New Roman" w:hAnsi="Times New Roman" w:cs="Times New Roman"/>
          <w:sz w:val="26"/>
          <w:szCs w:val="26"/>
        </w:rPr>
        <w:t>a</w:t>
      </w:r>
      <w:r w:rsidR="008D6761" w:rsidRPr="007A6CA6">
        <w:rPr>
          <w:rFonts w:ascii="Times New Roman" w:hAnsi="Times New Roman" w:cs="Times New Roman"/>
          <w:sz w:val="26"/>
          <w:szCs w:val="26"/>
        </w:rPr>
        <w:t xml:space="preserve">int’s material allegations of fact and conclusions of law.  </w:t>
      </w:r>
      <w:r w:rsidR="00092970" w:rsidRPr="007A6CA6">
        <w:rPr>
          <w:rFonts w:ascii="Times New Roman" w:hAnsi="Times New Roman" w:cs="Times New Roman"/>
          <w:sz w:val="26"/>
          <w:szCs w:val="26"/>
        </w:rPr>
        <w:t>Answer</w:t>
      </w:r>
      <w:r w:rsidR="008D6761" w:rsidRPr="007A6CA6">
        <w:rPr>
          <w:rFonts w:ascii="Times New Roman" w:hAnsi="Times New Roman" w:cs="Times New Roman"/>
          <w:i/>
          <w:iCs/>
          <w:sz w:val="26"/>
          <w:szCs w:val="26"/>
        </w:rPr>
        <w:t xml:space="preserve"> </w:t>
      </w:r>
      <w:r w:rsidR="008D6761" w:rsidRPr="007A6CA6">
        <w:rPr>
          <w:rFonts w:ascii="Times New Roman" w:hAnsi="Times New Roman" w:cs="Times New Roman"/>
          <w:sz w:val="26"/>
          <w:szCs w:val="26"/>
        </w:rPr>
        <w:t>at 2</w:t>
      </w:r>
      <w:r w:rsidR="00092970" w:rsidRPr="007A6CA6">
        <w:rPr>
          <w:rFonts w:ascii="Times New Roman" w:hAnsi="Times New Roman" w:cs="Times New Roman"/>
          <w:sz w:val="26"/>
          <w:szCs w:val="26"/>
        </w:rPr>
        <w:t>-4</w:t>
      </w:r>
      <w:r w:rsidR="008D6761" w:rsidRPr="007A6CA6">
        <w:rPr>
          <w:rFonts w:ascii="Times New Roman" w:hAnsi="Times New Roman" w:cs="Times New Roman"/>
          <w:sz w:val="26"/>
          <w:szCs w:val="26"/>
        </w:rPr>
        <w:t>.  In its New Matter</w:t>
      </w:r>
      <w:r w:rsidRPr="007A6CA6">
        <w:rPr>
          <w:rFonts w:ascii="Times New Roman" w:hAnsi="Times New Roman" w:cs="Times New Roman"/>
          <w:sz w:val="26"/>
          <w:szCs w:val="26"/>
        </w:rPr>
        <w:t xml:space="preserve">, </w:t>
      </w:r>
      <w:r w:rsidR="008D6761" w:rsidRPr="007A6CA6">
        <w:rPr>
          <w:rFonts w:ascii="Times New Roman" w:hAnsi="Times New Roman" w:cs="Times New Roman"/>
          <w:sz w:val="26"/>
          <w:szCs w:val="26"/>
        </w:rPr>
        <w:t xml:space="preserve">PECO averred that the Complainant cannot receive a payment arrangement </w:t>
      </w:r>
      <w:r w:rsidR="00913839" w:rsidRPr="007A6CA6">
        <w:rPr>
          <w:rFonts w:ascii="Times New Roman" w:hAnsi="Times New Roman" w:cs="Times New Roman"/>
          <w:sz w:val="26"/>
          <w:szCs w:val="26"/>
        </w:rPr>
        <w:t>because</w:t>
      </w:r>
      <w:r w:rsidR="008D6761" w:rsidRPr="007A6CA6">
        <w:rPr>
          <w:rFonts w:ascii="Times New Roman" w:hAnsi="Times New Roman" w:cs="Times New Roman"/>
          <w:sz w:val="26"/>
          <w:szCs w:val="26"/>
        </w:rPr>
        <w:t xml:space="preserve"> he has an active Chapter 13 bankruptcy proceeding that </w:t>
      </w:r>
      <w:r w:rsidR="00913839" w:rsidRPr="007A6CA6">
        <w:rPr>
          <w:rFonts w:ascii="Times New Roman" w:hAnsi="Times New Roman" w:cs="Times New Roman"/>
          <w:sz w:val="26"/>
          <w:szCs w:val="26"/>
        </w:rPr>
        <w:t>i</w:t>
      </w:r>
      <w:r w:rsidR="008D6761" w:rsidRPr="007A6CA6">
        <w:rPr>
          <w:rFonts w:ascii="Times New Roman" w:hAnsi="Times New Roman" w:cs="Times New Roman"/>
          <w:sz w:val="26"/>
          <w:szCs w:val="26"/>
        </w:rPr>
        <w:t xml:space="preserve">s pending in the Eastern District of Pennsylvania.  </w:t>
      </w:r>
      <w:r w:rsidR="00092970" w:rsidRPr="007A6CA6">
        <w:rPr>
          <w:rFonts w:ascii="Times New Roman" w:hAnsi="Times New Roman" w:cs="Times New Roman"/>
          <w:i/>
          <w:iCs/>
          <w:sz w:val="26"/>
          <w:szCs w:val="26"/>
        </w:rPr>
        <w:t>Id.</w:t>
      </w:r>
      <w:r w:rsidR="00092970" w:rsidRPr="007A6CA6">
        <w:rPr>
          <w:rFonts w:ascii="Times New Roman" w:hAnsi="Times New Roman" w:cs="Times New Roman"/>
          <w:sz w:val="26"/>
          <w:szCs w:val="26"/>
        </w:rPr>
        <w:t xml:space="preserve"> at 4-5</w:t>
      </w:r>
      <w:r w:rsidRPr="007A6CA6">
        <w:rPr>
          <w:rFonts w:ascii="Times New Roman" w:hAnsi="Times New Roman" w:cs="Times New Roman"/>
          <w:sz w:val="26"/>
          <w:szCs w:val="26"/>
        </w:rPr>
        <w:t>.</w:t>
      </w:r>
    </w:p>
    <w:p w14:paraId="402CC5FB" w14:textId="77777777" w:rsidR="008D6761" w:rsidRPr="007A6CA6" w:rsidRDefault="008D6761" w:rsidP="0000017F">
      <w:pPr>
        <w:pStyle w:val="ParaTab1"/>
        <w:tabs>
          <w:tab w:val="num" w:pos="0"/>
          <w:tab w:val="left" w:pos="2070"/>
        </w:tabs>
        <w:spacing w:line="360" w:lineRule="auto"/>
        <w:rPr>
          <w:rFonts w:ascii="Times New Roman" w:hAnsi="Times New Roman" w:cs="Times New Roman"/>
          <w:sz w:val="26"/>
          <w:szCs w:val="26"/>
        </w:rPr>
      </w:pPr>
    </w:p>
    <w:p w14:paraId="10B3F5E5" w14:textId="1289664B" w:rsidR="00F65669" w:rsidRDefault="008D6761" w:rsidP="006140EB">
      <w:pPr>
        <w:pStyle w:val="ParaTab1"/>
        <w:tabs>
          <w:tab w:val="clear" w:pos="-72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Mr. Kessler did not file any responses to New Matter. </w:t>
      </w:r>
      <w:r w:rsidR="00FA7932" w:rsidRPr="007A6CA6">
        <w:rPr>
          <w:rStyle w:val="FootnoteReference"/>
          <w:rFonts w:ascii="Times New Roman" w:hAnsi="Times New Roman" w:cs="Times New Roman"/>
          <w:sz w:val="26"/>
          <w:szCs w:val="26"/>
        </w:rPr>
        <w:footnoteReference w:id="2"/>
      </w:r>
      <w:r w:rsidRPr="007A6CA6">
        <w:rPr>
          <w:rFonts w:ascii="Times New Roman" w:hAnsi="Times New Roman" w:cs="Times New Roman"/>
          <w:sz w:val="26"/>
          <w:szCs w:val="26"/>
        </w:rPr>
        <w:t xml:space="preserve"> </w:t>
      </w:r>
    </w:p>
    <w:p w14:paraId="3C260FCE" w14:textId="77777777" w:rsidR="00BF330A" w:rsidRPr="007A6CA6" w:rsidRDefault="00BF330A" w:rsidP="006140EB">
      <w:pPr>
        <w:pStyle w:val="ParaTab1"/>
        <w:tabs>
          <w:tab w:val="clear" w:pos="-720"/>
        </w:tabs>
        <w:spacing w:line="360" w:lineRule="auto"/>
        <w:rPr>
          <w:rFonts w:ascii="Times New Roman" w:hAnsi="Times New Roman" w:cs="Times New Roman"/>
          <w:sz w:val="26"/>
          <w:szCs w:val="26"/>
        </w:rPr>
      </w:pPr>
    </w:p>
    <w:p w14:paraId="62ECFF26" w14:textId="77777777" w:rsidR="00F65669" w:rsidRPr="007A6CA6" w:rsidRDefault="005F0384" w:rsidP="0000017F">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An initial hearing was scheduled and then rescheduled at the request of the parties for March 23, 2018.  On the eve of the hearing, Mr. Kessler emailed PECO </w:t>
      </w:r>
      <w:r w:rsidRPr="007A6CA6">
        <w:rPr>
          <w:rFonts w:ascii="Times New Roman" w:hAnsi="Times New Roman" w:cs="Times New Roman"/>
          <w:sz w:val="26"/>
          <w:szCs w:val="26"/>
        </w:rPr>
        <w:lastRenderedPageBreak/>
        <w:t xml:space="preserve">indicating that he wanted to withdraw his complaint.  PECO did not oppose that withdrawal and ALJ Guhl issued an Initial Decision dismissing the complaint on June 25, 2018.  </w:t>
      </w:r>
      <w:r w:rsidR="00F65669" w:rsidRPr="007A6CA6">
        <w:rPr>
          <w:rFonts w:ascii="Times New Roman" w:hAnsi="Times New Roman" w:cs="Times New Roman"/>
          <w:sz w:val="26"/>
          <w:szCs w:val="26"/>
        </w:rPr>
        <w:t xml:space="preserve">Mr. Kessler filed </w:t>
      </w:r>
      <w:r w:rsidR="00A57636" w:rsidRPr="007A6CA6">
        <w:rPr>
          <w:rFonts w:ascii="Times New Roman" w:hAnsi="Times New Roman" w:cs="Times New Roman"/>
          <w:sz w:val="26"/>
          <w:szCs w:val="26"/>
        </w:rPr>
        <w:t>E</w:t>
      </w:r>
      <w:r w:rsidR="00F65669" w:rsidRPr="007A6CA6">
        <w:rPr>
          <w:rFonts w:ascii="Times New Roman" w:hAnsi="Times New Roman" w:cs="Times New Roman"/>
          <w:sz w:val="26"/>
          <w:szCs w:val="26"/>
        </w:rPr>
        <w:t>xceptions to the Initial Decision on July 25</w:t>
      </w:r>
      <w:r w:rsidR="00071B6F" w:rsidRPr="007A6CA6">
        <w:rPr>
          <w:rFonts w:ascii="Times New Roman" w:hAnsi="Times New Roman" w:cs="Times New Roman"/>
          <w:sz w:val="26"/>
          <w:szCs w:val="26"/>
        </w:rPr>
        <w:t xml:space="preserve">, </w:t>
      </w:r>
      <w:r w:rsidR="00E40CB0" w:rsidRPr="007A6CA6">
        <w:rPr>
          <w:rFonts w:ascii="Times New Roman" w:hAnsi="Times New Roman" w:cs="Times New Roman"/>
          <w:sz w:val="26"/>
          <w:szCs w:val="26"/>
        </w:rPr>
        <w:t xml:space="preserve">2018, </w:t>
      </w:r>
      <w:r w:rsidR="00071B6F" w:rsidRPr="007A6CA6">
        <w:rPr>
          <w:rFonts w:ascii="Times New Roman" w:hAnsi="Times New Roman" w:cs="Times New Roman"/>
          <w:sz w:val="26"/>
          <w:szCs w:val="26"/>
        </w:rPr>
        <w:t xml:space="preserve">disputing the factual basis underlying his request to withdraw the Complaint.  </w:t>
      </w:r>
      <w:r w:rsidR="00F65669" w:rsidRPr="007A6CA6">
        <w:rPr>
          <w:rFonts w:ascii="Times New Roman" w:hAnsi="Times New Roman" w:cs="Times New Roman"/>
          <w:sz w:val="26"/>
          <w:szCs w:val="26"/>
        </w:rPr>
        <w:t xml:space="preserve">PECO filed Replies to Exceptions on July 31, 2018.  On January 17, 2019, the Commission entered an Opinion and Order granting </w:t>
      </w:r>
      <w:r w:rsidR="00E40CB0" w:rsidRPr="007A6CA6">
        <w:rPr>
          <w:rFonts w:ascii="Times New Roman" w:hAnsi="Times New Roman" w:cs="Times New Roman"/>
          <w:sz w:val="26"/>
          <w:szCs w:val="26"/>
        </w:rPr>
        <w:t xml:space="preserve">the </w:t>
      </w:r>
      <w:r w:rsidR="00F65669" w:rsidRPr="007A6CA6">
        <w:rPr>
          <w:rFonts w:ascii="Times New Roman" w:hAnsi="Times New Roman" w:cs="Times New Roman"/>
          <w:sz w:val="26"/>
          <w:szCs w:val="26"/>
        </w:rPr>
        <w:t xml:space="preserve">Complainant’s Exceptions and remanding the matter for a hearing </w:t>
      </w:r>
      <w:r w:rsidR="00071B6F" w:rsidRPr="007A6CA6">
        <w:rPr>
          <w:rFonts w:ascii="Times New Roman" w:hAnsi="Times New Roman" w:cs="Times New Roman"/>
          <w:sz w:val="26"/>
          <w:szCs w:val="26"/>
        </w:rPr>
        <w:t>as deemed necessary.</w:t>
      </w:r>
    </w:p>
    <w:p w14:paraId="39052E0C" w14:textId="77777777" w:rsidR="00F65669" w:rsidRPr="007A6CA6" w:rsidRDefault="00F65669" w:rsidP="0000017F">
      <w:pPr>
        <w:pStyle w:val="ParaTab1"/>
        <w:tabs>
          <w:tab w:val="num" w:pos="0"/>
          <w:tab w:val="left" w:pos="2070"/>
        </w:tabs>
        <w:spacing w:line="360" w:lineRule="auto"/>
        <w:rPr>
          <w:rFonts w:ascii="Times New Roman" w:hAnsi="Times New Roman" w:cs="Times New Roman"/>
          <w:sz w:val="26"/>
          <w:szCs w:val="26"/>
        </w:rPr>
      </w:pPr>
    </w:p>
    <w:p w14:paraId="16C442A7" w14:textId="77777777" w:rsidR="00913E3E" w:rsidRPr="007A6CA6" w:rsidRDefault="00F65669" w:rsidP="0000017F">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On April 10, 2019, a Hearing Notice was issued and on May 21, 2019, ALJ Guhl convened the hearing as noticed.  The Complainant </w:t>
      </w:r>
      <w:r w:rsidR="000762F2" w:rsidRPr="007A6CA6">
        <w:rPr>
          <w:rFonts w:ascii="Times New Roman" w:hAnsi="Times New Roman" w:cs="Times New Roman"/>
          <w:sz w:val="26"/>
          <w:szCs w:val="26"/>
        </w:rPr>
        <w:t xml:space="preserve">appeared </w:t>
      </w:r>
      <w:r w:rsidR="000762F2" w:rsidRPr="007A6CA6">
        <w:rPr>
          <w:rFonts w:ascii="Times New Roman" w:hAnsi="Times New Roman" w:cs="Times New Roman"/>
          <w:i/>
          <w:iCs/>
          <w:sz w:val="26"/>
          <w:szCs w:val="26"/>
        </w:rPr>
        <w:t>pro se</w:t>
      </w:r>
      <w:r w:rsidR="000762F2" w:rsidRPr="007A6CA6">
        <w:rPr>
          <w:rFonts w:ascii="Times New Roman" w:hAnsi="Times New Roman" w:cs="Times New Roman"/>
          <w:sz w:val="26"/>
          <w:szCs w:val="26"/>
        </w:rPr>
        <w:t xml:space="preserve"> and testified </w:t>
      </w:r>
      <w:r w:rsidR="00913E3E" w:rsidRPr="007A6CA6">
        <w:rPr>
          <w:rFonts w:ascii="Times New Roman" w:hAnsi="Times New Roman" w:cs="Times New Roman"/>
          <w:sz w:val="26"/>
          <w:szCs w:val="26"/>
        </w:rPr>
        <w:t>o</w:t>
      </w:r>
      <w:r w:rsidR="000762F2" w:rsidRPr="007A6CA6">
        <w:rPr>
          <w:rFonts w:ascii="Times New Roman" w:hAnsi="Times New Roman" w:cs="Times New Roman"/>
          <w:sz w:val="26"/>
          <w:szCs w:val="26"/>
        </w:rPr>
        <w:t>n</w:t>
      </w:r>
      <w:r w:rsidR="00913E3E" w:rsidRPr="007A6CA6">
        <w:rPr>
          <w:rFonts w:ascii="Times New Roman" w:hAnsi="Times New Roman" w:cs="Times New Roman"/>
          <w:sz w:val="26"/>
          <w:szCs w:val="26"/>
        </w:rPr>
        <w:t xml:space="preserve"> his own behalf.  PECO was represented by counsel and presented the testimony of one witness and offered seven exhibits </w:t>
      </w:r>
      <w:r w:rsidR="00E40CB0" w:rsidRPr="007A6CA6">
        <w:rPr>
          <w:rFonts w:ascii="Times New Roman" w:hAnsi="Times New Roman" w:cs="Times New Roman"/>
          <w:sz w:val="26"/>
          <w:szCs w:val="26"/>
        </w:rPr>
        <w:t>into</w:t>
      </w:r>
      <w:r w:rsidR="00913E3E" w:rsidRPr="007A6CA6">
        <w:rPr>
          <w:rFonts w:ascii="Times New Roman" w:hAnsi="Times New Roman" w:cs="Times New Roman"/>
          <w:sz w:val="26"/>
          <w:szCs w:val="26"/>
        </w:rPr>
        <w:t xml:space="preserve"> the record.  The record closed on June 24, 2019, upon the ALJ’s receipt of the 48-page hearing transcript.</w:t>
      </w:r>
    </w:p>
    <w:p w14:paraId="023DAE4E" w14:textId="77777777" w:rsidR="00913E3E" w:rsidRPr="007A6CA6" w:rsidRDefault="00913E3E" w:rsidP="0000017F">
      <w:pPr>
        <w:pStyle w:val="ParaTab1"/>
        <w:tabs>
          <w:tab w:val="num" w:pos="0"/>
          <w:tab w:val="left" w:pos="2070"/>
        </w:tabs>
        <w:spacing w:line="360" w:lineRule="auto"/>
        <w:rPr>
          <w:rFonts w:ascii="Times New Roman" w:hAnsi="Times New Roman" w:cs="Times New Roman"/>
          <w:sz w:val="26"/>
          <w:szCs w:val="26"/>
        </w:rPr>
      </w:pPr>
    </w:p>
    <w:p w14:paraId="13548B34" w14:textId="77777777" w:rsidR="00DD5366" w:rsidRPr="007A6CA6" w:rsidRDefault="0079753E" w:rsidP="0000017F">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On September 20, 2019, </w:t>
      </w:r>
      <w:r w:rsidR="00EC785D" w:rsidRPr="007A6CA6">
        <w:rPr>
          <w:rFonts w:ascii="Times New Roman" w:hAnsi="Times New Roman" w:cs="Times New Roman"/>
          <w:sz w:val="26"/>
          <w:szCs w:val="26"/>
        </w:rPr>
        <w:t>ALJ Guhl i</w:t>
      </w:r>
      <w:r w:rsidRPr="007A6CA6">
        <w:rPr>
          <w:rFonts w:ascii="Times New Roman" w:hAnsi="Times New Roman" w:cs="Times New Roman"/>
          <w:sz w:val="26"/>
          <w:szCs w:val="26"/>
        </w:rPr>
        <w:t>ssued an</w:t>
      </w:r>
      <w:r w:rsidR="00EC785D" w:rsidRPr="007A6CA6">
        <w:rPr>
          <w:rFonts w:ascii="Times New Roman" w:hAnsi="Times New Roman" w:cs="Times New Roman"/>
          <w:sz w:val="26"/>
          <w:szCs w:val="26"/>
        </w:rPr>
        <w:t xml:space="preserve"> Initial Decision</w:t>
      </w:r>
      <w:r w:rsidR="000762F2" w:rsidRPr="007A6CA6">
        <w:rPr>
          <w:rFonts w:ascii="Times New Roman" w:hAnsi="Times New Roman" w:cs="Times New Roman"/>
          <w:sz w:val="26"/>
          <w:szCs w:val="26"/>
        </w:rPr>
        <w:t xml:space="preserve"> on Remand</w:t>
      </w:r>
      <w:r w:rsidR="00EC785D" w:rsidRPr="007A6CA6">
        <w:rPr>
          <w:rFonts w:ascii="Times New Roman" w:hAnsi="Times New Roman" w:cs="Times New Roman"/>
          <w:sz w:val="26"/>
          <w:szCs w:val="26"/>
        </w:rPr>
        <w:t xml:space="preserve"> dismissing the </w:t>
      </w:r>
      <w:r w:rsidR="00E40CB0" w:rsidRPr="007A6CA6">
        <w:rPr>
          <w:rFonts w:ascii="Times New Roman" w:hAnsi="Times New Roman" w:cs="Times New Roman"/>
          <w:sz w:val="26"/>
          <w:szCs w:val="26"/>
        </w:rPr>
        <w:t>C</w:t>
      </w:r>
      <w:r w:rsidR="00EC785D" w:rsidRPr="007A6CA6">
        <w:rPr>
          <w:rFonts w:ascii="Times New Roman" w:hAnsi="Times New Roman" w:cs="Times New Roman"/>
          <w:sz w:val="26"/>
          <w:szCs w:val="26"/>
        </w:rPr>
        <w:t>omplaint for lack of jurisdiction</w:t>
      </w:r>
      <w:r w:rsidRPr="007A6CA6">
        <w:rPr>
          <w:rFonts w:ascii="Times New Roman" w:hAnsi="Times New Roman" w:cs="Times New Roman"/>
          <w:sz w:val="26"/>
          <w:szCs w:val="26"/>
        </w:rPr>
        <w:t xml:space="preserve"> due to the pendency of </w:t>
      </w:r>
      <w:r w:rsidR="00E40CB0" w:rsidRPr="007A6CA6">
        <w:rPr>
          <w:rFonts w:ascii="Times New Roman" w:hAnsi="Times New Roman" w:cs="Times New Roman"/>
          <w:sz w:val="26"/>
          <w:szCs w:val="26"/>
        </w:rPr>
        <w:t xml:space="preserve">the </w:t>
      </w:r>
      <w:r w:rsidRPr="007A6CA6">
        <w:rPr>
          <w:rFonts w:ascii="Times New Roman" w:hAnsi="Times New Roman" w:cs="Times New Roman"/>
          <w:sz w:val="26"/>
          <w:szCs w:val="26"/>
        </w:rPr>
        <w:t xml:space="preserve">Complainant’s bankruptcy proceeding. </w:t>
      </w:r>
      <w:r w:rsidR="00EC785D" w:rsidRPr="007A6CA6">
        <w:rPr>
          <w:rFonts w:ascii="Times New Roman" w:hAnsi="Times New Roman" w:cs="Times New Roman"/>
          <w:sz w:val="26"/>
          <w:szCs w:val="26"/>
        </w:rPr>
        <w:t xml:space="preserve"> </w:t>
      </w:r>
    </w:p>
    <w:p w14:paraId="2D6D0B75" w14:textId="77777777" w:rsidR="0000017F" w:rsidRPr="007A6CA6" w:rsidRDefault="0000017F" w:rsidP="0000017F">
      <w:pPr>
        <w:pStyle w:val="ParaTab1"/>
        <w:tabs>
          <w:tab w:val="left" w:pos="0"/>
        </w:tabs>
        <w:spacing w:line="360" w:lineRule="auto"/>
        <w:ind w:firstLine="0"/>
        <w:rPr>
          <w:rFonts w:ascii="Times New Roman" w:hAnsi="Times New Roman" w:cs="Times New Roman"/>
          <w:sz w:val="26"/>
          <w:szCs w:val="26"/>
        </w:rPr>
      </w:pPr>
    </w:p>
    <w:p w14:paraId="4B5D4F82" w14:textId="77777777" w:rsidR="0000017F" w:rsidRPr="007A6CA6" w:rsidRDefault="0000017F" w:rsidP="00C874A2">
      <w:pPr>
        <w:pStyle w:val="ParaTab1"/>
        <w:tabs>
          <w:tab w:val="clear" w:pos="-720"/>
        </w:tabs>
        <w:spacing w:line="360" w:lineRule="auto"/>
        <w:ind w:firstLine="0"/>
        <w:rPr>
          <w:rFonts w:ascii="Times New Roman" w:hAnsi="Times New Roman" w:cs="Times New Roman"/>
          <w:sz w:val="26"/>
          <w:szCs w:val="26"/>
        </w:rPr>
      </w:pPr>
      <w:r w:rsidRPr="007A6CA6">
        <w:rPr>
          <w:rFonts w:ascii="Times New Roman" w:hAnsi="Times New Roman" w:cs="Times New Roman"/>
          <w:sz w:val="26"/>
          <w:szCs w:val="26"/>
        </w:rPr>
        <w:tab/>
      </w:r>
      <w:r w:rsidRPr="007A6CA6">
        <w:rPr>
          <w:rFonts w:ascii="Times New Roman" w:hAnsi="Times New Roman" w:cs="Times New Roman"/>
          <w:sz w:val="26"/>
          <w:szCs w:val="26"/>
        </w:rPr>
        <w:tab/>
      </w:r>
      <w:r w:rsidR="0079753E" w:rsidRPr="007A6CA6">
        <w:rPr>
          <w:rFonts w:ascii="Times New Roman" w:hAnsi="Times New Roman" w:cs="Times New Roman"/>
          <w:sz w:val="26"/>
          <w:szCs w:val="26"/>
        </w:rPr>
        <w:t>T</w:t>
      </w:r>
      <w:r w:rsidRPr="007A6CA6">
        <w:rPr>
          <w:rFonts w:ascii="Times New Roman" w:hAnsi="Times New Roman" w:cs="Times New Roman"/>
          <w:sz w:val="26"/>
          <w:szCs w:val="26"/>
        </w:rPr>
        <w:t>he Complainant filed Exceptions</w:t>
      </w:r>
      <w:r w:rsidRPr="007A6CA6">
        <w:rPr>
          <w:rStyle w:val="FootnoteReference"/>
          <w:rFonts w:ascii="Times New Roman" w:hAnsi="Times New Roman" w:cs="Times New Roman"/>
          <w:sz w:val="26"/>
          <w:szCs w:val="26"/>
        </w:rPr>
        <w:footnoteReference w:id="3"/>
      </w:r>
      <w:r w:rsidRPr="007A6CA6">
        <w:rPr>
          <w:rFonts w:ascii="Times New Roman" w:hAnsi="Times New Roman" w:cs="Times New Roman"/>
          <w:sz w:val="26"/>
          <w:szCs w:val="26"/>
        </w:rPr>
        <w:t xml:space="preserve"> on September </w:t>
      </w:r>
      <w:r w:rsidR="00555BB3" w:rsidRPr="007A6CA6">
        <w:rPr>
          <w:rFonts w:ascii="Times New Roman" w:hAnsi="Times New Roman" w:cs="Times New Roman"/>
          <w:sz w:val="26"/>
          <w:szCs w:val="26"/>
        </w:rPr>
        <w:t>27</w:t>
      </w:r>
      <w:r w:rsidRPr="007A6CA6">
        <w:rPr>
          <w:rFonts w:ascii="Times New Roman" w:hAnsi="Times New Roman" w:cs="Times New Roman"/>
          <w:sz w:val="26"/>
          <w:szCs w:val="26"/>
        </w:rPr>
        <w:t xml:space="preserve">, 2019.  </w:t>
      </w:r>
      <w:r w:rsidR="00F767BF" w:rsidRPr="007A6CA6">
        <w:rPr>
          <w:rFonts w:ascii="Times New Roman" w:hAnsi="Times New Roman" w:cs="Times New Roman"/>
          <w:sz w:val="26"/>
          <w:szCs w:val="26"/>
        </w:rPr>
        <w:t>On November</w:t>
      </w:r>
      <w:r w:rsidR="007A6CA6" w:rsidRPr="007A6CA6">
        <w:rPr>
          <w:rFonts w:ascii="Times New Roman" w:hAnsi="Times New Roman" w:cs="Times New Roman"/>
          <w:sz w:val="26"/>
          <w:szCs w:val="26"/>
        </w:rPr>
        <w:t> </w:t>
      </w:r>
      <w:r w:rsidR="00F767BF" w:rsidRPr="007A6CA6">
        <w:rPr>
          <w:rFonts w:ascii="Times New Roman" w:hAnsi="Times New Roman" w:cs="Times New Roman"/>
          <w:sz w:val="26"/>
          <w:szCs w:val="26"/>
        </w:rPr>
        <w:t>21, 2019,</w:t>
      </w:r>
      <w:r w:rsidR="007C09FB" w:rsidRPr="007A6CA6">
        <w:rPr>
          <w:rFonts w:ascii="Times New Roman" w:hAnsi="Times New Roman" w:cs="Times New Roman"/>
          <w:sz w:val="26"/>
          <w:szCs w:val="26"/>
        </w:rPr>
        <w:t xml:space="preserve"> </w:t>
      </w:r>
      <w:r w:rsidRPr="007A6CA6">
        <w:rPr>
          <w:rFonts w:ascii="Times New Roman" w:hAnsi="Times New Roman" w:cs="Times New Roman"/>
          <w:sz w:val="26"/>
          <w:szCs w:val="26"/>
        </w:rPr>
        <w:t>P</w:t>
      </w:r>
      <w:r w:rsidR="00555BB3" w:rsidRPr="007A6CA6">
        <w:rPr>
          <w:rFonts w:ascii="Times New Roman" w:hAnsi="Times New Roman" w:cs="Times New Roman"/>
          <w:sz w:val="26"/>
          <w:szCs w:val="26"/>
        </w:rPr>
        <w:t xml:space="preserve">ECO’s Replies to </w:t>
      </w:r>
      <w:r w:rsidRPr="007A6CA6">
        <w:rPr>
          <w:rFonts w:ascii="Times New Roman" w:hAnsi="Times New Roman" w:cs="Times New Roman"/>
          <w:sz w:val="26"/>
          <w:szCs w:val="26"/>
        </w:rPr>
        <w:t xml:space="preserve">Exceptions </w:t>
      </w:r>
      <w:r w:rsidR="00555BB3" w:rsidRPr="007A6CA6">
        <w:rPr>
          <w:rFonts w:ascii="Times New Roman" w:hAnsi="Times New Roman" w:cs="Times New Roman"/>
          <w:sz w:val="26"/>
          <w:szCs w:val="26"/>
        </w:rPr>
        <w:t>followed</w:t>
      </w:r>
      <w:r w:rsidRPr="007A6CA6">
        <w:rPr>
          <w:rFonts w:ascii="Times New Roman" w:hAnsi="Times New Roman" w:cs="Times New Roman"/>
          <w:sz w:val="26"/>
          <w:szCs w:val="26"/>
        </w:rPr>
        <w:t>.</w:t>
      </w:r>
      <w:r w:rsidR="0079753E" w:rsidRPr="007A6CA6">
        <w:rPr>
          <w:rFonts w:ascii="Times New Roman" w:hAnsi="Times New Roman" w:cs="Times New Roman"/>
          <w:sz w:val="26"/>
          <w:szCs w:val="26"/>
        </w:rPr>
        <w:t xml:space="preserve">  This Opinion and Order disposes of </w:t>
      </w:r>
      <w:r w:rsidR="00244A3A" w:rsidRPr="007A6CA6">
        <w:rPr>
          <w:rFonts w:ascii="Times New Roman" w:hAnsi="Times New Roman" w:cs="Times New Roman"/>
          <w:sz w:val="26"/>
          <w:szCs w:val="26"/>
        </w:rPr>
        <w:t xml:space="preserve">the </w:t>
      </w:r>
      <w:r w:rsidR="0079753E" w:rsidRPr="007A6CA6">
        <w:rPr>
          <w:rFonts w:ascii="Times New Roman" w:hAnsi="Times New Roman" w:cs="Times New Roman"/>
          <w:sz w:val="26"/>
          <w:szCs w:val="26"/>
        </w:rPr>
        <w:t>Complainant’s Exceptions.</w:t>
      </w:r>
    </w:p>
    <w:p w14:paraId="463580FD" w14:textId="77777777" w:rsidR="0000017F" w:rsidRPr="007A6CA6" w:rsidRDefault="0000017F" w:rsidP="0000017F">
      <w:pPr>
        <w:keepNext/>
        <w:keepLines/>
        <w:ind w:firstLine="0"/>
        <w:rPr>
          <w:b/>
          <w:sz w:val="26"/>
          <w:szCs w:val="26"/>
        </w:rPr>
      </w:pPr>
      <w:r w:rsidRPr="007A6CA6">
        <w:rPr>
          <w:b/>
          <w:sz w:val="26"/>
          <w:szCs w:val="26"/>
        </w:rPr>
        <w:lastRenderedPageBreak/>
        <w:t>II.</w:t>
      </w:r>
      <w:r w:rsidRPr="007A6CA6">
        <w:rPr>
          <w:b/>
          <w:sz w:val="26"/>
          <w:szCs w:val="26"/>
        </w:rPr>
        <w:tab/>
        <w:t>Discussion</w:t>
      </w:r>
    </w:p>
    <w:p w14:paraId="0DA25210" w14:textId="77777777" w:rsidR="0000017F" w:rsidRPr="007A6CA6" w:rsidRDefault="0000017F" w:rsidP="0000017F">
      <w:pPr>
        <w:keepNext/>
        <w:keepLines/>
        <w:ind w:firstLine="0"/>
        <w:jc w:val="left"/>
        <w:rPr>
          <w:sz w:val="26"/>
          <w:szCs w:val="26"/>
        </w:rPr>
      </w:pPr>
    </w:p>
    <w:p w14:paraId="2732F5B9" w14:textId="77777777" w:rsidR="0000017F" w:rsidRPr="007A6CA6" w:rsidRDefault="0000017F" w:rsidP="0000017F">
      <w:pPr>
        <w:keepNext/>
        <w:keepLines/>
        <w:autoSpaceDE w:val="0"/>
        <w:autoSpaceDN w:val="0"/>
        <w:adjustRightInd w:val="0"/>
        <w:ind w:firstLine="0"/>
        <w:jc w:val="left"/>
        <w:rPr>
          <w:rFonts w:eastAsiaTheme="minorHAnsi"/>
          <w:color w:val="000000"/>
          <w:sz w:val="26"/>
          <w:szCs w:val="26"/>
        </w:rPr>
      </w:pPr>
      <w:r w:rsidRPr="007A6CA6">
        <w:rPr>
          <w:rFonts w:eastAsiaTheme="minorHAnsi"/>
          <w:b/>
          <w:color w:val="000000"/>
          <w:sz w:val="26"/>
          <w:szCs w:val="26"/>
        </w:rPr>
        <w:t>Legal Standards</w:t>
      </w:r>
    </w:p>
    <w:p w14:paraId="69097FBD" w14:textId="77777777" w:rsidR="0000017F" w:rsidRPr="007A6CA6" w:rsidRDefault="0000017F" w:rsidP="0000017F">
      <w:pPr>
        <w:keepNext/>
        <w:keepLines/>
        <w:autoSpaceDE w:val="0"/>
        <w:autoSpaceDN w:val="0"/>
        <w:adjustRightInd w:val="0"/>
        <w:ind w:firstLine="0"/>
        <w:jc w:val="left"/>
        <w:rPr>
          <w:rFonts w:eastAsiaTheme="minorHAnsi"/>
          <w:color w:val="000000"/>
          <w:sz w:val="26"/>
          <w:szCs w:val="26"/>
        </w:rPr>
      </w:pPr>
    </w:p>
    <w:p w14:paraId="2C766514" w14:textId="77777777" w:rsidR="0041298C" w:rsidRDefault="0000017F" w:rsidP="0000017F">
      <w:pPr>
        <w:ind w:firstLine="1440"/>
        <w:jc w:val="left"/>
        <w:rPr>
          <w:sz w:val="26"/>
          <w:szCs w:val="26"/>
        </w:rPr>
      </w:pPr>
      <w:r w:rsidRPr="007A6CA6">
        <w:rPr>
          <w:sz w:val="26"/>
          <w:szCs w:val="26"/>
        </w:rPr>
        <w:t>As the proponent of a rule or order, the Complainant in this proceeding bears the burden of proof pursuant to Section 332(a) of the Code, 66 Pa. C.S. § 332(a).  To establish a sufficient case and satisfy the burden of proof, the Complainant must show that the respondent utility, P</w:t>
      </w:r>
      <w:r w:rsidR="00555BB3" w:rsidRPr="007A6CA6">
        <w:rPr>
          <w:sz w:val="26"/>
          <w:szCs w:val="26"/>
        </w:rPr>
        <w:t>ECO</w:t>
      </w:r>
      <w:r w:rsidRPr="007A6CA6">
        <w:rPr>
          <w:sz w:val="26"/>
          <w:szCs w:val="26"/>
        </w:rPr>
        <w:t xml:space="preserve">, is responsible or accountable for the problem described in the Complaint through a violation of the Code or a regulation or order of the Commission.  </w:t>
      </w:r>
      <w:r w:rsidRPr="007A6CA6">
        <w:rPr>
          <w:i/>
          <w:sz w:val="26"/>
          <w:szCs w:val="26"/>
        </w:rPr>
        <w:t>Patterson v. The Bell Telephone Company of Pennsylvania</w:t>
      </w:r>
      <w:r w:rsidRPr="007A6CA6">
        <w:rPr>
          <w:sz w:val="26"/>
          <w:szCs w:val="26"/>
        </w:rPr>
        <w:t xml:space="preserve">, 72 Pa. P.U.C. 196 (1990).  Such a showing must be by a preponderance of the evidence.  </w:t>
      </w:r>
      <w:r w:rsidRPr="007A6CA6">
        <w:rPr>
          <w:i/>
          <w:iCs/>
          <w:sz w:val="26"/>
          <w:szCs w:val="26"/>
        </w:rPr>
        <w:t xml:space="preserve">Samuel J. </w:t>
      </w:r>
      <w:proofErr w:type="spellStart"/>
      <w:r w:rsidRPr="007A6CA6">
        <w:rPr>
          <w:i/>
          <w:iCs/>
          <w:sz w:val="26"/>
          <w:szCs w:val="26"/>
        </w:rPr>
        <w:t>Lansberry</w:t>
      </w:r>
      <w:proofErr w:type="spellEnd"/>
      <w:r w:rsidRPr="007A6CA6">
        <w:rPr>
          <w:i/>
          <w:iCs/>
          <w:sz w:val="26"/>
          <w:szCs w:val="26"/>
        </w:rPr>
        <w:t>, Inc. v. Pa. PUC</w:t>
      </w:r>
      <w:r w:rsidRPr="007A6CA6">
        <w:rPr>
          <w:sz w:val="26"/>
          <w:szCs w:val="26"/>
        </w:rPr>
        <w:t xml:space="preserve">, 578 A.2d 600 (Pa. </w:t>
      </w:r>
      <w:proofErr w:type="spellStart"/>
      <w:r w:rsidRPr="007A6CA6">
        <w:rPr>
          <w:sz w:val="26"/>
          <w:szCs w:val="26"/>
        </w:rPr>
        <w:t>Cmwlth</w:t>
      </w:r>
      <w:proofErr w:type="spellEnd"/>
      <w:r w:rsidRPr="007A6CA6">
        <w:rPr>
          <w:sz w:val="26"/>
          <w:szCs w:val="26"/>
        </w:rPr>
        <w:t xml:space="preserve">. 1990), </w:t>
      </w:r>
      <w:proofErr w:type="spellStart"/>
      <w:r w:rsidRPr="007A6CA6">
        <w:rPr>
          <w:i/>
          <w:sz w:val="26"/>
          <w:szCs w:val="26"/>
        </w:rPr>
        <w:t>alloc</w:t>
      </w:r>
      <w:proofErr w:type="spellEnd"/>
      <w:r w:rsidRPr="007A6CA6">
        <w:rPr>
          <w:i/>
          <w:sz w:val="26"/>
          <w:szCs w:val="26"/>
        </w:rPr>
        <w:t>. denied</w:t>
      </w:r>
      <w:r w:rsidRPr="007A6CA6">
        <w:rPr>
          <w:iCs/>
          <w:sz w:val="26"/>
          <w:szCs w:val="26"/>
        </w:rPr>
        <w:t>,</w:t>
      </w:r>
      <w:r w:rsidRPr="007A6CA6">
        <w:rPr>
          <w:sz w:val="26"/>
          <w:szCs w:val="26"/>
        </w:rPr>
        <w:t xml:space="preserve"> 602 A.2d 863 (</w:t>
      </w:r>
      <w:r w:rsidR="008D6761" w:rsidRPr="007A6CA6">
        <w:rPr>
          <w:sz w:val="26"/>
          <w:szCs w:val="26"/>
        </w:rPr>
        <w:t xml:space="preserve">Pa. </w:t>
      </w:r>
      <w:r w:rsidRPr="007A6CA6">
        <w:rPr>
          <w:sz w:val="26"/>
          <w:szCs w:val="26"/>
        </w:rPr>
        <w:t xml:space="preserve">1992).  That is, the Complainant’s evidence must be more convincing, by even the smallest amount, than that presented by the respondent.  </w:t>
      </w:r>
      <w:r w:rsidRPr="007A6CA6">
        <w:rPr>
          <w:i/>
          <w:sz w:val="26"/>
          <w:szCs w:val="26"/>
        </w:rPr>
        <w:t>Se-Ling Hosiery, Inc. v. Margulies</w:t>
      </w:r>
      <w:r w:rsidRPr="007A6CA6">
        <w:rPr>
          <w:sz w:val="26"/>
          <w:szCs w:val="26"/>
        </w:rPr>
        <w:t>, 70 A.2d 854 (</w:t>
      </w:r>
      <w:r w:rsidR="008D6761" w:rsidRPr="007A6CA6">
        <w:rPr>
          <w:sz w:val="26"/>
          <w:szCs w:val="26"/>
        </w:rPr>
        <w:t xml:space="preserve">Pa. </w:t>
      </w:r>
      <w:r w:rsidRPr="007A6CA6">
        <w:rPr>
          <w:sz w:val="26"/>
          <w:szCs w:val="26"/>
        </w:rPr>
        <w:t xml:space="preserve">1950).  </w:t>
      </w:r>
    </w:p>
    <w:p w14:paraId="55108DED" w14:textId="77777777" w:rsidR="0041298C" w:rsidRDefault="0041298C" w:rsidP="0000017F">
      <w:pPr>
        <w:ind w:firstLine="1440"/>
        <w:jc w:val="left"/>
        <w:rPr>
          <w:sz w:val="26"/>
          <w:szCs w:val="26"/>
        </w:rPr>
      </w:pPr>
    </w:p>
    <w:p w14:paraId="772198E2" w14:textId="77777777" w:rsidR="0000017F" w:rsidRPr="007A6CA6" w:rsidRDefault="0000017F" w:rsidP="0000017F">
      <w:pPr>
        <w:ind w:firstLine="1440"/>
        <w:jc w:val="left"/>
        <w:rPr>
          <w:sz w:val="26"/>
          <w:szCs w:val="26"/>
        </w:rPr>
      </w:pPr>
      <w:r w:rsidRPr="007A6CA6">
        <w:rPr>
          <w:sz w:val="26"/>
          <w:szCs w:val="26"/>
        </w:rPr>
        <w:t xml:space="preserve">Additionally, this Commission’s decision must be supported by substantial evidence in the record, which is defined as evidence that a reasonable mind might accept as adequate to support a conclusion.  More is required than a mere trace of evidence or a suspicion of the existence of a fact sought to be established.  </w:t>
      </w:r>
      <w:r w:rsidRPr="007A6CA6">
        <w:rPr>
          <w:i/>
          <w:sz w:val="26"/>
          <w:szCs w:val="26"/>
        </w:rPr>
        <w:t>Norfolk &amp; Western Ry. Co. v. Pa. PUC</w:t>
      </w:r>
      <w:r w:rsidRPr="007A6CA6">
        <w:rPr>
          <w:iCs/>
          <w:sz w:val="26"/>
          <w:szCs w:val="26"/>
        </w:rPr>
        <w:t>, 4</w:t>
      </w:r>
      <w:r w:rsidRPr="007A6CA6">
        <w:rPr>
          <w:sz w:val="26"/>
          <w:szCs w:val="26"/>
        </w:rPr>
        <w:t>13 A.2d 1037 (</w:t>
      </w:r>
      <w:r w:rsidR="008D6761" w:rsidRPr="007A6CA6">
        <w:rPr>
          <w:sz w:val="26"/>
          <w:szCs w:val="26"/>
        </w:rPr>
        <w:t xml:space="preserve">Pa. </w:t>
      </w:r>
      <w:r w:rsidRPr="007A6CA6">
        <w:rPr>
          <w:sz w:val="26"/>
          <w:szCs w:val="26"/>
        </w:rPr>
        <w:t>1980).</w:t>
      </w:r>
    </w:p>
    <w:p w14:paraId="5EF3037F" w14:textId="77777777" w:rsidR="0000017F" w:rsidRPr="007A6CA6" w:rsidRDefault="0000017F" w:rsidP="0000017F">
      <w:pPr>
        <w:ind w:firstLine="1440"/>
        <w:jc w:val="left"/>
        <w:rPr>
          <w:sz w:val="26"/>
          <w:szCs w:val="26"/>
        </w:rPr>
      </w:pPr>
    </w:p>
    <w:p w14:paraId="2BDA0078" w14:textId="77777777" w:rsidR="0000017F" w:rsidRPr="007A6CA6" w:rsidRDefault="0000017F" w:rsidP="0000017F">
      <w:pPr>
        <w:autoSpaceDE w:val="0"/>
        <w:autoSpaceDN w:val="0"/>
        <w:adjustRightInd w:val="0"/>
        <w:ind w:firstLine="1440"/>
        <w:jc w:val="left"/>
        <w:rPr>
          <w:sz w:val="26"/>
          <w:szCs w:val="26"/>
        </w:rPr>
      </w:pPr>
      <w:r w:rsidRPr="007A6CA6">
        <w:rPr>
          <w:sz w:val="26"/>
          <w:szCs w:val="26"/>
        </w:rPr>
        <w:t xml:space="preserve">Upon the presentation by a complainant of evidence sufficient to initially satisfy the burden of proof, the burden of going forward with the evidence, sometimes called the burden of persuasion, to rebut the evidence of the complainant, shifts to the respondent.  If the evidence presented by the respondent is of co-equal value or “weight,” the burden of proof has not been satisfied.  The complainant now has to provide some additional evidence to rebut that of the respondent. </w:t>
      </w:r>
      <w:r w:rsidRPr="007A6CA6">
        <w:rPr>
          <w:iCs/>
          <w:sz w:val="26"/>
          <w:szCs w:val="26"/>
        </w:rPr>
        <w:t xml:space="preserve"> </w:t>
      </w:r>
      <w:r w:rsidR="00613350" w:rsidRPr="007A6CA6">
        <w:rPr>
          <w:i/>
          <w:iCs/>
          <w:sz w:val="26"/>
          <w:szCs w:val="26"/>
        </w:rPr>
        <w:t>Burleson v Pa. PUC</w:t>
      </w:r>
      <w:r w:rsidR="00613350" w:rsidRPr="007A6CA6">
        <w:rPr>
          <w:sz w:val="26"/>
          <w:szCs w:val="26"/>
        </w:rPr>
        <w:t xml:space="preserve">, 443 A.2d 1371 (Pa. </w:t>
      </w:r>
      <w:proofErr w:type="spellStart"/>
      <w:r w:rsidR="00613350" w:rsidRPr="007A6CA6">
        <w:rPr>
          <w:sz w:val="26"/>
          <w:szCs w:val="26"/>
        </w:rPr>
        <w:t>Cmwlth</w:t>
      </w:r>
      <w:proofErr w:type="spellEnd"/>
      <w:r w:rsidR="00613350" w:rsidRPr="007A6CA6">
        <w:rPr>
          <w:sz w:val="26"/>
          <w:szCs w:val="26"/>
        </w:rPr>
        <w:t xml:space="preserve">. 1982), </w:t>
      </w:r>
      <w:r w:rsidR="00613350" w:rsidRPr="007A6CA6">
        <w:rPr>
          <w:i/>
          <w:iCs/>
          <w:sz w:val="26"/>
          <w:szCs w:val="26"/>
        </w:rPr>
        <w:t>aff’d</w:t>
      </w:r>
      <w:r w:rsidR="00613350" w:rsidRPr="007A6CA6">
        <w:rPr>
          <w:sz w:val="26"/>
          <w:szCs w:val="26"/>
        </w:rPr>
        <w:t>, 433 A.2d 1234 (Pa. 1983)</w:t>
      </w:r>
      <w:r w:rsidR="00613350" w:rsidRPr="007A6CA6">
        <w:rPr>
          <w:i/>
          <w:iCs/>
          <w:sz w:val="26"/>
          <w:szCs w:val="26"/>
        </w:rPr>
        <w:t>.</w:t>
      </w:r>
      <w:r w:rsidR="002C0D9F" w:rsidRPr="007A6CA6">
        <w:rPr>
          <w:rStyle w:val="Hyperlink"/>
          <w:sz w:val="26"/>
          <w:szCs w:val="26"/>
          <w:u w:val="none"/>
        </w:rPr>
        <w:t xml:space="preserve">  </w:t>
      </w:r>
      <w:r w:rsidRPr="007A6CA6">
        <w:rPr>
          <w:sz w:val="26"/>
          <w:szCs w:val="26"/>
        </w:rPr>
        <w:t xml:space="preserve">While the burden of persuasion </w:t>
      </w:r>
      <w:r w:rsidRPr="007A6CA6">
        <w:rPr>
          <w:sz w:val="26"/>
          <w:szCs w:val="26"/>
        </w:rPr>
        <w:lastRenderedPageBreak/>
        <w:t xml:space="preserve">may </w:t>
      </w:r>
      <w:r w:rsidRPr="007A6CA6">
        <w:rPr>
          <w:rStyle w:val="term1"/>
          <w:b w:val="0"/>
          <w:sz w:val="26"/>
          <w:szCs w:val="26"/>
        </w:rPr>
        <w:t>shift</w:t>
      </w:r>
      <w:r w:rsidRPr="007A6CA6">
        <w:rPr>
          <w:b/>
          <w:sz w:val="26"/>
          <w:szCs w:val="26"/>
        </w:rPr>
        <w:t xml:space="preserve"> </w:t>
      </w:r>
      <w:r w:rsidRPr="007A6CA6">
        <w:rPr>
          <w:sz w:val="26"/>
          <w:szCs w:val="26"/>
        </w:rPr>
        <w:t xml:space="preserve">back and forth during a proceeding, the </w:t>
      </w:r>
      <w:r w:rsidRPr="007A6CA6">
        <w:rPr>
          <w:rStyle w:val="term1"/>
          <w:b w:val="0"/>
          <w:sz w:val="26"/>
          <w:szCs w:val="26"/>
        </w:rPr>
        <w:t>burden of proof</w:t>
      </w:r>
      <w:r w:rsidRPr="007A6CA6">
        <w:rPr>
          <w:sz w:val="26"/>
          <w:szCs w:val="26"/>
        </w:rPr>
        <w:t xml:space="preserve"> never </w:t>
      </w:r>
      <w:r w:rsidRPr="007A6CA6">
        <w:rPr>
          <w:rStyle w:val="term1"/>
          <w:b w:val="0"/>
          <w:sz w:val="26"/>
          <w:szCs w:val="26"/>
        </w:rPr>
        <w:t xml:space="preserve">shifts. </w:t>
      </w:r>
      <w:r w:rsidRPr="007A6CA6">
        <w:rPr>
          <w:rStyle w:val="term1"/>
          <w:sz w:val="26"/>
          <w:szCs w:val="26"/>
        </w:rPr>
        <w:t xml:space="preserve"> </w:t>
      </w:r>
      <w:r w:rsidRPr="007A6CA6">
        <w:rPr>
          <w:rStyle w:val="term1"/>
          <w:b w:val="0"/>
          <w:sz w:val="26"/>
          <w:szCs w:val="26"/>
        </w:rPr>
        <w:t>The burden of proof</w:t>
      </w:r>
      <w:r w:rsidRPr="007A6CA6">
        <w:rPr>
          <w:sz w:val="26"/>
          <w:szCs w:val="26"/>
        </w:rPr>
        <w:t xml:space="preserve"> always remains on the party seeking affirmative relief from the Commission.  </w:t>
      </w:r>
      <w:proofErr w:type="spellStart"/>
      <w:r w:rsidRPr="007A6CA6">
        <w:rPr>
          <w:i/>
          <w:sz w:val="26"/>
          <w:szCs w:val="26"/>
        </w:rPr>
        <w:t>Milkie</w:t>
      </w:r>
      <w:proofErr w:type="spellEnd"/>
      <w:r w:rsidRPr="007A6CA6">
        <w:rPr>
          <w:i/>
          <w:sz w:val="26"/>
          <w:szCs w:val="26"/>
        </w:rPr>
        <w:t xml:space="preserve"> v. Pa. PUC</w:t>
      </w:r>
      <w:r w:rsidRPr="007A6CA6">
        <w:rPr>
          <w:iCs/>
          <w:sz w:val="26"/>
          <w:szCs w:val="26"/>
        </w:rPr>
        <w:t xml:space="preserve">, </w:t>
      </w:r>
      <w:r w:rsidRPr="007A6CA6">
        <w:rPr>
          <w:sz w:val="26"/>
          <w:szCs w:val="26"/>
        </w:rPr>
        <w:t xml:space="preserve">768 A.2d 1217 (Pa. </w:t>
      </w:r>
      <w:proofErr w:type="spellStart"/>
      <w:r w:rsidRPr="007A6CA6">
        <w:rPr>
          <w:sz w:val="26"/>
          <w:szCs w:val="26"/>
        </w:rPr>
        <w:t>Cmwlth</w:t>
      </w:r>
      <w:proofErr w:type="spellEnd"/>
      <w:r w:rsidRPr="007A6CA6">
        <w:rPr>
          <w:sz w:val="26"/>
          <w:szCs w:val="26"/>
        </w:rPr>
        <w:t>. 2001).</w:t>
      </w:r>
    </w:p>
    <w:p w14:paraId="6550D38F" w14:textId="77777777" w:rsidR="0000017F" w:rsidRPr="007A6CA6" w:rsidRDefault="0000017F" w:rsidP="0000017F">
      <w:pPr>
        <w:autoSpaceDE w:val="0"/>
        <w:autoSpaceDN w:val="0"/>
        <w:adjustRightInd w:val="0"/>
        <w:ind w:firstLine="1440"/>
        <w:jc w:val="left"/>
        <w:rPr>
          <w:sz w:val="26"/>
          <w:szCs w:val="26"/>
        </w:rPr>
      </w:pPr>
    </w:p>
    <w:p w14:paraId="68D0F83A" w14:textId="77777777" w:rsidR="00613350" w:rsidRPr="007A6CA6" w:rsidRDefault="00613350" w:rsidP="00D712FD">
      <w:pPr>
        <w:spacing w:before="100" w:beforeAutospacing="1" w:after="100" w:afterAutospacing="1"/>
        <w:ind w:firstLine="1440"/>
        <w:jc w:val="left"/>
        <w:outlineLvl w:val="1"/>
        <w:rPr>
          <w:sz w:val="26"/>
          <w:szCs w:val="26"/>
        </w:rPr>
      </w:pPr>
      <w:r w:rsidRPr="007A6CA6">
        <w:rPr>
          <w:rFonts w:eastAsiaTheme="minorHAnsi"/>
          <w:sz w:val="26"/>
          <w:szCs w:val="26"/>
        </w:rPr>
        <w:t xml:space="preserve">It is well settled that the Commission cannot exceed its jurisdiction and must act within it.  </w:t>
      </w:r>
      <w:r w:rsidRPr="007A6CA6">
        <w:rPr>
          <w:rFonts w:eastAsiaTheme="minorHAnsi"/>
          <w:i/>
          <w:sz w:val="26"/>
          <w:szCs w:val="26"/>
        </w:rPr>
        <w:t>City of Pittsburgh v. Pa.</w:t>
      </w:r>
      <w:r w:rsidR="007A6CA6" w:rsidRPr="007A6CA6">
        <w:rPr>
          <w:rFonts w:eastAsiaTheme="minorHAnsi"/>
          <w:i/>
          <w:sz w:val="26"/>
          <w:szCs w:val="26"/>
        </w:rPr>
        <w:t xml:space="preserve"> PUC</w:t>
      </w:r>
      <w:r w:rsidRPr="007A6CA6">
        <w:rPr>
          <w:rFonts w:eastAsiaTheme="minorHAnsi"/>
          <w:sz w:val="26"/>
          <w:szCs w:val="26"/>
        </w:rPr>
        <w:t xml:space="preserve">, 43 A.2d 348 (Pa. Super. Ct. 1945).  Jurisdiction may not be conferred by the parties where none exists.  </w:t>
      </w:r>
      <w:r w:rsidRPr="007A6CA6">
        <w:rPr>
          <w:rFonts w:eastAsiaTheme="minorHAnsi"/>
          <w:i/>
          <w:sz w:val="26"/>
          <w:szCs w:val="26"/>
        </w:rPr>
        <w:t xml:space="preserve">Roberts v. </w:t>
      </w:r>
      <w:proofErr w:type="spellStart"/>
      <w:r w:rsidRPr="007A6CA6">
        <w:rPr>
          <w:rFonts w:eastAsiaTheme="minorHAnsi"/>
          <w:i/>
          <w:sz w:val="26"/>
          <w:szCs w:val="26"/>
        </w:rPr>
        <w:t>Martorano</w:t>
      </w:r>
      <w:proofErr w:type="spellEnd"/>
      <w:r w:rsidR="00FE4D0A" w:rsidRPr="007A6CA6">
        <w:rPr>
          <w:rFonts w:eastAsiaTheme="minorHAnsi"/>
          <w:sz w:val="26"/>
          <w:szCs w:val="26"/>
        </w:rPr>
        <w:t xml:space="preserve">, </w:t>
      </w:r>
      <w:r w:rsidRPr="007A6CA6">
        <w:rPr>
          <w:rFonts w:eastAsiaTheme="minorHAnsi"/>
          <w:sz w:val="26"/>
          <w:szCs w:val="26"/>
        </w:rPr>
        <w:t>235 A.2d 602</w:t>
      </w:r>
      <w:r w:rsidR="00FE4D0A" w:rsidRPr="007A6CA6">
        <w:rPr>
          <w:rFonts w:eastAsiaTheme="minorHAnsi"/>
          <w:sz w:val="26"/>
          <w:szCs w:val="26"/>
        </w:rPr>
        <w:t xml:space="preserve"> (Pa. </w:t>
      </w:r>
      <w:r w:rsidR="004A5C59" w:rsidRPr="007A6CA6">
        <w:rPr>
          <w:rFonts w:eastAsiaTheme="minorHAnsi"/>
          <w:sz w:val="26"/>
          <w:szCs w:val="26"/>
        </w:rPr>
        <w:t>1967</w:t>
      </w:r>
      <w:r w:rsidR="00FE4D0A" w:rsidRPr="007A6CA6">
        <w:rPr>
          <w:rFonts w:eastAsiaTheme="minorHAnsi"/>
          <w:sz w:val="26"/>
          <w:szCs w:val="26"/>
        </w:rPr>
        <w:t>)</w:t>
      </w:r>
      <w:r w:rsidRPr="007A6CA6">
        <w:rPr>
          <w:rFonts w:eastAsiaTheme="minorHAnsi"/>
          <w:sz w:val="26"/>
          <w:szCs w:val="26"/>
        </w:rPr>
        <w:t xml:space="preserve">.  Subject matter jurisdiction is a prerequisite to the exercise of the power to decide a controversy.  </w:t>
      </w:r>
      <w:r w:rsidRPr="007A6CA6">
        <w:rPr>
          <w:rFonts w:eastAsiaTheme="minorHAnsi"/>
          <w:i/>
          <w:sz w:val="26"/>
          <w:szCs w:val="26"/>
        </w:rPr>
        <w:t>Cf. Hughes v. Pa. State Police</w:t>
      </w:r>
      <w:r w:rsidRPr="007A6CA6">
        <w:rPr>
          <w:rFonts w:eastAsiaTheme="minorHAnsi"/>
          <w:sz w:val="26"/>
          <w:szCs w:val="26"/>
        </w:rPr>
        <w:t xml:space="preserve">, 619 A.2d 390 (Pa. Super. Ct. 1992).  </w:t>
      </w:r>
      <w:r w:rsidRPr="007A6CA6">
        <w:rPr>
          <w:rFonts w:eastAsiaTheme="minorHAnsi"/>
          <w:color w:val="000000" w:themeColor="text1"/>
          <w:sz w:val="26"/>
          <w:szCs w:val="26"/>
        </w:rPr>
        <w:t xml:space="preserve">Furthermore, it is a long-standing principle that the question of jurisdiction over the subject matter of a dispute may be raised at any time and must be considered.  </w:t>
      </w:r>
      <w:r w:rsidRPr="007A6CA6">
        <w:rPr>
          <w:rFonts w:eastAsiaTheme="minorHAnsi"/>
          <w:i/>
          <w:color w:val="000000" w:themeColor="text1"/>
          <w:sz w:val="26"/>
          <w:szCs w:val="26"/>
        </w:rPr>
        <w:t>See</w:t>
      </w:r>
      <w:r w:rsidR="006D1334">
        <w:rPr>
          <w:rFonts w:eastAsiaTheme="minorHAnsi"/>
          <w:i/>
          <w:color w:val="000000" w:themeColor="text1"/>
          <w:sz w:val="26"/>
          <w:szCs w:val="26"/>
        </w:rPr>
        <w:t>,</w:t>
      </w:r>
      <w:r w:rsidRPr="007A6CA6">
        <w:rPr>
          <w:rFonts w:eastAsiaTheme="minorHAnsi"/>
          <w:color w:val="000000" w:themeColor="text1"/>
          <w:sz w:val="26"/>
          <w:szCs w:val="26"/>
        </w:rPr>
        <w:t xml:space="preserve"> </w:t>
      </w:r>
      <w:r w:rsidRPr="007A6CA6">
        <w:rPr>
          <w:rFonts w:eastAsia="Times New Roman"/>
          <w:i/>
          <w:color w:val="000000" w:themeColor="text1"/>
          <w:sz w:val="26"/>
          <w:szCs w:val="26"/>
        </w:rPr>
        <w:t>West Penn Power Company Petition for Declaratory Order Re Clean Air Act Compliance Plan</w:t>
      </w:r>
      <w:r w:rsidRPr="007A6CA6">
        <w:rPr>
          <w:rFonts w:eastAsia="Times New Roman"/>
          <w:iCs/>
          <w:color w:val="000000" w:themeColor="text1"/>
          <w:sz w:val="26"/>
          <w:szCs w:val="26"/>
        </w:rPr>
        <w:t>,</w:t>
      </w:r>
      <w:r w:rsidRPr="007A6CA6">
        <w:rPr>
          <w:rFonts w:eastAsia="Times New Roman"/>
          <w:color w:val="000000" w:themeColor="text1"/>
          <w:sz w:val="26"/>
          <w:szCs w:val="26"/>
        </w:rPr>
        <w:t xml:space="preserve"> </w:t>
      </w:r>
      <w:r w:rsidR="00EE0825" w:rsidRPr="007A6CA6">
        <w:rPr>
          <w:rFonts w:eastAsia="Times New Roman"/>
          <w:color w:val="000000" w:themeColor="text1"/>
          <w:sz w:val="26"/>
          <w:szCs w:val="26"/>
        </w:rPr>
        <w:t>Docket No. P-</w:t>
      </w:r>
      <w:r w:rsidR="007A6CA6" w:rsidRPr="007A6CA6">
        <w:rPr>
          <w:rFonts w:eastAsia="Times New Roman"/>
          <w:color w:val="000000" w:themeColor="text1"/>
          <w:sz w:val="26"/>
          <w:szCs w:val="26"/>
        </w:rPr>
        <w:t>0</w:t>
      </w:r>
      <w:r w:rsidR="00EE0825" w:rsidRPr="007A6CA6">
        <w:rPr>
          <w:rFonts w:eastAsia="Times New Roman"/>
          <w:color w:val="000000" w:themeColor="text1"/>
          <w:sz w:val="26"/>
          <w:szCs w:val="26"/>
        </w:rPr>
        <w:t>0910511 (Order entered July 22, 1991) 1991 Pa.</w:t>
      </w:r>
      <w:r w:rsidR="007A6CA6" w:rsidRPr="007A6CA6">
        <w:rPr>
          <w:rFonts w:eastAsia="Times New Roman"/>
          <w:color w:val="000000" w:themeColor="text1"/>
          <w:sz w:val="26"/>
          <w:szCs w:val="26"/>
        </w:rPr>
        <w:t> </w:t>
      </w:r>
      <w:r w:rsidR="00EE0825" w:rsidRPr="007A6CA6">
        <w:rPr>
          <w:rFonts w:eastAsia="Times New Roman"/>
          <w:color w:val="000000" w:themeColor="text1"/>
          <w:sz w:val="26"/>
          <w:szCs w:val="26"/>
        </w:rPr>
        <w:t xml:space="preserve">PUC LEXIS 151; </w:t>
      </w:r>
      <w:r w:rsidR="00EE0825" w:rsidRPr="007A6CA6">
        <w:rPr>
          <w:rFonts w:eastAsia="Times New Roman"/>
          <w:i/>
          <w:color w:val="000000" w:themeColor="text1"/>
          <w:sz w:val="26"/>
          <w:szCs w:val="26"/>
        </w:rPr>
        <w:t>Sophia Poole v. Columbia Gas of Pa., Inc.</w:t>
      </w:r>
      <w:r w:rsidR="00EE0825" w:rsidRPr="007A6CA6">
        <w:rPr>
          <w:rFonts w:eastAsia="Times New Roman"/>
          <w:iCs/>
          <w:color w:val="000000" w:themeColor="text1"/>
          <w:sz w:val="26"/>
          <w:szCs w:val="26"/>
        </w:rPr>
        <w:t>,</w:t>
      </w:r>
      <w:r w:rsidR="00EE0825" w:rsidRPr="007A6CA6">
        <w:rPr>
          <w:rFonts w:eastAsia="Times New Roman"/>
          <w:color w:val="000000" w:themeColor="text1"/>
          <w:sz w:val="26"/>
          <w:szCs w:val="26"/>
        </w:rPr>
        <w:t xml:space="preserve"> Docket No. Z</w:t>
      </w:r>
      <w:r w:rsidR="007A6CA6" w:rsidRPr="007A6CA6">
        <w:rPr>
          <w:rFonts w:eastAsia="Times New Roman"/>
          <w:color w:val="000000" w:themeColor="text1"/>
          <w:sz w:val="26"/>
          <w:szCs w:val="26"/>
        </w:rPr>
        <w:noBreakHyphen/>
      </w:r>
      <w:r w:rsidR="00EE0825" w:rsidRPr="007A6CA6">
        <w:rPr>
          <w:rFonts w:eastAsia="Times New Roman"/>
          <w:color w:val="000000" w:themeColor="text1"/>
          <w:sz w:val="26"/>
          <w:szCs w:val="26"/>
        </w:rPr>
        <w:t xml:space="preserve">00109922, (Order entered June 19, 1995) 1995 Pa. PUC </w:t>
      </w:r>
      <w:r w:rsidR="00EE0825" w:rsidRPr="007A6CA6">
        <w:rPr>
          <w:rFonts w:eastAsia="Times New Roman"/>
          <w:color w:val="373739"/>
          <w:sz w:val="26"/>
          <w:szCs w:val="26"/>
        </w:rPr>
        <w:t>LEXIS 53</w:t>
      </w:r>
      <w:r w:rsidR="008C136B" w:rsidRPr="007A6CA6">
        <w:rPr>
          <w:rFonts w:eastAsia="Times New Roman"/>
          <w:color w:val="373739"/>
          <w:sz w:val="26"/>
          <w:szCs w:val="26"/>
        </w:rPr>
        <w:t>.</w:t>
      </w:r>
      <w:r w:rsidR="00EE0825" w:rsidRPr="007A6CA6">
        <w:rPr>
          <w:rFonts w:eastAsia="Times New Roman"/>
          <w:color w:val="373739"/>
          <w:sz w:val="26"/>
          <w:szCs w:val="26"/>
        </w:rPr>
        <w:t xml:space="preserve"> </w:t>
      </w:r>
    </w:p>
    <w:p w14:paraId="33CFBCC3" w14:textId="77777777" w:rsidR="0000017F" w:rsidRPr="007A6CA6" w:rsidRDefault="0000017F" w:rsidP="0000017F">
      <w:pPr>
        <w:autoSpaceDE w:val="0"/>
        <w:autoSpaceDN w:val="0"/>
        <w:adjustRightInd w:val="0"/>
        <w:ind w:firstLine="1440"/>
        <w:jc w:val="left"/>
        <w:rPr>
          <w:rStyle w:val="Hyperlink"/>
          <w:color w:val="000000"/>
          <w:sz w:val="26"/>
          <w:szCs w:val="26"/>
        </w:rPr>
      </w:pPr>
      <w:r w:rsidRPr="007A6CA6">
        <w:rPr>
          <w:sz w:val="26"/>
          <w:szCs w:val="26"/>
        </w:rPr>
        <w:t xml:space="preserve">Before addressing the Exceptions, we note that any issue or Exception that we do not specifically delineate shall be deemed to have been duly considered and denied without further discussion.  The Commission is not required to consider expressly or at length each contention or argument raised by the parties.  </w:t>
      </w:r>
      <w:r w:rsidRPr="007A6CA6">
        <w:rPr>
          <w:rStyle w:val="Emphasis"/>
          <w:color w:val="000000"/>
          <w:sz w:val="26"/>
          <w:szCs w:val="26"/>
        </w:rPr>
        <w:t>Consolidated Rail Corp. v. Pa.</w:t>
      </w:r>
      <w:r w:rsidR="007A6CA6" w:rsidRPr="007A6CA6">
        <w:rPr>
          <w:rStyle w:val="Emphasis"/>
          <w:color w:val="000000"/>
          <w:sz w:val="26"/>
          <w:szCs w:val="26"/>
        </w:rPr>
        <w:t> </w:t>
      </w:r>
      <w:r w:rsidRPr="007A6CA6">
        <w:rPr>
          <w:rStyle w:val="Emphasis"/>
          <w:color w:val="000000"/>
          <w:sz w:val="26"/>
          <w:szCs w:val="26"/>
        </w:rPr>
        <w:t>PUC</w:t>
      </w:r>
      <w:r w:rsidRPr="007A6CA6">
        <w:rPr>
          <w:rStyle w:val="Emphasis"/>
          <w:i w:val="0"/>
          <w:iCs w:val="0"/>
          <w:color w:val="000000"/>
          <w:sz w:val="26"/>
          <w:szCs w:val="26"/>
        </w:rPr>
        <w:t>,</w:t>
      </w:r>
      <w:r w:rsidRPr="007A6CA6">
        <w:rPr>
          <w:rStyle w:val="Emphasis"/>
          <w:color w:val="000000"/>
          <w:sz w:val="26"/>
          <w:szCs w:val="26"/>
        </w:rPr>
        <w:t xml:space="preserve"> </w:t>
      </w:r>
      <w:r w:rsidRPr="007A6CA6">
        <w:rPr>
          <w:sz w:val="26"/>
          <w:szCs w:val="26"/>
        </w:rPr>
        <w:t xml:space="preserve">625 A.2d 741 (Pa. </w:t>
      </w:r>
      <w:proofErr w:type="spellStart"/>
      <w:r w:rsidRPr="007A6CA6">
        <w:rPr>
          <w:sz w:val="26"/>
          <w:szCs w:val="26"/>
        </w:rPr>
        <w:t>Cmwlth</w:t>
      </w:r>
      <w:proofErr w:type="spellEnd"/>
      <w:r w:rsidRPr="007A6CA6">
        <w:rPr>
          <w:sz w:val="26"/>
          <w:szCs w:val="26"/>
        </w:rPr>
        <w:t>. 1993);</w:t>
      </w:r>
      <w:r w:rsidRPr="007A6CA6">
        <w:rPr>
          <w:color w:val="000000"/>
          <w:sz w:val="26"/>
          <w:szCs w:val="26"/>
        </w:rPr>
        <w:t xml:space="preserve"> </w:t>
      </w:r>
      <w:r w:rsidRPr="007A6CA6">
        <w:rPr>
          <w:i/>
          <w:color w:val="000000"/>
          <w:sz w:val="26"/>
          <w:szCs w:val="26"/>
        </w:rPr>
        <w:t xml:space="preserve">also </w:t>
      </w:r>
      <w:r w:rsidRPr="007A6CA6">
        <w:rPr>
          <w:rStyle w:val="Emphasis"/>
          <w:color w:val="000000"/>
          <w:sz w:val="26"/>
          <w:szCs w:val="26"/>
        </w:rPr>
        <w:t>see, generally, University of Pennsylvania v. Pa. PUC</w:t>
      </w:r>
      <w:r w:rsidRPr="007A6CA6">
        <w:rPr>
          <w:sz w:val="26"/>
          <w:szCs w:val="26"/>
        </w:rPr>
        <w:t xml:space="preserve">, 485 A.2d 1217 (Pa. </w:t>
      </w:r>
      <w:proofErr w:type="spellStart"/>
      <w:r w:rsidRPr="007A6CA6">
        <w:rPr>
          <w:sz w:val="26"/>
          <w:szCs w:val="26"/>
        </w:rPr>
        <w:t>Cmwlth</w:t>
      </w:r>
      <w:proofErr w:type="spellEnd"/>
      <w:r w:rsidRPr="007A6CA6">
        <w:rPr>
          <w:sz w:val="26"/>
          <w:szCs w:val="26"/>
        </w:rPr>
        <w:t>. 1984).</w:t>
      </w:r>
    </w:p>
    <w:p w14:paraId="438949B3" w14:textId="77777777" w:rsidR="0000017F" w:rsidRPr="007A6CA6" w:rsidRDefault="0000017F" w:rsidP="0000017F">
      <w:pPr>
        <w:autoSpaceDE w:val="0"/>
        <w:autoSpaceDN w:val="0"/>
        <w:adjustRightInd w:val="0"/>
        <w:ind w:firstLine="1440"/>
        <w:jc w:val="left"/>
        <w:rPr>
          <w:rStyle w:val="Hyperlink"/>
          <w:color w:val="000000"/>
          <w:sz w:val="26"/>
          <w:szCs w:val="26"/>
        </w:rPr>
      </w:pPr>
    </w:p>
    <w:p w14:paraId="04DD2F19" w14:textId="77777777" w:rsidR="0000017F" w:rsidRPr="007A6CA6" w:rsidRDefault="0000017F" w:rsidP="0000017F">
      <w:pPr>
        <w:keepNext/>
        <w:ind w:firstLine="0"/>
        <w:jc w:val="left"/>
        <w:rPr>
          <w:b/>
          <w:color w:val="000000"/>
          <w:sz w:val="26"/>
          <w:szCs w:val="26"/>
        </w:rPr>
      </w:pPr>
      <w:r w:rsidRPr="007A6CA6">
        <w:rPr>
          <w:b/>
          <w:color w:val="000000"/>
          <w:sz w:val="26"/>
          <w:szCs w:val="26"/>
        </w:rPr>
        <w:t>ALJ’s Initial Decision</w:t>
      </w:r>
    </w:p>
    <w:p w14:paraId="3464881B" w14:textId="77777777" w:rsidR="0000017F" w:rsidRPr="007A6CA6" w:rsidRDefault="0000017F" w:rsidP="0000017F">
      <w:pPr>
        <w:keepNext/>
        <w:ind w:firstLine="1440"/>
        <w:jc w:val="left"/>
        <w:rPr>
          <w:rStyle w:val="Hyperlink"/>
          <w:color w:val="000000"/>
          <w:sz w:val="26"/>
          <w:szCs w:val="26"/>
        </w:rPr>
      </w:pPr>
    </w:p>
    <w:p w14:paraId="0FC64C3A" w14:textId="77777777" w:rsidR="0079753E" w:rsidRPr="007A6CA6" w:rsidRDefault="0079753E" w:rsidP="0079753E">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In her Initial Decision on Remand, ALJ Guhl made sixteen Findings of Fact and reached six Conclusions of Law.  Those Findings of Fact and Conclusions of Law are </w:t>
      </w:r>
      <w:r w:rsidRPr="007A6CA6">
        <w:rPr>
          <w:rFonts w:ascii="Times New Roman" w:hAnsi="Times New Roman" w:cs="Times New Roman"/>
          <w:sz w:val="26"/>
          <w:szCs w:val="26"/>
        </w:rPr>
        <w:lastRenderedPageBreak/>
        <w:t xml:space="preserve">incorporated herein by reference and are adopted without comment unless they are expressly or by necessary implication overruled or modified by the Opinion and Order.  </w:t>
      </w:r>
    </w:p>
    <w:p w14:paraId="45670D6F" w14:textId="77777777" w:rsidR="0079753E" w:rsidRPr="007A6CA6" w:rsidRDefault="0079753E" w:rsidP="0079753E">
      <w:pPr>
        <w:pStyle w:val="ParaTab1"/>
        <w:tabs>
          <w:tab w:val="num" w:pos="0"/>
          <w:tab w:val="left" w:pos="2070"/>
        </w:tabs>
        <w:spacing w:line="360" w:lineRule="auto"/>
        <w:rPr>
          <w:rFonts w:ascii="Times New Roman" w:hAnsi="Times New Roman" w:cs="Times New Roman"/>
          <w:sz w:val="26"/>
          <w:szCs w:val="26"/>
        </w:rPr>
      </w:pPr>
    </w:p>
    <w:p w14:paraId="1D7B364A" w14:textId="77777777" w:rsidR="0079753E" w:rsidRPr="007A6CA6" w:rsidRDefault="0079753E" w:rsidP="0079753E">
      <w:pPr>
        <w:pStyle w:val="ParaTab1"/>
        <w:tabs>
          <w:tab w:val="num" w:pos="0"/>
          <w:tab w:val="left" w:pos="2070"/>
        </w:tabs>
        <w:spacing w:line="360" w:lineRule="auto"/>
        <w:rPr>
          <w:rFonts w:ascii="Times New Roman" w:hAnsi="Times New Roman" w:cs="Times New Roman"/>
          <w:b/>
          <w:sz w:val="26"/>
          <w:szCs w:val="26"/>
        </w:rPr>
      </w:pPr>
      <w:r w:rsidRPr="007A6CA6">
        <w:rPr>
          <w:rFonts w:ascii="Times New Roman" w:hAnsi="Times New Roman" w:cs="Times New Roman"/>
          <w:sz w:val="26"/>
          <w:szCs w:val="26"/>
        </w:rPr>
        <w:t xml:space="preserve">In addition to taking evidence on the status of Mr. Kessler’s account with PECO and his household income, ALJ Guhl also found, based upon credible evidence of record, that Mr. Kessler had filed a petition for Chapter 13 bankruptcy on October 6, 2014, I.D. at 4, Finding of Fact No. 10, Tr. at 36, 38 and PECO </w:t>
      </w:r>
      <w:proofErr w:type="spellStart"/>
      <w:r w:rsidRPr="007A6CA6">
        <w:rPr>
          <w:rFonts w:ascii="Times New Roman" w:hAnsi="Times New Roman" w:cs="Times New Roman"/>
          <w:sz w:val="26"/>
          <w:szCs w:val="26"/>
        </w:rPr>
        <w:t>Exh</w:t>
      </w:r>
      <w:proofErr w:type="spellEnd"/>
      <w:r w:rsidRPr="007A6CA6">
        <w:rPr>
          <w:rFonts w:ascii="Times New Roman" w:hAnsi="Times New Roman" w:cs="Times New Roman"/>
          <w:sz w:val="26"/>
          <w:szCs w:val="26"/>
        </w:rPr>
        <w:t xml:space="preserve">. 2.  In addition, the ALJ found that PECO had set aside the pre-petition balance of $5,601.82 after it was notified of the bankruptcy proceeding.  I.D. at 4, Finding of Fact No. 11, Tr. at 36, PECO </w:t>
      </w:r>
      <w:proofErr w:type="spellStart"/>
      <w:r w:rsidRPr="007A6CA6">
        <w:rPr>
          <w:rFonts w:ascii="Times New Roman" w:hAnsi="Times New Roman" w:cs="Times New Roman"/>
          <w:sz w:val="26"/>
          <w:szCs w:val="26"/>
        </w:rPr>
        <w:t>Exh</w:t>
      </w:r>
      <w:proofErr w:type="spellEnd"/>
      <w:r w:rsidRPr="007A6CA6">
        <w:rPr>
          <w:rFonts w:ascii="Times New Roman" w:hAnsi="Times New Roman" w:cs="Times New Roman"/>
          <w:sz w:val="26"/>
          <w:szCs w:val="26"/>
        </w:rPr>
        <w:t xml:space="preserve">. 2.  ALJ Guhl found that the Complainant’s bankruptcy proceeding is awaiting discharge, I.D. at 10, Finding of Fact No. 12, Tr. at 39 and that </w:t>
      </w:r>
      <w:r w:rsidR="00244A3A" w:rsidRPr="007A6CA6">
        <w:rPr>
          <w:rFonts w:ascii="Times New Roman" w:hAnsi="Times New Roman" w:cs="Times New Roman"/>
          <w:sz w:val="26"/>
          <w:szCs w:val="26"/>
        </w:rPr>
        <w:t xml:space="preserve">the </w:t>
      </w:r>
      <w:r w:rsidRPr="007A6CA6">
        <w:rPr>
          <w:rFonts w:ascii="Times New Roman" w:hAnsi="Times New Roman" w:cs="Times New Roman"/>
          <w:sz w:val="26"/>
          <w:szCs w:val="26"/>
        </w:rPr>
        <w:t xml:space="preserve">Complainant’s total balance with PECO is $8,049.08, which are all post-petition arrears.  I.D. at 4, Finding of Fact No. 16, Tr. at 32, PECO </w:t>
      </w:r>
      <w:proofErr w:type="spellStart"/>
      <w:r w:rsidRPr="007A6CA6">
        <w:rPr>
          <w:rFonts w:ascii="Times New Roman" w:hAnsi="Times New Roman" w:cs="Times New Roman"/>
          <w:sz w:val="26"/>
          <w:szCs w:val="26"/>
        </w:rPr>
        <w:t>Exh</w:t>
      </w:r>
      <w:proofErr w:type="spellEnd"/>
      <w:r w:rsidRPr="007A6CA6">
        <w:rPr>
          <w:rFonts w:ascii="Times New Roman" w:hAnsi="Times New Roman" w:cs="Times New Roman"/>
          <w:sz w:val="26"/>
          <w:szCs w:val="26"/>
        </w:rPr>
        <w:t xml:space="preserve">. 1.  The Complainant has not made any payments on his account since March 21, 2018, I.D. at 4, Finding of Fact No. 14, Tr. at 33, PECO </w:t>
      </w:r>
      <w:proofErr w:type="spellStart"/>
      <w:r w:rsidRPr="007A6CA6">
        <w:rPr>
          <w:rFonts w:ascii="Times New Roman" w:hAnsi="Times New Roman" w:cs="Times New Roman"/>
          <w:sz w:val="26"/>
          <w:szCs w:val="26"/>
        </w:rPr>
        <w:t>Exh</w:t>
      </w:r>
      <w:proofErr w:type="spellEnd"/>
      <w:r w:rsidRPr="007A6CA6">
        <w:rPr>
          <w:rFonts w:ascii="Times New Roman" w:hAnsi="Times New Roman" w:cs="Times New Roman"/>
          <w:sz w:val="26"/>
          <w:szCs w:val="26"/>
        </w:rPr>
        <w:t>.</w:t>
      </w:r>
      <w:r w:rsidR="007A6CA6">
        <w:rPr>
          <w:rFonts w:ascii="Times New Roman" w:hAnsi="Times New Roman" w:cs="Times New Roman"/>
          <w:sz w:val="26"/>
          <w:szCs w:val="26"/>
        </w:rPr>
        <w:t> </w:t>
      </w:r>
      <w:r w:rsidRPr="007A6CA6">
        <w:rPr>
          <w:rFonts w:ascii="Times New Roman" w:hAnsi="Times New Roman" w:cs="Times New Roman"/>
          <w:sz w:val="26"/>
          <w:szCs w:val="26"/>
        </w:rPr>
        <w:t xml:space="preserve">1, and between October 9, 2017 and March 21, 2018, the Complainant made only four payments on his account.  I.D. at 4, Finding of Fact No. 15, Tr. at 33, PECO </w:t>
      </w:r>
      <w:proofErr w:type="spellStart"/>
      <w:r w:rsidRPr="007A6CA6">
        <w:rPr>
          <w:rFonts w:ascii="Times New Roman" w:hAnsi="Times New Roman" w:cs="Times New Roman"/>
          <w:sz w:val="26"/>
          <w:szCs w:val="26"/>
        </w:rPr>
        <w:t>Exh</w:t>
      </w:r>
      <w:proofErr w:type="spellEnd"/>
      <w:r w:rsidRPr="007A6CA6">
        <w:rPr>
          <w:rFonts w:ascii="Times New Roman" w:hAnsi="Times New Roman" w:cs="Times New Roman"/>
          <w:sz w:val="26"/>
          <w:szCs w:val="26"/>
        </w:rPr>
        <w:t xml:space="preserve">. 1.  </w:t>
      </w:r>
    </w:p>
    <w:p w14:paraId="1ADE7BFE" w14:textId="77777777" w:rsidR="00C93734" w:rsidRPr="007A6CA6" w:rsidRDefault="00C93734" w:rsidP="0079753E">
      <w:pPr>
        <w:pStyle w:val="ParaTab1"/>
        <w:tabs>
          <w:tab w:val="num" w:pos="0"/>
          <w:tab w:val="left" w:pos="2070"/>
        </w:tabs>
        <w:spacing w:line="360" w:lineRule="auto"/>
        <w:rPr>
          <w:rFonts w:ascii="Times New Roman" w:hAnsi="Times New Roman" w:cs="Times New Roman"/>
          <w:sz w:val="26"/>
          <w:szCs w:val="26"/>
        </w:rPr>
      </w:pPr>
    </w:p>
    <w:p w14:paraId="64478135" w14:textId="195F2101" w:rsidR="0079753E" w:rsidRPr="007A6CA6" w:rsidRDefault="0079753E" w:rsidP="0079753E">
      <w:pPr>
        <w:pStyle w:val="ParaTab1"/>
        <w:tabs>
          <w:tab w:val="num" w:pos="0"/>
          <w:tab w:val="left" w:pos="2070"/>
        </w:tabs>
        <w:spacing w:line="360" w:lineRule="auto"/>
        <w:rPr>
          <w:rFonts w:ascii="Times New Roman" w:hAnsi="Times New Roman" w:cs="Times New Roman"/>
          <w:b/>
          <w:sz w:val="26"/>
          <w:szCs w:val="26"/>
        </w:rPr>
      </w:pPr>
      <w:r w:rsidRPr="007A6CA6">
        <w:rPr>
          <w:rFonts w:ascii="Times New Roman" w:hAnsi="Times New Roman" w:cs="Times New Roman"/>
          <w:sz w:val="26"/>
          <w:szCs w:val="26"/>
        </w:rPr>
        <w:t xml:space="preserve">Noting that the Complainant carries the burden of proof in this matter, the ALJ discussed the effect of </w:t>
      </w:r>
      <w:r w:rsidR="00507CF0">
        <w:rPr>
          <w:rFonts w:ascii="Times New Roman" w:hAnsi="Times New Roman" w:cs="Times New Roman"/>
          <w:sz w:val="26"/>
          <w:szCs w:val="26"/>
        </w:rPr>
        <w:t xml:space="preserve">the </w:t>
      </w:r>
      <w:r w:rsidRPr="007A6CA6">
        <w:rPr>
          <w:rFonts w:ascii="Times New Roman" w:hAnsi="Times New Roman" w:cs="Times New Roman"/>
          <w:sz w:val="26"/>
          <w:szCs w:val="26"/>
        </w:rPr>
        <w:t>Complainant’s pending bankruptcy petition on his request for the establishment of a payment arrangement.  She explained that, because the Complainant’s bankruptcy proceeding was awaiting discharge, the Commission lacks jurisdiction in this matter.  Citing both the federal statute vesting jurisdiction over civil proceedings arising under Title 11 in the federal courts and their bankruptcy courts, 28</w:t>
      </w:r>
      <w:r w:rsidR="007A6CA6">
        <w:rPr>
          <w:rFonts w:ascii="Times New Roman" w:hAnsi="Times New Roman" w:cs="Times New Roman"/>
          <w:sz w:val="26"/>
          <w:szCs w:val="26"/>
        </w:rPr>
        <w:t> </w:t>
      </w:r>
      <w:r w:rsidRPr="007A6CA6">
        <w:rPr>
          <w:rFonts w:ascii="Times New Roman" w:hAnsi="Times New Roman" w:cs="Times New Roman"/>
          <w:sz w:val="26"/>
          <w:szCs w:val="26"/>
        </w:rPr>
        <w:t xml:space="preserve">U.S.C. § 1334 (a) and (e), and recent Commission decisions, the ALJ astutely noted that it is well established that the Commission lacks jurisdiction to order a payment arrangement for a debtor with an active Chapter 13 bankruptcy proceeding, even where </w:t>
      </w:r>
      <w:r w:rsidRPr="007A6CA6">
        <w:rPr>
          <w:rFonts w:ascii="Times New Roman" w:hAnsi="Times New Roman" w:cs="Times New Roman"/>
          <w:sz w:val="26"/>
          <w:szCs w:val="26"/>
        </w:rPr>
        <w:lastRenderedPageBreak/>
        <w:t xml:space="preserve">the balance is a post-bankruptcy filing arrearage.  </w:t>
      </w:r>
      <w:r w:rsidR="00CA27CD" w:rsidRPr="007A6CA6">
        <w:rPr>
          <w:rFonts w:ascii="Times New Roman" w:hAnsi="Times New Roman" w:cs="Times New Roman"/>
          <w:sz w:val="26"/>
          <w:szCs w:val="26"/>
        </w:rPr>
        <w:t>I.D. at 6-8, citing</w:t>
      </w:r>
      <w:r w:rsidR="00136063" w:rsidRPr="007A6CA6">
        <w:rPr>
          <w:rFonts w:ascii="Times New Roman" w:hAnsi="Times New Roman" w:cs="Times New Roman"/>
          <w:i/>
          <w:sz w:val="26"/>
          <w:szCs w:val="26"/>
        </w:rPr>
        <w:t xml:space="preserve"> </w:t>
      </w:r>
      <w:proofErr w:type="spellStart"/>
      <w:r w:rsidRPr="007A6CA6">
        <w:rPr>
          <w:rFonts w:ascii="Times New Roman" w:hAnsi="Times New Roman" w:cs="Times New Roman"/>
          <w:i/>
          <w:sz w:val="26"/>
          <w:szCs w:val="26"/>
        </w:rPr>
        <w:t>Danjou</w:t>
      </w:r>
      <w:proofErr w:type="spellEnd"/>
      <w:r w:rsidRPr="007A6CA6">
        <w:rPr>
          <w:rFonts w:ascii="Times New Roman" w:hAnsi="Times New Roman" w:cs="Times New Roman"/>
          <w:i/>
          <w:sz w:val="26"/>
          <w:szCs w:val="26"/>
        </w:rPr>
        <w:t xml:space="preserve"> v. West Penn Power Company</w:t>
      </w:r>
      <w:r w:rsidRPr="007A6CA6">
        <w:rPr>
          <w:rFonts w:ascii="Times New Roman" w:hAnsi="Times New Roman" w:cs="Times New Roman"/>
          <w:sz w:val="26"/>
          <w:szCs w:val="26"/>
        </w:rPr>
        <w:t>, D</w:t>
      </w:r>
      <w:r w:rsidR="00136063" w:rsidRPr="007A6CA6">
        <w:rPr>
          <w:rFonts w:ascii="Times New Roman" w:hAnsi="Times New Roman" w:cs="Times New Roman"/>
          <w:sz w:val="26"/>
          <w:szCs w:val="26"/>
        </w:rPr>
        <w:t>ocket</w:t>
      </w:r>
      <w:r w:rsidRPr="007A6CA6">
        <w:rPr>
          <w:rFonts w:ascii="Times New Roman" w:hAnsi="Times New Roman" w:cs="Times New Roman"/>
          <w:sz w:val="26"/>
          <w:szCs w:val="26"/>
        </w:rPr>
        <w:t>. No. F-2018-3006430 (Order entered July 22, 2019)</w:t>
      </w:r>
      <w:r w:rsidR="00CA27CD" w:rsidRPr="007A6CA6">
        <w:rPr>
          <w:rFonts w:ascii="Times New Roman" w:hAnsi="Times New Roman" w:cs="Times New Roman"/>
          <w:sz w:val="26"/>
          <w:szCs w:val="26"/>
        </w:rPr>
        <w:t xml:space="preserve"> (</w:t>
      </w:r>
      <w:proofErr w:type="spellStart"/>
      <w:r w:rsidR="00CA27CD" w:rsidRPr="007A6CA6">
        <w:rPr>
          <w:rFonts w:ascii="Times New Roman" w:hAnsi="Times New Roman" w:cs="Times New Roman"/>
          <w:i/>
          <w:iCs/>
          <w:sz w:val="26"/>
          <w:szCs w:val="26"/>
        </w:rPr>
        <w:t>Danjou</w:t>
      </w:r>
      <w:proofErr w:type="spellEnd"/>
      <w:r w:rsidR="00CA27CD" w:rsidRPr="007A6CA6">
        <w:rPr>
          <w:rFonts w:ascii="Times New Roman" w:hAnsi="Times New Roman" w:cs="Times New Roman"/>
          <w:sz w:val="26"/>
          <w:szCs w:val="26"/>
        </w:rPr>
        <w:t>)</w:t>
      </w:r>
      <w:r w:rsidRPr="007A6CA6">
        <w:rPr>
          <w:rFonts w:ascii="Times New Roman" w:hAnsi="Times New Roman" w:cs="Times New Roman"/>
          <w:sz w:val="26"/>
          <w:szCs w:val="26"/>
        </w:rPr>
        <w:t>.</w:t>
      </w:r>
      <w:r w:rsidR="00CA27CD" w:rsidRPr="007A6CA6">
        <w:rPr>
          <w:rStyle w:val="FootnoteReference"/>
          <w:rFonts w:ascii="Times New Roman" w:hAnsi="Times New Roman" w:cs="Times New Roman"/>
          <w:sz w:val="26"/>
          <w:szCs w:val="26"/>
        </w:rPr>
        <w:footnoteReference w:id="4"/>
      </w:r>
      <w:r w:rsidRPr="007A6CA6">
        <w:rPr>
          <w:rFonts w:ascii="Times New Roman" w:hAnsi="Times New Roman" w:cs="Times New Roman"/>
          <w:sz w:val="26"/>
          <w:szCs w:val="26"/>
        </w:rPr>
        <w:t xml:space="preserve"> </w:t>
      </w:r>
    </w:p>
    <w:p w14:paraId="2634C877" w14:textId="77777777" w:rsidR="0079753E" w:rsidRPr="007A6CA6" w:rsidRDefault="0079753E" w:rsidP="0079753E">
      <w:pPr>
        <w:pStyle w:val="ParaTab1"/>
        <w:tabs>
          <w:tab w:val="num" w:pos="0"/>
          <w:tab w:val="left" w:pos="2070"/>
        </w:tabs>
        <w:spacing w:line="360" w:lineRule="auto"/>
        <w:rPr>
          <w:rFonts w:ascii="Times New Roman" w:hAnsi="Times New Roman" w:cs="Times New Roman"/>
          <w:sz w:val="26"/>
          <w:szCs w:val="26"/>
        </w:rPr>
      </w:pPr>
    </w:p>
    <w:p w14:paraId="51FB3A85" w14:textId="0DD8F926" w:rsidR="0079753E" w:rsidRPr="007A6CA6" w:rsidRDefault="00C93734" w:rsidP="0079753E">
      <w:pPr>
        <w:pStyle w:val="ParaTab1"/>
        <w:tabs>
          <w:tab w:val="num" w:pos="0"/>
          <w:tab w:val="left" w:pos="2070"/>
        </w:tabs>
        <w:spacing w:line="360" w:lineRule="auto"/>
        <w:rPr>
          <w:rFonts w:ascii="Times New Roman" w:hAnsi="Times New Roman" w:cs="Times New Roman"/>
          <w:sz w:val="26"/>
          <w:szCs w:val="26"/>
        </w:rPr>
      </w:pPr>
      <w:r w:rsidRPr="007A6CA6">
        <w:rPr>
          <w:rFonts w:ascii="Times New Roman" w:hAnsi="Times New Roman" w:cs="Times New Roman"/>
          <w:sz w:val="26"/>
          <w:szCs w:val="26"/>
        </w:rPr>
        <w:t xml:space="preserve">The ALJ detailed that the Commission had recently dealt with issues related to requests for payment arrangements on arrears that accrued after the filing of Chapter 13 bankruptcy in </w:t>
      </w:r>
      <w:proofErr w:type="spellStart"/>
      <w:r w:rsidRPr="007A6CA6">
        <w:rPr>
          <w:rFonts w:ascii="Times New Roman" w:hAnsi="Times New Roman" w:cs="Times New Roman"/>
          <w:i/>
          <w:sz w:val="26"/>
          <w:szCs w:val="26"/>
        </w:rPr>
        <w:t>Danjou</w:t>
      </w:r>
      <w:proofErr w:type="spellEnd"/>
      <w:r w:rsidRPr="007A6CA6">
        <w:rPr>
          <w:rFonts w:ascii="Times New Roman" w:hAnsi="Times New Roman" w:cs="Times New Roman"/>
          <w:sz w:val="26"/>
          <w:szCs w:val="26"/>
        </w:rPr>
        <w:t xml:space="preserve">.  </w:t>
      </w:r>
      <w:r w:rsidR="00CA27CD" w:rsidRPr="007A6CA6">
        <w:rPr>
          <w:rFonts w:ascii="Times New Roman" w:hAnsi="Times New Roman" w:cs="Times New Roman"/>
          <w:sz w:val="26"/>
          <w:szCs w:val="26"/>
        </w:rPr>
        <w:t>According to the ALJ, t</w:t>
      </w:r>
      <w:r w:rsidRPr="007A6CA6">
        <w:rPr>
          <w:rFonts w:ascii="Times New Roman" w:hAnsi="Times New Roman" w:cs="Times New Roman"/>
          <w:sz w:val="26"/>
          <w:szCs w:val="26"/>
        </w:rPr>
        <w:t xml:space="preserve">he Commission explained that a </w:t>
      </w:r>
      <w:r w:rsidR="007724F1">
        <w:rPr>
          <w:rFonts w:ascii="Times New Roman" w:hAnsi="Times New Roman" w:cs="Times New Roman"/>
          <w:sz w:val="26"/>
          <w:szCs w:val="26"/>
        </w:rPr>
        <w:t>c</w:t>
      </w:r>
      <w:r w:rsidRPr="007A6CA6">
        <w:rPr>
          <w:rFonts w:ascii="Times New Roman" w:hAnsi="Times New Roman" w:cs="Times New Roman"/>
          <w:sz w:val="26"/>
          <w:szCs w:val="26"/>
        </w:rPr>
        <w:t>omplainant is not eligible for a Commission-issued payment arrangement while a Chapter 13 bankruptcy is awaiting discharge:</w:t>
      </w:r>
    </w:p>
    <w:p w14:paraId="2E00F07C" w14:textId="77777777" w:rsidR="00B42FC3" w:rsidRPr="007A6CA6" w:rsidRDefault="00B42FC3" w:rsidP="0079753E">
      <w:pPr>
        <w:pStyle w:val="ParaTab1"/>
        <w:tabs>
          <w:tab w:val="num" w:pos="0"/>
          <w:tab w:val="left" w:pos="2070"/>
        </w:tabs>
        <w:spacing w:line="360" w:lineRule="auto"/>
        <w:rPr>
          <w:rFonts w:ascii="Times New Roman" w:hAnsi="Times New Roman" w:cs="Times New Roman"/>
          <w:sz w:val="26"/>
          <w:szCs w:val="26"/>
        </w:rPr>
      </w:pPr>
    </w:p>
    <w:p w14:paraId="75169BA9" w14:textId="77777777" w:rsidR="00C93734" w:rsidRPr="007A6CA6" w:rsidRDefault="00886E66" w:rsidP="00A735D7">
      <w:pPr>
        <w:pStyle w:val="ParaTab1"/>
        <w:tabs>
          <w:tab w:val="num" w:pos="1440"/>
          <w:tab w:val="left" w:pos="2070"/>
        </w:tabs>
        <w:ind w:left="1440" w:right="1440" w:firstLine="0"/>
        <w:rPr>
          <w:rFonts w:ascii="Times New Roman" w:hAnsi="Times New Roman" w:cs="Times New Roman"/>
          <w:sz w:val="26"/>
          <w:szCs w:val="26"/>
        </w:rPr>
      </w:pPr>
      <w:r w:rsidRPr="007A6CA6">
        <w:rPr>
          <w:rFonts w:ascii="Times New Roman" w:hAnsi="Times New Roman" w:cs="Times New Roman"/>
          <w:sz w:val="26"/>
          <w:szCs w:val="26"/>
        </w:rPr>
        <w:tab/>
      </w:r>
      <w:r w:rsidR="00C93734" w:rsidRPr="007A6CA6">
        <w:rPr>
          <w:rFonts w:ascii="Times New Roman" w:hAnsi="Times New Roman" w:cs="Times New Roman"/>
          <w:sz w:val="26"/>
          <w:szCs w:val="26"/>
        </w:rPr>
        <w:t xml:space="preserve">As referenced above, pursuant to 28 U.S.C. § 1334, federal district courts and their United States Bankruptcy Courts have jurisdiction over all civil proceedings arising under Title 11, including a Chapter 13 petition for bankruptcy.  Section 1334 further establishes that the bankruptcy court has exclusive jurisdiction of all property of the debtor.  </w:t>
      </w:r>
      <w:r w:rsidR="00C93734" w:rsidRPr="007A6CA6">
        <w:rPr>
          <w:rFonts w:ascii="Times New Roman" w:hAnsi="Times New Roman" w:cs="Times New Roman"/>
          <w:i/>
          <w:sz w:val="26"/>
          <w:szCs w:val="26"/>
        </w:rPr>
        <w:t>See</w:t>
      </w:r>
      <w:r w:rsidR="00C93734" w:rsidRPr="007A6CA6">
        <w:rPr>
          <w:rFonts w:ascii="Times New Roman" w:hAnsi="Times New Roman" w:cs="Times New Roman"/>
          <w:sz w:val="26"/>
          <w:szCs w:val="26"/>
        </w:rPr>
        <w:t>, Title 28 of the United States Code Section 1334, 28 U.S.C. § 1334 (a) and (e) pertaining to jurisdiction of the federal district courts and their bankruptcy courts).</w:t>
      </w:r>
    </w:p>
    <w:p w14:paraId="7F5EA1B2" w14:textId="77777777" w:rsidR="00C93734" w:rsidRPr="007A6CA6" w:rsidRDefault="00C93734" w:rsidP="00A735D7">
      <w:pPr>
        <w:pStyle w:val="ParaTab1"/>
        <w:tabs>
          <w:tab w:val="num" w:pos="1440"/>
          <w:tab w:val="left" w:pos="2070"/>
        </w:tabs>
        <w:ind w:left="1440" w:right="1440" w:firstLine="0"/>
        <w:rPr>
          <w:rFonts w:ascii="Times New Roman" w:hAnsi="Times New Roman" w:cs="Times New Roman"/>
          <w:sz w:val="26"/>
          <w:szCs w:val="26"/>
        </w:rPr>
      </w:pPr>
    </w:p>
    <w:p w14:paraId="6C6E1AE1" w14:textId="77777777" w:rsidR="00C93734" w:rsidRPr="007A6CA6" w:rsidRDefault="00886E66" w:rsidP="00A735D7">
      <w:pPr>
        <w:pStyle w:val="ParaTab1"/>
        <w:tabs>
          <w:tab w:val="num" w:pos="1440"/>
          <w:tab w:val="left" w:pos="2070"/>
        </w:tabs>
        <w:ind w:left="1440" w:right="1440" w:firstLine="0"/>
        <w:rPr>
          <w:rFonts w:ascii="Times New Roman" w:hAnsi="Times New Roman" w:cs="Times New Roman"/>
          <w:sz w:val="26"/>
          <w:szCs w:val="26"/>
        </w:rPr>
      </w:pPr>
      <w:r w:rsidRPr="007A6CA6">
        <w:rPr>
          <w:rFonts w:ascii="Times New Roman" w:hAnsi="Times New Roman" w:cs="Times New Roman"/>
          <w:sz w:val="26"/>
          <w:szCs w:val="26"/>
        </w:rPr>
        <w:tab/>
      </w:r>
      <w:r w:rsidR="00C93734" w:rsidRPr="007A6CA6">
        <w:rPr>
          <w:rFonts w:ascii="Times New Roman" w:hAnsi="Times New Roman" w:cs="Times New Roman"/>
          <w:sz w:val="26"/>
          <w:szCs w:val="26"/>
        </w:rPr>
        <w:t>Unlike a Chapter 7 bankruptcy proceeding (in which a debtor’s estate is expeditiously liquidated and distributed to creditors), a Chapter 13 bankruptcy allows a debtor to repay debts under the management of a bankruptcy trustee</w:t>
      </w:r>
      <w:r w:rsidR="00CD4A61" w:rsidRPr="007A6CA6">
        <w:rPr>
          <w:rFonts w:ascii="Times New Roman" w:hAnsi="Times New Roman" w:cs="Times New Roman"/>
          <w:sz w:val="26"/>
          <w:szCs w:val="26"/>
        </w:rPr>
        <w:t xml:space="preserve">, who controls the debtor’s estate and makes distributions (based on determinations of the debtor’s income and expenses) until the bankruptcy petition is discharged or dismissed.  Pursuant to Chapter 13 of the Bankruptcy Code, 11 U.S.C. §1306(a)(1) and (2), the debtor’s estate includes both property and earnings acquired ‘…after the commencement of the case but before the case is closed, dismissed, or converted to a case under chapter 7, or 11, or 12 of this title [11 USCS §§ 701 et seq., or 1201 et seq.], whichever occurs first.’  By statute, the debtor’s assets (with certain limited exceptions not relevant here), whether acquired pre- or post-petition, are included within the estate for disposition by the Bankruptcy Court.  As </w:t>
      </w:r>
      <w:r w:rsidR="00CD4A61" w:rsidRPr="007A6CA6">
        <w:rPr>
          <w:rFonts w:ascii="Times New Roman" w:hAnsi="Times New Roman" w:cs="Times New Roman"/>
          <w:sz w:val="26"/>
          <w:szCs w:val="26"/>
        </w:rPr>
        <w:lastRenderedPageBreak/>
        <w:t xml:space="preserve">explained by the United States Court of Appeals for the Third Circuit in </w:t>
      </w:r>
      <w:r w:rsidR="00CD4A61" w:rsidRPr="007A6CA6">
        <w:rPr>
          <w:rFonts w:ascii="Times New Roman" w:hAnsi="Times New Roman" w:cs="Times New Roman"/>
          <w:i/>
          <w:sz w:val="26"/>
          <w:szCs w:val="26"/>
        </w:rPr>
        <w:t>Begley v. Philadelphia Electric Co</w:t>
      </w:r>
      <w:r w:rsidR="00CD4A61" w:rsidRPr="007A6CA6">
        <w:rPr>
          <w:rFonts w:ascii="Times New Roman" w:hAnsi="Times New Roman" w:cs="Times New Roman"/>
          <w:sz w:val="26"/>
          <w:szCs w:val="26"/>
        </w:rPr>
        <w:t>., 760 F.2d 46, 50 (3d Cir. Pa. 1985), discussing a Commission proceeding (</w:t>
      </w:r>
      <w:r w:rsidR="00CD4A61" w:rsidRPr="007A6CA6">
        <w:rPr>
          <w:rFonts w:ascii="Times New Roman" w:hAnsi="Times New Roman" w:cs="Times New Roman"/>
          <w:i/>
          <w:sz w:val="26"/>
          <w:szCs w:val="26"/>
        </w:rPr>
        <w:t>Anyanwu v. Philadelphia Electric Co.</w:t>
      </w:r>
      <w:r w:rsidR="00CD4A61" w:rsidRPr="007A6CA6">
        <w:rPr>
          <w:rFonts w:ascii="Times New Roman" w:hAnsi="Times New Roman" w:cs="Times New Roman"/>
          <w:sz w:val="26"/>
          <w:szCs w:val="26"/>
        </w:rPr>
        <w:t xml:space="preserve">, 55 Pa. P.U.C. 221 (1981)), ‘Further, </w:t>
      </w:r>
      <w:r w:rsidR="00CD4A61" w:rsidRPr="007A6CA6">
        <w:rPr>
          <w:rFonts w:ascii="Times New Roman" w:hAnsi="Times New Roman" w:cs="Times New Roman"/>
          <w:i/>
          <w:sz w:val="26"/>
          <w:szCs w:val="26"/>
        </w:rPr>
        <w:t>Anya</w:t>
      </w:r>
      <w:r w:rsidRPr="007A6CA6">
        <w:rPr>
          <w:rFonts w:ascii="Times New Roman" w:hAnsi="Times New Roman" w:cs="Times New Roman"/>
          <w:i/>
          <w:sz w:val="26"/>
          <w:szCs w:val="26"/>
        </w:rPr>
        <w:t>n</w:t>
      </w:r>
      <w:r w:rsidR="00CD4A61" w:rsidRPr="007A6CA6">
        <w:rPr>
          <w:rFonts w:ascii="Times New Roman" w:hAnsi="Times New Roman" w:cs="Times New Roman"/>
          <w:i/>
          <w:sz w:val="26"/>
          <w:szCs w:val="26"/>
        </w:rPr>
        <w:t>wu</w:t>
      </w:r>
      <w:r w:rsidR="00CD4A61" w:rsidRPr="007A6CA6">
        <w:rPr>
          <w:rFonts w:ascii="Times New Roman" w:hAnsi="Times New Roman" w:cs="Times New Roman"/>
          <w:sz w:val="26"/>
          <w:szCs w:val="26"/>
        </w:rPr>
        <w:t xml:space="preserve"> involved a </w:t>
      </w:r>
      <w:r w:rsidRPr="007A6CA6">
        <w:rPr>
          <w:rFonts w:ascii="Times New Roman" w:hAnsi="Times New Roman" w:cs="Times New Roman"/>
          <w:sz w:val="26"/>
          <w:szCs w:val="26"/>
        </w:rPr>
        <w:t>Chapter</w:t>
      </w:r>
      <w:r w:rsidR="00CD4A61" w:rsidRPr="007A6CA6">
        <w:rPr>
          <w:rFonts w:ascii="Times New Roman" w:hAnsi="Times New Roman" w:cs="Times New Roman"/>
          <w:sz w:val="26"/>
          <w:szCs w:val="26"/>
        </w:rPr>
        <w:t xml:space="preserve"> 13 reorganization, under which the bankruptcy court retains jurisdiction over both the pre-</w:t>
      </w:r>
      <w:proofErr w:type="spellStart"/>
      <w:r w:rsidR="00CD4A61" w:rsidRPr="007A6CA6">
        <w:rPr>
          <w:rFonts w:ascii="Times New Roman" w:hAnsi="Times New Roman" w:cs="Times New Roman"/>
          <w:sz w:val="26"/>
          <w:szCs w:val="26"/>
        </w:rPr>
        <w:t>petiion</w:t>
      </w:r>
      <w:proofErr w:type="spellEnd"/>
      <w:r w:rsidR="00CD4A61" w:rsidRPr="007A6CA6">
        <w:rPr>
          <w:rFonts w:ascii="Times New Roman" w:hAnsi="Times New Roman" w:cs="Times New Roman"/>
          <w:sz w:val="26"/>
          <w:szCs w:val="26"/>
        </w:rPr>
        <w:t xml:space="preserve"> and post-petition income and obligations….’.  </w:t>
      </w:r>
      <w:r w:rsidR="00CD4A61" w:rsidRPr="007A6CA6">
        <w:rPr>
          <w:rFonts w:ascii="Times New Roman" w:hAnsi="Times New Roman" w:cs="Times New Roman"/>
          <w:i/>
          <w:sz w:val="26"/>
          <w:szCs w:val="26"/>
        </w:rPr>
        <w:t>Id</w:t>
      </w:r>
      <w:r w:rsidR="00CD4A61" w:rsidRPr="007A6CA6">
        <w:rPr>
          <w:rFonts w:ascii="Times New Roman" w:hAnsi="Times New Roman" w:cs="Times New Roman"/>
          <w:sz w:val="26"/>
          <w:szCs w:val="26"/>
        </w:rPr>
        <w:t>.</w:t>
      </w:r>
    </w:p>
    <w:p w14:paraId="570A1542" w14:textId="77777777" w:rsidR="00CD4A61" w:rsidRPr="007A6CA6" w:rsidRDefault="00CD4A61" w:rsidP="00A735D7">
      <w:pPr>
        <w:pStyle w:val="ParaTab1"/>
        <w:tabs>
          <w:tab w:val="num" w:pos="1440"/>
          <w:tab w:val="left" w:pos="2070"/>
        </w:tabs>
        <w:ind w:left="1440" w:right="1440" w:firstLine="0"/>
        <w:rPr>
          <w:rFonts w:ascii="Times New Roman" w:hAnsi="Times New Roman" w:cs="Times New Roman"/>
          <w:sz w:val="26"/>
          <w:szCs w:val="26"/>
        </w:rPr>
      </w:pPr>
    </w:p>
    <w:p w14:paraId="38DE77FE" w14:textId="77777777" w:rsidR="00CD4A61" w:rsidRPr="007A6CA6" w:rsidRDefault="00886E66" w:rsidP="00A735D7">
      <w:pPr>
        <w:pStyle w:val="ParaTab1"/>
        <w:tabs>
          <w:tab w:val="num" w:pos="1440"/>
          <w:tab w:val="left" w:pos="2070"/>
        </w:tabs>
        <w:ind w:left="1440" w:right="1440" w:firstLine="0"/>
        <w:rPr>
          <w:rFonts w:ascii="Times New Roman" w:hAnsi="Times New Roman" w:cs="Times New Roman"/>
          <w:sz w:val="26"/>
          <w:szCs w:val="26"/>
        </w:rPr>
      </w:pPr>
      <w:r w:rsidRPr="007A6CA6">
        <w:rPr>
          <w:rFonts w:ascii="Times New Roman" w:hAnsi="Times New Roman" w:cs="Times New Roman"/>
          <w:sz w:val="26"/>
          <w:szCs w:val="26"/>
        </w:rPr>
        <w:tab/>
      </w:r>
      <w:r w:rsidR="00CD4A61" w:rsidRPr="007A6CA6">
        <w:rPr>
          <w:rFonts w:ascii="Times New Roman" w:hAnsi="Times New Roman" w:cs="Times New Roman"/>
          <w:sz w:val="26"/>
          <w:szCs w:val="26"/>
        </w:rPr>
        <w:t xml:space="preserve">It is well-established that the Commission lacks jurisdiction to order a payment arrangement for a debtor with an active Chapter 13 bankruptcy proceeding, even where the balance is a post-bankruptcy filing arrearage.  </w:t>
      </w:r>
      <w:r w:rsidRPr="007A6CA6">
        <w:rPr>
          <w:rFonts w:ascii="Times New Roman" w:hAnsi="Times New Roman" w:cs="Times New Roman"/>
          <w:i/>
          <w:sz w:val="26"/>
          <w:szCs w:val="26"/>
        </w:rPr>
        <w:t xml:space="preserve">See, </w:t>
      </w:r>
      <w:proofErr w:type="spellStart"/>
      <w:r w:rsidRPr="007A6CA6">
        <w:rPr>
          <w:rFonts w:ascii="Times New Roman" w:hAnsi="Times New Roman" w:cs="Times New Roman"/>
          <w:i/>
          <w:sz w:val="26"/>
          <w:szCs w:val="26"/>
        </w:rPr>
        <w:t>Lekawa</w:t>
      </w:r>
      <w:proofErr w:type="spellEnd"/>
      <w:r w:rsidRPr="007A6CA6">
        <w:rPr>
          <w:rFonts w:ascii="Times New Roman" w:hAnsi="Times New Roman" w:cs="Times New Roman"/>
          <w:i/>
          <w:sz w:val="26"/>
          <w:szCs w:val="26"/>
        </w:rPr>
        <w:t xml:space="preserve"> v. West Penn Power Company and Titan Gas &amp; Power, LLC, </w:t>
      </w:r>
      <w:r w:rsidRPr="007A6CA6">
        <w:rPr>
          <w:rFonts w:ascii="Times New Roman" w:hAnsi="Times New Roman" w:cs="Times New Roman"/>
          <w:sz w:val="26"/>
          <w:szCs w:val="26"/>
        </w:rPr>
        <w:t xml:space="preserve">Docket No. F-2017-2629733 (Final Order entered January 17, 2019), </w:t>
      </w:r>
      <w:r w:rsidRPr="007A6CA6">
        <w:rPr>
          <w:rFonts w:ascii="Times New Roman" w:hAnsi="Times New Roman" w:cs="Times New Roman"/>
          <w:i/>
          <w:sz w:val="26"/>
          <w:szCs w:val="26"/>
        </w:rPr>
        <w:t xml:space="preserve">citing Perez v. PECO Energy Company, </w:t>
      </w:r>
      <w:r w:rsidRPr="007A6CA6">
        <w:rPr>
          <w:rFonts w:ascii="Times New Roman" w:hAnsi="Times New Roman" w:cs="Times New Roman"/>
          <w:sz w:val="26"/>
          <w:szCs w:val="26"/>
        </w:rPr>
        <w:t xml:space="preserve">Docket No. C-2016-2551605 (Final Order entered May 18, 2017); </w:t>
      </w:r>
      <w:proofErr w:type="spellStart"/>
      <w:r w:rsidRPr="007A6CA6">
        <w:rPr>
          <w:rFonts w:ascii="Times New Roman" w:hAnsi="Times New Roman" w:cs="Times New Roman"/>
          <w:i/>
          <w:sz w:val="26"/>
          <w:szCs w:val="26"/>
        </w:rPr>
        <w:t>Chavous</w:t>
      </w:r>
      <w:proofErr w:type="spellEnd"/>
      <w:r w:rsidRPr="007A6CA6">
        <w:rPr>
          <w:rFonts w:ascii="Times New Roman" w:hAnsi="Times New Roman" w:cs="Times New Roman"/>
          <w:i/>
          <w:sz w:val="26"/>
          <w:szCs w:val="26"/>
        </w:rPr>
        <w:t xml:space="preserve"> v. PECO Energy Company,</w:t>
      </w:r>
      <w:r w:rsidRPr="007A6CA6">
        <w:rPr>
          <w:rFonts w:ascii="Times New Roman" w:hAnsi="Times New Roman" w:cs="Times New Roman"/>
          <w:sz w:val="26"/>
          <w:szCs w:val="26"/>
        </w:rPr>
        <w:t xml:space="preserve"> Docket No. F</w:t>
      </w:r>
      <w:r w:rsidR="007A6CA6">
        <w:rPr>
          <w:rFonts w:ascii="Times New Roman" w:hAnsi="Times New Roman" w:cs="Times New Roman"/>
          <w:sz w:val="26"/>
          <w:szCs w:val="26"/>
        </w:rPr>
        <w:noBreakHyphen/>
      </w:r>
      <w:r w:rsidRPr="007A6CA6">
        <w:rPr>
          <w:rFonts w:ascii="Times New Roman" w:hAnsi="Times New Roman" w:cs="Times New Roman"/>
          <w:sz w:val="26"/>
          <w:szCs w:val="26"/>
        </w:rPr>
        <w:t>2010</w:t>
      </w:r>
      <w:r w:rsidR="007A6CA6">
        <w:rPr>
          <w:rFonts w:ascii="Times New Roman" w:hAnsi="Times New Roman" w:cs="Times New Roman"/>
          <w:sz w:val="26"/>
          <w:szCs w:val="26"/>
        </w:rPr>
        <w:noBreakHyphen/>
      </w:r>
      <w:r w:rsidRPr="007A6CA6">
        <w:rPr>
          <w:rFonts w:ascii="Times New Roman" w:hAnsi="Times New Roman" w:cs="Times New Roman"/>
          <w:sz w:val="26"/>
          <w:szCs w:val="26"/>
        </w:rPr>
        <w:t xml:space="preserve">2215689 (Final Order entered December 20, 2011); </w:t>
      </w:r>
      <w:proofErr w:type="spellStart"/>
      <w:r w:rsidRPr="007A6CA6">
        <w:rPr>
          <w:rFonts w:ascii="Times New Roman" w:hAnsi="Times New Roman" w:cs="Times New Roman"/>
          <w:i/>
          <w:sz w:val="26"/>
          <w:szCs w:val="26"/>
        </w:rPr>
        <w:t>Kossman</w:t>
      </w:r>
      <w:proofErr w:type="spellEnd"/>
      <w:r w:rsidRPr="007A6CA6">
        <w:rPr>
          <w:rFonts w:ascii="Times New Roman" w:hAnsi="Times New Roman" w:cs="Times New Roman"/>
          <w:i/>
          <w:sz w:val="26"/>
          <w:szCs w:val="26"/>
        </w:rPr>
        <w:t xml:space="preserve"> v. PECO Energy Company</w:t>
      </w:r>
      <w:r w:rsidRPr="007A6CA6">
        <w:rPr>
          <w:rFonts w:ascii="Times New Roman" w:hAnsi="Times New Roman" w:cs="Times New Roman"/>
          <w:sz w:val="26"/>
          <w:szCs w:val="26"/>
        </w:rPr>
        <w:t>, Docket No. C</w:t>
      </w:r>
      <w:r w:rsidR="007A6CA6">
        <w:rPr>
          <w:rFonts w:ascii="Times New Roman" w:hAnsi="Times New Roman" w:cs="Times New Roman"/>
          <w:sz w:val="26"/>
          <w:szCs w:val="26"/>
        </w:rPr>
        <w:noBreakHyphen/>
      </w:r>
      <w:r w:rsidRPr="007A6CA6">
        <w:rPr>
          <w:rFonts w:ascii="Times New Roman" w:hAnsi="Times New Roman" w:cs="Times New Roman"/>
          <w:sz w:val="26"/>
          <w:szCs w:val="26"/>
        </w:rPr>
        <w:t>2017</w:t>
      </w:r>
      <w:r w:rsidR="007A6CA6">
        <w:rPr>
          <w:rFonts w:ascii="Times New Roman" w:hAnsi="Times New Roman" w:cs="Times New Roman"/>
          <w:sz w:val="26"/>
          <w:szCs w:val="26"/>
        </w:rPr>
        <w:noBreakHyphen/>
      </w:r>
      <w:r w:rsidRPr="007A6CA6">
        <w:rPr>
          <w:rFonts w:ascii="Times New Roman" w:hAnsi="Times New Roman" w:cs="Times New Roman"/>
          <w:sz w:val="26"/>
          <w:szCs w:val="26"/>
        </w:rPr>
        <w:t>2583425 (Final Order entered August 31, 2017).</w:t>
      </w:r>
    </w:p>
    <w:p w14:paraId="49AE1E25" w14:textId="77777777" w:rsidR="00886E66" w:rsidRPr="007A6CA6" w:rsidRDefault="00886E66" w:rsidP="00A735D7">
      <w:pPr>
        <w:pStyle w:val="ParaTab1"/>
        <w:tabs>
          <w:tab w:val="num" w:pos="1440"/>
          <w:tab w:val="left" w:pos="2070"/>
        </w:tabs>
        <w:ind w:left="1440" w:right="1440" w:firstLine="0"/>
        <w:rPr>
          <w:rFonts w:ascii="Times New Roman" w:hAnsi="Times New Roman" w:cs="Times New Roman"/>
          <w:sz w:val="26"/>
          <w:szCs w:val="26"/>
        </w:rPr>
      </w:pPr>
    </w:p>
    <w:p w14:paraId="37C7473C" w14:textId="77777777" w:rsidR="00886E66" w:rsidRPr="007A6CA6" w:rsidRDefault="00886E66" w:rsidP="00A735D7">
      <w:pPr>
        <w:pStyle w:val="ParaTab1"/>
        <w:tabs>
          <w:tab w:val="num" w:pos="1440"/>
          <w:tab w:val="left" w:pos="2070"/>
        </w:tabs>
        <w:ind w:left="1440" w:right="1440" w:firstLine="0"/>
        <w:rPr>
          <w:rFonts w:ascii="Times New Roman" w:hAnsi="Times New Roman" w:cs="Times New Roman"/>
          <w:sz w:val="26"/>
          <w:szCs w:val="26"/>
        </w:rPr>
      </w:pPr>
      <w:r w:rsidRPr="007A6CA6">
        <w:rPr>
          <w:rFonts w:ascii="Times New Roman" w:hAnsi="Times New Roman" w:cs="Times New Roman"/>
          <w:sz w:val="26"/>
          <w:szCs w:val="26"/>
        </w:rPr>
        <w:tab/>
        <w:t xml:space="preserve">Since the nature of a Chapter 13 bankruptcy is an on-going repayment plan in which all of a debtor’s assets (including property, income and debts acquired pre-petition and post-petition) are included in the debtor’s estate under the exclusive control of the bankruptcy trustee, the Commission is without jurisdiction to issue an order that affects the disposition of income or assets of a </w:t>
      </w:r>
      <w:r w:rsidR="0007149F" w:rsidRPr="007A6CA6">
        <w:rPr>
          <w:rFonts w:ascii="Times New Roman" w:hAnsi="Times New Roman" w:cs="Times New Roman"/>
          <w:sz w:val="26"/>
          <w:szCs w:val="26"/>
        </w:rPr>
        <w:t>debtor who has an active Chapter 13 bankruptcy proceeding even where the subject of the payment arrangement is a post-petition arrearage.</w:t>
      </w:r>
    </w:p>
    <w:p w14:paraId="7304A1CF" w14:textId="77777777" w:rsidR="0007149F" w:rsidRPr="007A6CA6" w:rsidRDefault="0007149F" w:rsidP="00C93734">
      <w:pPr>
        <w:pStyle w:val="ParaTab1"/>
        <w:tabs>
          <w:tab w:val="num" w:pos="1440"/>
          <w:tab w:val="left" w:pos="2070"/>
        </w:tabs>
        <w:spacing w:line="360" w:lineRule="auto"/>
        <w:ind w:left="1440" w:right="1440" w:firstLine="0"/>
        <w:rPr>
          <w:rFonts w:ascii="Times New Roman" w:hAnsi="Times New Roman" w:cs="Times New Roman"/>
          <w:sz w:val="26"/>
          <w:szCs w:val="26"/>
        </w:rPr>
      </w:pPr>
    </w:p>
    <w:p w14:paraId="13C07A50" w14:textId="77777777" w:rsidR="0007149F" w:rsidRDefault="0007149F" w:rsidP="0007149F">
      <w:pPr>
        <w:pStyle w:val="ParaTab1"/>
        <w:tabs>
          <w:tab w:val="num" w:pos="0"/>
          <w:tab w:val="left" w:pos="2070"/>
        </w:tabs>
        <w:spacing w:line="360" w:lineRule="auto"/>
        <w:ind w:right="1440" w:firstLine="0"/>
        <w:rPr>
          <w:rFonts w:ascii="Times New Roman" w:hAnsi="Times New Roman" w:cs="Times New Roman"/>
          <w:sz w:val="26"/>
          <w:szCs w:val="26"/>
        </w:rPr>
      </w:pPr>
      <w:proofErr w:type="spellStart"/>
      <w:r w:rsidRPr="007A6CA6">
        <w:rPr>
          <w:rFonts w:ascii="Times New Roman" w:hAnsi="Times New Roman" w:cs="Times New Roman"/>
          <w:i/>
          <w:sz w:val="26"/>
          <w:szCs w:val="26"/>
        </w:rPr>
        <w:t>Danjou</w:t>
      </w:r>
      <w:proofErr w:type="spellEnd"/>
      <w:r w:rsidRPr="007A6CA6">
        <w:rPr>
          <w:rFonts w:ascii="Times New Roman" w:hAnsi="Times New Roman" w:cs="Times New Roman"/>
          <w:sz w:val="26"/>
          <w:szCs w:val="26"/>
        </w:rPr>
        <w:t xml:space="preserve"> at 7-9.  I.D. at 7-8.</w:t>
      </w:r>
    </w:p>
    <w:p w14:paraId="5A210921" w14:textId="77777777" w:rsidR="006D1334" w:rsidRPr="007A6CA6" w:rsidRDefault="006D1334" w:rsidP="0007149F">
      <w:pPr>
        <w:pStyle w:val="ParaTab1"/>
        <w:tabs>
          <w:tab w:val="num" w:pos="0"/>
          <w:tab w:val="left" w:pos="2070"/>
        </w:tabs>
        <w:spacing w:line="360" w:lineRule="auto"/>
        <w:ind w:right="1440" w:firstLine="0"/>
        <w:rPr>
          <w:rFonts w:ascii="Times New Roman" w:hAnsi="Times New Roman" w:cs="Times New Roman"/>
          <w:sz w:val="26"/>
          <w:szCs w:val="26"/>
        </w:rPr>
      </w:pPr>
    </w:p>
    <w:p w14:paraId="40682E6D" w14:textId="77777777" w:rsidR="0007149F" w:rsidRPr="007A6CA6" w:rsidRDefault="0007149F" w:rsidP="0007149F">
      <w:pPr>
        <w:pStyle w:val="ParaTab1"/>
        <w:tabs>
          <w:tab w:val="num" w:pos="0"/>
          <w:tab w:val="left" w:pos="2070"/>
        </w:tabs>
        <w:spacing w:line="360" w:lineRule="auto"/>
        <w:ind w:firstLine="0"/>
        <w:rPr>
          <w:rFonts w:ascii="Times New Roman" w:hAnsi="Times New Roman" w:cs="Times New Roman"/>
          <w:sz w:val="26"/>
          <w:szCs w:val="26"/>
        </w:rPr>
      </w:pPr>
      <w:r w:rsidRPr="007A6CA6">
        <w:rPr>
          <w:rFonts w:ascii="Times New Roman" w:hAnsi="Times New Roman" w:cs="Times New Roman"/>
          <w:sz w:val="26"/>
          <w:szCs w:val="26"/>
        </w:rPr>
        <w:tab/>
        <w:t xml:space="preserve">Based upon the fact that the Complainant’s bankruptcy claim is still awaiting discharge, and even though </w:t>
      </w:r>
      <w:r w:rsidR="00CA27CD" w:rsidRPr="007A6CA6">
        <w:rPr>
          <w:rFonts w:ascii="Times New Roman" w:hAnsi="Times New Roman" w:cs="Times New Roman"/>
          <w:sz w:val="26"/>
          <w:szCs w:val="26"/>
        </w:rPr>
        <w:t xml:space="preserve">the </w:t>
      </w:r>
      <w:r w:rsidRPr="007A6CA6">
        <w:rPr>
          <w:rFonts w:ascii="Times New Roman" w:hAnsi="Times New Roman" w:cs="Times New Roman"/>
          <w:sz w:val="26"/>
          <w:szCs w:val="26"/>
        </w:rPr>
        <w:t>Complainant is seeking a payment arrangement on arrears that have accrued since the time that he filed his Chapter 13 bankruptcy petition, the ALJ concluded that the Commission lacks jurisdiction in this matter.  I.D. at</w:t>
      </w:r>
      <w:r w:rsidR="007A6CA6">
        <w:rPr>
          <w:rFonts w:ascii="Times New Roman" w:hAnsi="Times New Roman" w:cs="Times New Roman"/>
          <w:sz w:val="26"/>
          <w:szCs w:val="26"/>
        </w:rPr>
        <w:t> </w:t>
      </w:r>
      <w:r w:rsidRPr="007A6CA6">
        <w:rPr>
          <w:rFonts w:ascii="Times New Roman" w:hAnsi="Times New Roman" w:cs="Times New Roman"/>
          <w:sz w:val="26"/>
          <w:szCs w:val="26"/>
        </w:rPr>
        <w:t xml:space="preserve">8.  The ALJ thus determined that </w:t>
      </w:r>
      <w:r w:rsidR="00812DBA" w:rsidRPr="007A6CA6">
        <w:rPr>
          <w:rFonts w:ascii="Times New Roman" w:hAnsi="Times New Roman" w:cs="Times New Roman"/>
          <w:sz w:val="26"/>
          <w:szCs w:val="26"/>
        </w:rPr>
        <w:t xml:space="preserve">the </w:t>
      </w:r>
      <w:r w:rsidRPr="007A6CA6">
        <w:rPr>
          <w:rFonts w:ascii="Times New Roman" w:hAnsi="Times New Roman" w:cs="Times New Roman"/>
          <w:sz w:val="26"/>
          <w:szCs w:val="26"/>
        </w:rPr>
        <w:t xml:space="preserve">Complainant’s complaint must be dismissed.  </w:t>
      </w:r>
      <w:r w:rsidRPr="007A6CA6">
        <w:rPr>
          <w:rFonts w:ascii="Times New Roman" w:hAnsi="Times New Roman" w:cs="Times New Roman"/>
          <w:i/>
          <w:sz w:val="26"/>
          <w:szCs w:val="26"/>
        </w:rPr>
        <w:t>Id</w:t>
      </w:r>
      <w:r w:rsidR="007A6CA6">
        <w:rPr>
          <w:rFonts w:ascii="Times New Roman" w:hAnsi="Times New Roman" w:cs="Times New Roman"/>
          <w:i/>
          <w:sz w:val="26"/>
          <w:szCs w:val="26"/>
        </w:rPr>
        <w:t>.</w:t>
      </w:r>
    </w:p>
    <w:p w14:paraId="14C7AA24" w14:textId="77777777" w:rsidR="0000017F" w:rsidRPr="007A6CA6" w:rsidRDefault="0000017F" w:rsidP="0000017F">
      <w:pPr>
        <w:autoSpaceDE w:val="0"/>
        <w:autoSpaceDN w:val="0"/>
        <w:adjustRightInd w:val="0"/>
        <w:ind w:firstLine="0"/>
        <w:jc w:val="left"/>
        <w:rPr>
          <w:b/>
          <w:sz w:val="26"/>
          <w:szCs w:val="26"/>
        </w:rPr>
      </w:pPr>
      <w:r w:rsidRPr="007A6CA6">
        <w:rPr>
          <w:b/>
          <w:sz w:val="26"/>
          <w:szCs w:val="26"/>
        </w:rPr>
        <w:lastRenderedPageBreak/>
        <w:t>Exceptions and Replies</w:t>
      </w:r>
    </w:p>
    <w:p w14:paraId="4AD6EFD5" w14:textId="77777777" w:rsidR="0000017F" w:rsidRPr="007A6CA6" w:rsidRDefault="0000017F" w:rsidP="008A1915">
      <w:pPr>
        <w:autoSpaceDE w:val="0"/>
        <w:autoSpaceDN w:val="0"/>
        <w:adjustRightInd w:val="0"/>
        <w:ind w:firstLine="0"/>
        <w:jc w:val="left"/>
        <w:rPr>
          <w:sz w:val="26"/>
          <w:szCs w:val="26"/>
        </w:rPr>
      </w:pPr>
    </w:p>
    <w:p w14:paraId="32BBA688" w14:textId="77777777" w:rsidR="0079753E" w:rsidRPr="007A6CA6" w:rsidRDefault="0000017F" w:rsidP="0000017F">
      <w:pPr>
        <w:autoSpaceDE w:val="0"/>
        <w:autoSpaceDN w:val="0"/>
        <w:adjustRightInd w:val="0"/>
        <w:ind w:firstLine="0"/>
        <w:jc w:val="left"/>
        <w:rPr>
          <w:sz w:val="26"/>
          <w:szCs w:val="26"/>
        </w:rPr>
      </w:pPr>
      <w:r w:rsidRPr="007A6CA6">
        <w:rPr>
          <w:sz w:val="26"/>
          <w:szCs w:val="26"/>
        </w:rPr>
        <w:tab/>
      </w:r>
      <w:r w:rsidRPr="007A6CA6">
        <w:rPr>
          <w:sz w:val="26"/>
          <w:szCs w:val="26"/>
        </w:rPr>
        <w:tab/>
        <w:t xml:space="preserve">The Complainant’s </w:t>
      </w:r>
      <w:r w:rsidR="0079753E" w:rsidRPr="007A6CA6">
        <w:rPr>
          <w:sz w:val="26"/>
          <w:szCs w:val="26"/>
        </w:rPr>
        <w:t xml:space="preserve">Exceptions consist of a letter containing a single </w:t>
      </w:r>
      <w:r w:rsidR="0007149F" w:rsidRPr="007A6CA6">
        <w:rPr>
          <w:sz w:val="26"/>
          <w:szCs w:val="26"/>
        </w:rPr>
        <w:t xml:space="preserve">paragraph wherein he </w:t>
      </w:r>
      <w:r w:rsidR="0079753E" w:rsidRPr="007A6CA6">
        <w:rPr>
          <w:sz w:val="26"/>
          <w:szCs w:val="26"/>
        </w:rPr>
        <w:t>assert</w:t>
      </w:r>
      <w:r w:rsidR="0007149F" w:rsidRPr="007A6CA6">
        <w:rPr>
          <w:sz w:val="26"/>
          <w:szCs w:val="26"/>
        </w:rPr>
        <w:t xml:space="preserve">s </w:t>
      </w:r>
      <w:r w:rsidR="0079753E" w:rsidRPr="007A6CA6">
        <w:rPr>
          <w:sz w:val="26"/>
          <w:szCs w:val="26"/>
        </w:rPr>
        <w:t xml:space="preserve">that his bankruptcy proceeding, which was pending at the time of the hearing held in this matter, has since been discharged.  </w:t>
      </w:r>
      <w:r w:rsidR="00812DBA" w:rsidRPr="007A6CA6">
        <w:rPr>
          <w:sz w:val="26"/>
          <w:szCs w:val="26"/>
        </w:rPr>
        <w:t xml:space="preserve">The </w:t>
      </w:r>
      <w:r w:rsidR="0079753E" w:rsidRPr="007A6CA6">
        <w:rPr>
          <w:sz w:val="26"/>
          <w:szCs w:val="26"/>
        </w:rPr>
        <w:t xml:space="preserve">Complainant invites the Commission to contact the bankruptcy trustee to verify his assertion of </w:t>
      </w:r>
      <w:r w:rsidR="007A6CA6" w:rsidRPr="007A6CA6">
        <w:rPr>
          <w:sz w:val="26"/>
          <w:szCs w:val="26"/>
        </w:rPr>
        <w:t>discharge</w:t>
      </w:r>
      <w:r w:rsidR="0041298C">
        <w:rPr>
          <w:sz w:val="26"/>
          <w:szCs w:val="26"/>
        </w:rPr>
        <w:t>,</w:t>
      </w:r>
      <w:r w:rsidR="007A6CA6" w:rsidRPr="007A6CA6">
        <w:rPr>
          <w:sz w:val="26"/>
          <w:szCs w:val="26"/>
        </w:rPr>
        <w:t xml:space="preserve"> but</w:t>
      </w:r>
      <w:r w:rsidR="0079753E" w:rsidRPr="007A6CA6">
        <w:rPr>
          <w:sz w:val="26"/>
          <w:szCs w:val="26"/>
        </w:rPr>
        <w:t xml:space="preserve"> </w:t>
      </w:r>
      <w:r w:rsidR="0054032B">
        <w:rPr>
          <w:sz w:val="26"/>
          <w:szCs w:val="26"/>
        </w:rPr>
        <w:t xml:space="preserve">he </w:t>
      </w:r>
      <w:r w:rsidR="0079753E" w:rsidRPr="007A6CA6">
        <w:rPr>
          <w:sz w:val="26"/>
          <w:szCs w:val="26"/>
        </w:rPr>
        <w:t>does not supply any documentary evidence of same.  Exceptions at 1.</w:t>
      </w:r>
    </w:p>
    <w:p w14:paraId="63F07550" w14:textId="77777777" w:rsidR="0079753E" w:rsidRPr="007A6CA6" w:rsidRDefault="0079753E" w:rsidP="0000017F">
      <w:pPr>
        <w:autoSpaceDE w:val="0"/>
        <w:autoSpaceDN w:val="0"/>
        <w:adjustRightInd w:val="0"/>
        <w:ind w:firstLine="0"/>
        <w:jc w:val="left"/>
        <w:rPr>
          <w:sz w:val="26"/>
          <w:szCs w:val="26"/>
        </w:rPr>
      </w:pPr>
    </w:p>
    <w:p w14:paraId="1AD169F6" w14:textId="77777777" w:rsidR="001E6938" w:rsidRPr="007A6CA6" w:rsidRDefault="0079753E" w:rsidP="0079753E">
      <w:pPr>
        <w:autoSpaceDE w:val="0"/>
        <w:autoSpaceDN w:val="0"/>
        <w:adjustRightInd w:val="0"/>
        <w:ind w:firstLine="1440"/>
        <w:jc w:val="left"/>
        <w:rPr>
          <w:sz w:val="26"/>
          <w:szCs w:val="26"/>
        </w:rPr>
      </w:pPr>
      <w:r w:rsidRPr="007A6CA6">
        <w:rPr>
          <w:sz w:val="26"/>
          <w:szCs w:val="26"/>
        </w:rPr>
        <w:t xml:space="preserve">In its Replies to Exceptions, PECO asserts that </w:t>
      </w:r>
      <w:r w:rsidR="00812DBA" w:rsidRPr="007A6CA6">
        <w:rPr>
          <w:sz w:val="26"/>
          <w:szCs w:val="26"/>
        </w:rPr>
        <w:t xml:space="preserve">the </w:t>
      </w:r>
      <w:r w:rsidRPr="007A6CA6">
        <w:rPr>
          <w:sz w:val="26"/>
          <w:szCs w:val="26"/>
        </w:rPr>
        <w:t xml:space="preserve">Complainant’s single Exception should be denied, because there has been no change in the pendency of </w:t>
      </w:r>
      <w:r w:rsidR="00812DBA" w:rsidRPr="007A6CA6">
        <w:rPr>
          <w:sz w:val="26"/>
          <w:szCs w:val="26"/>
        </w:rPr>
        <w:t xml:space="preserve">the </w:t>
      </w:r>
      <w:r w:rsidRPr="007A6CA6">
        <w:rPr>
          <w:sz w:val="26"/>
          <w:szCs w:val="26"/>
        </w:rPr>
        <w:t xml:space="preserve">Complainant’s bankruptcy proceeding.  </w:t>
      </w:r>
      <w:r w:rsidR="002438BA" w:rsidRPr="007A6CA6">
        <w:rPr>
          <w:sz w:val="26"/>
          <w:szCs w:val="26"/>
        </w:rPr>
        <w:t>Replies to Exceptions at 2.</w:t>
      </w:r>
      <w:r w:rsidR="002438BA" w:rsidRPr="007A6CA6">
        <w:rPr>
          <w:rStyle w:val="FootnoteReference"/>
          <w:sz w:val="26"/>
          <w:szCs w:val="26"/>
        </w:rPr>
        <w:footnoteReference w:id="5"/>
      </w:r>
      <w:r w:rsidR="002438BA" w:rsidRPr="007A6CA6">
        <w:rPr>
          <w:sz w:val="26"/>
          <w:szCs w:val="26"/>
        </w:rPr>
        <w:t xml:space="preserve">  PECO asserts that all evidence points to the contrary of </w:t>
      </w:r>
      <w:r w:rsidR="00812DBA" w:rsidRPr="007A6CA6">
        <w:rPr>
          <w:sz w:val="26"/>
          <w:szCs w:val="26"/>
        </w:rPr>
        <w:t xml:space="preserve">the </w:t>
      </w:r>
      <w:r w:rsidR="002438BA" w:rsidRPr="007A6CA6">
        <w:rPr>
          <w:sz w:val="26"/>
          <w:szCs w:val="26"/>
        </w:rPr>
        <w:t>Complainant’s claim of discharge, and PECO attache</w:t>
      </w:r>
      <w:r w:rsidR="00296B79" w:rsidRPr="007A6CA6">
        <w:rPr>
          <w:sz w:val="26"/>
          <w:szCs w:val="26"/>
        </w:rPr>
        <w:t>d</w:t>
      </w:r>
      <w:r w:rsidR="00F754C5" w:rsidRPr="007A6CA6">
        <w:rPr>
          <w:sz w:val="26"/>
          <w:szCs w:val="26"/>
        </w:rPr>
        <w:t>,</w:t>
      </w:r>
      <w:r w:rsidR="002438BA" w:rsidRPr="007A6CA6">
        <w:rPr>
          <w:sz w:val="26"/>
          <w:szCs w:val="26"/>
        </w:rPr>
        <w:t xml:space="preserve"> as Exhibit “1” to its Replies, a copy of the </w:t>
      </w:r>
      <w:r w:rsidR="004D021A" w:rsidRPr="007A6CA6">
        <w:rPr>
          <w:sz w:val="26"/>
          <w:szCs w:val="26"/>
        </w:rPr>
        <w:t>B</w:t>
      </w:r>
      <w:r w:rsidR="002438BA" w:rsidRPr="007A6CA6">
        <w:rPr>
          <w:sz w:val="26"/>
          <w:szCs w:val="26"/>
        </w:rPr>
        <w:t xml:space="preserve">ankruptcy </w:t>
      </w:r>
      <w:r w:rsidR="004D021A" w:rsidRPr="007A6CA6">
        <w:rPr>
          <w:sz w:val="26"/>
          <w:szCs w:val="26"/>
        </w:rPr>
        <w:t>D</w:t>
      </w:r>
      <w:r w:rsidR="002438BA" w:rsidRPr="007A6CA6">
        <w:rPr>
          <w:sz w:val="26"/>
          <w:szCs w:val="26"/>
        </w:rPr>
        <w:t xml:space="preserve">ocket Case Summary as listed on </w:t>
      </w:r>
      <w:r w:rsidR="002E6E24" w:rsidRPr="007A6CA6">
        <w:rPr>
          <w:sz w:val="26"/>
          <w:szCs w:val="26"/>
        </w:rPr>
        <w:t>the Public Access to Court Electronic Records (</w:t>
      </w:r>
      <w:r w:rsidR="002438BA" w:rsidRPr="007A6CA6">
        <w:rPr>
          <w:sz w:val="26"/>
          <w:szCs w:val="26"/>
        </w:rPr>
        <w:t>PACER</w:t>
      </w:r>
      <w:r w:rsidR="002E6E24" w:rsidRPr="007A6CA6">
        <w:rPr>
          <w:sz w:val="26"/>
          <w:szCs w:val="26"/>
        </w:rPr>
        <w:t>)</w:t>
      </w:r>
      <w:r w:rsidR="00F754C5" w:rsidRPr="007A6CA6">
        <w:rPr>
          <w:sz w:val="26"/>
          <w:szCs w:val="26"/>
        </w:rPr>
        <w:t xml:space="preserve"> as of November 20, </w:t>
      </w:r>
    </w:p>
    <w:p w14:paraId="6EDACB6B" w14:textId="77777777" w:rsidR="002438BA" w:rsidRPr="007A6CA6" w:rsidRDefault="00F754C5" w:rsidP="001E6938">
      <w:pPr>
        <w:autoSpaceDE w:val="0"/>
        <w:autoSpaceDN w:val="0"/>
        <w:adjustRightInd w:val="0"/>
        <w:ind w:firstLine="0"/>
        <w:jc w:val="left"/>
        <w:rPr>
          <w:sz w:val="26"/>
          <w:szCs w:val="26"/>
        </w:rPr>
      </w:pPr>
      <w:r w:rsidRPr="007A6CA6">
        <w:rPr>
          <w:sz w:val="26"/>
          <w:szCs w:val="26"/>
        </w:rPr>
        <w:t>2019</w:t>
      </w:r>
      <w:r w:rsidR="002438BA" w:rsidRPr="007A6CA6">
        <w:rPr>
          <w:sz w:val="26"/>
          <w:szCs w:val="26"/>
        </w:rPr>
        <w:t xml:space="preserve">.  Replies to Exceptions at 2 and Replies </w:t>
      </w:r>
      <w:proofErr w:type="spellStart"/>
      <w:r w:rsidR="002438BA" w:rsidRPr="007A6CA6">
        <w:rPr>
          <w:sz w:val="26"/>
          <w:szCs w:val="26"/>
        </w:rPr>
        <w:t>Exh</w:t>
      </w:r>
      <w:proofErr w:type="spellEnd"/>
      <w:r w:rsidR="002438BA" w:rsidRPr="007A6CA6">
        <w:rPr>
          <w:sz w:val="26"/>
          <w:szCs w:val="26"/>
        </w:rPr>
        <w:t xml:space="preserve">. 1.  PECO explains that the </w:t>
      </w:r>
      <w:r w:rsidR="004D021A" w:rsidRPr="007A6CA6">
        <w:rPr>
          <w:sz w:val="26"/>
          <w:szCs w:val="26"/>
        </w:rPr>
        <w:t>B</w:t>
      </w:r>
      <w:r w:rsidR="002438BA" w:rsidRPr="007A6CA6">
        <w:rPr>
          <w:sz w:val="26"/>
          <w:szCs w:val="26"/>
        </w:rPr>
        <w:t xml:space="preserve">ankruptcy </w:t>
      </w:r>
      <w:r w:rsidR="004D021A" w:rsidRPr="007A6CA6">
        <w:rPr>
          <w:sz w:val="26"/>
          <w:szCs w:val="26"/>
        </w:rPr>
        <w:t xml:space="preserve">Docket </w:t>
      </w:r>
      <w:r w:rsidR="002438BA" w:rsidRPr="007A6CA6">
        <w:rPr>
          <w:sz w:val="26"/>
          <w:szCs w:val="26"/>
        </w:rPr>
        <w:t xml:space="preserve">Case Summary clearly indicates that </w:t>
      </w:r>
      <w:r w:rsidR="002E6E24" w:rsidRPr="007A6CA6">
        <w:rPr>
          <w:sz w:val="26"/>
          <w:szCs w:val="26"/>
        </w:rPr>
        <w:t xml:space="preserve">the </w:t>
      </w:r>
      <w:r w:rsidR="002438BA" w:rsidRPr="007A6CA6">
        <w:rPr>
          <w:sz w:val="26"/>
          <w:szCs w:val="26"/>
        </w:rPr>
        <w:t>Complainant’s bankruptcy “awaits discharge</w:t>
      </w:r>
      <w:r w:rsidRPr="007A6CA6">
        <w:rPr>
          <w:sz w:val="26"/>
          <w:szCs w:val="26"/>
        </w:rPr>
        <w:t>.</w:t>
      </w:r>
      <w:r w:rsidR="002438BA" w:rsidRPr="007A6CA6">
        <w:rPr>
          <w:sz w:val="26"/>
          <w:szCs w:val="26"/>
        </w:rPr>
        <w:t xml:space="preserve">”  Replies to Exceptions at 2.  PECO also notes </w:t>
      </w:r>
      <w:r w:rsidRPr="007A6CA6">
        <w:rPr>
          <w:sz w:val="26"/>
          <w:szCs w:val="26"/>
        </w:rPr>
        <w:t>that as of the date of PECO</w:t>
      </w:r>
      <w:r w:rsidR="002E6E24" w:rsidRPr="007A6CA6">
        <w:rPr>
          <w:sz w:val="26"/>
          <w:szCs w:val="26"/>
        </w:rPr>
        <w:t>’</w:t>
      </w:r>
      <w:r w:rsidRPr="007A6CA6">
        <w:rPr>
          <w:sz w:val="26"/>
          <w:szCs w:val="26"/>
        </w:rPr>
        <w:t xml:space="preserve">s filing of its Replies, and according to the </w:t>
      </w:r>
      <w:r w:rsidR="004D021A" w:rsidRPr="007A6CA6">
        <w:rPr>
          <w:sz w:val="26"/>
          <w:szCs w:val="26"/>
        </w:rPr>
        <w:t xml:space="preserve">Bankruptcy Docket </w:t>
      </w:r>
      <w:r w:rsidRPr="007A6CA6">
        <w:rPr>
          <w:sz w:val="26"/>
          <w:szCs w:val="26"/>
        </w:rPr>
        <w:t xml:space="preserve">Case Summary, the most recent filing in the bankruptcy occurred on September 5, 2019.  Replies to Exceptions at 2.  PECO requests that the Commission deny </w:t>
      </w:r>
      <w:r w:rsidR="002E6E24" w:rsidRPr="007A6CA6">
        <w:rPr>
          <w:sz w:val="26"/>
          <w:szCs w:val="26"/>
        </w:rPr>
        <w:t xml:space="preserve">the </w:t>
      </w:r>
      <w:r w:rsidRPr="007A6CA6">
        <w:rPr>
          <w:sz w:val="26"/>
          <w:szCs w:val="26"/>
        </w:rPr>
        <w:t>Complainant’s Exceptions</w:t>
      </w:r>
      <w:r w:rsidR="00AF4D09" w:rsidRPr="007A6CA6">
        <w:rPr>
          <w:sz w:val="26"/>
          <w:szCs w:val="26"/>
        </w:rPr>
        <w:t xml:space="preserve"> and uphold ALJ </w:t>
      </w:r>
      <w:proofErr w:type="spellStart"/>
      <w:r w:rsidR="00AF4D09" w:rsidRPr="007A6CA6">
        <w:rPr>
          <w:sz w:val="26"/>
          <w:szCs w:val="26"/>
        </w:rPr>
        <w:t>Guhl’s</w:t>
      </w:r>
      <w:proofErr w:type="spellEnd"/>
      <w:r w:rsidR="00AF4D09" w:rsidRPr="007A6CA6">
        <w:rPr>
          <w:sz w:val="26"/>
          <w:szCs w:val="26"/>
        </w:rPr>
        <w:t xml:space="preserve"> Initial Decision dismissing the complaint</w:t>
      </w:r>
      <w:r w:rsidR="0007149F" w:rsidRPr="007A6CA6">
        <w:rPr>
          <w:sz w:val="26"/>
          <w:szCs w:val="26"/>
        </w:rPr>
        <w:t xml:space="preserve"> for lack of jurisdiction</w:t>
      </w:r>
      <w:r w:rsidR="00AF4D09" w:rsidRPr="007A6CA6">
        <w:rPr>
          <w:sz w:val="26"/>
          <w:szCs w:val="26"/>
        </w:rPr>
        <w:t xml:space="preserve">. </w:t>
      </w:r>
    </w:p>
    <w:p w14:paraId="5ABACBE5" w14:textId="77777777" w:rsidR="0000017F" w:rsidRPr="007A6CA6" w:rsidRDefault="0000017F" w:rsidP="0000017F">
      <w:pPr>
        <w:autoSpaceDE w:val="0"/>
        <w:autoSpaceDN w:val="0"/>
        <w:adjustRightInd w:val="0"/>
        <w:ind w:firstLine="1440"/>
        <w:jc w:val="left"/>
        <w:rPr>
          <w:sz w:val="26"/>
          <w:szCs w:val="26"/>
        </w:rPr>
      </w:pPr>
    </w:p>
    <w:p w14:paraId="4B2CEC21" w14:textId="77777777" w:rsidR="0000017F" w:rsidRPr="007A6CA6" w:rsidRDefault="0000017F" w:rsidP="006D1334">
      <w:pPr>
        <w:keepNext/>
        <w:keepLines/>
        <w:autoSpaceDE w:val="0"/>
        <w:autoSpaceDN w:val="0"/>
        <w:adjustRightInd w:val="0"/>
        <w:ind w:firstLine="0"/>
        <w:jc w:val="left"/>
        <w:rPr>
          <w:b/>
          <w:sz w:val="26"/>
          <w:szCs w:val="26"/>
        </w:rPr>
      </w:pPr>
      <w:r w:rsidRPr="007A6CA6">
        <w:rPr>
          <w:b/>
          <w:sz w:val="26"/>
          <w:szCs w:val="26"/>
        </w:rPr>
        <w:lastRenderedPageBreak/>
        <w:t>Disposition</w:t>
      </w:r>
    </w:p>
    <w:p w14:paraId="156B82F6" w14:textId="77777777" w:rsidR="0000017F" w:rsidRPr="007A6CA6" w:rsidRDefault="0000017F" w:rsidP="006D1334">
      <w:pPr>
        <w:keepNext/>
        <w:keepLines/>
        <w:autoSpaceDE w:val="0"/>
        <w:autoSpaceDN w:val="0"/>
        <w:adjustRightInd w:val="0"/>
        <w:ind w:firstLine="0"/>
        <w:jc w:val="left"/>
        <w:rPr>
          <w:b/>
          <w:sz w:val="26"/>
          <w:szCs w:val="26"/>
        </w:rPr>
      </w:pPr>
    </w:p>
    <w:p w14:paraId="50C0258F" w14:textId="0C8629FF" w:rsidR="00403389" w:rsidRDefault="00E11D94" w:rsidP="00594F26">
      <w:pPr>
        <w:ind w:firstLine="1440"/>
        <w:jc w:val="left"/>
        <w:rPr>
          <w:sz w:val="26"/>
          <w:szCs w:val="26"/>
        </w:rPr>
      </w:pPr>
      <w:r>
        <w:rPr>
          <w:sz w:val="26"/>
          <w:szCs w:val="26"/>
        </w:rPr>
        <w:t xml:space="preserve">Based on a review of the record and the Exceptions and Replies thereto, Mr. Kessler’s Exceptions are denied and the ALJ’s Initial Decision is affirmed.  As the proponent of an Order establishing a payment arrangement, </w:t>
      </w:r>
      <w:r w:rsidR="007724F1">
        <w:rPr>
          <w:sz w:val="26"/>
          <w:szCs w:val="26"/>
        </w:rPr>
        <w:t xml:space="preserve">the </w:t>
      </w:r>
      <w:r>
        <w:rPr>
          <w:sz w:val="26"/>
          <w:szCs w:val="26"/>
        </w:rPr>
        <w:t>Complainant bears the burden of proof in this proceeding.</w:t>
      </w:r>
      <w:r>
        <w:rPr>
          <w:rStyle w:val="FootnoteReference"/>
          <w:sz w:val="26"/>
          <w:szCs w:val="26"/>
        </w:rPr>
        <w:footnoteReference w:id="6"/>
      </w:r>
      <w:r>
        <w:rPr>
          <w:sz w:val="26"/>
          <w:szCs w:val="26"/>
        </w:rPr>
        <w:t xml:space="preserve">  </w:t>
      </w:r>
      <w:r w:rsidR="0041298C">
        <w:rPr>
          <w:sz w:val="26"/>
          <w:szCs w:val="26"/>
        </w:rPr>
        <w:t>Mr. Kessler must prove that his bankruptcy has been discharged in order to be eligible for a payment arrangement from the Commission, but he has failed to do so.  Mr. Kessler has not provided any new evidence related to the status of his bankruptcy proceeding.</w:t>
      </w:r>
    </w:p>
    <w:p w14:paraId="766DCFCA" w14:textId="77777777" w:rsidR="00E11D94" w:rsidRPr="007A6CA6" w:rsidRDefault="00E11D94" w:rsidP="00594F26">
      <w:pPr>
        <w:ind w:firstLine="1440"/>
        <w:jc w:val="left"/>
        <w:rPr>
          <w:sz w:val="26"/>
          <w:szCs w:val="26"/>
        </w:rPr>
      </w:pPr>
    </w:p>
    <w:p w14:paraId="6DC96759" w14:textId="17C65100" w:rsidR="00EE0FF7" w:rsidRDefault="0041298C" w:rsidP="00594F26">
      <w:pPr>
        <w:ind w:firstLine="1440"/>
        <w:jc w:val="left"/>
        <w:rPr>
          <w:sz w:val="26"/>
          <w:szCs w:val="26"/>
        </w:rPr>
      </w:pPr>
      <w:r>
        <w:rPr>
          <w:sz w:val="26"/>
          <w:szCs w:val="26"/>
        </w:rPr>
        <w:t xml:space="preserve">As the ALJ correctly concluded in the Initial Decision, and as Mr. Kessler does not dispute, it is well established that the Commission lacks jurisdiction to order a payment arrangement for a customer with an active Chapter 13 bankruptcy proceeding. </w:t>
      </w:r>
      <w:r>
        <w:rPr>
          <w:rStyle w:val="FootnoteReference"/>
          <w:sz w:val="26"/>
          <w:szCs w:val="26"/>
        </w:rPr>
        <w:footnoteReference w:id="7"/>
      </w:r>
      <w:r>
        <w:rPr>
          <w:sz w:val="26"/>
          <w:szCs w:val="26"/>
        </w:rPr>
        <w:t xml:space="preserve">  Mr. Kessler has failed to produce evidence of bankruptcy discharge.  He therefore has not carried his burden of proving that this Commission has jurisdiction to consider his request for a payment arrangement.  Mr. Kessler is free to request a payment arrangement when he can demonstrate that his bankruptcy has been discharged.</w:t>
      </w:r>
      <w:r w:rsidR="00637C88">
        <w:rPr>
          <w:sz w:val="26"/>
          <w:szCs w:val="26"/>
        </w:rPr>
        <w:t xml:space="preserve">  </w:t>
      </w:r>
      <w:r w:rsidR="00E66E9F" w:rsidRPr="007A6CA6">
        <w:rPr>
          <w:sz w:val="26"/>
          <w:szCs w:val="26"/>
        </w:rPr>
        <w:t>Therefore,</w:t>
      </w:r>
      <w:r w:rsidR="00A735D7" w:rsidRPr="007A6CA6">
        <w:rPr>
          <w:sz w:val="26"/>
          <w:szCs w:val="26"/>
        </w:rPr>
        <w:t xml:space="preserve"> </w:t>
      </w:r>
      <w:r w:rsidR="00E66E9F" w:rsidRPr="007A6CA6">
        <w:rPr>
          <w:sz w:val="26"/>
          <w:szCs w:val="26"/>
        </w:rPr>
        <w:t xml:space="preserve">the </w:t>
      </w:r>
      <w:r w:rsidR="00A735D7" w:rsidRPr="007A6CA6">
        <w:rPr>
          <w:sz w:val="26"/>
          <w:szCs w:val="26"/>
        </w:rPr>
        <w:t xml:space="preserve">Complaint </w:t>
      </w:r>
      <w:r w:rsidR="00D641FA">
        <w:rPr>
          <w:sz w:val="26"/>
          <w:szCs w:val="26"/>
        </w:rPr>
        <w:t>is</w:t>
      </w:r>
      <w:r w:rsidR="006D1334">
        <w:rPr>
          <w:sz w:val="26"/>
          <w:szCs w:val="26"/>
        </w:rPr>
        <w:t xml:space="preserve"> </w:t>
      </w:r>
      <w:r w:rsidR="00A735D7" w:rsidRPr="007A6CA6">
        <w:rPr>
          <w:sz w:val="26"/>
          <w:szCs w:val="26"/>
        </w:rPr>
        <w:t>dismissed</w:t>
      </w:r>
      <w:r w:rsidR="001F41BC">
        <w:rPr>
          <w:sz w:val="26"/>
          <w:szCs w:val="26"/>
        </w:rPr>
        <w:t xml:space="preserve"> for lack of jurisdiction</w:t>
      </w:r>
      <w:r w:rsidR="00D641FA">
        <w:rPr>
          <w:sz w:val="26"/>
          <w:szCs w:val="26"/>
        </w:rPr>
        <w:t>.</w:t>
      </w:r>
      <w:r w:rsidR="00A735D7" w:rsidRPr="007A6CA6">
        <w:rPr>
          <w:sz w:val="26"/>
          <w:szCs w:val="26"/>
        </w:rPr>
        <w:t xml:space="preserve"> </w:t>
      </w:r>
      <w:r w:rsidR="0007149F" w:rsidRPr="007A6CA6">
        <w:rPr>
          <w:sz w:val="26"/>
          <w:szCs w:val="26"/>
        </w:rPr>
        <w:t xml:space="preserve"> </w:t>
      </w:r>
    </w:p>
    <w:p w14:paraId="2E1E3C93" w14:textId="77777777" w:rsidR="00722AAA" w:rsidRDefault="00722AAA" w:rsidP="00594F26">
      <w:pPr>
        <w:ind w:firstLine="1440"/>
        <w:jc w:val="left"/>
        <w:rPr>
          <w:sz w:val="26"/>
          <w:szCs w:val="26"/>
        </w:rPr>
      </w:pPr>
    </w:p>
    <w:p w14:paraId="44AD01A8" w14:textId="1422F134" w:rsidR="00C52620" w:rsidRPr="007A6CA6" w:rsidRDefault="00C52620" w:rsidP="009A0C91">
      <w:pPr>
        <w:ind w:firstLine="1440"/>
        <w:jc w:val="left"/>
        <w:rPr>
          <w:sz w:val="26"/>
          <w:szCs w:val="26"/>
        </w:rPr>
      </w:pPr>
      <w:r>
        <w:rPr>
          <w:sz w:val="26"/>
          <w:szCs w:val="26"/>
        </w:rPr>
        <w:t>We also note that since the filing of this complaint, Mr. Kessler’s account balance has increased from approximately $3,000 to over $8,000 at the time of the hearing.  This is Mr. Kessler’s post-bankruptcy petition balance, so it does not include his approximately $5,600 balance that PECO set aside after being notified of the bankruptcy filing.  At the time of the hearing on remand in May 2019, Mr. Kessler had not made any payments on his account since March 2018.</w:t>
      </w:r>
      <w:r w:rsidR="009A0C91">
        <w:rPr>
          <w:sz w:val="26"/>
          <w:szCs w:val="26"/>
        </w:rPr>
        <w:t xml:space="preserve">  </w:t>
      </w:r>
      <w:r>
        <w:rPr>
          <w:sz w:val="26"/>
          <w:szCs w:val="26"/>
        </w:rPr>
        <w:t xml:space="preserve">Mr. Kessler is responsible for paying the </w:t>
      </w:r>
      <w:r>
        <w:rPr>
          <w:sz w:val="26"/>
          <w:szCs w:val="26"/>
        </w:rPr>
        <w:lastRenderedPageBreak/>
        <w:t>undisputed portion of his bills on or before the billing due date while this complaint is pending</w:t>
      </w:r>
      <w:r w:rsidR="00A60B59">
        <w:rPr>
          <w:sz w:val="26"/>
          <w:szCs w:val="26"/>
        </w:rPr>
        <w:t>.</w:t>
      </w:r>
      <w:r>
        <w:rPr>
          <w:rStyle w:val="FootnoteReference"/>
          <w:sz w:val="26"/>
          <w:szCs w:val="26"/>
        </w:rPr>
        <w:footnoteReference w:id="8"/>
      </w:r>
      <w:r>
        <w:rPr>
          <w:sz w:val="26"/>
          <w:szCs w:val="26"/>
        </w:rPr>
        <w:t xml:space="preserve"> </w:t>
      </w:r>
    </w:p>
    <w:p w14:paraId="3C255662" w14:textId="77777777" w:rsidR="00EE0FF7" w:rsidRPr="007A6CA6" w:rsidRDefault="00EE0FF7" w:rsidP="00594F26">
      <w:pPr>
        <w:ind w:firstLine="1440"/>
        <w:jc w:val="left"/>
        <w:rPr>
          <w:sz w:val="26"/>
          <w:szCs w:val="26"/>
        </w:rPr>
      </w:pPr>
    </w:p>
    <w:p w14:paraId="7F6FCAF5" w14:textId="77777777" w:rsidR="0000017F" w:rsidRPr="00460D2C" w:rsidRDefault="0000017F" w:rsidP="00460D2C">
      <w:pPr>
        <w:pStyle w:val="ListParagraph"/>
        <w:numPr>
          <w:ilvl w:val="0"/>
          <w:numId w:val="7"/>
        </w:numPr>
        <w:autoSpaceDE w:val="0"/>
        <w:autoSpaceDN w:val="0"/>
        <w:adjustRightInd w:val="0"/>
        <w:ind w:left="0" w:firstLine="0"/>
        <w:rPr>
          <w:b/>
          <w:sz w:val="26"/>
          <w:szCs w:val="26"/>
        </w:rPr>
      </w:pPr>
      <w:r w:rsidRPr="00460D2C">
        <w:rPr>
          <w:b/>
          <w:sz w:val="26"/>
          <w:szCs w:val="26"/>
        </w:rPr>
        <w:t>Conclusion</w:t>
      </w:r>
    </w:p>
    <w:p w14:paraId="7ECA25A4" w14:textId="77777777" w:rsidR="00E51C2E" w:rsidRPr="007A6CA6" w:rsidRDefault="00E51C2E" w:rsidP="007F5DE2">
      <w:pPr>
        <w:autoSpaceDE w:val="0"/>
        <w:autoSpaceDN w:val="0"/>
        <w:adjustRightInd w:val="0"/>
        <w:ind w:firstLine="0"/>
        <w:jc w:val="both"/>
        <w:rPr>
          <w:sz w:val="26"/>
          <w:szCs w:val="26"/>
        </w:rPr>
      </w:pPr>
    </w:p>
    <w:p w14:paraId="2C130289" w14:textId="77777777" w:rsidR="00E51C2E" w:rsidRPr="007A6CA6" w:rsidRDefault="00463897" w:rsidP="00E51C2E">
      <w:pPr>
        <w:tabs>
          <w:tab w:val="left" w:pos="-720"/>
          <w:tab w:val="left" w:pos="0"/>
        </w:tabs>
        <w:suppressAutoHyphens/>
        <w:ind w:firstLine="1440"/>
        <w:jc w:val="left"/>
        <w:rPr>
          <w:sz w:val="26"/>
          <w:szCs w:val="26"/>
        </w:rPr>
      </w:pPr>
      <w:r w:rsidRPr="007A6CA6">
        <w:rPr>
          <w:sz w:val="26"/>
          <w:szCs w:val="26"/>
        </w:rPr>
        <w:t>Based upon o</w:t>
      </w:r>
      <w:r w:rsidR="00D641FA">
        <w:rPr>
          <w:sz w:val="26"/>
          <w:szCs w:val="26"/>
        </w:rPr>
        <w:t>u</w:t>
      </w:r>
      <w:r w:rsidRPr="007A6CA6">
        <w:rPr>
          <w:sz w:val="26"/>
          <w:szCs w:val="26"/>
        </w:rPr>
        <w:t xml:space="preserve">r review, we shall </w:t>
      </w:r>
      <w:r w:rsidR="00CE4F71">
        <w:rPr>
          <w:sz w:val="26"/>
          <w:szCs w:val="26"/>
        </w:rPr>
        <w:t>deny</w:t>
      </w:r>
      <w:r w:rsidR="004D021A" w:rsidRPr="007A6CA6">
        <w:rPr>
          <w:sz w:val="26"/>
          <w:szCs w:val="26"/>
        </w:rPr>
        <w:t xml:space="preserve"> </w:t>
      </w:r>
      <w:r w:rsidR="00E51C2E" w:rsidRPr="007A6CA6">
        <w:rPr>
          <w:sz w:val="26"/>
          <w:szCs w:val="26"/>
        </w:rPr>
        <w:t>the Complain</w:t>
      </w:r>
      <w:r w:rsidR="004D021A" w:rsidRPr="007A6CA6">
        <w:rPr>
          <w:sz w:val="26"/>
          <w:szCs w:val="26"/>
        </w:rPr>
        <w:t>an</w:t>
      </w:r>
      <w:r w:rsidR="00E51C2E" w:rsidRPr="007A6CA6">
        <w:rPr>
          <w:sz w:val="26"/>
          <w:szCs w:val="26"/>
        </w:rPr>
        <w:t>t</w:t>
      </w:r>
      <w:r w:rsidR="004B76C8" w:rsidRPr="007A6CA6">
        <w:rPr>
          <w:sz w:val="26"/>
          <w:szCs w:val="26"/>
        </w:rPr>
        <w:t>’s Exceptions</w:t>
      </w:r>
      <w:r w:rsidR="00E51C2E" w:rsidRPr="007A6CA6">
        <w:rPr>
          <w:sz w:val="26"/>
          <w:szCs w:val="26"/>
        </w:rPr>
        <w:t xml:space="preserve"> </w:t>
      </w:r>
      <w:r w:rsidRPr="007A6CA6">
        <w:rPr>
          <w:sz w:val="26"/>
          <w:szCs w:val="26"/>
        </w:rPr>
        <w:t>and  adopt the ALJ’s Initial Decision consistent with this Opinion and Order</w:t>
      </w:r>
      <w:r w:rsidR="00E51C2E" w:rsidRPr="007A6CA6">
        <w:rPr>
          <w:sz w:val="26"/>
          <w:szCs w:val="26"/>
        </w:rPr>
        <w:t xml:space="preserve">; </w:t>
      </w:r>
      <w:r w:rsidR="00E51C2E" w:rsidRPr="007A6CA6">
        <w:rPr>
          <w:b/>
          <w:sz w:val="26"/>
          <w:szCs w:val="26"/>
        </w:rPr>
        <w:t>THEREFORE,</w:t>
      </w:r>
    </w:p>
    <w:p w14:paraId="70550248" w14:textId="77777777" w:rsidR="00E51C2E" w:rsidRPr="007A6CA6" w:rsidRDefault="00E51C2E" w:rsidP="00996D80">
      <w:pPr>
        <w:tabs>
          <w:tab w:val="left" w:pos="-720"/>
        </w:tabs>
        <w:suppressAutoHyphens/>
        <w:ind w:firstLine="0"/>
        <w:jc w:val="both"/>
        <w:rPr>
          <w:sz w:val="26"/>
          <w:szCs w:val="26"/>
        </w:rPr>
      </w:pPr>
    </w:p>
    <w:p w14:paraId="08456D0F" w14:textId="77777777" w:rsidR="00E51C2E" w:rsidRPr="007A6CA6" w:rsidRDefault="00E51C2E" w:rsidP="00E51C2E">
      <w:pPr>
        <w:tabs>
          <w:tab w:val="left" w:pos="-720"/>
        </w:tabs>
        <w:suppressAutoHyphens/>
        <w:ind w:firstLine="1440"/>
        <w:jc w:val="left"/>
        <w:rPr>
          <w:b/>
          <w:sz w:val="26"/>
          <w:szCs w:val="26"/>
        </w:rPr>
      </w:pPr>
      <w:r w:rsidRPr="007A6CA6">
        <w:rPr>
          <w:b/>
          <w:sz w:val="26"/>
          <w:szCs w:val="26"/>
        </w:rPr>
        <w:t>IT IS ORDERED:</w:t>
      </w:r>
    </w:p>
    <w:p w14:paraId="6A759750" w14:textId="77777777" w:rsidR="00E51C2E" w:rsidRPr="007A6CA6" w:rsidRDefault="00E51C2E" w:rsidP="00996D80">
      <w:pPr>
        <w:tabs>
          <w:tab w:val="left" w:pos="-720"/>
        </w:tabs>
        <w:suppressAutoHyphens/>
        <w:ind w:firstLine="0"/>
        <w:jc w:val="both"/>
        <w:rPr>
          <w:sz w:val="26"/>
          <w:szCs w:val="26"/>
        </w:rPr>
      </w:pPr>
    </w:p>
    <w:p w14:paraId="3C3AC11D" w14:textId="7EB62407" w:rsidR="00463897" w:rsidRPr="007A6CA6" w:rsidRDefault="00E51C2E" w:rsidP="00594F26">
      <w:pPr>
        <w:pStyle w:val="ListParagraph"/>
        <w:numPr>
          <w:ilvl w:val="0"/>
          <w:numId w:val="3"/>
        </w:numPr>
        <w:tabs>
          <w:tab w:val="left" w:pos="-720"/>
        </w:tabs>
        <w:suppressAutoHyphens/>
        <w:ind w:left="0" w:firstLine="1440"/>
        <w:jc w:val="left"/>
        <w:rPr>
          <w:sz w:val="26"/>
          <w:szCs w:val="26"/>
        </w:rPr>
      </w:pPr>
      <w:r w:rsidRPr="007A6CA6">
        <w:rPr>
          <w:sz w:val="26"/>
          <w:szCs w:val="26"/>
        </w:rPr>
        <w:t xml:space="preserve">That the </w:t>
      </w:r>
      <w:r w:rsidR="00151292" w:rsidRPr="007A6CA6">
        <w:rPr>
          <w:sz w:val="26"/>
          <w:szCs w:val="26"/>
        </w:rPr>
        <w:t xml:space="preserve">Exceptions </w:t>
      </w:r>
      <w:r w:rsidRPr="007A6CA6">
        <w:rPr>
          <w:sz w:val="26"/>
          <w:szCs w:val="26"/>
        </w:rPr>
        <w:t xml:space="preserve">filed by Adam </w:t>
      </w:r>
      <w:r w:rsidR="00151292" w:rsidRPr="007A6CA6">
        <w:rPr>
          <w:sz w:val="26"/>
          <w:szCs w:val="26"/>
        </w:rPr>
        <w:t>Kessler on</w:t>
      </w:r>
      <w:r w:rsidR="00641370" w:rsidRPr="007A6CA6">
        <w:rPr>
          <w:sz w:val="26"/>
          <w:szCs w:val="26"/>
        </w:rPr>
        <w:t xml:space="preserve"> September 27, 2019</w:t>
      </w:r>
      <w:r w:rsidR="00151292" w:rsidRPr="007A6CA6">
        <w:rPr>
          <w:sz w:val="26"/>
          <w:szCs w:val="26"/>
        </w:rPr>
        <w:t xml:space="preserve"> at </w:t>
      </w:r>
      <w:r w:rsidRPr="007A6CA6">
        <w:rPr>
          <w:sz w:val="26"/>
          <w:szCs w:val="26"/>
        </w:rPr>
        <w:t xml:space="preserve">Docket No. C-2017-2630792, </w:t>
      </w:r>
      <w:r w:rsidR="00151292" w:rsidRPr="007A6CA6">
        <w:rPr>
          <w:sz w:val="26"/>
          <w:szCs w:val="26"/>
        </w:rPr>
        <w:t xml:space="preserve">are </w:t>
      </w:r>
      <w:r w:rsidR="00CE4F71">
        <w:rPr>
          <w:sz w:val="26"/>
          <w:szCs w:val="26"/>
        </w:rPr>
        <w:t>denied</w:t>
      </w:r>
      <w:r w:rsidR="009278C1">
        <w:rPr>
          <w:sz w:val="26"/>
          <w:szCs w:val="26"/>
        </w:rPr>
        <w:t xml:space="preserve"> </w:t>
      </w:r>
      <w:r w:rsidR="00CE4F71">
        <w:rPr>
          <w:sz w:val="26"/>
          <w:szCs w:val="26"/>
        </w:rPr>
        <w:t>consistent with</w:t>
      </w:r>
      <w:r w:rsidR="00463897" w:rsidRPr="007A6CA6">
        <w:rPr>
          <w:sz w:val="26"/>
          <w:szCs w:val="26"/>
        </w:rPr>
        <w:t xml:space="preserve"> </w:t>
      </w:r>
      <w:r w:rsidR="00151292" w:rsidRPr="007A6CA6">
        <w:rPr>
          <w:sz w:val="26"/>
          <w:szCs w:val="26"/>
        </w:rPr>
        <w:t>this Opinion and Order</w:t>
      </w:r>
      <w:r w:rsidR="005D35CF">
        <w:rPr>
          <w:sz w:val="26"/>
          <w:szCs w:val="26"/>
        </w:rPr>
        <w:t>.</w:t>
      </w:r>
    </w:p>
    <w:p w14:paraId="350F4256" w14:textId="77777777" w:rsidR="002563C8" w:rsidRPr="007A6CA6" w:rsidRDefault="002563C8" w:rsidP="00594F26">
      <w:pPr>
        <w:pStyle w:val="ListParagraph"/>
        <w:tabs>
          <w:tab w:val="left" w:pos="-720"/>
        </w:tabs>
        <w:suppressAutoHyphens/>
        <w:ind w:left="1440" w:firstLine="0"/>
        <w:jc w:val="left"/>
        <w:rPr>
          <w:sz w:val="26"/>
          <w:szCs w:val="26"/>
        </w:rPr>
      </w:pPr>
    </w:p>
    <w:p w14:paraId="2570BE0D" w14:textId="77777777" w:rsidR="00151292" w:rsidRPr="007A6CA6" w:rsidRDefault="002563C8" w:rsidP="00594F26">
      <w:pPr>
        <w:pStyle w:val="ListParagraph"/>
        <w:numPr>
          <w:ilvl w:val="0"/>
          <w:numId w:val="3"/>
        </w:numPr>
        <w:tabs>
          <w:tab w:val="left" w:pos="-720"/>
        </w:tabs>
        <w:suppressAutoHyphens/>
        <w:ind w:left="0" w:firstLine="1440"/>
        <w:jc w:val="left"/>
        <w:rPr>
          <w:sz w:val="26"/>
          <w:szCs w:val="26"/>
        </w:rPr>
      </w:pPr>
      <w:r w:rsidRPr="007A6CA6">
        <w:rPr>
          <w:sz w:val="26"/>
          <w:szCs w:val="26"/>
        </w:rPr>
        <w:t xml:space="preserve">That the </w:t>
      </w:r>
      <w:r w:rsidR="00BF2B08" w:rsidRPr="007A6CA6">
        <w:rPr>
          <w:sz w:val="26"/>
          <w:szCs w:val="26"/>
        </w:rPr>
        <w:t>I</w:t>
      </w:r>
      <w:r w:rsidRPr="007A6CA6">
        <w:rPr>
          <w:sz w:val="26"/>
          <w:szCs w:val="26"/>
        </w:rPr>
        <w:t xml:space="preserve">nitial Decision of Administrative Law Judge </w:t>
      </w:r>
      <w:r w:rsidR="00BF2B08" w:rsidRPr="007A6CA6">
        <w:rPr>
          <w:sz w:val="26"/>
          <w:szCs w:val="26"/>
        </w:rPr>
        <w:t xml:space="preserve">Marta Guhl is adopted consistent with this Opinion and Order.  </w:t>
      </w:r>
    </w:p>
    <w:p w14:paraId="7137C645" w14:textId="77777777" w:rsidR="00151292" w:rsidRPr="007A6CA6" w:rsidRDefault="00151292" w:rsidP="00E51C2E">
      <w:pPr>
        <w:ind w:firstLine="1440"/>
        <w:jc w:val="left"/>
        <w:rPr>
          <w:rFonts w:eastAsia="Times New Roman"/>
          <w:sz w:val="26"/>
          <w:szCs w:val="26"/>
        </w:rPr>
      </w:pPr>
    </w:p>
    <w:p w14:paraId="03BE4533" w14:textId="3D286E90" w:rsidR="00E51C2E" w:rsidRPr="007A6CA6" w:rsidRDefault="00934D66" w:rsidP="00E51C2E">
      <w:pPr>
        <w:ind w:firstLine="1440"/>
        <w:jc w:val="left"/>
        <w:rPr>
          <w:rFonts w:eastAsia="Times New Roman"/>
          <w:sz w:val="26"/>
          <w:szCs w:val="26"/>
        </w:rPr>
      </w:pPr>
      <w:r>
        <w:rPr>
          <w:rFonts w:eastAsia="Times New Roman"/>
          <w:sz w:val="26"/>
          <w:szCs w:val="26"/>
        </w:rPr>
        <w:t>3</w:t>
      </w:r>
      <w:r w:rsidR="00E51C2E" w:rsidRPr="007A6CA6">
        <w:rPr>
          <w:rFonts w:eastAsia="Times New Roman"/>
          <w:sz w:val="26"/>
          <w:szCs w:val="26"/>
        </w:rPr>
        <w:t>.</w:t>
      </w:r>
      <w:r w:rsidR="00E51C2E" w:rsidRPr="007A6CA6">
        <w:rPr>
          <w:rFonts w:eastAsia="Times New Roman"/>
          <w:sz w:val="26"/>
          <w:szCs w:val="26"/>
        </w:rPr>
        <w:tab/>
        <w:t>That</w:t>
      </w:r>
      <w:r w:rsidR="006D1334">
        <w:rPr>
          <w:rFonts w:eastAsia="Times New Roman"/>
          <w:sz w:val="26"/>
          <w:szCs w:val="26"/>
        </w:rPr>
        <w:t xml:space="preserve"> </w:t>
      </w:r>
      <w:r w:rsidR="00E51C2E" w:rsidRPr="007A6CA6">
        <w:rPr>
          <w:rFonts w:eastAsia="Times New Roman"/>
          <w:sz w:val="26"/>
          <w:szCs w:val="26"/>
        </w:rPr>
        <w:t xml:space="preserve">the Formal Complaint filed by Adam Kessler on October 15, 2017, at Docket No. C-2017-2630792, </w:t>
      </w:r>
      <w:r w:rsidR="0041298C">
        <w:rPr>
          <w:rFonts w:eastAsia="Times New Roman"/>
          <w:sz w:val="26"/>
          <w:szCs w:val="26"/>
        </w:rPr>
        <w:t>is</w:t>
      </w:r>
      <w:r w:rsidR="00E51C2E" w:rsidRPr="007A6CA6">
        <w:rPr>
          <w:rFonts w:eastAsia="Times New Roman"/>
          <w:sz w:val="26"/>
          <w:szCs w:val="26"/>
        </w:rPr>
        <w:t xml:space="preserve"> dismissed.</w:t>
      </w:r>
    </w:p>
    <w:p w14:paraId="589736E6" w14:textId="77777777" w:rsidR="00262073" w:rsidRPr="007A6CA6" w:rsidRDefault="00934D66" w:rsidP="00604B50">
      <w:pPr>
        <w:keepNext/>
        <w:keepLines/>
        <w:ind w:firstLine="1440"/>
        <w:jc w:val="left"/>
        <w:rPr>
          <w:rFonts w:eastAsia="Times New Roman"/>
          <w:sz w:val="26"/>
          <w:szCs w:val="26"/>
        </w:rPr>
      </w:pPr>
      <w:r>
        <w:rPr>
          <w:rFonts w:eastAsia="Times New Roman"/>
          <w:sz w:val="26"/>
          <w:szCs w:val="26"/>
        </w:rPr>
        <w:lastRenderedPageBreak/>
        <w:t>4</w:t>
      </w:r>
      <w:r w:rsidR="00262073" w:rsidRPr="007A6CA6">
        <w:rPr>
          <w:rFonts w:eastAsia="Times New Roman"/>
          <w:sz w:val="26"/>
          <w:szCs w:val="26"/>
        </w:rPr>
        <w:t>.</w:t>
      </w:r>
      <w:r w:rsidR="00262073" w:rsidRPr="007A6CA6">
        <w:rPr>
          <w:rFonts w:eastAsia="Times New Roman"/>
          <w:sz w:val="26"/>
          <w:szCs w:val="26"/>
        </w:rPr>
        <w:tab/>
        <w:t xml:space="preserve">That </w:t>
      </w:r>
      <w:r w:rsidR="00580D43" w:rsidRPr="007A6CA6">
        <w:rPr>
          <w:rFonts w:eastAsia="Times New Roman"/>
          <w:sz w:val="26"/>
          <w:szCs w:val="26"/>
        </w:rPr>
        <w:t>the Secretary’s Bureau shall mark this proceeding closed</w:t>
      </w:r>
      <w:r w:rsidR="00AD409C" w:rsidRPr="007A6CA6">
        <w:rPr>
          <w:sz w:val="26"/>
          <w:szCs w:val="26"/>
        </w:rPr>
        <w:t>.</w:t>
      </w:r>
    </w:p>
    <w:p w14:paraId="3C220187" w14:textId="77777777" w:rsidR="00A735D7" w:rsidRPr="007A6CA6" w:rsidRDefault="00A735D7" w:rsidP="00594F26">
      <w:pPr>
        <w:keepNext/>
        <w:keepLines/>
        <w:tabs>
          <w:tab w:val="left" w:pos="-720"/>
        </w:tabs>
        <w:ind w:firstLine="5040"/>
        <w:rPr>
          <w:b/>
          <w:sz w:val="26"/>
          <w:szCs w:val="26"/>
        </w:rPr>
      </w:pPr>
    </w:p>
    <w:p w14:paraId="7FA16810" w14:textId="0CC5229F" w:rsidR="00A735D7" w:rsidRPr="007A6CA6" w:rsidRDefault="000601C6" w:rsidP="00460D2C">
      <w:pPr>
        <w:keepNext/>
        <w:keepLines/>
        <w:tabs>
          <w:tab w:val="left" w:pos="-720"/>
        </w:tabs>
        <w:ind w:firstLine="5040"/>
        <w:jc w:val="left"/>
        <w:rPr>
          <w:sz w:val="26"/>
          <w:szCs w:val="26"/>
        </w:rPr>
      </w:pPr>
      <w:r>
        <w:rPr>
          <w:rFonts w:ascii="Arial" w:hAnsi="Arial" w:cs="Arial"/>
          <w:noProof/>
        </w:rPr>
        <w:drawing>
          <wp:anchor distT="0" distB="0" distL="114300" distR="114300" simplePos="0" relativeHeight="251659264" behindDoc="1" locked="0" layoutInCell="1" allowOverlap="1" wp14:anchorId="32E061D3" wp14:editId="7B9D45CD">
            <wp:simplePos x="0" y="0"/>
            <wp:positionH relativeFrom="column">
              <wp:posOffset>3079750</wp:posOffset>
            </wp:positionH>
            <wp:positionV relativeFrom="page">
              <wp:posOffset>1638300</wp:posOffset>
            </wp:positionV>
            <wp:extent cx="1837690" cy="70358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7690" cy="703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735D7" w:rsidRPr="007A6CA6">
        <w:rPr>
          <w:b/>
          <w:sz w:val="26"/>
          <w:szCs w:val="26"/>
        </w:rPr>
        <w:t>BY THE COMMISSION,</w:t>
      </w:r>
    </w:p>
    <w:p w14:paraId="6E222DB6" w14:textId="4FED8047" w:rsidR="00A735D7" w:rsidRPr="007A6CA6" w:rsidRDefault="00A735D7" w:rsidP="00460D2C">
      <w:pPr>
        <w:keepNext/>
        <w:keepLines/>
        <w:tabs>
          <w:tab w:val="left" w:pos="-720"/>
        </w:tabs>
        <w:spacing w:line="240" w:lineRule="auto"/>
        <w:ind w:firstLine="5040"/>
        <w:jc w:val="left"/>
        <w:rPr>
          <w:sz w:val="26"/>
          <w:szCs w:val="26"/>
        </w:rPr>
      </w:pPr>
    </w:p>
    <w:p w14:paraId="3040A1B8" w14:textId="351BF650" w:rsidR="00A735D7" w:rsidRPr="007A6CA6" w:rsidRDefault="00A735D7" w:rsidP="00460D2C">
      <w:pPr>
        <w:keepNext/>
        <w:keepLines/>
        <w:tabs>
          <w:tab w:val="left" w:pos="-720"/>
        </w:tabs>
        <w:spacing w:line="240" w:lineRule="auto"/>
        <w:ind w:firstLine="5040"/>
        <w:jc w:val="left"/>
        <w:rPr>
          <w:sz w:val="26"/>
          <w:szCs w:val="26"/>
        </w:rPr>
      </w:pPr>
    </w:p>
    <w:p w14:paraId="2F2F4AA1" w14:textId="77777777" w:rsidR="00A735D7" w:rsidRPr="007A6CA6" w:rsidRDefault="00A735D7" w:rsidP="00460D2C">
      <w:pPr>
        <w:keepNext/>
        <w:keepLines/>
        <w:tabs>
          <w:tab w:val="left" w:pos="-720"/>
        </w:tabs>
        <w:spacing w:line="240" w:lineRule="auto"/>
        <w:ind w:firstLine="5040"/>
        <w:jc w:val="left"/>
        <w:rPr>
          <w:sz w:val="26"/>
          <w:szCs w:val="26"/>
        </w:rPr>
      </w:pPr>
    </w:p>
    <w:p w14:paraId="444ED895" w14:textId="77777777" w:rsidR="00A735D7" w:rsidRPr="007A6CA6" w:rsidRDefault="00A735D7" w:rsidP="00460D2C">
      <w:pPr>
        <w:keepNext/>
        <w:keepLines/>
        <w:tabs>
          <w:tab w:val="left" w:pos="-720"/>
        </w:tabs>
        <w:spacing w:line="240" w:lineRule="auto"/>
        <w:ind w:firstLine="5040"/>
        <w:jc w:val="left"/>
        <w:rPr>
          <w:b/>
          <w:sz w:val="26"/>
          <w:szCs w:val="26"/>
        </w:rPr>
      </w:pPr>
      <w:r w:rsidRPr="007A6CA6">
        <w:rPr>
          <w:sz w:val="26"/>
          <w:szCs w:val="26"/>
        </w:rPr>
        <w:t>Rosemary Chiavetta</w:t>
      </w:r>
    </w:p>
    <w:p w14:paraId="1FD79AA8" w14:textId="77777777" w:rsidR="00A735D7" w:rsidRPr="007A6CA6" w:rsidRDefault="00A735D7" w:rsidP="00460D2C">
      <w:pPr>
        <w:keepNext/>
        <w:keepLines/>
        <w:tabs>
          <w:tab w:val="left" w:pos="-720"/>
        </w:tabs>
        <w:spacing w:line="240" w:lineRule="auto"/>
        <w:ind w:firstLine="5040"/>
        <w:jc w:val="left"/>
        <w:rPr>
          <w:sz w:val="26"/>
          <w:szCs w:val="26"/>
        </w:rPr>
      </w:pPr>
      <w:r w:rsidRPr="007A6CA6">
        <w:rPr>
          <w:sz w:val="26"/>
          <w:szCs w:val="26"/>
        </w:rPr>
        <w:t>Secretary</w:t>
      </w:r>
    </w:p>
    <w:p w14:paraId="2D54E04C" w14:textId="77777777" w:rsidR="00A735D7" w:rsidRPr="007A6CA6" w:rsidRDefault="00A735D7" w:rsidP="00460D2C">
      <w:pPr>
        <w:keepNext/>
        <w:keepLines/>
        <w:tabs>
          <w:tab w:val="left" w:pos="-720"/>
        </w:tabs>
        <w:spacing w:line="240" w:lineRule="auto"/>
        <w:rPr>
          <w:sz w:val="26"/>
          <w:szCs w:val="26"/>
        </w:rPr>
      </w:pPr>
    </w:p>
    <w:p w14:paraId="2C2D7F1B" w14:textId="77777777" w:rsidR="00460D2C" w:rsidRDefault="00460D2C" w:rsidP="00460D2C">
      <w:pPr>
        <w:keepNext/>
        <w:keepLines/>
        <w:tabs>
          <w:tab w:val="left" w:pos="-720"/>
        </w:tabs>
        <w:spacing w:line="240" w:lineRule="auto"/>
        <w:ind w:firstLine="0"/>
        <w:jc w:val="both"/>
        <w:rPr>
          <w:sz w:val="26"/>
          <w:szCs w:val="26"/>
        </w:rPr>
      </w:pPr>
    </w:p>
    <w:p w14:paraId="6871EAD3" w14:textId="77777777" w:rsidR="00A735D7" w:rsidRPr="007A6CA6" w:rsidRDefault="00A735D7" w:rsidP="00460D2C">
      <w:pPr>
        <w:keepNext/>
        <w:keepLines/>
        <w:tabs>
          <w:tab w:val="left" w:pos="-720"/>
        </w:tabs>
        <w:spacing w:line="240" w:lineRule="auto"/>
        <w:ind w:firstLine="0"/>
        <w:jc w:val="both"/>
        <w:rPr>
          <w:sz w:val="26"/>
          <w:szCs w:val="26"/>
        </w:rPr>
      </w:pPr>
      <w:r w:rsidRPr="007A6CA6">
        <w:rPr>
          <w:sz w:val="26"/>
          <w:szCs w:val="26"/>
        </w:rPr>
        <w:t>(SEAL)</w:t>
      </w:r>
    </w:p>
    <w:p w14:paraId="754A8D72" w14:textId="77777777" w:rsidR="00A735D7" w:rsidRPr="007A6CA6" w:rsidRDefault="00A735D7" w:rsidP="00460D2C">
      <w:pPr>
        <w:keepNext/>
        <w:keepLines/>
        <w:tabs>
          <w:tab w:val="left" w:pos="-720"/>
        </w:tabs>
        <w:spacing w:line="240" w:lineRule="auto"/>
        <w:ind w:firstLine="0"/>
        <w:rPr>
          <w:sz w:val="26"/>
          <w:szCs w:val="26"/>
        </w:rPr>
      </w:pPr>
    </w:p>
    <w:p w14:paraId="482144BA" w14:textId="77777777" w:rsidR="00A735D7" w:rsidRPr="007A6CA6" w:rsidRDefault="00A735D7" w:rsidP="00460D2C">
      <w:pPr>
        <w:keepNext/>
        <w:keepLines/>
        <w:tabs>
          <w:tab w:val="left" w:pos="-720"/>
        </w:tabs>
        <w:spacing w:line="240" w:lineRule="auto"/>
        <w:ind w:firstLine="0"/>
        <w:jc w:val="both"/>
        <w:rPr>
          <w:sz w:val="26"/>
          <w:szCs w:val="26"/>
        </w:rPr>
      </w:pPr>
      <w:r w:rsidRPr="007A6CA6">
        <w:rPr>
          <w:sz w:val="26"/>
          <w:szCs w:val="26"/>
        </w:rPr>
        <w:t>ORDER ADOPTED:</w:t>
      </w:r>
      <w:r w:rsidR="00460D2C">
        <w:rPr>
          <w:sz w:val="26"/>
          <w:szCs w:val="26"/>
        </w:rPr>
        <w:t xml:space="preserve">  </w:t>
      </w:r>
      <w:r w:rsidR="00AD409C" w:rsidRPr="007A6CA6">
        <w:rPr>
          <w:sz w:val="26"/>
          <w:szCs w:val="26"/>
        </w:rPr>
        <w:t xml:space="preserve">March </w:t>
      </w:r>
      <w:r w:rsidR="00604B50" w:rsidRPr="007A6CA6">
        <w:rPr>
          <w:sz w:val="26"/>
          <w:szCs w:val="26"/>
        </w:rPr>
        <w:t>12</w:t>
      </w:r>
      <w:r w:rsidRPr="007A6CA6">
        <w:rPr>
          <w:sz w:val="26"/>
          <w:szCs w:val="26"/>
        </w:rPr>
        <w:t>, 2020</w:t>
      </w:r>
    </w:p>
    <w:p w14:paraId="3F566637" w14:textId="77777777" w:rsidR="00460D2C" w:rsidRDefault="00460D2C" w:rsidP="00460D2C">
      <w:pPr>
        <w:keepNext/>
        <w:keepLines/>
        <w:tabs>
          <w:tab w:val="left" w:pos="-720"/>
        </w:tabs>
        <w:spacing w:line="240" w:lineRule="auto"/>
        <w:ind w:firstLine="0"/>
        <w:jc w:val="both"/>
        <w:rPr>
          <w:sz w:val="26"/>
          <w:szCs w:val="26"/>
        </w:rPr>
      </w:pPr>
    </w:p>
    <w:p w14:paraId="709C333B" w14:textId="4FA948BD" w:rsidR="002A7BE1" w:rsidRPr="007A6CA6" w:rsidRDefault="00A735D7" w:rsidP="00460D2C">
      <w:pPr>
        <w:keepNext/>
        <w:keepLines/>
        <w:tabs>
          <w:tab w:val="left" w:pos="-720"/>
        </w:tabs>
        <w:spacing w:line="240" w:lineRule="auto"/>
        <w:ind w:firstLine="0"/>
        <w:jc w:val="both"/>
        <w:rPr>
          <w:sz w:val="26"/>
          <w:szCs w:val="26"/>
        </w:rPr>
      </w:pPr>
      <w:r w:rsidRPr="007A6CA6">
        <w:rPr>
          <w:sz w:val="26"/>
          <w:szCs w:val="26"/>
        </w:rPr>
        <w:t xml:space="preserve">ORDER ENTERED:  </w:t>
      </w:r>
      <w:r w:rsidR="000601C6">
        <w:rPr>
          <w:sz w:val="26"/>
          <w:szCs w:val="26"/>
        </w:rPr>
        <w:t>March 18, 2020</w:t>
      </w:r>
      <w:bookmarkStart w:id="0" w:name="_GoBack"/>
      <w:bookmarkEnd w:id="0"/>
    </w:p>
    <w:sectPr w:rsidR="002A7BE1" w:rsidRPr="007A6CA6" w:rsidSect="00AB6DB5">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5C9F1" w14:textId="77777777" w:rsidR="001078F1" w:rsidRDefault="001078F1" w:rsidP="0000017F">
      <w:pPr>
        <w:spacing w:line="240" w:lineRule="auto"/>
      </w:pPr>
      <w:r>
        <w:separator/>
      </w:r>
    </w:p>
  </w:endnote>
  <w:endnote w:type="continuationSeparator" w:id="0">
    <w:p w14:paraId="75C9A4A9" w14:textId="77777777" w:rsidR="001078F1" w:rsidRDefault="001078F1" w:rsidP="00000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8475832"/>
      <w:docPartObj>
        <w:docPartGallery w:val="Page Numbers (Bottom of Page)"/>
        <w:docPartUnique/>
      </w:docPartObj>
    </w:sdtPr>
    <w:sdtEndPr>
      <w:rPr>
        <w:noProof/>
      </w:rPr>
    </w:sdtEndPr>
    <w:sdtContent>
      <w:p w14:paraId="6C5D8C20" w14:textId="77777777" w:rsidR="00DE18EA" w:rsidRDefault="001643A4" w:rsidP="00FB1DBC">
        <w:pPr>
          <w:pStyle w:val="Footer"/>
          <w:ind w:firstLine="0"/>
        </w:pPr>
        <w:r>
          <w:fldChar w:fldCharType="begin"/>
        </w:r>
        <w:r>
          <w:instrText xml:space="preserve"> PAGE   \* MERGEFORMAT </w:instrText>
        </w:r>
        <w:r>
          <w:fldChar w:fldCharType="separate"/>
        </w:r>
        <w:r w:rsidR="00EA1200">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4587D" w14:textId="77777777" w:rsidR="001078F1" w:rsidRDefault="001078F1" w:rsidP="007A6CA6">
      <w:pPr>
        <w:spacing w:line="240" w:lineRule="auto"/>
        <w:ind w:firstLine="0"/>
        <w:jc w:val="left"/>
      </w:pPr>
      <w:r>
        <w:separator/>
      </w:r>
    </w:p>
  </w:footnote>
  <w:footnote w:type="continuationSeparator" w:id="0">
    <w:p w14:paraId="71026BE5" w14:textId="77777777" w:rsidR="001078F1" w:rsidRDefault="001078F1" w:rsidP="0000017F">
      <w:pPr>
        <w:spacing w:line="240" w:lineRule="auto"/>
      </w:pPr>
      <w:r>
        <w:continuationSeparator/>
      </w:r>
    </w:p>
  </w:footnote>
  <w:footnote w:id="1">
    <w:p w14:paraId="717E8DFA" w14:textId="77777777" w:rsidR="0000017F" w:rsidRPr="00A735D7" w:rsidRDefault="0000017F" w:rsidP="007A6CA6">
      <w:pPr>
        <w:pStyle w:val="FootnoteText"/>
        <w:spacing w:after="120"/>
        <w:ind w:firstLine="720"/>
        <w:rPr>
          <w:rFonts w:ascii="Times New Roman" w:hAnsi="Times New Roman" w:cs="Times New Roman"/>
          <w:b/>
          <w:sz w:val="26"/>
          <w:szCs w:val="26"/>
        </w:rPr>
      </w:pPr>
      <w:r>
        <w:rPr>
          <w:rStyle w:val="FootnoteReference"/>
        </w:rPr>
        <w:footnoteRef/>
      </w:r>
      <w:r w:rsidR="005F706C">
        <w:tab/>
      </w:r>
      <w:r w:rsidRPr="00A735D7">
        <w:rPr>
          <w:rFonts w:ascii="Times New Roman" w:hAnsi="Times New Roman" w:cs="Times New Roman"/>
          <w:sz w:val="26"/>
          <w:szCs w:val="26"/>
        </w:rPr>
        <w:t xml:space="preserve">Counsel for PECO asserts that it was never served with </w:t>
      </w:r>
      <w:r w:rsidR="00244A3A">
        <w:rPr>
          <w:rFonts w:ascii="Times New Roman" w:hAnsi="Times New Roman" w:cs="Times New Roman"/>
          <w:sz w:val="26"/>
          <w:szCs w:val="26"/>
        </w:rPr>
        <w:t xml:space="preserve">the </w:t>
      </w:r>
      <w:r w:rsidRPr="00A735D7">
        <w:rPr>
          <w:rFonts w:ascii="Times New Roman" w:hAnsi="Times New Roman" w:cs="Times New Roman"/>
          <w:sz w:val="26"/>
          <w:szCs w:val="26"/>
        </w:rPr>
        <w:t xml:space="preserve">Complainant’s Exceptions and that PECO only learned of their filing when it checked the docket on November 20, 2019.  PECO endeavored to submit its Replies as soon as was feasible thereafter, namely the next day.  Considering the circumstances, we will </w:t>
      </w:r>
      <w:r w:rsidR="00192FEA">
        <w:rPr>
          <w:rFonts w:ascii="Times New Roman" w:hAnsi="Times New Roman" w:cs="Times New Roman"/>
          <w:sz w:val="26"/>
          <w:szCs w:val="26"/>
        </w:rPr>
        <w:t xml:space="preserve">exercise our discretion to </w:t>
      </w:r>
      <w:r w:rsidRPr="00A735D7">
        <w:rPr>
          <w:rFonts w:ascii="Times New Roman" w:hAnsi="Times New Roman" w:cs="Times New Roman"/>
          <w:sz w:val="26"/>
          <w:szCs w:val="26"/>
        </w:rPr>
        <w:t xml:space="preserve">consider PECO’s Replies </w:t>
      </w:r>
      <w:r w:rsidR="000762F2" w:rsidRPr="00A735D7">
        <w:rPr>
          <w:rFonts w:ascii="Times New Roman" w:hAnsi="Times New Roman" w:cs="Times New Roman"/>
          <w:sz w:val="26"/>
          <w:szCs w:val="26"/>
        </w:rPr>
        <w:t>to Exceptions.</w:t>
      </w:r>
      <w:r w:rsidR="008D6761">
        <w:rPr>
          <w:rFonts w:ascii="Times New Roman" w:hAnsi="Times New Roman" w:cs="Times New Roman"/>
          <w:sz w:val="26"/>
          <w:szCs w:val="26"/>
        </w:rPr>
        <w:t xml:space="preserve"> </w:t>
      </w:r>
      <w:r w:rsidR="00192FEA">
        <w:rPr>
          <w:rFonts w:ascii="Times New Roman" w:hAnsi="Times New Roman" w:cs="Times New Roman"/>
          <w:sz w:val="26"/>
          <w:szCs w:val="26"/>
        </w:rPr>
        <w:t xml:space="preserve"> </w:t>
      </w:r>
      <w:r w:rsidR="00192FEA" w:rsidRPr="00594F26">
        <w:rPr>
          <w:rFonts w:ascii="Times New Roman" w:hAnsi="Times New Roman" w:cs="Times New Roman"/>
          <w:i/>
          <w:sz w:val="26"/>
          <w:szCs w:val="26"/>
        </w:rPr>
        <w:t>See</w:t>
      </w:r>
      <w:r w:rsidR="00637C88">
        <w:rPr>
          <w:rFonts w:ascii="Times New Roman" w:hAnsi="Times New Roman" w:cs="Times New Roman"/>
          <w:i/>
          <w:sz w:val="26"/>
          <w:szCs w:val="26"/>
        </w:rPr>
        <w:t>,</w:t>
      </w:r>
      <w:r w:rsidR="00192FEA">
        <w:rPr>
          <w:rFonts w:ascii="Times New Roman" w:hAnsi="Times New Roman" w:cs="Times New Roman"/>
          <w:sz w:val="26"/>
          <w:szCs w:val="26"/>
        </w:rPr>
        <w:t xml:space="preserve"> 52 Pa. Code §1.2(a)</w:t>
      </w:r>
      <w:r w:rsidR="00594F26">
        <w:rPr>
          <w:rFonts w:ascii="Times New Roman" w:hAnsi="Times New Roman" w:cs="Times New Roman"/>
          <w:sz w:val="26"/>
          <w:szCs w:val="26"/>
        </w:rPr>
        <w:t xml:space="preserve"> </w:t>
      </w:r>
      <w:r w:rsidR="00192FEA">
        <w:rPr>
          <w:rFonts w:ascii="Times New Roman" w:hAnsi="Times New Roman" w:cs="Times New Roman"/>
          <w:sz w:val="26"/>
          <w:szCs w:val="26"/>
        </w:rPr>
        <w:t xml:space="preserve">(pertaining to liberal construction of procedural rules </w:t>
      </w:r>
      <w:r w:rsidR="00942BFD">
        <w:rPr>
          <w:rFonts w:ascii="Times New Roman" w:hAnsi="Times New Roman" w:cs="Times New Roman"/>
          <w:sz w:val="26"/>
          <w:szCs w:val="26"/>
        </w:rPr>
        <w:t>to promote just and speedy resolution of proceedings</w:t>
      </w:r>
      <w:r w:rsidR="00594F26">
        <w:rPr>
          <w:rFonts w:ascii="Times New Roman" w:hAnsi="Times New Roman" w:cs="Times New Roman"/>
          <w:sz w:val="26"/>
          <w:szCs w:val="26"/>
        </w:rPr>
        <w:t>)</w:t>
      </w:r>
      <w:r w:rsidR="00942BFD">
        <w:rPr>
          <w:rFonts w:ascii="Times New Roman" w:hAnsi="Times New Roman" w:cs="Times New Roman"/>
          <w:sz w:val="26"/>
          <w:szCs w:val="26"/>
        </w:rPr>
        <w:t xml:space="preserve">. </w:t>
      </w:r>
    </w:p>
  </w:footnote>
  <w:footnote w:id="2">
    <w:p w14:paraId="1F19B678" w14:textId="77777777" w:rsidR="00FA7932" w:rsidRPr="00594F26" w:rsidRDefault="00FA7932" w:rsidP="00FA7932">
      <w:pPr>
        <w:pStyle w:val="FootnoteText"/>
        <w:ind w:firstLine="720"/>
        <w:rPr>
          <w:rFonts w:ascii="Times New Roman" w:hAnsi="Times New Roman" w:cs="Times New Roman"/>
          <w:sz w:val="26"/>
          <w:szCs w:val="26"/>
        </w:rPr>
      </w:pPr>
      <w:r w:rsidRPr="00594F26">
        <w:rPr>
          <w:rStyle w:val="FootnoteReference"/>
          <w:rFonts w:ascii="Times New Roman" w:hAnsi="Times New Roman" w:cs="Times New Roman"/>
          <w:sz w:val="26"/>
          <w:szCs w:val="26"/>
        </w:rPr>
        <w:footnoteRef/>
      </w:r>
      <w:r w:rsidRPr="00594F26">
        <w:rPr>
          <w:rFonts w:ascii="Times New Roman" w:hAnsi="Times New Roman" w:cs="Times New Roman"/>
          <w:sz w:val="26"/>
          <w:szCs w:val="26"/>
        </w:rPr>
        <w:t xml:space="preserve"> </w:t>
      </w:r>
      <w:r>
        <w:tab/>
      </w:r>
      <w:r w:rsidRPr="00594F26">
        <w:rPr>
          <w:rFonts w:ascii="Times New Roman" w:hAnsi="Times New Roman" w:cs="Times New Roman"/>
          <w:sz w:val="26"/>
          <w:szCs w:val="26"/>
        </w:rPr>
        <w:t>Under our Regulations</w:t>
      </w:r>
      <w:r w:rsidR="00594F26">
        <w:rPr>
          <w:rFonts w:ascii="Times New Roman" w:hAnsi="Times New Roman" w:cs="Times New Roman"/>
          <w:sz w:val="26"/>
          <w:szCs w:val="26"/>
        </w:rPr>
        <w:t>,</w:t>
      </w:r>
      <w:r w:rsidRPr="00594F26">
        <w:rPr>
          <w:rFonts w:ascii="Times New Roman" w:hAnsi="Times New Roman" w:cs="Times New Roman"/>
          <w:sz w:val="26"/>
          <w:szCs w:val="26"/>
        </w:rPr>
        <w:t xml:space="preserve"> failure to</w:t>
      </w:r>
      <w:r w:rsidR="005C1E77" w:rsidRPr="005C1E77">
        <w:rPr>
          <w:rFonts w:ascii="Times New Roman" w:hAnsi="Times New Roman" w:cs="Times New Roman"/>
          <w:sz w:val="26"/>
          <w:szCs w:val="26"/>
        </w:rPr>
        <w:t xml:space="preserve"> </w:t>
      </w:r>
      <w:r w:rsidRPr="00594F26">
        <w:rPr>
          <w:rFonts w:ascii="Times New Roman" w:hAnsi="Times New Roman" w:cs="Times New Roman"/>
          <w:sz w:val="26"/>
          <w:szCs w:val="26"/>
        </w:rPr>
        <w:t xml:space="preserve">file </w:t>
      </w:r>
      <w:r w:rsidR="00244A3A">
        <w:rPr>
          <w:rFonts w:ascii="Times New Roman" w:hAnsi="Times New Roman" w:cs="Times New Roman"/>
          <w:sz w:val="26"/>
          <w:szCs w:val="26"/>
        </w:rPr>
        <w:t xml:space="preserve">a </w:t>
      </w:r>
      <w:r w:rsidRPr="00594F26">
        <w:rPr>
          <w:rFonts w:ascii="Times New Roman" w:hAnsi="Times New Roman" w:cs="Times New Roman"/>
          <w:sz w:val="26"/>
          <w:szCs w:val="26"/>
        </w:rPr>
        <w:t xml:space="preserve">timely </w:t>
      </w:r>
      <w:r w:rsidR="00244A3A">
        <w:rPr>
          <w:rFonts w:ascii="Times New Roman" w:hAnsi="Times New Roman" w:cs="Times New Roman"/>
          <w:sz w:val="26"/>
          <w:szCs w:val="26"/>
        </w:rPr>
        <w:t xml:space="preserve">response </w:t>
      </w:r>
      <w:r w:rsidRPr="00594F26">
        <w:rPr>
          <w:rFonts w:ascii="Times New Roman" w:hAnsi="Times New Roman" w:cs="Times New Roman"/>
          <w:sz w:val="26"/>
          <w:szCs w:val="26"/>
        </w:rPr>
        <w:t xml:space="preserve">to new matter may be deemed </w:t>
      </w:r>
      <w:r w:rsidR="00594F26">
        <w:rPr>
          <w:rFonts w:ascii="Times New Roman" w:hAnsi="Times New Roman" w:cs="Times New Roman"/>
          <w:sz w:val="26"/>
          <w:szCs w:val="26"/>
        </w:rPr>
        <w:t>a</w:t>
      </w:r>
      <w:r w:rsidRPr="00594F26">
        <w:rPr>
          <w:rFonts w:ascii="Times New Roman" w:hAnsi="Times New Roman" w:cs="Times New Roman"/>
          <w:sz w:val="26"/>
          <w:szCs w:val="26"/>
        </w:rPr>
        <w:t xml:space="preserve"> default, and relevant facts stated in the new matter may be deemed to be admitted.  52 Pa. Code § 5.63(b)</w:t>
      </w:r>
      <w:r>
        <w:rPr>
          <w:rFonts w:ascii="Times New Roman" w:hAnsi="Times New Roman" w:cs="Times New Roman"/>
          <w:sz w:val="26"/>
          <w:szCs w:val="26"/>
        </w:rPr>
        <w:t>.</w:t>
      </w:r>
    </w:p>
  </w:footnote>
  <w:footnote w:id="3">
    <w:p w14:paraId="3879DCCE" w14:textId="77777777" w:rsidR="0000017F" w:rsidRPr="00513D5B" w:rsidRDefault="0000017F" w:rsidP="007A6CA6">
      <w:pPr>
        <w:pStyle w:val="FootnoteText"/>
        <w:keepLines/>
        <w:spacing w:after="120"/>
        <w:ind w:firstLine="720"/>
        <w:rPr>
          <w:rFonts w:ascii="Times New Roman" w:hAnsi="Times New Roman" w:cs="Times New Roman"/>
          <w:sz w:val="26"/>
          <w:szCs w:val="26"/>
        </w:rPr>
      </w:pPr>
      <w:r w:rsidRPr="00513D5B">
        <w:rPr>
          <w:rStyle w:val="FootnoteReference"/>
          <w:rFonts w:ascii="Times New Roman" w:hAnsi="Times New Roman" w:cs="Times New Roman"/>
          <w:sz w:val="26"/>
          <w:szCs w:val="26"/>
        </w:rPr>
        <w:footnoteRef/>
      </w:r>
      <w:r>
        <w:rPr>
          <w:rFonts w:ascii="Times New Roman" w:hAnsi="Times New Roman" w:cs="Times New Roman"/>
          <w:sz w:val="26"/>
          <w:szCs w:val="26"/>
        </w:rPr>
        <w:tab/>
      </w:r>
      <w:r w:rsidRPr="00655657">
        <w:rPr>
          <w:sz w:val="26"/>
        </w:rPr>
        <w:t>We acknowledge that the format of the Complainant’s Exceptions does not strictly comply with Section 5.533(b) of our Regulations, 52 Pa. Code § 5.533(b), which requires that exceptions be numbered, identify the finding of fact and conclusion of law to which exception is taken, and cite to the relevant pages of the Initial Decision.  Nevertheless,</w:t>
      </w:r>
      <w:r w:rsidR="00942BFD">
        <w:rPr>
          <w:sz w:val="26"/>
        </w:rPr>
        <w:t xml:space="preserve"> as previously noted, we retain discretion to liberally construe our procedural rules to secure a just and speedy resolution of a proceeding.  P</w:t>
      </w:r>
      <w:r w:rsidRPr="00655657">
        <w:rPr>
          <w:sz w:val="26"/>
        </w:rPr>
        <w:t xml:space="preserve">articularly </w:t>
      </w:r>
      <w:r w:rsidR="00942BFD">
        <w:rPr>
          <w:sz w:val="26"/>
        </w:rPr>
        <w:t xml:space="preserve">where, as here, </w:t>
      </w:r>
      <w:r w:rsidRPr="00655657">
        <w:rPr>
          <w:sz w:val="26"/>
        </w:rPr>
        <w:t xml:space="preserve">the Complainant is appearing </w:t>
      </w:r>
      <w:r w:rsidRPr="00655657">
        <w:rPr>
          <w:i/>
          <w:sz w:val="26"/>
        </w:rPr>
        <w:t>pro se</w:t>
      </w:r>
      <w:r w:rsidRPr="00655657">
        <w:rPr>
          <w:sz w:val="26"/>
        </w:rPr>
        <w:t>,</w:t>
      </w:r>
      <w:r w:rsidR="00942BFD">
        <w:rPr>
          <w:sz w:val="26"/>
        </w:rPr>
        <w:t xml:space="preserve"> </w:t>
      </w:r>
      <w:r w:rsidR="005F706C">
        <w:rPr>
          <w:sz w:val="26"/>
        </w:rPr>
        <w:t>and doing so will not affect the substantive rights of the parties, we will treat the Exceptions as having been properly filed.</w:t>
      </w:r>
      <w:r w:rsidRPr="00655657">
        <w:rPr>
          <w:sz w:val="26"/>
        </w:rPr>
        <w:t xml:space="preserve"> </w:t>
      </w:r>
      <w:r w:rsidR="00942BFD">
        <w:rPr>
          <w:sz w:val="26"/>
        </w:rPr>
        <w:t xml:space="preserve"> </w:t>
      </w:r>
      <w:r w:rsidR="00942BFD" w:rsidRPr="006D1334">
        <w:rPr>
          <w:i/>
          <w:sz w:val="26"/>
        </w:rPr>
        <w:t>See,</w:t>
      </w:r>
      <w:r w:rsidR="00942BFD">
        <w:rPr>
          <w:sz w:val="26"/>
        </w:rPr>
        <w:t xml:space="preserve"> </w:t>
      </w:r>
      <w:r w:rsidRPr="00655657">
        <w:rPr>
          <w:sz w:val="26"/>
        </w:rPr>
        <w:t>52 Pa. Code §</w:t>
      </w:r>
      <w:r>
        <w:rPr>
          <w:sz w:val="26"/>
        </w:rPr>
        <w:t> </w:t>
      </w:r>
      <w:r w:rsidRPr="00655657">
        <w:rPr>
          <w:sz w:val="26"/>
        </w:rPr>
        <w:t>1.2(</w:t>
      </w:r>
      <w:r w:rsidR="00942BFD">
        <w:rPr>
          <w:sz w:val="26"/>
        </w:rPr>
        <w:t>d</w:t>
      </w:r>
      <w:r w:rsidRPr="00655657">
        <w:rPr>
          <w:sz w:val="26"/>
        </w:rPr>
        <w:t>)</w:t>
      </w:r>
      <w:r w:rsidR="00594F26">
        <w:rPr>
          <w:sz w:val="26"/>
        </w:rPr>
        <w:t xml:space="preserve"> </w:t>
      </w:r>
      <w:r w:rsidR="00942BFD">
        <w:rPr>
          <w:sz w:val="26"/>
        </w:rPr>
        <w:t xml:space="preserve">(the liberal construction provisions apply with particularity in proceedings involving </w:t>
      </w:r>
      <w:r w:rsidR="00942BFD" w:rsidRPr="00EF1449">
        <w:rPr>
          <w:i/>
          <w:iCs/>
          <w:sz w:val="26"/>
        </w:rPr>
        <w:t>pro se</w:t>
      </w:r>
      <w:r w:rsidR="00942BFD">
        <w:rPr>
          <w:sz w:val="26"/>
        </w:rPr>
        <w:t xml:space="preserve"> litigants</w:t>
      </w:r>
      <w:r w:rsidR="008D6761">
        <w:rPr>
          <w:sz w:val="26"/>
        </w:rPr>
        <w:t>)</w:t>
      </w:r>
      <w:r w:rsidR="00942BFD">
        <w:rPr>
          <w:sz w:val="26"/>
        </w:rPr>
        <w:t xml:space="preserve">. </w:t>
      </w:r>
    </w:p>
  </w:footnote>
  <w:footnote w:id="4">
    <w:p w14:paraId="3618A20E" w14:textId="77777777" w:rsidR="00CA27CD" w:rsidRDefault="00CA27CD" w:rsidP="00594F26">
      <w:pPr>
        <w:pStyle w:val="FootnoteText"/>
        <w:ind w:firstLine="720"/>
      </w:pPr>
      <w:r w:rsidRPr="00594F26">
        <w:rPr>
          <w:rStyle w:val="FootnoteReference"/>
          <w:rFonts w:ascii="Times New Roman" w:hAnsi="Times New Roman" w:cs="Times New Roman"/>
          <w:sz w:val="26"/>
          <w:szCs w:val="26"/>
        </w:rPr>
        <w:footnoteRef/>
      </w:r>
      <w:r w:rsidRPr="00594F26">
        <w:rPr>
          <w:rFonts w:ascii="Times New Roman" w:hAnsi="Times New Roman" w:cs="Times New Roman"/>
          <w:sz w:val="26"/>
          <w:szCs w:val="26"/>
        </w:rPr>
        <w:t xml:space="preserve"> </w:t>
      </w:r>
      <w:r w:rsidRPr="00594F26">
        <w:rPr>
          <w:rFonts w:ascii="Times New Roman" w:hAnsi="Times New Roman" w:cs="Times New Roman"/>
          <w:sz w:val="26"/>
          <w:szCs w:val="26"/>
        </w:rPr>
        <w:tab/>
      </w:r>
      <w:r>
        <w:rPr>
          <w:rFonts w:ascii="Times New Roman" w:hAnsi="Times New Roman" w:cs="Times New Roman"/>
          <w:i/>
          <w:spacing w:val="-3"/>
          <w:sz w:val="26"/>
          <w:szCs w:val="26"/>
        </w:rPr>
        <w:t>See also</w:t>
      </w:r>
      <w:r w:rsidR="00637C88">
        <w:rPr>
          <w:rFonts w:ascii="Times New Roman" w:hAnsi="Times New Roman" w:cs="Times New Roman"/>
          <w:i/>
          <w:spacing w:val="-3"/>
          <w:sz w:val="26"/>
          <w:szCs w:val="26"/>
        </w:rPr>
        <w:t>,</w:t>
      </w:r>
      <w:r>
        <w:rPr>
          <w:rFonts w:ascii="Times New Roman" w:hAnsi="Times New Roman" w:cs="Times New Roman"/>
          <w:i/>
          <w:spacing w:val="-3"/>
          <w:sz w:val="26"/>
          <w:szCs w:val="26"/>
        </w:rPr>
        <w:t xml:space="preserve"> Carla </w:t>
      </w:r>
      <w:proofErr w:type="spellStart"/>
      <w:r>
        <w:rPr>
          <w:rFonts w:ascii="Times New Roman" w:hAnsi="Times New Roman" w:cs="Times New Roman"/>
          <w:i/>
          <w:spacing w:val="-3"/>
          <w:sz w:val="26"/>
          <w:szCs w:val="26"/>
        </w:rPr>
        <w:t>Matrunics</w:t>
      </w:r>
      <w:proofErr w:type="spellEnd"/>
      <w:r>
        <w:rPr>
          <w:rFonts w:ascii="Times New Roman" w:hAnsi="Times New Roman" w:cs="Times New Roman"/>
          <w:i/>
          <w:spacing w:val="-3"/>
          <w:sz w:val="26"/>
          <w:szCs w:val="26"/>
        </w:rPr>
        <w:t xml:space="preserve"> v. West Penn Power Company</w:t>
      </w:r>
      <w:r w:rsidRPr="007A6CA6">
        <w:rPr>
          <w:rFonts w:ascii="Times New Roman" w:hAnsi="Times New Roman" w:cs="Times New Roman"/>
          <w:iCs/>
          <w:spacing w:val="-3"/>
          <w:sz w:val="26"/>
          <w:szCs w:val="26"/>
        </w:rPr>
        <w:t>,</w:t>
      </w:r>
      <w:r>
        <w:rPr>
          <w:rFonts w:ascii="Times New Roman" w:hAnsi="Times New Roman" w:cs="Times New Roman"/>
          <w:i/>
          <w:spacing w:val="-3"/>
          <w:sz w:val="26"/>
          <w:szCs w:val="26"/>
        </w:rPr>
        <w:t xml:space="preserve"> </w:t>
      </w:r>
      <w:r w:rsidRPr="00B42FC3">
        <w:rPr>
          <w:rFonts w:ascii="Times New Roman" w:hAnsi="Times New Roman" w:cs="Times New Roman"/>
          <w:spacing w:val="-3"/>
          <w:sz w:val="26"/>
          <w:szCs w:val="26"/>
        </w:rPr>
        <w:t>Docket No. C</w:t>
      </w:r>
      <w:r w:rsidR="007A6CA6">
        <w:rPr>
          <w:rFonts w:ascii="Times New Roman" w:hAnsi="Times New Roman" w:cs="Times New Roman"/>
          <w:spacing w:val="-3"/>
          <w:sz w:val="26"/>
          <w:szCs w:val="26"/>
        </w:rPr>
        <w:noBreakHyphen/>
      </w:r>
      <w:r w:rsidRPr="00B42FC3">
        <w:rPr>
          <w:rFonts w:ascii="Times New Roman" w:hAnsi="Times New Roman" w:cs="Times New Roman"/>
          <w:spacing w:val="-3"/>
          <w:sz w:val="26"/>
          <w:szCs w:val="26"/>
        </w:rPr>
        <w:t>2017-2617235 (Order entered January 9, 2020)</w:t>
      </w:r>
      <w:r>
        <w:rPr>
          <w:rFonts w:ascii="Times New Roman" w:hAnsi="Times New Roman" w:cs="Times New Roman"/>
          <w:spacing w:val="-3"/>
          <w:sz w:val="26"/>
          <w:szCs w:val="26"/>
        </w:rPr>
        <w:t>.</w:t>
      </w:r>
    </w:p>
  </w:footnote>
  <w:footnote w:id="5">
    <w:p w14:paraId="6A0DB70B" w14:textId="77777777" w:rsidR="002438BA" w:rsidRPr="0072323D" w:rsidRDefault="002438BA" w:rsidP="00594F26">
      <w:pPr>
        <w:pStyle w:val="FootnoteText"/>
        <w:spacing w:after="120"/>
        <w:ind w:firstLine="720"/>
        <w:rPr>
          <w:rFonts w:ascii="Times New Roman" w:hAnsi="Times New Roman" w:cs="Times New Roman"/>
          <w:sz w:val="26"/>
          <w:szCs w:val="26"/>
        </w:rPr>
      </w:pPr>
      <w:r w:rsidRPr="00594F26">
        <w:rPr>
          <w:rStyle w:val="FootnoteReference"/>
          <w:rFonts w:ascii="Times New Roman" w:hAnsi="Times New Roman" w:cs="Times New Roman"/>
          <w:sz w:val="26"/>
          <w:szCs w:val="26"/>
        </w:rPr>
        <w:footnoteRef/>
      </w:r>
      <w:r w:rsidRPr="00594F26">
        <w:rPr>
          <w:rFonts w:ascii="Times New Roman" w:hAnsi="Times New Roman" w:cs="Times New Roman"/>
          <w:sz w:val="26"/>
          <w:szCs w:val="26"/>
        </w:rPr>
        <w:t xml:space="preserve"> </w:t>
      </w:r>
      <w:r w:rsidRPr="00594F26">
        <w:rPr>
          <w:rFonts w:ascii="Times New Roman" w:hAnsi="Times New Roman" w:cs="Times New Roman"/>
          <w:sz w:val="26"/>
          <w:szCs w:val="26"/>
        </w:rPr>
        <w:tab/>
      </w:r>
      <w:r w:rsidRPr="0072323D">
        <w:rPr>
          <w:rFonts w:ascii="Times New Roman" w:hAnsi="Times New Roman" w:cs="Times New Roman"/>
          <w:sz w:val="26"/>
          <w:szCs w:val="26"/>
        </w:rPr>
        <w:t xml:space="preserve">We observe that the format of PECO’s Replies to Exceptions does not strictly comply with Section 5.533(b) of our Regulations, 52 Pa. Code § 5.533(b), which requires that replies to exceptions be numbered, and that PECO’s </w:t>
      </w:r>
      <w:r w:rsidR="00D864DC" w:rsidRPr="0072323D">
        <w:rPr>
          <w:rFonts w:ascii="Times New Roman" w:hAnsi="Times New Roman" w:cs="Times New Roman"/>
          <w:sz w:val="26"/>
          <w:szCs w:val="26"/>
        </w:rPr>
        <w:t xml:space="preserve">short </w:t>
      </w:r>
      <w:r w:rsidRPr="0072323D">
        <w:rPr>
          <w:rFonts w:ascii="Times New Roman" w:hAnsi="Times New Roman" w:cs="Times New Roman"/>
          <w:sz w:val="26"/>
          <w:szCs w:val="26"/>
        </w:rPr>
        <w:t xml:space="preserve">Replies contain no page numbers.  </w:t>
      </w:r>
      <w:r w:rsidR="00D864DC" w:rsidRPr="0072323D">
        <w:rPr>
          <w:rFonts w:ascii="Times New Roman" w:hAnsi="Times New Roman" w:cs="Times New Roman"/>
          <w:sz w:val="26"/>
          <w:szCs w:val="26"/>
        </w:rPr>
        <w:t>The brevity of the document cures this problem, but adherence to the Commission’s regulations going forward is encouraged.</w:t>
      </w:r>
    </w:p>
  </w:footnote>
  <w:footnote w:id="6">
    <w:p w14:paraId="70D6E905" w14:textId="3C5B6BDF" w:rsidR="00E11D94" w:rsidRDefault="00E11D94" w:rsidP="006D1334">
      <w:pPr>
        <w:pStyle w:val="FootnoteText"/>
        <w:spacing w:after="120"/>
        <w:ind w:firstLine="720"/>
      </w:pPr>
      <w:r>
        <w:rPr>
          <w:rStyle w:val="FootnoteReference"/>
        </w:rPr>
        <w:footnoteRef/>
      </w:r>
      <w:r>
        <w:t xml:space="preserve"> </w:t>
      </w:r>
      <w:r>
        <w:tab/>
      </w:r>
      <w:r w:rsidR="0041298C">
        <w:t xml:space="preserve">66 Pa. C.S. </w:t>
      </w:r>
      <w:r w:rsidR="0041298C">
        <w:rPr>
          <w:rFonts w:ascii="Times New Roman" w:hAnsi="Times New Roman" w:cs="Times New Roman"/>
        </w:rPr>
        <w:t>§</w:t>
      </w:r>
      <w:r w:rsidR="009F0CCF">
        <w:rPr>
          <w:rFonts w:ascii="Times New Roman" w:hAnsi="Times New Roman" w:cs="Times New Roman"/>
        </w:rPr>
        <w:t xml:space="preserve"> </w:t>
      </w:r>
      <w:r w:rsidR="0041298C">
        <w:t>332(a).</w:t>
      </w:r>
    </w:p>
  </w:footnote>
  <w:footnote w:id="7">
    <w:p w14:paraId="7FB64F70" w14:textId="75619F47" w:rsidR="0041298C" w:rsidRPr="00943473" w:rsidRDefault="0041298C" w:rsidP="0041298C">
      <w:pPr>
        <w:pStyle w:val="FootnoteText"/>
        <w:ind w:firstLine="720"/>
        <w:rPr>
          <w:rFonts w:ascii="Times New Roman" w:hAnsi="Times New Roman" w:cs="Times New Roman"/>
          <w:sz w:val="26"/>
          <w:szCs w:val="26"/>
        </w:rPr>
      </w:pPr>
      <w:r w:rsidRPr="00943473">
        <w:rPr>
          <w:rStyle w:val="FootnoteReference"/>
          <w:rFonts w:ascii="Times New Roman" w:hAnsi="Times New Roman" w:cs="Times New Roman"/>
          <w:sz w:val="26"/>
          <w:szCs w:val="26"/>
        </w:rPr>
        <w:footnoteRef/>
      </w:r>
      <w:r w:rsidRPr="0094347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i/>
          <w:iCs/>
          <w:sz w:val="26"/>
          <w:szCs w:val="26"/>
        </w:rPr>
        <w:t xml:space="preserve">Carla </w:t>
      </w:r>
      <w:proofErr w:type="spellStart"/>
      <w:r>
        <w:rPr>
          <w:rFonts w:ascii="Times New Roman" w:hAnsi="Times New Roman" w:cs="Times New Roman"/>
          <w:i/>
          <w:iCs/>
          <w:sz w:val="26"/>
          <w:szCs w:val="26"/>
        </w:rPr>
        <w:t>Matrunics</w:t>
      </w:r>
      <w:proofErr w:type="spellEnd"/>
      <w:r>
        <w:rPr>
          <w:rFonts w:ascii="Times New Roman" w:hAnsi="Times New Roman" w:cs="Times New Roman"/>
          <w:i/>
          <w:iCs/>
          <w:sz w:val="26"/>
          <w:szCs w:val="26"/>
        </w:rPr>
        <w:t xml:space="preserve"> v. West Penn Power Company</w:t>
      </w:r>
      <w:r>
        <w:rPr>
          <w:rFonts w:ascii="Times New Roman" w:hAnsi="Times New Roman" w:cs="Times New Roman"/>
          <w:sz w:val="26"/>
          <w:szCs w:val="26"/>
        </w:rPr>
        <w:t>, Docket No. C</w:t>
      </w:r>
      <w:r w:rsidR="009F0CCF">
        <w:rPr>
          <w:rFonts w:ascii="Times New Roman" w:hAnsi="Times New Roman" w:cs="Times New Roman"/>
          <w:sz w:val="26"/>
          <w:szCs w:val="26"/>
        </w:rPr>
        <w:noBreakHyphen/>
      </w:r>
      <w:r>
        <w:rPr>
          <w:rFonts w:ascii="Times New Roman" w:hAnsi="Times New Roman" w:cs="Times New Roman"/>
          <w:sz w:val="26"/>
          <w:szCs w:val="26"/>
        </w:rPr>
        <w:t>2017</w:t>
      </w:r>
      <w:r w:rsidR="009F0CCF">
        <w:rPr>
          <w:rFonts w:ascii="Times New Roman" w:hAnsi="Times New Roman" w:cs="Times New Roman"/>
          <w:sz w:val="26"/>
          <w:szCs w:val="26"/>
        </w:rPr>
        <w:noBreakHyphen/>
      </w:r>
      <w:r>
        <w:rPr>
          <w:rFonts w:ascii="Times New Roman" w:hAnsi="Times New Roman" w:cs="Times New Roman"/>
          <w:sz w:val="26"/>
          <w:szCs w:val="26"/>
        </w:rPr>
        <w:t>2617235 (Order entered January 9, 2020).</w:t>
      </w:r>
    </w:p>
  </w:footnote>
  <w:footnote w:id="8">
    <w:p w14:paraId="101267D0" w14:textId="5906A97E" w:rsidR="00C52620" w:rsidRPr="0086592C" w:rsidRDefault="00C52620" w:rsidP="00C52620">
      <w:pPr>
        <w:pStyle w:val="FootnoteText"/>
        <w:spacing w:after="120"/>
        <w:ind w:firstLine="720"/>
        <w:rPr>
          <w:rFonts w:ascii="Times New Roman" w:hAnsi="Times New Roman" w:cs="Times New Roman"/>
          <w:sz w:val="26"/>
          <w:szCs w:val="26"/>
        </w:rPr>
      </w:pPr>
      <w:r w:rsidRPr="0086592C">
        <w:rPr>
          <w:rStyle w:val="FootnoteReference"/>
          <w:rFonts w:ascii="Times New Roman" w:hAnsi="Times New Roman" w:cs="Times New Roman"/>
          <w:sz w:val="26"/>
          <w:szCs w:val="26"/>
        </w:rPr>
        <w:footnoteRef/>
      </w:r>
      <w:r w:rsidRPr="0086592C">
        <w:rPr>
          <w:rFonts w:ascii="Times New Roman" w:hAnsi="Times New Roman" w:cs="Times New Roman"/>
          <w:sz w:val="26"/>
          <w:szCs w:val="26"/>
        </w:rPr>
        <w:t xml:space="preserve"> </w:t>
      </w:r>
      <w:r w:rsidRPr="0086592C">
        <w:rPr>
          <w:rFonts w:ascii="Times New Roman" w:hAnsi="Times New Roman" w:cs="Times New Roman"/>
          <w:sz w:val="26"/>
          <w:szCs w:val="26"/>
        </w:rPr>
        <w:tab/>
        <w:t xml:space="preserve">52 Pa. Code § </w:t>
      </w:r>
      <w:r w:rsidR="0078126B" w:rsidRPr="0086592C">
        <w:rPr>
          <w:rFonts w:ascii="Times New Roman" w:hAnsi="Times New Roman" w:cs="Times New Roman"/>
          <w:sz w:val="26"/>
          <w:szCs w:val="26"/>
        </w:rPr>
        <w:t>56.81</w:t>
      </w:r>
      <w:r w:rsidR="001E5A87" w:rsidRPr="0086592C">
        <w:rPr>
          <w:rFonts w:ascii="Times New Roman" w:hAnsi="Times New Roman" w:cs="Times New Roman"/>
          <w:sz w:val="26"/>
          <w:szCs w:val="26"/>
        </w:rPr>
        <w:t xml:space="preserve"> (Authorized termination of service)</w:t>
      </w:r>
      <w:r w:rsidR="0078126B" w:rsidRPr="0086592C">
        <w:rPr>
          <w:rFonts w:ascii="Times New Roman" w:hAnsi="Times New Roman" w:cs="Times New Roman"/>
          <w:sz w:val="26"/>
          <w:szCs w:val="26"/>
        </w:rPr>
        <w:t>, 56.164</w:t>
      </w:r>
      <w:r w:rsidR="001E5A87" w:rsidRPr="0086592C">
        <w:rPr>
          <w:rFonts w:ascii="Times New Roman" w:hAnsi="Times New Roman" w:cs="Times New Roman"/>
          <w:sz w:val="26"/>
          <w:szCs w:val="26"/>
        </w:rPr>
        <w:t xml:space="preserve"> (Termination pending resolution of the dispute)</w:t>
      </w:r>
      <w:r w:rsidR="0078126B" w:rsidRPr="0086592C">
        <w:rPr>
          <w:rFonts w:ascii="Times New Roman" w:hAnsi="Times New Roman" w:cs="Times New Roman"/>
          <w:sz w:val="26"/>
          <w:szCs w:val="26"/>
        </w:rPr>
        <w:t xml:space="preserve">, </w:t>
      </w:r>
      <w:r w:rsidRPr="0086592C">
        <w:rPr>
          <w:rFonts w:ascii="Times New Roman" w:hAnsi="Times New Roman" w:cs="Times New Roman"/>
          <w:sz w:val="26"/>
          <w:szCs w:val="26"/>
        </w:rPr>
        <w:t>56.181</w:t>
      </w:r>
      <w:r w:rsidR="001E5A87" w:rsidRPr="0086592C">
        <w:rPr>
          <w:rFonts w:ascii="Times New Roman" w:hAnsi="Times New Roman" w:cs="Times New Roman"/>
          <w:sz w:val="26"/>
          <w:szCs w:val="26"/>
        </w:rPr>
        <w:t xml:space="preserve"> (Duties of parties; disputing party’s duty to pay undisputed portion of bills…)</w:t>
      </w:r>
      <w:r w:rsidR="00722AAA" w:rsidRPr="0086592C">
        <w:rPr>
          <w:rFonts w:ascii="Times New Roman" w:hAnsi="Times New Roman" w:cs="Times New Roman"/>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387"/>
    <w:multiLevelType w:val="hybridMultilevel"/>
    <w:tmpl w:val="4B546E80"/>
    <w:lvl w:ilvl="0" w:tplc="AC909E60">
      <w:start w:val="5"/>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E491F25"/>
    <w:multiLevelType w:val="hybridMultilevel"/>
    <w:tmpl w:val="6234BE58"/>
    <w:lvl w:ilvl="0" w:tplc="15A2450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8395F1A"/>
    <w:multiLevelType w:val="hybridMultilevel"/>
    <w:tmpl w:val="A0240C7C"/>
    <w:lvl w:ilvl="0" w:tplc="080AD33E">
      <w:start w:val="3"/>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4D49F2"/>
    <w:multiLevelType w:val="hybridMultilevel"/>
    <w:tmpl w:val="234204E4"/>
    <w:lvl w:ilvl="0" w:tplc="19D8D8A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26F09F8"/>
    <w:multiLevelType w:val="hybridMultilevel"/>
    <w:tmpl w:val="69AC43FE"/>
    <w:lvl w:ilvl="0" w:tplc="4370AC8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6C93F04"/>
    <w:multiLevelType w:val="hybridMultilevel"/>
    <w:tmpl w:val="A344FBD6"/>
    <w:lvl w:ilvl="0" w:tplc="836677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7218657F"/>
    <w:multiLevelType w:val="hybridMultilevel"/>
    <w:tmpl w:val="3CB8AB76"/>
    <w:lvl w:ilvl="0" w:tplc="2C8EACDE">
      <w:start w:val="4"/>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1"/>
  </w:num>
  <w:num w:numId="3">
    <w:abstractNumId w:val="3"/>
  </w:num>
  <w:num w:numId="4">
    <w:abstractNumId w:val="5"/>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17F"/>
    <w:rsid w:val="0000017F"/>
    <w:rsid w:val="000601C6"/>
    <w:rsid w:val="0007149F"/>
    <w:rsid w:val="00071B6F"/>
    <w:rsid w:val="000762F2"/>
    <w:rsid w:val="00092970"/>
    <w:rsid w:val="000C4E4A"/>
    <w:rsid w:val="000E5B38"/>
    <w:rsid w:val="000E7D23"/>
    <w:rsid w:val="00103E1E"/>
    <w:rsid w:val="001078F1"/>
    <w:rsid w:val="00136063"/>
    <w:rsid w:val="00151292"/>
    <w:rsid w:val="00152EBE"/>
    <w:rsid w:val="0016041F"/>
    <w:rsid w:val="001643A4"/>
    <w:rsid w:val="00192FEA"/>
    <w:rsid w:val="00195F07"/>
    <w:rsid w:val="001C1952"/>
    <w:rsid w:val="001C28A1"/>
    <w:rsid w:val="001E5A87"/>
    <w:rsid w:val="001E6938"/>
    <w:rsid w:val="001F41BC"/>
    <w:rsid w:val="001F7E02"/>
    <w:rsid w:val="00207A8F"/>
    <w:rsid w:val="00222BFB"/>
    <w:rsid w:val="00232891"/>
    <w:rsid w:val="002438BA"/>
    <w:rsid w:val="00244A3A"/>
    <w:rsid w:val="002563C8"/>
    <w:rsid w:val="00262073"/>
    <w:rsid w:val="002630AE"/>
    <w:rsid w:val="00296B79"/>
    <w:rsid w:val="002A1EFC"/>
    <w:rsid w:val="002C0D9F"/>
    <w:rsid w:val="002D1845"/>
    <w:rsid w:val="002E6E24"/>
    <w:rsid w:val="003127AB"/>
    <w:rsid w:val="0033775C"/>
    <w:rsid w:val="003429BB"/>
    <w:rsid w:val="00342CB0"/>
    <w:rsid w:val="00346A02"/>
    <w:rsid w:val="00361E85"/>
    <w:rsid w:val="003717D4"/>
    <w:rsid w:val="003A0399"/>
    <w:rsid w:val="003C605F"/>
    <w:rsid w:val="003F7E8A"/>
    <w:rsid w:val="004028A8"/>
    <w:rsid w:val="00403389"/>
    <w:rsid w:val="0041298C"/>
    <w:rsid w:val="00425467"/>
    <w:rsid w:val="00427E9F"/>
    <w:rsid w:val="0045600A"/>
    <w:rsid w:val="00460D2C"/>
    <w:rsid w:val="00463897"/>
    <w:rsid w:val="0047660D"/>
    <w:rsid w:val="00482FB2"/>
    <w:rsid w:val="004A0323"/>
    <w:rsid w:val="004A2230"/>
    <w:rsid w:val="004A5C59"/>
    <w:rsid w:val="004B76C8"/>
    <w:rsid w:val="004C2BA2"/>
    <w:rsid w:val="004D021A"/>
    <w:rsid w:val="004D1F94"/>
    <w:rsid w:val="00505311"/>
    <w:rsid w:val="00507CF0"/>
    <w:rsid w:val="00510256"/>
    <w:rsid w:val="00527756"/>
    <w:rsid w:val="00527C77"/>
    <w:rsid w:val="0054032B"/>
    <w:rsid w:val="0055364D"/>
    <w:rsid w:val="00555BB3"/>
    <w:rsid w:val="00562580"/>
    <w:rsid w:val="00580D43"/>
    <w:rsid w:val="00594F26"/>
    <w:rsid w:val="00596E46"/>
    <w:rsid w:val="005B7A20"/>
    <w:rsid w:val="005C1E77"/>
    <w:rsid w:val="005C31EE"/>
    <w:rsid w:val="005C7318"/>
    <w:rsid w:val="005D35CF"/>
    <w:rsid w:val="005D3A31"/>
    <w:rsid w:val="005F0384"/>
    <w:rsid w:val="005F706C"/>
    <w:rsid w:val="00604B50"/>
    <w:rsid w:val="00612CEA"/>
    <w:rsid w:val="00613350"/>
    <w:rsid w:val="006140EB"/>
    <w:rsid w:val="00633659"/>
    <w:rsid w:val="00637C88"/>
    <w:rsid w:val="00641370"/>
    <w:rsid w:val="0064341C"/>
    <w:rsid w:val="00675114"/>
    <w:rsid w:val="006C7813"/>
    <w:rsid w:val="006D03E6"/>
    <w:rsid w:val="006D1334"/>
    <w:rsid w:val="00721129"/>
    <w:rsid w:val="00721D11"/>
    <w:rsid w:val="00722AAA"/>
    <w:rsid w:val="0072323D"/>
    <w:rsid w:val="00731AC1"/>
    <w:rsid w:val="007724F1"/>
    <w:rsid w:val="0078126B"/>
    <w:rsid w:val="0079753E"/>
    <w:rsid w:val="007A2D4F"/>
    <w:rsid w:val="007A6CA6"/>
    <w:rsid w:val="007C09FB"/>
    <w:rsid w:val="007D3423"/>
    <w:rsid w:val="007E44D6"/>
    <w:rsid w:val="007E68E8"/>
    <w:rsid w:val="007F0BBB"/>
    <w:rsid w:val="007F5DE2"/>
    <w:rsid w:val="00812DBA"/>
    <w:rsid w:val="00813A45"/>
    <w:rsid w:val="008617CB"/>
    <w:rsid w:val="0086592C"/>
    <w:rsid w:val="00866B86"/>
    <w:rsid w:val="00886E66"/>
    <w:rsid w:val="008A1915"/>
    <w:rsid w:val="008B500D"/>
    <w:rsid w:val="008B5F19"/>
    <w:rsid w:val="008C136B"/>
    <w:rsid w:val="008C1893"/>
    <w:rsid w:val="008C4731"/>
    <w:rsid w:val="008C5979"/>
    <w:rsid w:val="008D6761"/>
    <w:rsid w:val="008E66C5"/>
    <w:rsid w:val="00913839"/>
    <w:rsid w:val="00913E3E"/>
    <w:rsid w:val="009278C1"/>
    <w:rsid w:val="009318DC"/>
    <w:rsid w:val="00934D66"/>
    <w:rsid w:val="00942BFD"/>
    <w:rsid w:val="00943B50"/>
    <w:rsid w:val="009450A1"/>
    <w:rsid w:val="0096083D"/>
    <w:rsid w:val="00964930"/>
    <w:rsid w:val="00996D80"/>
    <w:rsid w:val="009A0C91"/>
    <w:rsid w:val="009B797C"/>
    <w:rsid w:val="009C1BE2"/>
    <w:rsid w:val="009E7315"/>
    <w:rsid w:val="009F0CCF"/>
    <w:rsid w:val="00A55DC3"/>
    <w:rsid w:val="00A573C7"/>
    <w:rsid w:val="00A57636"/>
    <w:rsid w:val="00A60B59"/>
    <w:rsid w:val="00A663DF"/>
    <w:rsid w:val="00A735D7"/>
    <w:rsid w:val="00A973EE"/>
    <w:rsid w:val="00AA33CE"/>
    <w:rsid w:val="00AC4D65"/>
    <w:rsid w:val="00AD409C"/>
    <w:rsid w:val="00AE4E16"/>
    <w:rsid w:val="00AF4D09"/>
    <w:rsid w:val="00B13AB7"/>
    <w:rsid w:val="00B42FC3"/>
    <w:rsid w:val="00B708A1"/>
    <w:rsid w:val="00B76632"/>
    <w:rsid w:val="00B8227F"/>
    <w:rsid w:val="00BA6C16"/>
    <w:rsid w:val="00BE279B"/>
    <w:rsid w:val="00BE6E87"/>
    <w:rsid w:val="00BF2B08"/>
    <w:rsid w:val="00BF3100"/>
    <w:rsid w:val="00BF330A"/>
    <w:rsid w:val="00C23B4B"/>
    <w:rsid w:val="00C367BA"/>
    <w:rsid w:val="00C52620"/>
    <w:rsid w:val="00C630A8"/>
    <w:rsid w:val="00C65DA3"/>
    <w:rsid w:val="00C874A2"/>
    <w:rsid w:val="00C878A6"/>
    <w:rsid w:val="00C93734"/>
    <w:rsid w:val="00C95BD6"/>
    <w:rsid w:val="00C97E42"/>
    <w:rsid w:val="00CA27CD"/>
    <w:rsid w:val="00CB1CBC"/>
    <w:rsid w:val="00CB799F"/>
    <w:rsid w:val="00CC1269"/>
    <w:rsid w:val="00CC518F"/>
    <w:rsid w:val="00CD4A61"/>
    <w:rsid w:val="00CE4F71"/>
    <w:rsid w:val="00CE5CB8"/>
    <w:rsid w:val="00CE7F3A"/>
    <w:rsid w:val="00D053CC"/>
    <w:rsid w:val="00D056B2"/>
    <w:rsid w:val="00D10C0A"/>
    <w:rsid w:val="00D46CA8"/>
    <w:rsid w:val="00D641FA"/>
    <w:rsid w:val="00D712FD"/>
    <w:rsid w:val="00D864DC"/>
    <w:rsid w:val="00DA6727"/>
    <w:rsid w:val="00DA6A25"/>
    <w:rsid w:val="00DD04AB"/>
    <w:rsid w:val="00DD5366"/>
    <w:rsid w:val="00DF5042"/>
    <w:rsid w:val="00E11D94"/>
    <w:rsid w:val="00E36885"/>
    <w:rsid w:val="00E40CB0"/>
    <w:rsid w:val="00E4626A"/>
    <w:rsid w:val="00E51C2E"/>
    <w:rsid w:val="00E66E9F"/>
    <w:rsid w:val="00E76523"/>
    <w:rsid w:val="00E94587"/>
    <w:rsid w:val="00EA1200"/>
    <w:rsid w:val="00EA473C"/>
    <w:rsid w:val="00EB4C3B"/>
    <w:rsid w:val="00EB4F61"/>
    <w:rsid w:val="00EC785D"/>
    <w:rsid w:val="00EE0825"/>
    <w:rsid w:val="00EE0FF7"/>
    <w:rsid w:val="00EF1449"/>
    <w:rsid w:val="00F1436D"/>
    <w:rsid w:val="00F15ADD"/>
    <w:rsid w:val="00F2052B"/>
    <w:rsid w:val="00F30169"/>
    <w:rsid w:val="00F32344"/>
    <w:rsid w:val="00F42E93"/>
    <w:rsid w:val="00F5754E"/>
    <w:rsid w:val="00F65669"/>
    <w:rsid w:val="00F67AC0"/>
    <w:rsid w:val="00F67D98"/>
    <w:rsid w:val="00F72E58"/>
    <w:rsid w:val="00F735D8"/>
    <w:rsid w:val="00F754C5"/>
    <w:rsid w:val="00F767BF"/>
    <w:rsid w:val="00F77157"/>
    <w:rsid w:val="00FA036B"/>
    <w:rsid w:val="00FA7932"/>
    <w:rsid w:val="00FB1DBC"/>
    <w:rsid w:val="00FC66C7"/>
    <w:rsid w:val="00FC6EFB"/>
    <w:rsid w:val="00FE4D0A"/>
    <w:rsid w:val="00FF5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0AF0927"/>
  <w15:chartTrackingRefBased/>
  <w15:docId w15:val="{C5ED5DE7-7125-4424-8257-2126C5E8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17F"/>
    <w:pPr>
      <w:spacing w:after="0" w:line="360" w:lineRule="auto"/>
      <w:ind w:firstLine="720"/>
      <w:jc w:val="center"/>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17F"/>
    <w:pPr>
      <w:ind w:left="720"/>
      <w:contextualSpacing/>
    </w:pPr>
  </w:style>
  <w:style w:type="paragraph" w:styleId="FootnoteText">
    <w:name w:val="footnote text"/>
    <w:basedOn w:val="Normal"/>
    <w:link w:val="FootnoteTextChar"/>
    <w:semiHidden/>
    <w:rsid w:val="0000017F"/>
    <w:pPr>
      <w:autoSpaceDE w:val="0"/>
      <w:autoSpaceDN w:val="0"/>
      <w:spacing w:line="240" w:lineRule="auto"/>
      <w:ind w:firstLine="0"/>
      <w:jc w:val="left"/>
    </w:pPr>
    <w:rPr>
      <w:rFonts w:ascii="CG Times" w:eastAsia="Times New Roman" w:hAnsi="CG Times" w:cs="CG Times"/>
    </w:rPr>
  </w:style>
  <w:style w:type="character" w:customStyle="1" w:styleId="FootnoteTextChar">
    <w:name w:val="Footnote Text Char"/>
    <w:basedOn w:val="DefaultParagraphFont"/>
    <w:link w:val="FootnoteText"/>
    <w:semiHidden/>
    <w:rsid w:val="0000017F"/>
    <w:rPr>
      <w:rFonts w:ascii="CG Times" w:eastAsia="Times New Roman" w:hAnsi="CG Times" w:cs="CG Times"/>
      <w:sz w:val="24"/>
      <w:szCs w:val="24"/>
    </w:rPr>
  </w:style>
  <w:style w:type="character" w:styleId="FootnoteReference">
    <w:name w:val="footnote reference"/>
    <w:semiHidden/>
    <w:rsid w:val="0000017F"/>
    <w:rPr>
      <w:vertAlign w:val="superscript"/>
    </w:rPr>
  </w:style>
  <w:style w:type="paragraph" w:customStyle="1" w:styleId="ParaTab1">
    <w:name w:val="ParaTab 1"/>
    <w:rsid w:val="0000017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Hyperlink">
    <w:name w:val="Hyperlink"/>
    <w:basedOn w:val="DefaultParagraphFont"/>
    <w:rsid w:val="0000017F"/>
    <w:rPr>
      <w:color w:val="0000FF"/>
      <w:u w:val="single"/>
    </w:rPr>
  </w:style>
  <w:style w:type="character" w:customStyle="1" w:styleId="term1">
    <w:name w:val="term1"/>
    <w:basedOn w:val="DefaultParagraphFont"/>
    <w:rsid w:val="0000017F"/>
    <w:rPr>
      <w:b/>
      <w:bCs/>
    </w:rPr>
  </w:style>
  <w:style w:type="character" w:styleId="Emphasis">
    <w:name w:val="Emphasis"/>
    <w:basedOn w:val="DefaultParagraphFont"/>
    <w:qFormat/>
    <w:rsid w:val="0000017F"/>
    <w:rPr>
      <w:i/>
      <w:iCs/>
    </w:rPr>
  </w:style>
  <w:style w:type="paragraph" w:styleId="Footer">
    <w:name w:val="footer"/>
    <w:basedOn w:val="Normal"/>
    <w:link w:val="FooterChar"/>
    <w:uiPriority w:val="99"/>
    <w:unhideWhenUsed/>
    <w:rsid w:val="0000017F"/>
    <w:pPr>
      <w:tabs>
        <w:tab w:val="center" w:pos="4680"/>
        <w:tab w:val="right" w:pos="9360"/>
      </w:tabs>
      <w:spacing w:line="240" w:lineRule="auto"/>
    </w:pPr>
  </w:style>
  <w:style w:type="character" w:customStyle="1" w:styleId="FooterChar">
    <w:name w:val="Footer Char"/>
    <w:basedOn w:val="DefaultParagraphFont"/>
    <w:link w:val="Footer"/>
    <w:uiPriority w:val="99"/>
    <w:rsid w:val="0000017F"/>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79753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753E"/>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C6EFB"/>
    <w:rPr>
      <w:sz w:val="16"/>
      <w:szCs w:val="16"/>
    </w:rPr>
  </w:style>
  <w:style w:type="paragraph" w:styleId="CommentText">
    <w:name w:val="annotation text"/>
    <w:basedOn w:val="Normal"/>
    <w:link w:val="CommentTextChar"/>
    <w:uiPriority w:val="99"/>
    <w:semiHidden/>
    <w:unhideWhenUsed/>
    <w:rsid w:val="00FC6EFB"/>
    <w:pPr>
      <w:spacing w:line="240" w:lineRule="auto"/>
    </w:pPr>
    <w:rPr>
      <w:sz w:val="20"/>
      <w:szCs w:val="20"/>
    </w:rPr>
  </w:style>
  <w:style w:type="character" w:customStyle="1" w:styleId="CommentTextChar">
    <w:name w:val="Comment Text Char"/>
    <w:basedOn w:val="DefaultParagraphFont"/>
    <w:link w:val="CommentText"/>
    <w:uiPriority w:val="99"/>
    <w:semiHidden/>
    <w:rsid w:val="00FC6EFB"/>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6EFB"/>
    <w:rPr>
      <w:b/>
      <w:bCs/>
    </w:rPr>
  </w:style>
  <w:style w:type="character" w:customStyle="1" w:styleId="CommentSubjectChar">
    <w:name w:val="Comment Subject Char"/>
    <w:basedOn w:val="CommentTextChar"/>
    <w:link w:val="CommentSubject"/>
    <w:uiPriority w:val="99"/>
    <w:semiHidden/>
    <w:rsid w:val="00FC6EFB"/>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FB1DBC"/>
    <w:pPr>
      <w:tabs>
        <w:tab w:val="center" w:pos="4680"/>
        <w:tab w:val="right" w:pos="9360"/>
      </w:tabs>
      <w:spacing w:line="240" w:lineRule="auto"/>
    </w:pPr>
  </w:style>
  <w:style w:type="character" w:customStyle="1" w:styleId="HeaderChar">
    <w:name w:val="Header Char"/>
    <w:basedOn w:val="DefaultParagraphFont"/>
    <w:link w:val="Header"/>
    <w:uiPriority w:val="99"/>
    <w:rsid w:val="00FB1DBC"/>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DB2FE-F1D8-444E-A301-2CA1AC6F27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BAF95-8146-411A-A7F9-F2BD32B861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EC09A4-07E7-46D7-BBC2-867757419F87}">
  <ds:schemaRefs>
    <ds:schemaRef ds:uri="http://schemas.microsoft.com/sharepoint/v3/contenttype/forms"/>
  </ds:schemaRefs>
</ds:datastoreItem>
</file>

<file path=customXml/itemProps4.xml><?xml version="1.0" encoding="utf-8"?>
<ds:datastoreItem xmlns:ds="http://schemas.openxmlformats.org/officeDocument/2006/customXml" ds:itemID="{6C586D83-1221-4A57-8BC2-142CE19A1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2573</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Lillian</dc:creator>
  <cp:keywords/>
  <dc:description/>
  <cp:lastModifiedBy>Reside, Melissa</cp:lastModifiedBy>
  <cp:revision>3</cp:revision>
  <cp:lastPrinted>2020-02-28T18:20:00Z</cp:lastPrinted>
  <dcterms:created xsi:type="dcterms:W3CDTF">2020-03-18T14:17:00Z</dcterms:created>
  <dcterms:modified xsi:type="dcterms:W3CDTF">2020-03-18T15:26:00Z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