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3BB333" w14:textId="77777777" w:rsidR="00EB6185" w:rsidRPr="0029748B" w:rsidRDefault="00EB6185" w:rsidP="0029748B">
      <w:pPr>
        <w:widowControl/>
        <w:contextualSpacing/>
        <w:jc w:val="center"/>
        <w:rPr>
          <w:b/>
          <w:sz w:val="26"/>
          <w:szCs w:val="26"/>
        </w:rPr>
      </w:pPr>
      <w:r w:rsidRPr="0029748B">
        <w:rPr>
          <w:b/>
          <w:sz w:val="26"/>
          <w:szCs w:val="26"/>
        </w:rPr>
        <w:t>PENNSYLVANIA</w:t>
      </w:r>
    </w:p>
    <w:p w14:paraId="205672F0" w14:textId="77777777" w:rsidR="00EB6185" w:rsidRPr="0029748B" w:rsidRDefault="00EB6185" w:rsidP="0029748B">
      <w:pPr>
        <w:widowControl/>
        <w:tabs>
          <w:tab w:val="center" w:pos="4680"/>
        </w:tabs>
        <w:contextualSpacing/>
        <w:jc w:val="center"/>
        <w:rPr>
          <w:b/>
          <w:sz w:val="26"/>
          <w:szCs w:val="26"/>
        </w:rPr>
      </w:pPr>
      <w:r w:rsidRPr="0029748B">
        <w:rPr>
          <w:b/>
          <w:sz w:val="26"/>
          <w:szCs w:val="26"/>
        </w:rPr>
        <w:t>PUBLIC UTILITY COMMISSION</w:t>
      </w:r>
    </w:p>
    <w:p w14:paraId="2F8418A3" w14:textId="77777777" w:rsidR="00EB6185" w:rsidRPr="0029748B" w:rsidRDefault="00EB6185" w:rsidP="0029748B">
      <w:pPr>
        <w:widowControl/>
        <w:tabs>
          <w:tab w:val="center" w:pos="4680"/>
        </w:tabs>
        <w:contextualSpacing/>
        <w:jc w:val="center"/>
        <w:rPr>
          <w:b/>
          <w:sz w:val="26"/>
          <w:szCs w:val="26"/>
        </w:rPr>
      </w:pPr>
      <w:r w:rsidRPr="0029748B">
        <w:rPr>
          <w:b/>
          <w:sz w:val="26"/>
          <w:szCs w:val="26"/>
        </w:rPr>
        <w:t>Harrisburg, PA 171</w:t>
      </w:r>
      <w:r w:rsidR="00153B20" w:rsidRPr="0029748B">
        <w:rPr>
          <w:b/>
          <w:sz w:val="26"/>
          <w:szCs w:val="26"/>
        </w:rPr>
        <w:t>20</w:t>
      </w:r>
    </w:p>
    <w:p w14:paraId="79B1E892" w14:textId="77777777" w:rsidR="00EB6185" w:rsidRPr="0029748B" w:rsidRDefault="00EB6185" w:rsidP="0029748B">
      <w:pPr>
        <w:widowControl/>
        <w:tabs>
          <w:tab w:val="left" w:pos="-720"/>
        </w:tabs>
        <w:spacing w:line="360" w:lineRule="auto"/>
        <w:contextualSpacing/>
        <w:rPr>
          <w:sz w:val="26"/>
          <w:szCs w:val="26"/>
        </w:rPr>
      </w:pPr>
    </w:p>
    <w:p w14:paraId="3934348E" w14:textId="77777777" w:rsidR="00EB6185" w:rsidRPr="0029748B" w:rsidRDefault="00EB6185" w:rsidP="0029748B">
      <w:pPr>
        <w:widowControl/>
        <w:tabs>
          <w:tab w:val="right" w:pos="9360"/>
        </w:tabs>
        <w:spacing w:line="360" w:lineRule="auto"/>
        <w:contextualSpacing/>
        <w:rPr>
          <w:sz w:val="26"/>
          <w:szCs w:val="26"/>
        </w:rPr>
      </w:pPr>
    </w:p>
    <w:p w14:paraId="22D10DD2" w14:textId="77777777" w:rsidR="00EB6185" w:rsidRPr="0029748B" w:rsidRDefault="00EB6185" w:rsidP="0029748B">
      <w:pPr>
        <w:widowControl/>
        <w:tabs>
          <w:tab w:val="right" w:pos="9360"/>
        </w:tabs>
        <w:spacing w:line="360" w:lineRule="auto"/>
        <w:contextualSpacing/>
        <w:jc w:val="right"/>
        <w:rPr>
          <w:sz w:val="26"/>
          <w:szCs w:val="26"/>
        </w:rPr>
      </w:pPr>
      <w:r w:rsidRPr="0029748B">
        <w:rPr>
          <w:sz w:val="26"/>
          <w:szCs w:val="26"/>
        </w:rPr>
        <w:t xml:space="preserve">Public Meeting held </w:t>
      </w:r>
      <w:r w:rsidR="003E3B54" w:rsidRPr="0029748B">
        <w:rPr>
          <w:sz w:val="26"/>
          <w:szCs w:val="26"/>
        </w:rPr>
        <w:t>March 26, 2020</w:t>
      </w:r>
    </w:p>
    <w:p w14:paraId="490BE9C9" w14:textId="77777777" w:rsidR="00EB6185" w:rsidRPr="0029748B" w:rsidRDefault="00EB6185" w:rsidP="0029748B">
      <w:pPr>
        <w:widowControl/>
        <w:tabs>
          <w:tab w:val="left" w:pos="-720"/>
        </w:tabs>
        <w:spacing w:line="360" w:lineRule="auto"/>
        <w:contextualSpacing/>
        <w:rPr>
          <w:sz w:val="26"/>
          <w:szCs w:val="26"/>
        </w:rPr>
      </w:pPr>
    </w:p>
    <w:p w14:paraId="69149C35" w14:textId="77777777" w:rsidR="00EB6185" w:rsidRPr="0029748B" w:rsidRDefault="00EB6185" w:rsidP="0029748B">
      <w:pPr>
        <w:widowControl/>
        <w:tabs>
          <w:tab w:val="left" w:pos="-720"/>
        </w:tabs>
        <w:spacing w:line="360" w:lineRule="auto"/>
        <w:contextualSpacing/>
        <w:rPr>
          <w:sz w:val="26"/>
          <w:szCs w:val="26"/>
        </w:rPr>
      </w:pPr>
      <w:r w:rsidRPr="0029748B">
        <w:rPr>
          <w:sz w:val="26"/>
          <w:szCs w:val="26"/>
        </w:rPr>
        <w:t>Commissioners Present:</w:t>
      </w:r>
    </w:p>
    <w:p w14:paraId="56B99570" w14:textId="77777777" w:rsidR="00EB6185" w:rsidRPr="0029748B" w:rsidRDefault="00EB6185" w:rsidP="0029748B">
      <w:pPr>
        <w:widowControl/>
        <w:tabs>
          <w:tab w:val="left" w:pos="-720"/>
        </w:tabs>
        <w:spacing w:line="360" w:lineRule="auto"/>
        <w:contextualSpacing/>
        <w:rPr>
          <w:sz w:val="26"/>
          <w:szCs w:val="26"/>
        </w:rPr>
      </w:pPr>
    </w:p>
    <w:p w14:paraId="28A6D104" w14:textId="28702FC7" w:rsidR="00EB6185" w:rsidRPr="0029748B" w:rsidRDefault="00EB6185" w:rsidP="0029748B">
      <w:pPr>
        <w:widowControl/>
        <w:tabs>
          <w:tab w:val="left" w:pos="705"/>
        </w:tabs>
        <w:ind w:firstLine="720"/>
        <w:contextualSpacing/>
        <w:rPr>
          <w:sz w:val="26"/>
          <w:szCs w:val="26"/>
        </w:rPr>
      </w:pPr>
      <w:r w:rsidRPr="0029748B">
        <w:rPr>
          <w:sz w:val="26"/>
          <w:szCs w:val="26"/>
        </w:rPr>
        <w:t>Gladys Brown</w:t>
      </w:r>
      <w:r w:rsidR="00D703A1" w:rsidRPr="0029748B">
        <w:rPr>
          <w:sz w:val="26"/>
          <w:szCs w:val="26"/>
        </w:rPr>
        <w:t xml:space="preserve"> </w:t>
      </w:r>
      <w:proofErr w:type="spellStart"/>
      <w:r w:rsidR="00D703A1" w:rsidRPr="0029748B">
        <w:rPr>
          <w:sz w:val="26"/>
          <w:szCs w:val="26"/>
        </w:rPr>
        <w:t>Dutrieuille</w:t>
      </w:r>
      <w:proofErr w:type="spellEnd"/>
      <w:r w:rsidRPr="0029748B">
        <w:rPr>
          <w:sz w:val="26"/>
          <w:szCs w:val="26"/>
        </w:rPr>
        <w:t>, Chairman</w:t>
      </w:r>
    </w:p>
    <w:p w14:paraId="22AD4C70" w14:textId="77777777" w:rsidR="00EB6185" w:rsidRPr="0029748B" w:rsidRDefault="00D703A1" w:rsidP="0029748B">
      <w:pPr>
        <w:widowControl/>
        <w:tabs>
          <w:tab w:val="left" w:pos="705"/>
        </w:tabs>
        <w:ind w:firstLine="720"/>
        <w:contextualSpacing/>
        <w:rPr>
          <w:sz w:val="26"/>
          <w:szCs w:val="26"/>
        </w:rPr>
      </w:pPr>
      <w:r w:rsidRPr="0029748B">
        <w:rPr>
          <w:sz w:val="26"/>
          <w:szCs w:val="26"/>
        </w:rPr>
        <w:t>David W. Sweet,</w:t>
      </w:r>
      <w:r w:rsidR="00EB6185" w:rsidRPr="0029748B">
        <w:rPr>
          <w:sz w:val="26"/>
          <w:szCs w:val="26"/>
        </w:rPr>
        <w:t xml:space="preserve"> Vice Chairman</w:t>
      </w:r>
    </w:p>
    <w:p w14:paraId="6D5A3130" w14:textId="77777777" w:rsidR="00EB6185" w:rsidRPr="0029748B" w:rsidRDefault="00D703A1" w:rsidP="0029748B">
      <w:pPr>
        <w:widowControl/>
        <w:tabs>
          <w:tab w:val="left" w:pos="705"/>
        </w:tabs>
        <w:ind w:firstLine="720"/>
        <w:contextualSpacing/>
        <w:rPr>
          <w:sz w:val="26"/>
          <w:szCs w:val="26"/>
        </w:rPr>
      </w:pPr>
      <w:r w:rsidRPr="0029748B">
        <w:rPr>
          <w:sz w:val="26"/>
          <w:szCs w:val="26"/>
        </w:rPr>
        <w:t>Andrew G. Place</w:t>
      </w:r>
    </w:p>
    <w:p w14:paraId="381DE9BC" w14:textId="77777777" w:rsidR="00EB6185" w:rsidRPr="0029748B" w:rsidRDefault="00EB6185" w:rsidP="0029748B">
      <w:pPr>
        <w:widowControl/>
        <w:tabs>
          <w:tab w:val="left" w:pos="705"/>
        </w:tabs>
        <w:ind w:firstLine="720"/>
        <w:contextualSpacing/>
        <w:rPr>
          <w:sz w:val="26"/>
          <w:szCs w:val="26"/>
        </w:rPr>
      </w:pPr>
      <w:r w:rsidRPr="0029748B">
        <w:rPr>
          <w:sz w:val="26"/>
          <w:szCs w:val="26"/>
        </w:rPr>
        <w:t>John F. Coleman, Jr.</w:t>
      </w:r>
    </w:p>
    <w:p w14:paraId="6E9CAF54" w14:textId="77777777" w:rsidR="00153B20" w:rsidRPr="0029748B" w:rsidRDefault="00153B20" w:rsidP="0029748B">
      <w:pPr>
        <w:widowControl/>
        <w:kinsoku w:val="0"/>
        <w:overflowPunct w:val="0"/>
        <w:ind w:firstLine="720"/>
        <w:textAlignment w:val="baseline"/>
        <w:rPr>
          <w:b/>
          <w:sz w:val="26"/>
          <w:szCs w:val="26"/>
        </w:rPr>
      </w:pPr>
      <w:r w:rsidRPr="0029748B">
        <w:rPr>
          <w:sz w:val="26"/>
          <w:szCs w:val="26"/>
        </w:rPr>
        <w:t xml:space="preserve">Ralph V. </w:t>
      </w:r>
      <w:proofErr w:type="spellStart"/>
      <w:r w:rsidRPr="0029748B">
        <w:rPr>
          <w:sz w:val="26"/>
          <w:szCs w:val="26"/>
        </w:rPr>
        <w:t>Yanora</w:t>
      </w:r>
      <w:proofErr w:type="spellEnd"/>
    </w:p>
    <w:p w14:paraId="0BFF2826" w14:textId="77777777" w:rsidR="00F124CD" w:rsidRPr="0029748B" w:rsidRDefault="00F124CD" w:rsidP="0029748B">
      <w:pPr>
        <w:widowControl/>
        <w:tabs>
          <w:tab w:val="left" w:pos="705"/>
        </w:tabs>
        <w:ind w:firstLine="720"/>
        <w:contextualSpacing/>
        <w:rPr>
          <w:sz w:val="26"/>
          <w:szCs w:val="26"/>
        </w:rPr>
      </w:pPr>
    </w:p>
    <w:p w14:paraId="56B3EC61" w14:textId="77777777" w:rsidR="00EB6185" w:rsidRPr="0029748B" w:rsidRDefault="00EB6185" w:rsidP="0029748B">
      <w:pPr>
        <w:widowControl/>
        <w:tabs>
          <w:tab w:val="left" w:pos="-720"/>
        </w:tabs>
        <w:spacing w:line="360" w:lineRule="auto"/>
        <w:contextualSpacing/>
        <w:rPr>
          <w:sz w:val="26"/>
          <w:szCs w:val="26"/>
        </w:rPr>
      </w:pPr>
    </w:p>
    <w:tbl>
      <w:tblPr>
        <w:tblW w:w="0" w:type="auto"/>
        <w:jc w:val="center"/>
        <w:tblLook w:val="00A0" w:firstRow="1" w:lastRow="0" w:firstColumn="1" w:lastColumn="0" w:noHBand="0" w:noVBand="0"/>
      </w:tblPr>
      <w:tblGrid>
        <w:gridCol w:w="4688"/>
        <w:gridCol w:w="4672"/>
      </w:tblGrid>
      <w:tr w:rsidR="00D703A1" w:rsidRPr="0029748B" w14:paraId="23C1A238" w14:textId="77777777" w:rsidTr="00D3034C">
        <w:trPr>
          <w:jc w:val="center"/>
        </w:trPr>
        <w:tc>
          <w:tcPr>
            <w:tcW w:w="4788" w:type="dxa"/>
          </w:tcPr>
          <w:p w14:paraId="4F803661" w14:textId="77777777" w:rsidR="00EB6185" w:rsidRPr="0029748B" w:rsidRDefault="00EB6185" w:rsidP="0029748B">
            <w:pPr>
              <w:widowControl/>
              <w:contextualSpacing/>
              <w:rPr>
                <w:sz w:val="26"/>
                <w:szCs w:val="26"/>
              </w:rPr>
            </w:pPr>
            <w:r w:rsidRPr="0029748B">
              <w:rPr>
                <w:sz w:val="26"/>
                <w:szCs w:val="26"/>
              </w:rPr>
              <w:t>Pennsylvania Public Utility Commission</w:t>
            </w:r>
          </w:p>
          <w:p w14:paraId="04B30BB9" w14:textId="77777777" w:rsidR="00EB6185" w:rsidRPr="0029748B" w:rsidRDefault="00EB6185" w:rsidP="0029748B">
            <w:pPr>
              <w:widowControl/>
              <w:contextualSpacing/>
              <w:rPr>
                <w:sz w:val="26"/>
                <w:szCs w:val="26"/>
              </w:rPr>
            </w:pPr>
            <w:r w:rsidRPr="0029748B">
              <w:rPr>
                <w:sz w:val="26"/>
                <w:szCs w:val="26"/>
              </w:rPr>
              <w:t>Office of Consumer Advocate</w:t>
            </w:r>
          </w:p>
          <w:p w14:paraId="63D55B92" w14:textId="77777777" w:rsidR="00EB6185" w:rsidRPr="0029748B" w:rsidRDefault="00D703A1" w:rsidP="0029748B">
            <w:pPr>
              <w:widowControl/>
              <w:contextualSpacing/>
              <w:rPr>
                <w:sz w:val="26"/>
                <w:szCs w:val="26"/>
              </w:rPr>
            </w:pPr>
            <w:r w:rsidRPr="0029748B">
              <w:rPr>
                <w:sz w:val="26"/>
                <w:szCs w:val="26"/>
              </w:rPr>
              <w:t>Irene Blanchard</w:t>
            </w:r>
          </w:p>
          <w:p w14:paraId="0B26E60E" w14:textId="77777777" w:rsidR="00EB6185" w:rsidRPr="0029748B" w:rsidRDefault="00D703A1" w:rsidP="0029748B">
            <w:pPr>
              <w:widowControl/>
              <w:contextualSpacing/>
              <w:rPr>
                <w:sz w:val="26"/>
                <w:szCs w:val="26"/>
              </w:rPr>
            </w:pPr>
            <w:r w:rsidRPr="0029748B">
              <w:rPr>
                <w:sz w:val="26"/>
                <w:szCs w:val="26"/>
              </w:rPr>
              <w:t>Jeffrey Shatt</w:t>
            </w:r>
          </w:p>
          <w:p w14:paraId="6E545DC8" w14:textId="77777777" w:rsidR="00EB6185" w:rsidRPr="0029748B" w:rsidRDefault="00D703A1" w:rsidP="0029748B">
            <w:pPr>
              <w:widowControl/>
              <w:contextualSpacing/>
              <w:rPr>
                <w:sz w:val="26"/>
                <w:szCs w:val="26"/>
              </w:rPr>
            </w:pPr>
            <w:proofErr w:type="spellStart"/>
            <w:r w:rsidRPr="0029748B">
              <w:rPr>
                <w:sz w:val="26"/>
                <w:szCs w:val="26"/>
              </w:rPr>
              <w:t>Ciro</w:t>
            </w:r>
            <w:proofErr w:type="spellEnd"/>
            <w:r w:rsidRPr="0029748B">
              <w:rPr>
                <w:sz w:val="26"/>
                <w:szCs w:val="26"/>
              </w:rPr>
              <w:t xml:space="preserve"> </w:t>
            </w:r>
            <w:proofErr w:type="spellStart"/>
            <w:r w:rsidRPr="0029748B">
              <w:rPr>
                <w:sz w:val="26"/>
                <w:szCs w:val="26"/>
              </w:rPr>
              <w:t>Matr</w:t>
            </w:r>
            <w:r w:rsidR="00686E67" w:rsidRPr="0029748B">
              <w:rPr>
                <w:sz w:val="26"/>
                <w:szCs w:val="26"/>
              </w:rPr>
              <w:t>e</w:t>
            </w:r>
            <w:r w:rsidRPr="0029748B">
              <w:rPr>
                <w:sz w:val="26"/>
                <w:szCs w:val="26"/>
              </w:rPr>
              <w:t>cano</w:t>
            </w:r>
            <w:proofErr w:type="spellEnd"/>
          </w:p>
          <w:p w14:paraId="359EB26D" w14:textId="77777777" w:rsidR="00D703A1" w:rsidRPr="0029748B" w:rsidRDefault="00D703A1" w:rsidP="0029748B">
            <w:pPr>
              <w:widowControl/>
              <w:contextualSpacing/>
              <w:rPr>
                <w:sz w:val="26"/>
                <w:szCs w:val="26"/>
              </w:rPr>
            </w:pPr>
            <w:r w:rsidRPr="0029748B">
              <w:rPr>
                <w:sz w:val="26"/>
                <w:szCs w:val="26"/>
              </w:rPr>
              <w:t>Neil and Kathleen Joyce</w:t>
            </w:r>
          </w:p>
          <w:p w14:paraId="242FC150" w14:textId="77777777" w:rsidR="00D703A1" w:rsidRPr="0029748B" w:rsidRDefault="00686E67" w:rsidP="0029748B">
            <w:pPr>
              <w:widowControl/>
              <w:contextualSpacing/>
              <w:rPr>
                <w:sz w:val="26"/>
                <w:szCs w:val="26"/>
              </w:rPr>
            </w:pPr>
            <w:r w:rsidRPr="0029748B">
              <w:rPr>
                <w:sz w:val="26"/>
                <w:szCs w:val="26"/>
              </w:rPr>
              <w:t xml:space="preserve">Lisa </w:t>
            </w:r>
            <w:proofErr w:type="spellStart"/>
            <w:r w:rsidRPr="0029748B">
              <w:rPr>
                <w:sz w:val="26"/>
                <w:szCs w:val="26"/>
              </w:rPr>
              <w:t>Celenza</w:t>
            </w:r>
            <w:proofErr w:type="spellEnd"/>
          </w:p>
          <w:p w14:paraId="5717D900" w14:textId="77777777" w:rsidR="00686E67" w:rsidRPr="0029748B" w:rsidRDefault="00686E67" w:rsidP="0029748B">
            <w:pPr>
              <w:widowControl/>
              <w:contextualSpacing/>
              <w:rPr>
                <w:sz w:val="26"/>
                <w:szCs w:val="26"/>
              </w:rPr>
            </w:pPr>
            <w:r w:rsidRPr="0029748B">
              <w:rPr>
                <w:sz w:val="26"/>
                <w:szCs w:val="26"/>
              </w:rPr>
              <w:t>Tami DeFrancesco</w:t>
            </w:r>
          </w:p>
          <w:p w14:paraId="48ECC504" w14:textId="77777777" w:rsidR="00686E67" w:rsidRPr="0029748B" w:rsidRDefault="00686E67" w:rsidP="0029748B">
            <w:pPr>
              <w:widowControl/>
              <w:contextualSpacing/>
              <w:rPr>
                <w:sz w:val="26"/>
                <w:szCs w:val="26"/>
              </w:rPr>
            </w:pPr>
            <w:r w:rsidRPr="0029748B">
              <w:rPr>
                <w:sz w:val="26"/>
                <w:szCs w:val="26"/>
              </w:rPr>
              <w:t>Virginia Pfeiffer</w:t>
            </w:r>
          </w:p>
          <w:p w14:paraId="3E4F197F" w14:textId="77777777" w:rsidR="00686E67" w:rsidRPr="0029748B" w:rsidRDefault="00686E67" w:rsidP="0029748B">
            <w:pPr>
              <w:widowControl/>
              <w:contextualSpacing/>
              <w:rPr>
                <w:sz w:val="26"/>
                <w:szCs w:val="26"/>
              </w:rPr>
            </w:pPr>
            <w:r w:rsidRPr="0029748B">
              <w:rPr>
                <w:sz w:val="26"/>
                <w:szCs w:val="26"/>
              </w:rPr>
              <w:t xml:space="preserve">Charles </w:t>
            </w:r>
            <w:proofErr w:type="spellStart"/>
            <w:r w:rsidRPr="0029748B">
              <w:rPr>
                <w:sz w:val="26"/>
                <w:szCs w:val="26"/>
              </w:rPr>
              <w:t>Dellert</w:t>
            </w:r>
            <w:proofErr w:type="spellEnd"/>
          </w:p>
          <w:p w14:paraId="7B91FE51" w14:textId="77777777" w:rsidR="00686E67" w:rsidRPr="0029748B" w:rsidRDefault="00686E67" w:rsidP="0029748B">
            <w:pPr>
              <w:widowControl/>
              <w:contextualSpacing/>
              <w:rPr>
                <w:sz w:val="26"/>
                <w:szCs w:val="26"/>
              </w:rPr>
            </w:pPr>
            <w:r w:rsidRPr="0029748B">
              <w:rPr>
                <w:sz w:val="26"/>
                <w:szCs w:val="26"/>
              </w:rPr>
              <w:t xml:space="preserve">James </w:t>
            </w:r>
            <w:proofErr w:type="spellStart"/>
            <w:r w:rsidRPr="0029748B">
              <w:rPr>
                <w:sz w:val="26"/>
                <w:szCs w:val="26"/>
              </w:rPr>
              <w:t>Gelardi</w:t>
            </w:r>
            <w:proofErr w:type="spellEnd"/>
          </w:p>
          <w:p w14:paraId="2AD659D2" w14:textId="77777777" w:rsidR="00686E67" w:rsidRPr="0029748B" w:rsidRDefault="00686E67" w:rsidP="0029748B">
            <w:pPr>
              <w:widowControl/>
              <w:contextualSpacing/>
              <w:rPr>
                <w:sz w:val="26"/>
                <w:szCs w:val="26"/>
              </w:rPr>
            </w:pPr>
            <w:r w:rsidRPr="0029748B">
              <w:rPr>
                <w:sz w:val="26"/>
                <w:szCs w:val="26"/>
              </w:rPr>
              <w:t xml:space="preserve">Frank and </w:t>
            </w:r>
            <w:proofErr w:type="spellStart"/>
            <w:r w:rsidRPr="0029748B">
              <w:rPr>
                <w:sz w:val="26"/>
                <w:szCs w:val="26"/>
              </w:rPr>
              <w:t>Shuko</w:t>
            </w:r>
            <w:proofErr w:type="spellEnd"/>
            <w:r w:rsidRPr="0029748B">
              <w:rPr>
                <w:sz w:val="26"/>
                <w:szCs w:val="26"/>
              </w:rPr>
              <w:t xml:space="preserve"> </w:t>
            </w:r>
            <w:proofErr w:type="spellStart"/>
            <w:r w:rsidRPr="0029748B">
              <w:rPr>
                <w:sz w:val="26"/>
                <w:szCs w:val="26"/>
              </w:rPr>
              <w:t>Kashimba</w:t>
            </w:r>
            <w:proofErr w:type="spellEnd"/>
          </w:p>
          <w:p w14:paraId="7C409272" w14:textId="77777777" w:rsidR="00D703A1" w:rsidRPr="0029748B" w:rsidRDefault="00D703A1" w:rsidP="0029748B">
            <w:pPr>
              <w:widowControl/>
              <w:contextualSpacing/>
              <w:rPr>
                <w:sz w:val="26"/>
                <w:szCs w:val="26"/>
              </w:rPr>
            </w:pPr>
          </w:p>
          <w:p w14:paraId="543F125A" w14:textId="77777777" w:rsidR="00EB6185" w:rsidRPr="0029748B" w:rsidRDefault="00EB6185" w:rsidP="0029748B">
            <w:pPr>
              <w:widowControl/>
              <w:spacing w:line="360" w:lineRule="auto"/>
              <w:contextualSpacing/>
              <w:rPr>
                <w:sz w:val="26"/>
                <w:szCs w:val="26"/>
              </w:rPr>
            </w:pPr>
            <w:r w:rsidRPr="0029748B">
              <w:rPr>
                <w:sz w:val="26"/>
                <w:szCs w:val="26"/>
              </w:rPr>
              <w:tab/>
            </w:r>
            <w:r w:rsidRPr="0029748B">
              <w:rPr>
                <w:sz w:val="26"/>
                <w:szCs w:val="26"/>
              </w:rPr>
              <w:tab/>
              <w:t>v.</w:t>
            </w:r>
          </w:p>
          <w:p w14:paraId="12AFF91D" w14:textId="77777777" w:rsidR="00EB6185" w:rsidRPr="0029748B" w:rsidRDefault="00EB6185" w:rsidP="0029748B">
            <w:pPr>
              <w:widowControl/>
              <w:contextualSpacing/>
              <w:rPr>
                <w:sz w:val="26"/>
                <w:szCs w:val="26"/>
              </w:rPr>
            </w:pPr>
          </w:p>
          <w:p w14:paraId="03F48F07" w14:textId="77777777" w:rsidR="00EB6185" w:rsidRPr="0029748B" w:rsidRDefault="00D703A1" w:rsidP="0029748B">
            <w:pPr>
              <w:widowControl/>
              <w:contextualSpacing/>
              <w:rPr>
                <w:sz w:val="26"/>
                <w:szCs w:val="26"/>
              </w:rPr>
            </w:pPr>
            <w:r w:rsidRPr="0029748B">
              <w:rPr>
                <w:sz w:val="26"/>
                <w:szCs w:val="26"/>
              </w:rPr>
              <w:t xml:space="preserve">Twin Lakes Utilities, </w:t>
            </w:r>
            <w:r w:rsidR="00EB6185" w:rsidRPr="0029748B">
              <w:rPr>
                <w:sz w:val="26"/>
                <w:szCs w:val="26"/>
              </w:rPr>
              <w:t xml:space="preserve">Inc. </w:t>
            </w:r>
          </w:p>
          <w:p w14:paraId="581FA994" w14:textId="77777777" w:rsidR="00D703A1" w:rsidRPr="0029748B" w:rsidRDefault="00D703A1" w:rsidP="0029748B">
            <w:pPr>
              <w:widowControl/>
              <w:contextualSpacing/>
              <w:rPr>
                <w:sz w:val="26"/>
                <w:szCs w:val="26"/>
              </w:rPr>
            </w:pPr>
          </w:p>
        </w:tc>
        <w:tc>
          <w:tcPr>
            <w:tcW w:w="4788" w:type="dxa"/>
          </w:tcPr>
          <w:p w14:paraId="51B968C8" w14:textId="77777777" w:rsidR="00EB6185" w:rsidRPr="0029748B" w:rsidRDefault="00EB6185" w:rsidP="0029748B">
            <w:pPr>
              <w:widowControl/>
              <w:contextualSpacing/>
              <w:jc w:val="right"/>
              <w:rPr>
                <w:sz w:val="26"/>
                <w:szCs w:val="26"/>
              </w:rPr>
            </w:pPr>
            <w:r w:rsidRPr="0029748B">
              <w:rPr>
                <w:sz w:val="26"/>
                <w:szCs w:val="26"/>
              </w:rPr>
              <w:t>R-201</w:t>
            </w:r>
            <w:r w:rsidR="00D703A1" w:rsidRPr="0029748B">
              <w:rPr>
                <w:sz w:val="26"/>
                <w:szCs w:val="26"/>
              </w:rPr>
              <w:t>9</w:t>
            </w:r>
            <w:r w:rsidRPr="0029748B">
              <w:rPr>
                <w:sz w:val="26"/>
                <w:szCs w:val="26"/>
              </w:rPr>
              <w:t>-</w:t>
            </w:r>
            <w:r w:rsidR="00D703A1" w:rsidRPr="0029748B">
              <w:rPr>
                <w:sz w:val="26"/>
                <w:szCs w:val="26"/>
              </w:rPr>
              <w:t>3010958</w:t>
            </w:r>
          </w:p>
          <w:p w14:paraId="50F5AE93" w14:textId="77777777" w:rsidR="00EB6185" w:rsidRPr="0029748B" w:rsidRDefault="00EB6185" w:rsidP="0029748B">
            <w:pPr>
              <w:widowControl/>
              <w:contextualSpacing/>
              <w:jc w:val="right"/>
              <w:rPr>
                <w:sz w:val="26"/>
                <w:szCs w:val="26"/>
              </w:rPr>
            </w:pPr>
            <w:r w:rsidRPr="0029748B">
              <w:rPr>
                <w:sz w:val="26"/>
                <w:szCs w:val="26"/>
              </w:rPr>
              <w:t>C-201</w:t>
            </w:r>
            <w:r w:rsidR="00D703A1" w:rsidRPr="0029748B">
              <w:rPr>
                <w:sz w:val="26"/>
                <w:szCs w:val="26"/>
              </w:rPr>
              <w:t>9</w:t>
            </w:r>
            <w:r w:rsidRPr="0029748B">
              <w:rPr>
                <w:sz w:val="26"/>
                <w:szCs w:val="26"/>
              </w:rPr>
              <w:t>-</w:t>
            </w:r>
            <w:r w:rsidR="00D703A1" w:rsidRPr="0029748B">
              <w:rPr>
                <w:sz w:val="26"/>
                <w:szCs w:val="26"/>
              </w:rPr>
              <w:t>3011845</w:t>
            </w:r>
          </w:p>
          <w:p w14:paraId="7C372925" w14:textId="77777777" w:rsidR="00EB6185" w:rsidRPr="0029748B" w:rsidRDefault="00EB6185" w:rsidP="0029748B">
            <w:pPr>
              <w:widowControl/>
              <w:contextualSpacing/>
              <w:jc w:val="right"/>
              <w:rPr>
                <w:sz w:val="26"/>
                <w:szCs w:val="26"/>
              </w:rPr>
            </w:pPr>
            <w:r w:rsidRPr="0029748B">
              <w:rPr>
                <w:sz w:val="26"/>
                <w:szCs w:val="26"/>
              </w:rPr>
              <w:t>C-201</w:t>
            </w:r>
            <w:r w:rsidR="00D703A1" w:rsidRPr="0029748B">
              <w:rPr>
                <w:sz w:val="26"/>
                <w:szCs w:val="26"/>
              </w:rPr>
              <w:t>9</w:t>
            </w:r>
            <w:r w:rsidRPr="0029748B">
              <w:rPr>
                <w:sz w:val="26"/>
                <w:szCs w:val="26"/>
              </w:rPr>
              <w:t>-</w:t>
            </w:r>
            <w:r w:rsidR="00D703A1" w:rsidRPr="0029748B">
              <w:rPr>
                <w:sz w:val="26"/>
                <w:szCs w:val="26"/>
              </w:rPr>
              <w:t>3011969</w:t>
            </w:r>
          </w:p>
          <w:p w14:paraId="6B327849" w14:textId="77777777" w:rsidR="00EB6185" w:rsidRPr="0029748B" w:rsidRDefault="00EB6185" w:rsidP="0029748B">
            <w:pPr>
              <w:widowControl/>
              <w:contextualSpacing/>
              <w:jc w:val="right"/>
              <w:rPr>
                <w:sz w:val="26"/>
                <w:szCs w:val="26"/>
              </w:rPr>
            </w:pPr>
            <w:r w:rsidRPr="0029748B">
              <w:rPr>
                <w:sz w:val="26"/>
                <w:szCs w:val="26"/>
              </w:rPr>
              <w:t>C-201</w:t>
            </w:r>
            <w:r w:rsidR="00D703A1" w:rsidRPr="0029748B">
              <w:rPr>
                <w:sz w:val="26"/>
                <w:szCs w:val="26"/>
              </w:rPr>
              <w:t>9</w:t>
            </w:r>
            <w:r w:rsidRPr="0029748B">
              <w:rPr>
                <w:sz w:val="26"/>
                <w:szCs w:val="26"/>
              </w:rPr>
              <w:t>-</w:t>
            </w:r>
            <w:r w:rsidR="00D703A1" w:rsidRPr="0029748B">
              <w:rPr>
                <w:sz w:val="26"/>
                <w:szCs w:val="26"/>
              </w:rPr>
              <w:t>3012087</w:t>
            </w:r>
          </w:p>
          <w:p w14:paraId="0A3D6E80" w14:textId="77777777" w:rsidR="00EB6185" w:rsidRPr="0029748B" w:rsidRDefault="00EB6185" w:rsidP="0029748B">
            <w:pPr>
              <w:widowControl/>
              <w:contextualSpacing/>
              <w:jc w:val="right"/>
              <w:rPr>
                <w:sz w:val="26"/>
                <w:szCs w:val="26"/>
              </w:rPr>
            </w:pPr>
            <w:r w:rsidRPr="0029748B">
              <w:rPr>
                <w:sz w:val="26"/>
                <w:szCs w:val="26"/>
              </w:rPr>
              <w:t>C-201</w:t>
            </w:r>
            <w:r w:rsidR="00D703A1" w:rsidRPr="0029748B">
              <w:rPr>
                <w:sz w:val="26"/>
                <w:szCs w:val="26"/>
              </w:rPr>
              <w:t>9</w:t>
            </w:r>
            <w:r w:rsidRPr="0029748B">
              <w:rPr>
                <w:sz w:val="26"/>
                <w:szCs w:val="26"/>
              </w:rPr>
              <w:t>-</w:t>
            </w:r>
            <w:r w:rsidR="00D703A1" w:rsidRPr="0029748B">
              <w:rPr>
                <w:sz w:val="26"/>
                <w:szCs w:val="26"/>
              </w:rPr>
              <w:t>3012169</w:t>
            </w:r>
          </w:p>
          <w:p w14:paraId="71C4E037" w14:textId="77777777" w:rsidR="00D703A1" w:rsidRPr="0029748B" w:rsidRDefault="00D703A1" w:rsidP="0029748B">
            <w:pPr>
              <w:widowControl/>
              <w:contextualSpacing/>
              <w:jc w:val="right"/>
              <w:rPr>
                <w:sz w:val="26"/>
                <w:szCs w:val="26"/>
              </w:rPr>
            </w:pPr>
            <w:r w:rsidRPr="0029748B">
              <w:rPr>
                <w:sz w:val="26"/>
                <w:szCs w:val="26"/>
              </w:rPr>
              <w:t>C-2019-3012221</w:t>
            </w:r>
          </w:p>
          <w:p w14:paraId="28DA9545" w14:textId="77777777" w:rsidR="00D703A1" w:rsidRPr="0029748B" w:rsidRDefault="00D703A1" w:rsidP="0029748B">
            <w:pPr>
              <w:widowControl/>
              <w:contextualSpacing/>
              <w:jc w:val="right"/>
              <w:rPr>
                <w:sz w:val="26"/>
                <w:szCs w:val="26"/>
              </w:rPr>
            </w:pPr>
            <w:r w:rsidRPr="0029748B">
              <w:rPr>
                <w:sz w:val="26"/>
                <w:szCs w:val="26"/>
              </w:rPr>
              <w:t>C-2019-3012272</w:t>
            </w:r>
          </w:p>
          <w:p w14:paraId="649D3222" w14:textId="77777777" w:rsidR="00D703A1" w:rsidRPr="0029748B" w:rsidRDefault="00D703A1" w:rsidP="0029748B">
            <w:pPr>
              <w:widowControl/>
              <w:contextualSpacing/>
              <w:jc w:val="right"/>
              <w:rPr>
                <w:sz w:val="26"/>
                <w:szCs w:val="26"/>
              </w:rPr>
            </w:pPr>
            <w:r w:rsidRPr="0029748B">
              <w:rPr>
                <w:sz w:val="26"/>
                <w:szCs w:val="26"/>
              </w:rPr>
              <w:t>C-2019-3012332</w:t>
            </w:r>
          </w:p>
          <w:p w14:paraId="7D9939C9" w14:textId="77777777" w:rsidR="00D703A1" w:rsidRPr="0029748B" w:rsidRDefault="00D703A1" w:rsidP="0029748B">
            <w:pPr>
              <w:widowControl/>
              <w:contextualSpacing/>
              <w:jc w:val="right"/>
              <w:rPr>
                <w:sz w:val="26"/>
                <w:szCs w:val="26"/>
              </w:rPr>
            </w:pPr>
            <w:r w:rsidRPr="0029748B">
              <w:rPr>
                <w:sz w:val="26"/>
                <w:szCs w:val="26"/>
              </w:rPr>
              <w:t>C-2019-3012399</w:t>
            </w:r>
          </w:p>
          <w:p w14:paraId="7A4AC263" w14:textId="77777777" w:rsidR="00D703A1" w:rsidRPr="0029748B" w:rsidRDefault="00D703A1" w:rsidP="0029748B">
            <w:pPr>
              <w:widowControl/>
              <w:contextualSpacing/>
              <w:jc w:val="right"/>
              <w:rPr>
                <w:sz w:val="26"/>
                <w:szCs w:val="26"/>
              </w:rPr>
            </w:pPr>
            <w:r w:rsidRPr="0029748B">
              <w:rPr>
                <w:sz w:val="26"/>
                <w:szCs w:val="26"/>
              </w:rPr>
              <w:t>C-2019-3012487</w:t>
            </w:r>
          </w:p>
          <w:p w14:paraId="21103F3C" w14:textId="77777777" w:rsidR="00D703A1" w:rsidRPr="0029748B" w:rsidRDefault="00D703A1" w:rsidP="0029748B">
            <w:pPr>
              <w:widowControl/>
              <w:contextualSpacing/>
              <w:jc w:val="right"/>
              <w:rPr>
                <w:sz w:val="26"/>
                <w:szCs w:val="26"/>
              </w:rPr>
            </w:pPr>
            <w:r w:rsidRPr="0029748B">
              <w:rPr>
                <w:sz w:val="26"/>
                <w:szCs w:val="26"/>
              </w:rPr>
              <w:t>C-2019-3012659</w:t>
            </w:r>
          </w:p>
          <w:p w14:paraId="0756B099" w14:textId="77777777" w:rsidR="00D703A1" w:rsidRPr="0029748B" w:rsidRDefault="00D703A1" w:rsidP="0029748B">
            <w:pPr>
              <w:widowControl/>
              <w:contextualSpacing/>
              <w:jc w:val="right"/>
              <w:rPr>
                <w:sz w:val="26"/>
                <w:szCs w:val="26"/>
              </w:rPr>
            </w:pPr>
            <w:r w:rsidRPr="0029748B">
              <w:rPr>
                <w:sz w:val="26"/>
                <w:szCs w:val="26"/>
              </w:rPr>
              <w:t>C-2019-3012667</w:t>
            </w:r>
          </w:p>
        </w:tc>
      </w:tr>
    </w:tbl>
    <w:p w14:paraId="56790081" w14:textId="77777777" w:rsidR="00EB6185" w:rsidRPr="0029748B" w:rsidRDefault="00EB6185" w:rsidP="0029748B">
      <w:pPr>
        <w:widowControl/>
        <w:tabs>
          <w:tab w:val="center" w:pos="4680"/>
        </w:tabs>
        <w:spacing w:line="360" w:lineRule="auto"/>
        <w:contextualSpacing/>
        <w:rPr>
          <w:sz w:val="26"/>
          <w:szCs w:val="26"/>
        </w:rPr>
      </w:pPr>
    </w:p>
    <w:p w14:paraId="7B153D9C" w14:textId="77777777" w:rsidR="00F2483A" w:rsidRPr="0029748B" w:rsidRDefault="00EB6185" w:rsidP="0029748B">
      <w:pPr>
        <w:widowControl/>
        <w:tabs>
          <w:tab w:val="center" w:pos="4680"/>
        </w:tabs>
        <w:spacing w:line="360" w:lineRule="auto"/>
        <w:contextualSpacing/>
        <w:jc w:val="center"/>
        <w:rPr>
          <w:b/>
          <w:sz w:val="26"/>
          <w:szCs w:val="26"/>
        </w:rPr>
      </w:pPr>
      <w:r w:rsidRPr="0029748B">
        <w:rPr>
          <w:b/>
          <w:sz w:val="26"/>
          <w:szCs w:val="26"/>
        </w:rPr>
        <w:t>OPINION AND ORDER</w:t>
      </w:r>
    </w:p>
    <w:p w14:paraId="78E98753" w14:textId="77777777" w:rsidR="00F6137C" w:rsidRPr="0029748B" w:rsidRDefault="00F6137C" w:rsidP="0029748B">
      <w:pPr>
        <w:widowControl/>
        <w:spacing w:line="360" w:lineRule="auto"/>
        <w:contextualSpacing/>
        <w:rPr>
          <w:b/>
          <w:sz w:val="26"/>
          <w:szCs w:val="26"/>
        </w:rPr>
        <w:sectPr w:rsidR="00F6137C" w:rsidRPr="0029748B" w:rsidSect="0060509C">
          <w:footerReference w:type="default" r:id="rId8"/>
          <w:footerReference w:type="first" r:id="rId9"/>
          <w:pgSz w:w="12240" w:h="15840"/>
          <w:pgMar w:top="1440" w:right="1440" w:bottom="1440" w:left="1440" w:header="720" w:footer="720" w:gutter="0"/>
          <w:cols w:space="720"/>
          <w:titlePg/>
          <w:docGrid w:linePitch="360"/>
        </w:sectPr>
      </w:pPr>
    </w:p>
    <w:p w14:paraId="31F96C85" w14:textId="573BCDCC" w:rsidR="00F2483A" w:rsidRPr="00303054" w:rsidRDefault="00303054" w:rsidP="00303054">
      <w:pPr>
        <w:widowControl/>
        <w:spacing w:line="360" w:lineRule="auto"/>
        <w:contextualSpacing/>
        <w:jc w:val="center"/>
        <w:rPr>
          <w:b/>
          <w:color w:val="000000" w:themeColor="text1"/>
          <w:sz w:val="26"/>
          <w:szCs w:val="26"/>
        </w:rPr>
      </w:pPr>
      <w:r w:rsidRPr="00303054">
        <w:rPr>
          <w:b/>
          <w:color w:val="000000" w:themeColor="text1"/>
          <w:sz w:val="26"/>
          <w:szCs w:val="26"/>
        </w:rPr>
        <w:lastRenderedPageBreak/>
        <w:t>Table of Contents</w:t>
      </w:r>
    </w:p>
    <w:p w14:paraId="2C52E45A" w14:textId="77777777" w:rsidR="00303054" w:rsidRPr="00303054" w:rsidRDefault="00303054" w:rsidP="00303054">
      <w:pPr>
        <w:widowControl/>
        <w:spacing w:line="360" w:lineRule="auto"/>
        <w:contextualSpacing/>
        <w:jc w:val="center"/>
        <w:rPr>
          <w:b/>
          <w:color w:val="000000" w:themeColor="text1"/>
          <w:sz w:val="26"/>
          <w:szCs w:val="26"/>
        </w:rPr>
      </w:pPr>
    </w:p>
    <w:p w14:paraId="6513BCE6" w14:textId="6A3AE0FE" w:rsidR="00303054" w:rsidRPr="003462DE" w:rsidRDefault="00303054" w:rsidP="00223817">
      <w:pPr>
        <w:tabs>
          <w:tab w:val="left" w:pos="720"/>
          <w:tab w:val="right" w:leader="dot" w:pos="9360"/>
        </w:tabs>
        <w:spacing w:line="360" w:lineRule="auto"/>
        <w:rPr>
          <w:rFonts w:eastAsiaTheme="minorEastAsia"/>
          <w:sz w:val="26"/>
          <w:szCs w:val="26"/>
        </w:rPr>
      </w:pPr>
      <w:r w:rsidRPr="003462DE">
        <w:rPr>
          <w:sz w:val="26"/>
          <w:szCs w:val="26"/>
        </w:rPr>
        <w:t>I.</w:t>
      </w:r>
      <w:r w:rsidRPr="003462DE">
        <w:rPr>
          <w:rFonts w:eastAsiaTheme="minorEastAsia"/>
          <w:sz w:val="26"/>
          <w:szCs w:val="26"/>
        </w:rPr>
        <w:tab/>
      </w:r>
      <w:r w:rsidRPr="003462DE">
        <w:rPr>
          <w:sz w:val="26"/>
          <w:szCs w:val="26"/>
        </w:rPr>
        <w:t>Background</w:t>
      </w:r>
      <w:r w:rsidRPr="003462DE">
        <w:rPr>
          <w:webHidden/>
          <w:sz w:val="26"/>
          <w:szCs w:val="26"/>
        </w:rPr>
        <w:tab/>
        <w:t>4</w:t>
      </w:r>
    </w:p>
    <w:p w14:paraId="4142B96B" w14:textId="0C10FEC3" w:rsidR="00303054" w:rsidRPr="003462DE" w:rsidRDefault="00303054" w:rsidP="00223817">
      <w:pPr>
        <w:tabs>
          <w:tab w:val="left" w:pos="720"/>
          <w:tab w:val="right" w:leader="dot" w:pos="9360"/>
        </w:tabs>
        <w:spacing w:line="360" w:lineRule="auto"/>
        <w:rPr>
          <w:rFonts w:eastAsiaTheme="minorEastAsia"/>
          <w:sz w:val="26"/>
          <w:szCs w:val="26"/>
        </w:rPr>
      </w:pPr>
      <w:r w:rsidRPr="003462DE">
        <w:rPr>
          <w:sz w:val="26"/>
          <w:szCs w:val="26"/>
        </w:rPr>
        <w:t>II.</w:t>
      </w:r>
      <w:r w:rsidRPr="003462DE">
        <w:rPr>
          <w:rFonts w:eastAsiaTheme="minorEastAsia"/>
          <w:sz w:val="26"/>
          <w:szCs w:val="26"/>
        </w:rPr>
        <w:tab/>
      </w:r>
      <w:r w:rsidRPr="003462DE">
        <w:rPr>
          <w:sz w:val="26"/>
          <w:szCs w:val="26"/>
        </w:rPr>
        <w:t>History of Proceeding</w:t>
      </w:r>
      <w:r w:rsidRPr="003462DE">
        <w:rPr>
          <w:webHidden/>
          <w:sz w:val="26"/>
          <w:szCs w:val="26"/>
        </w:rPr>
        <w:tab/>
        <w:t>5</w:t>
      </w:r>
    </w:p>
    <w:p w14:paraId="37D00CFF" w14:textId="3830AAFF" w:rsidR="00303054" w:rsidRPr="003462DE" w:rsidRDefault="00303054" w:rsidP="00223817">
      <w:pPr>
        <w:tabs>
          <w:tab w:val="left" w:pos="720"/>
          <w:tab w:val="right" w:leader="dot" w:pos="9360"/>
        </w:tabs>
        <w:spacing w:line="360" w:lineRule="auto"/>
        <w:rPr>
          <w:sz w:val="26"/>
          <w:szCs w:val="26"/>
        </w:rPr>
      </w:pPr>
      <w:r w:rsidRPr="003462DE">
        <w:rPr>
          <w:sz w:val="26"/>
          <w:szCs w:val="26"/>
        </w:rPr>
        <w:t>III.</w:t>
      </w:r>
      <w:r w:rsidRPr="003462DE">
        <w:rPr>
          <w:rFonts w:eastAsiaTheme="minorEastAsia"/>
          <w:sz w:val="26"/>
          <w:szCs w:val="26"/>
        </w:rPr>
        <w:tab/>
      </w:r>
      <w:r w:rsidRPr="003462DE">
        <w:rPr>
          <w:sz w:val="26"/>
          <w:szCs w:val="26"/>
        </w:rPr>
        <w:t>Legal Standards</w:t>
      </w:r>
      <w:r w:rsidRPr="003462DE">
        <w:rPr>
          <w:webHidden/>
          <w:sz w:val="26"/>
          <w:szCs w:val="26"/>
        </w:rPr>
        <w:tab/>
        <w:t>8</w:t>
      </w:r>
    </w:p>
    <w:p w14:paraId="438F6548" w14:textId="61D6F7E4" w:rsidR="00303054" w:rsidRPr="003462DE" w:rsidRDefault="00303054" w:rsidP="00223817">
      <w:pPr>
        <w:tabs>
          <w:tab w:val="left" w:pos="720"/>
          <w:tab w:val="right" w:leader="dot" w:pos="9360"/>
        </w:tabs>
        <w:spacing w:line="360" w:lineRule="auto"/>
        <w:rPr>
          <w:rFonts w:eastAsiaTheme="minorEastAsia"/>
          <w:sz w:val="26"/>
          <w:szCs w:val="26"/>
        </w:rPr>
      </w:pPr>
      <w:r w:rsidRPr="003462DE">
        <w:rPr>
          <w:rFonts w:eastAsiaTheme="minorEastAsia"/>
          <w:sz w:val="26"/>
          <w:szCs w:val="26"/>
        </w:rPr>
        <w:t>IV.</w:t>
      </w:r>
      <w:r w:rsidRPr="003462DE">
        <w:rPr>
          <w:rFonts w:eastAsiaTheme="minorEastAsia"/>
          <w:sz w:val="26"/>
          <w:szCs w:val="26"/>
        </w:rPr>
        <w:tab/>
        <w:t>The Parties’ Joint Stipulations and the ALJ</w:t>
      </w:r>
      <w:r w:rsidR="003462DE" w:rsidRPr="003462DE">
        <w:rPr>
          <w:rFonts w:eastAsiaTheme="minorEastAsia"/>
          <w:sz w:val="26"/>
          <w:szCs w:val="26"/>
        </w:rPr>
        <w:t>’</w:t>
      </w:r>
      <w:r w:rsidRPr="003462DE">
        <w:rPr>
          <w:rFonts w:eastAsiaTheme="minorEastAsia"/>
          <w:sz w:val="26"/>
          <w:szCs w:val="26"/>
        </w:rPr>
        <w:t>s Uncontested Recommendations….12</w:t>
      </w:r>
    </w:p>
    <w:p w14:paraId="6F2D6268" w14:textId="5C561839" w:rsidR="00303054" w:rsidRPr="003462DE" w:rsidRDefault="00303054" w:rsidP="00223817">
      <w:pPr>
        <w:tabs>
          <w:tab w:val="left" w:pos="720"/>
          <w:tab w:val="left" w:pos="1440"/>
          <w:tab w:val="right" w:leader="dot" w:pos="9360"/>
        </w:tabs>
        <w:spacing w:line="360" w:lineRule="auto"/>
        <w:ind w:left="720"/>
        <w:rPr>
          <w:sz w:val="26"/>
          <w:szCs w:val="26"/>
        </w:rPr>
      </w:pPr>
      <w:r w:rsidRPr="003462DE">
        <w:rPr>
          <w:sz w:val="26"/>
          <w:szCs w:val="26"/>
        </w:rPr>
        <w:t>A.</w:t>
      </w:r>
      <w:r w:rsidRPr="003462DE">
        <w:rPr>
          <w:rFonts w:eastAsiaTheme="minorEastAsia"/>
          <w:sz w:val="26"/>
          <w:szCs w:val="26"/>
        </w:rPr>
        <w:tab/>
      </w:r>
      <w:r w:rsidRPr="003462DE">
        <w:rPr>
          <w:sz w:val="26"/>
          <w:szCs w:val="26"/>
        </w:rPr>
        <w:t>Joint Stipulation of the Parties</w:t>
      </w:r>
      <w:r w:rsidRPr="003462DE">
        <w:rPr>
          <w:webHidden/>
          <w:sz w:val="26"/>
          <w:szCs w:val="26"/>
        </w:rPr>
        <w:tab/>
      </w:r>
      <w:r w:rsidR="003462DE">
        <w:rPr>
          <w:webHidden/>
          <w:sz w:val="26"/>
          <w:szCs w:val="26"/>
        </w:rPr>
        <w:t>12</w:t>
      </w:r>
    </w:p>
    <w:p w14:paraId="3B251529" w14:textId="15C53BE6" w:rsidR="00303054" w:rsidRPr="003462DE" w:rsidRDefault="00303054" w:rsidP="00223817">
      <w:pPr>
        <w:tabs>
          <w:tab w:val="left" w:pos="720"/>
          <w:tab w:val="left" w:pos="1440"/>
          <w:tab w:val="right" w:leader="dot" w:pos="9360"/>
        </w:tabs>
        <w:spacing w:line="360" w:lineRule="auto"/>
        <w:ind w:left="720"/>
        <w:rPr>
          <w:rFonts w:eastAsiaTheme="minorEastAsia"/>
          <w:sz w:val="26"/>
          <w:szCs w:val="26"/>
        </w:rPr>
      </w:pPr>
      <w:r w:rsidRPr="003462DE">
        <w:rPr>
          <w:rFonts w:eastAsiaTheme="minorEastAsia"/>
          <w:sz w:val="26"/>
          <w:szCs w:val="26"/>
        </w:rPr>
        <w:t>B.</w:t>
      </w:r>
      <w:r w:rsidRPr="003462DE">
        <w:rPr>
          <w:rFonts w:eastAsiaTheme="minorEastAsia"/>
          <w:sz w:val="26"/>
          <w:szCs w:val="26"/>
        </w:rPr>
        <w:tab/>
        <w:t>The ALJ</w:t>
      </w:r>
      <w:r w:rsidR="003462DE" w:rsidRPr="003462DE">
        <w:rPr>
          <w:rFonts w:eastAsiaTheme="minorEastAsia"/>
          <w:sz w:val="26"/>
          <w:szCs w:val="26"/>
        </w:rPr>
        <w:t>’</w:t>
      </w:r>
      <w:r w:rsidRPr="003462DE">
        <w:rPr>
          <w:rFonts w:eastAsiaTheme="minorEastAsia"/>
          <w:sz w:val="26"/>
          <w:szCs w:val="26"/>
        </w:rPr>
        <w:t>s Uncontested Recommendations</w:t>
      </w:r>
      <w:r w:rsidRPr="003462DE">
        <w:rPr>
          <w:rFonts w:eastAsiaTheme="minorEastAsia"/>
          <w:sz w:val="26"/>
          <w:szCs w:val="26"/>
        </w:rPr>
        <w:tab/>
      </w:r>
      <w:r w:rsidR="003462DE">
        <w:rPr>
          <w:rFonts w:eastAsiaTheme="minorEastAsia"/>
          <w:sz w:val="26"/>
          <w:szCs w:val="26"/>
        </w:rPr>
        <w:t>13</w:t>
      </w:r>
    </w:p>
    <w:p w14:paraId="18A99698" w14:textId="23B40DE7" w:rsidR="00303054" w:rsidRPr="003462DE" w:rsidRDefault="00303054" w:rsidP="00223817">
      <w:pPr>
        <w:tabs>
          <w:tab w:val="left" w:pos="720"/>
          <w:tab w:val="right" w:leader="dot" w:pos="9360"/>
        </w:tabs>
        <w:spacing w:after="160"/>
        <w:ind w:left="2160" w:hanging="720"/>
        <w:rPr>
          <w:sz w:val="26"/>
          <w:szCs w:val="26"/>
        </w:rPr>
      </w:pPr>
      <w:r w:rsidRPr="003462DE">
        <w:rPr>
          <w:sz w:val="26"/>
          <w:szCs w:val="26"/>
        </w:rPr>
        <w:t>1.</w:t>
      </w:r>
      <w:r w:rsidRPr="003462DE">
        <w:rPr>
          <w:rFonts w:eastAsiaTheme="minorEastAsia"/>
          <w:sz w:val="26"/>
          <w:szCs w:val="26"/>
        </w:rPr>
        <w:tab/>
      </w:r>
      <w:r w:rsidRPr="003462DE">
        <w:rPr>
          <w:sz w:val="26"/>
          <w:szCs w:val="26"/>
        </w:rPr>
        <w:t>Rate Base: 1) Utility Plant in Service; 2) Depreciation Reserve; and 3) Cash Working Capital</w:t>
      </w:r>
      <w:r w:rsidRPr="003462DE">
        <w:rPr>
          <w:webHidden/>
          <w:sz w:val="26"/>
          <w:szCs w:val="26"/>
        </w:rPr>
        <w:tab/>
      </w:r>
      <w:r w:rsidR="003462DE">
        <w:rPr>
          <w:webHidden/>
          <w:sz w:val="26"/>
          <w:szCs w:val="26"/>
        </w:rPr>
        <w:t>13</w:t>
      </w:r>
    </w:p>
    <w:p w14:paraId="3D0310BF" w14:textId="2EDB81BB" w:rsidR="00303054" w:rsidRPr="003462DE" w:rsidRDefault="00303054" w:rsidP="00223817">
      <w:pPr>
        <w:tabs>
          <w:tab w:val="left" w:pos="720"/>
          <w:tab w:val="left" w:pos="2880"/>
          <w:tab w:val="right" w:leader="dot" w:pos="9360"/>
        </w:tabs>
        <w:spacing w:line="360" w:lineRule="auto"/>
        <w:ind w:left="2160"/>
        <w:rPr>
          <w:rFonts w:eastAsiaTheme="minorEastAsia"/>
          <w:sz w:val="26"/>
          <w:szCs w:val="26"/>
        </w:rPr>
      </w:pPr>
      <w:r w:rsidRPr="003462DE">
        <w:rPr>
          <w:rFonts w:eastAsiaTheme="minorEastAsia"/>
          <w:sz w:val="26"/>
          <w:szCs w:val="26"/>
        </w:rPr>
        <w:t>a.</w:t>
      </w:r>
      <w:r w:rsidRPr="003462DE">
        <w:rPr>
          <w:rFonts w:eastAsiaTheme="minorEastAsia"/>
          <w:sz w:val="26"/>
          <w:szCs w:val="26"/>
        </w:rPr>
        <w:tab/>
        <w:t>Utility Plant in Service</w:t>
      </w:r>
      <w:r w:rsidRPr="003462DE">
        <w:rPr>
          <w:rFonts w:eastAsiaTheme="minorEastAsia"/>
          <w:sz w:val="26"/>
          <w:szCs w:val="26"/>
        </w:rPr>
        <w:tab/>
      </w:r>
      <w:r w:rsidR="003462DE">
        <w:rPr>
          <w:rFonts w:eastAsiaTheme="minorEastAsia"/>
          <w:sz w:val="26"/>
          <w:szCs w:val="26"/>
        </w:rPr>
        <w:t>13</w:t>
      </w:r>
    </w:p>
    <w:p w14:paraId="39A64CD3" w14:textId="1D7CDA1A" w:rsidR="00303054" w:rsidRPr="003462DE" w:rsidRDefault="00303054" w:rsidP="00223817">
      <w:pPr>
        <w:tabs>
          <w:tab w:val="left" w:pos="720"/>
          <w:tab w:val="left" w:pos="2880"/>
          <w:tab w:val="right" w:leader="dot" w:pos="9360"/>
        </w:tabs>
        <w:spacing w:line="360" w:lineRule="auto"/>
        <w:ind w:left="2160"/>
        <w:rPr>
          <w:rFonts w:eastAsiaTheme="minorEastAsia"/>
          <w:sz w:val="26"/>
          <w:szCs w:val="26"/>
        </w:rPr>
      </w:pPr>
      <w:r w:rsidRPr="003462DE">
        <w:rPr>
          <w:rFonts w:eastAsiaTheme="minorEastAsia"/>
          <w:sz w:val="26"/>
          <w:szCs w:val="26"/>
        </w:rPr>
        <w:t>b.</w:t>
      </w:r>
      <w:r w:rsidRPr="003462DE">
        <w:rPr>
          <w:rFonts w:eastAsiaTheme="minorEastAsia"/>
          <w:sz w:val="26"/>
          <w:szCs w:val="26"/>
        </w:rPr>
        <w:tab/>
        <w:t>Depreciation Reserve</w:t>
      </w:r>
      <w:r w:rsidRPr="003462DE">
        <w:rPr>
          <w:rFonts w:eastAsiaTheme="minorEastAsia"/>
          <w:sz w:val="26"/>
          <w:szCs w:val="26"/>
        </w:rPr>
        <w:tab/>
      </w:r>
      <w:r w:rsidR="003462DE">
        <w:rPr>
          <w:rFonts w:eastAsiaTheme="minorEastAsia"/>
          <w:sz w:val="26"/>
          <w:szCs w:val="26"/>
        </w:rPr>
        <w:t>14</w:t>
      </w:r>
    </w:p>
    <w:p w14:paraId="3BDE0189" w14:textId="62501F6E" w:rsidR="00303054" w:rsidRPr="003462DE" w:rsidRDefault="00303054" w:rsidP="00223817">
      <w:pPr>
        <w:tabs>
          <w:tab w:val="left" w:pos="720"/>
          <w:tab w:val="left" w:pos="2880"/>
          <w:tab w:val="right" w:leader="dot" w:pos="9360"/>
        </w:tabs>
        <w:spacing w:line="360" w:lineRule="auto"/>
        <w:ind w:left="2160"/>
        <w:rPr>
          <w:rFonts w:eastAsiaTheme="minorEastAsia"/>
          <w:sz w:val="26"/>
          <w:szCs w:val="26"/>
        </w:rPr>
      </w:pPr>
      <w:r w:rsidRPr="003462DE">
        <w:rPr>
          <w:rFonts w:eastAsiaTheme="minorEastAsia"/>
          <w:sz w:val="26"/>
          <w:szCs w:val="26"/>
        </w:rPr>
        <w:t>c.</w:t>
      </w:r>
      <w:r w:rsidRPr="003462DE">
        <w:rPr>
          <w:rFonts w:eastAsiaTheme="minorEastAsia"/>
          <w:sz w:val="26"/>
          <w:szCs w:val="26"/>
        </w:rPr>
        <w:tab/>
        <w:t>Cash Working Capital</w:t>
      </w:r>
      <w:r w:rsidRPr="003462DE">
        <w:rPr>
          <w:rFonts w:eastAsiaTheme="minorEastAsia"/>
          <w:sz w:val="26"/>
          <w:szCs w:val="26"/>
        </w:rPr>
        <w:tab/>
      </w:r>
      <w:r w:rsidR="003462DE">
        <w:rPr>
          <w:rFonts w:eastAsiaTheme="minorEastAsia"/>
          <w:sz w:val="26"/>
          <w:szCs w:val="26"/>
        </w:rPr>
        <w:t>14</w:t>
      </w:r>
    </w:p>
    <w:p w14:paraId="4EEDB82A" w14:textId="526548BE" w:rsidR="00303054" w:rsidRPr="003462DE" w:rsidRDefault="003462DE" w:rsidP="00223817">
      <w:pPr>
        <w:tabs>
          <w:tab w:val="left" w:pos="720"/>
          <w:tab w:val="right" w:leader="dot" w:pos="9360"/>
        </w:tabs>
        <w:spacing w:after="160"/>
        <w:ind w:left="1440" w:hanging="720"/>
        <w:rPr>
          <w:sz w:val="26"/>
          <w:szCs w:val="26"/>
        </w:rPr>
      </w:pPr>
      <w:r>
        <w:rPr>
          <w:sz w:val="26"/>
          <w:szCs w:val="26"/>
        </w:rPr>
        <w:t>C</w:t>
      </w:r>
      <w:r w:rsidR="00303054" w:rsidRPr="003462DE">
        <w:rPr>
          <w:sz w:val="26"/>
          <w:szCs w:val="26"/>
        </w:rPr>
        <w:t>.</w:t>
      </w:r>
      <w:r w:rsidR="00303054" w:rsidRPr="003462DE">
        <w:rPr>
          <w:rFonts w:eastAsiaTheme="minorEastAsia"/>
          <w:sz w:val="26"/>
          <w:szCs w:val="26"/>
        </w:rPr>
        <w:tab/>
      </w:r>
      <w:r w:rsidR="00303054" w:rsidRPr="003462DE">
        <w:rPr>
          <w:sz w:val="26"/>
          <w:szCs w:val="26"/>
        </w:rPr>
        <w:t>Expenses: 1) Rate Case Expense; 2) Maintenance Supplies; 3) Purchased Power and Chemical Expenses; 4) Bad Debt Expense</w:t>
      </w:r>
      <w:r w:rsidR="00303054" w:rsidRPr="003462DE">
        <w:rPr>
          <w:webHidden/>
          <w:sz w:val="26"/>
          <w:szCs w:val="26"/>
        </w:rPr>
        <w:tab/>
      </w:r>
      <w:r>
        <w:rPr>
          <w:webHidden/>
          <w:sz w:val="26"/>
          <w:szCs w:val="26"/>
        </w:rPr>
        <w:t>15</w:t>
      </w:r>
    </w:p>
    <w:p w14:paraId="10BF0378" w14:textId="4E34DD7D" w:rsidR="00303054" w:rsidRPr="003462DE" w:rsidRDefault="00303054" w:rsidP="00223817">
      <w:pPr>
        <w:tabs>
          <w:tab w:val="left" w:pos="720"/>
          <w:tab w:val="right" w:leader="dot" w:pos="9360"/>
        </w:tabs>
        <w:spacing w:line="360" w:lineRule="auto"/>
        <w:ind w:left="2160" w:hanging="720"/>
        <w:rPr>
          <w:rFonts w:eastAsiaTheme="minorEastAsia"/>
          <w:sz w:val="26"/>
          <w:szCs w:val="26"/>
        </w:rPr>
      </w:pPr>
      <w:r w:rsidRPr="003462DE">
        <w:rPr>
          <w:rFonts w:eastAsiaTheme="minorEastAsia"/>
          <w:sz w:val="26"/>
          <w:szCs w:val="26"/>
        </w:rPr>
        <w:t>1.</w:t>
      </w:r>
      <w:r w:rsidRPr="003462DE">
        <w:rPr>
          <w:rFonts w:eastAsiaTheme="minorEastAsia"/>
          <w:sz w:val="26"/>
          <w:szCs w:val="26"/>
        </w:rPr>
        <w:tab/>
        <w:t>Rate Case Expense</w:t>
      </w:r>
      <w:r w:rsidRPr="003462DE">
        <w:rPr>
          <w:rFonts w:eastAsiaTheme="minorEastAsia"/>
          <w:sz w:val="26"/>
          <w:szCs w:val="26"/>
        </w:rPr>
        <w:tab/>
      </w:r>
      <w:r w:rsidR="003462DE">
        <w:rPr>
          <w:rFonts w:eastAsiaTheme="minorEastAsia"/>
          <w:sz w:val="26"/>
          <w:szCs w:val="26"/>
        </w:rPr>
        <w:t>15</w:t>
      </w:r>
    </w:p>
    <w:p w14:paraId="0AF4CEC4" w14:textId="7597A318" w:rsidR="00303054" w:rsidRPr="003462DE" w:rsidRDefault="00303054" w:rsidP="00223817">
      <w:pPr>
        <w:tabs>
          <w:tab w:val="left" w:pos="720"/>
          <w:tab w:val="right" w:leader="dot" w:pos="9360"/>
        </w:tabs>
        <w:spacing w:line="360" w:lineRule="auto"/>
        <w:ind w:left="2160" w:hanging="720"/>
        <w:rPr>
          <w:rFonts w:eastAsiaTheme="minorEastAsia"/>
          <w:sz w:val="26"/>
          <w:szCs w:val="26"/>
        </w:rPr>
      </w:pPr>
      <w:r w:rsidRPr="003462DE">
        <w:rPr>
          <w:rFonts w:eastAsiaTheme="minorEastAsia"/>
          <w:sz w:val="26"/>
          <w:szCs w:val="26"/>
        </w:rPr>
        <w:t>2.</w:t>
      </w:r>
      <w:r w:rsidRPr="003462DE">
        <w:rPr>
          <w:rFonts w:eastAsiaTheme="minorEastAsia"/>
          <w:sz w:val="26"/>
          <w:szCs w:val="26"/>
        </w:rPr>
        <w:tab/>
        <w:t>Maintenance Supplies</w:t>
      </w:r>
      <w:r w:rsidRPr="003462DE">
        <w:rPr>
          <w:rFonts w:eastAsiaTheme="minorEastAsia"/>
          <w:sz w:val="26"/>
          <w:szCs w:val="26"/>
        </w:rPr>
        <w:tab/>
      </w:r>
      <w:r w:rsidR="003462DE">
        <w:rPr>
          <w:rFonts w:eastAsiaTheme="minorEastAsia"/>
          <w:sz w:val="26"/>
          <w:szCs w:val="26"/>
        </w:rPr>
        <w:t>16</w:t>
      </w:r>
    </w:p>
    <w:p w14:paraId="6CACE335" w14:textId="49B7B34B" w:rsidR="00303054" w:rsidRPr="003462DE" w:rsidRDefault="00303054" w:rsidP="00223817">
      <w:pPr>
        <w:tabs>
          <w:tab w:val="left" w:pos="720"/>
          <w:tab w:val="right" w:leader="dot" w:pos="9360"/>
        </w:tabs>
        <w:spacing w:line="360" w:lineRule="auto"/>
        <w:ind w:left="2160" w:hanging="720"/>
        <w:rPr>
          <w:rFonts w:eastAsiaTheme="minorEastAsia"/>
          <w:sz w:val="26"/>
          <w:szCs w:val="26"/>
        </w:rPr>
      </w:pPr>
      <w:r w:rsidRPr="003462DE">
        <w:rPr>
          <w:rFonts w:eastAsiaTheme="minorEastAsia"/>
          <w:sz w:val="26"/>
          <w:szCs w:val="26"/>
        </w:rPr>
        <w:t>3.</w:t>
      </w:r>
      <w:r w:rsidRPr="003462DE">
        <w:rPr>
          <w:rFonts w:eastAsiaTheme="minorEastAsia"/>
          <w:sz w:val="26"/>
          <w:szCs w:val="26"/>
        </w:rPr>
        <w:tab/>
        <w:t>Purchased Power and Chemical Expenses</w:t>
      </w:r>
      <w:r w:rsidRPr="003462DE">
        <w:rPr>
          <w:rFonts w:eastAsiaTheme="minorEastAsia"/>
          <w:sz w:val="26"/>
          <w:szCs w:val="26"/>
        </w:rPr>
        <w:tab/>
      </w:r>
      <w:r w:rsidR="003462DE">
        <w:rPr>
          <w:rFonts w:eastAsiaTheme="minorEastAsia"/>
          <w:sz w:val="26"/>
          <w:szCs w:val="26"/>
        </w:rPr>
        <w:t>17</w:t>
      </w:r>
    </w:p>
    <w:p w14:paraId="3F955653" w14:textId="14635ABE" w:rsidR="00303054" w:rsidRPr="003462DE" w:rsidRDefault="00303054" w:rsidP="00223817">
      <w:pPr>
        <w:tabs>
          <w:tab w:val="left" w:pos="720"/>
          <w:tab w:val="right" w:leader="dot" w:pos="9360"/>
        </w:tabs>
        <w:spacing w:line="360" w:lineRule="auto"/>
        <w:ind w:left="2160" w:hanging="720"/>
        <w:rPr>
          <w:rFonts w:eastAsiaTheme="minorEastAsia"/>
          <w:sz w:val="26"/>
          <w:szCs w:val="26"/>
        </w:rPr>
      </w:pPr>
      <w:r w:rsidRPr="003462DE">
        <w:rPr>
          <w:rFonts w:eastAsiaTheme="minorEastAsia"/>
          <w:sz w:val="26"/>
          <w:szCs w:val="26"/>
        </w:rPr>
        <w:t>4.</w:t>
      </w:r>
      <w:r w:rsidRPr="003462DE">
        <w:rPr>
          <w:rFonts w:eastAsiaTheme="minorEastAsia"/>
          <w:sz w:val="26"/>
          <w:szCs w:val="26"/>
        </w:rPr>
        <w:tab/>
        <w:t>Bad Debt Expense</w:t>
      </w:r>
      <w:r w:rsidRPr="003462DE">
        <w:rPr>
          <w:rFonts w:eastAsiaTheme="minorEastAsia"/>
          <w:sz w:val="26"/>
          <w:szCs w:val="26"/>
        </w:rPr>
        <w:tab/>
      </w:r>
      <w:r w:rsidR="003462DE">
        <w:rPr>
          <w:rFonts w:eastAsiaTheme="minorEastAsia"/>
          <w:sz w:val="26"/>
          <w:szCs w:val="26"/>
        </w:rPr>
        <w:t>18</w:t>
      </w:r>
    </w:p>
    <w:p w14:paraId="5F1D818C" w14:textId="748C9CB6" w:rsidR="00303054" w:rsidRPr="003462DE" w:rsidRDefault="00A5173E" w:rsidP="00223817">
      <w:pPr>
        <w:tabs>
          <w:tab w:val="left" w:pos="720"/>
          <w:tab w:val="left" w:pos="1440"/>
          <w:tab w:val="right" w:leader="dot" w:pos="9360"/>
        </w:tabs>
        <w:spacing w:line="360" w:lineRule="auto"/>
        <w:ind w:left="720"/>
        <w:rPr>
          <w:rFonts w:eastAsiaTheme="minorEastAsia"/>
          <w:sz w:val="26"/>
          <w:szCs w:val="26"/>
        </w:rPr>
      </w:pPr>
      <w:r>
        <w:rPr>
          <w:sz w:val="26"/>
          <w:szCs w:val="26"/>
        </w:rPr>
        <w:t>D</w:t>
      </w:r>
      <w:r w:rsidR="00303054" w:rsidRPr="003462DE">
        <w:rPr>
          <w:sz w:val="26"/>
          <w:szCs w:val="26"/>
        </w:rPr>
        <w:t>.</w:t>
      </w:r>
      <w:r w:rsidR="00303054" w:rsidRPr="003462DE">
        <w:rPr>
          <w:rFonts w:eastAsiaTheme="minorEastAsia"/>
          <w:sz w:val="26"/>
          <w:szCs w:val="26"/>
        </w:rPr>
        <w:tab/>
      </w:r>
      <w:r w:rsidR="00303054" w:rsidRPr="003462DE">
        <w:rPr>
          <w:sz w:val="26"/>
          <w:szCs w:val="26"/>
        </w:rPr>
        <w:t>Capital Structure</w:t>
      </w:r>
      <w:r w:rsidR="00303054" w:rsidRPr="003462DE">
        <w:rPr>
          <w:webHidden/>
          <w:sz w:val="26"/>
          <w:szCs w:val="26"/>
        </w:rPr>
        <w:tab/>
      </w:r>
      <w:r>
        <w:rPr>
          <w:webHidden/>
          <w:sz w:val="26"/>
          <w:szCs w:val="26"/>
        </w:rPr>
        <w:t>19</w:t>
      </w:r>
    </w:p>
    <w:p w14:paraId="09FFB812" w14:textId="1A58A737" w:rsidR="00303054" w:rsidRPr="003462DE" w:rsidRDefault="00A5173E" w:rsidP="00223817">
      <w:pPr>
        <w:tabs>
          <w:tab w:val="left" w:pos="720"/>
          <w:tab w:val="left" w:pos="1440"/>
          <w:tab w:val="right" w:leader="dot" w:pos="9360"/>
        </w:tabs>
        <w:spacing w:line="360" w:lineRule="auto"/>
        <w:ind w:left="720"/>
        <w:rPr>
          <w:rFonts w:eastAsiaTheme="minorEastAsia"/>
          <w:sz w:val="26"/>
          <w:szCs w:val="26"/>
        </w:rPr>
      </w:pPr>
      <w:r>
        <w:rPr>
          <w:sz w:val="26"/>
          <w:szCs w:val="26"/>
        </w:rPr>
        <w:t>E</w:t>
      </w:r>
      <w:r w:rsidR="00303054" w:rsidRPr="003462DE">
        <w:rPr>
          <w:sz w:val="26"/>
          <w:szCs w:val="26"/>
        </w:rPr>
        <w:t>.</w:t>
      </w:r>
      <w:r w:rsidR="00303054" w:rsidRPr="003462DE">
        <w:rPr>
          <w:rFonts w:eastAsiaTheme="minorEastAsia"/>
          <w:sz w:val="26"/>
          <w:szCs w:val="26"/>
        </w:rPr>
        <w:tab/>
      </w:r>
      <w:r w:rsidR="00303054" w:rsidRPr="003462DE">
        <w:rPr>
          <w:sz w:val="26"/>
          <w:szCs w:val="26"/>
        </w:rPr>
        <w:t>Rate Structure and Rate Design</w:t>
      </w:r>
      <w:r w:rsidR="00303054" w:rsidRPr="003462DE">
        <w:rPr>
          <w:webHidden/>
          <w:sz w:val="26"/>
          <w:szCs w:val="26"/>
        </w:rPr>
        <w:tab/>
      </w:r>
      <w:r>
        <w:rPr>
          <w:webHidden/>
          <w:sz w:val="26"/>
          <w:szCs w:val="26"/>
        </w:rPr>
        <w:t>21</w:t>
      </w:r>
    </w:p>
    <w:p w14:paraId="324546B5" w14:textId="52435A49" w:rsidR="00303054" w:rsidRPr="003462DE" w:rsidRDefault="00303054" w:rsidP="00223817">
      <w:pPr>
        <w:tabs>
          <w:tab w:val="left" w:pos="720"/>
          <w:tab w:val="left" w:pos="1440"/>
          <w:tab w:val="right" w:leader="dot" w:pos="9360"/>
        </w:tabs>
        <w:spacing w:line="360" w:lineRule="auto"/>
        <w:ind w:left="720"/>
        <w:rPr>
          <w:sz w:val="26"/>
          <w:szCs w:val="26"/>
        </w:rPr>
      </w:pPr>
      <w:r w:rsidRPr="003462DE">
        <w:rPr>
          <w:sz w:val="26"/>
          <w:szCs w:val="26"/>
        </w:rPr>
        <w:t>F.</w:t>
      </w:r>
      <w:r w:rsidRPr="003462DE">
        <w:rPr>
          <w:rFonts w:eastAsiaTheme="minorEastAsia"/>
          <w:sz w:val="26"/>
          <w:szCs w:val="26"/>
        </w:rPr>
        <w:tab/>
      </w:r>
      <w:r w:rsidRPr="003462DE">
        <w:rPr>
          <w:sz w:val="26"/>
          <w:szCs w:val="26"/>
        </w:rPr>
        <w:t>Disposition</w:t>
      </w:r>
      <w:r w:rsidRPr="003462DE">
        <w:rPr>
          <w:webHidden/>
          <w:sz w:val="26"/>
          <w:szCs w:val="26"/>
        </w:rPr>
        <w:tab/>
      </w:r>
      <w:r w:rsidR="00A5173E">
        <w:rPr>
          <w:webHidden/>
          <w:sz w:val="26"/>
          <w:szCs w:val="26"/>
        </w:rPr>
        <w:t>21</w:t>
      </w:r>
    </w:p>
    <w:p w14:paraId="26B66220" w14:textId="648D93B3" w:rsidR="00303054" w:rsidRPr="003462DE" w:rsidRDefault="00303054" w:rsidP="00223817">
      <w:pPr>
        <w:tabs>
          <w:tab w:val="left" w:pos="720"/>
          <w:tab w:val="right" w:leader="dot" w:pos="9360"/>
        </w:tabs>
        <w:spacing w:line="360" w:lineRule="auto"/>
        <w:rPr>
          <w:rFonts w:eastAsiaTheme="minorEastAsia"/>
          <w:sz w:val="26"/>
          <w:szCs w:val="26"/>
        </w:rPr>
      </w:pPr>
      <w:r w:rsidRPr="003462DE">
        <w:rPr>
          <w:rFonts w:eastAsiaTheme="minorEastAsia"/>
          <w:sz w:val="26"/>
          <w:szCs w:val="26"/>
        </w:rPr>
        <w:t>V.</w:t>
      </w:r>
      <w:r w:rsidRPr="003462DE">
        <w:rPr>
          <w:rFonts w:eastAsiaTheme="minorEastAsia"/>
          <w:sz w:val="26"/>
          <w:szCs w:val="26"/>
        </w:rPr>
        <w:tab/>
        <w:t>Review of Exceptions and Replies</w:t>
      </w:r>
      <w:r w:rsidRPr="003462DE">
        <w:rPr>
          <w:rFonts w:eastAsiaTheme="minorEastAsia"/>
          <w:sz w:val="26"/>
          <w:szCs w:val="26"/>
        </w:rPr>
        <w:tab/>
      </w:r>
      <w:r w:rsidR="00A20800">
        <w:rPr>
          <w:rFonts w:eastAsiaTheme="minorEastAsia"/>
          <w:sz w:val="26"/>
          <w:szCs w:val="26"/>
        </w:rPr>
        <w:t>23</w:t>
      </w:r>
    </w:p>
    <w:p w14:paraId="3DDF2D55" w14:textId="5037DCCE" w:rsidR="00303054" w:rsidRPr="003462DE" w:rsidRDefault="00303054" w:rsidP="00223817">
      <w:pPr>
        <w:tabs>
          <w:tab w:val="left" w:pos="720"/>
          <w:tab w:val="left" w:pos="1440"/>
          <w:tab w:val="right" w:leader="dot" w:pos="9360"/>
        </w:tabs>
        <w:spacing w:line="360" w:lineRule="auto"/>
        <w:ind w:left="720"/>
        <w:rPr>
          <w:sz w:val="26"/>
          <w:szCs w:val="26"/>
        </w:rPr>
      </w:pPr>
      <w:r w:rsidRPr="003462DE">
        <w:rPr>
          <w:sz w:val="26"/>
          <w:szCs w:val="26"/>
        </w:rPr>
        <w:t>A.</w:t>
      </w:r>
      <w:r w:rsidRPr="003462DE">
        <w:rPr>
          <w:rFonts w:eastAsiaTheme="minorEastAsia"/>
          <w:sz w:val="26"/>
          <w:szCs w:val="26"/>
        </w:rPr>
        <w:tab/>
      </w:r>
      <w:r w:rsidRPr="003462DE">
        <w:rPr>
          <w:sz w:val="26"/>
          <w:szCs w:val="26"/>
        </w:rPr>
        <w:t>Rate Base Acquisition Adjustment</w:t>
      </w:r>
      <w:r w:rsidRPr="003462DE">
        <w:rPr>
          <w:webHidden/>
          <w:sz w:val="26"/>
          <w:szCs w:val="26"/>
        </w:rPr>
        <w:tab/>
      </w:r>
      <w:r w:rsidR="00A20800">
        <w:rPr>
          <w:webHidden/>
          <w:sz w:val="26"/>
          <w:szCs w:val="26"/>
        </w:rPr>
        <w:t>24</w:t>
      </w:r>
    </w:p>
    <w:p w14:paraId="35DAE933" w14:textId="40F54F90" w:rsidR="00303054" w:rsidRPr="003462DE" w:rsidRDefault="00303054" w:rsidP="00223817">
      <w:pPr>
        <w:tabs>
          <w:tab w:val="left" w:pos="2160"/>
          <w:tab w:val="right" w:leader="dot" w:pos="9360"/>
        </w:tabs>
        <w:spacing w:line="360" w:lineRule="auto"/>
        <w:ind w:left="1440" w:hanging="720"/>
        <w:rPr>
          <w:rFonts w:eastAsiaTheme="minorEastAsia"/>
          <w:sz w:val="26"/>
          <w:szCs w:val="26"/>
        </w:rPr>
      </w:pPr>
      <w:r w:rsidRPr="003462DE">
        <w:rPr>
          <w:rFonts w:eastAsiaTheme="minorEastAsia"/>
          <w:sz w:val="26"/>
          <w:szCs w:val="26"/>
        </w:rPr>
        <w:tab/>
        <w:t>1.</w:t>
      </w:r>
      <w:r w:rsidRPr="003462DE">
        <w:rPr>
          <w:rFonts w:eastAsiaTheme="minorEastAsia"/>
          <w:sz w:val="26"/>
          <w:szCs w:val="26"/>
        </w:rPr>
        <w:tab/>
        <w:t>Position of the Parties</w:t>
      </w:r>
      <w:r w:rsidRPr="003462DE">
        <w:rPr>
          <w:rFonts w:eastAsiaTheme="minorEastAsia"/>
          <w:sz w:val="26"/>
          <w:szCs w:val="26"/>
        </w:rPr>
        <w:tab/>
      </w:r>
      <w:r w:rsidR="00A20800">
        <w:rPr>
          <w:rFonts w:eastAsiaTheme="minorEastAsia"/>
          <w:sz w:val="26"/>
          <w:szCs w:val="26"/>
        </w:rPr>
        <w:t>24</w:t>
      </w:r>
    </w:p>
    <w:p w14:paraId="2A3122C5" w14:textId="1ED6D25A" w:rsidR="00303054" w:rsidRPr="003462DE" w:rsidRDefault="00303054" w:rsidP="00223817">
      <w:pPr>
        <w:tabs>
          <w:tab w:val="left" w:pos="2160"/>
          <w:tab w:val="right" w:leader="dot" w:pos="9360"/>
        </w:tabs>
        <w:spacing w:line="360" w:lineRule="auto"/>
        <w:ind w:left="1440" w:hanging="720"/>
        <w:rPr>
          <w:rFonts w:eastAsiaTheme="minorEastAsia"/>
          <w:sz w:val="26"/>
          <w:szCs w:val="26"/>
        </w:rPr>
      </w:pPr>
      <w:r w:rsidRPr="003462DE">
        <w:rPr>
          <w:rFonts w:eastAsiaTheme="minorEastAsia"/>
          <w:sz w:val="26"/>
          <w:szCs w:val="26"/>
        </w:rPr>
        <w:tab/>
        <w:t>2.</w:t>
      </w:r>
      <w:r w:rsidRPr="003462DE">
        <w:rPr>
          <w:rFonts w:eastAsiaTheme="minorEastAsia"/>
          <w:sz w:val="26"/>
          <w:szCs w:val="26"/>
        </w:rPr>
        <w:tab/>
        <w:t>Recommended Decision</w:t>
      </w:r>
      <w:r w:rsidRPr="003462DE">
        <w:rPr>
          <w:rFonts w:eastAsiaTheme="minorEastAsia"/>
          <w:sz w:val="26"/>
          <w:szCs w:val="26"/>
        </w:rPr>
        <w:tab/>
      </w:r>
      <w:r w:rsidR="00A20800">
        <w:rPr>
          <w:rFonts w:eastAsiaTheme="minorEastAsia"/>
          <w:sz w:val="26"/>
          <w:szCs w:val="26"/>
        </w:rPr>
        <w:t>27</w:t>
      </w:r>
    </w:p>
    <w:p w14:paraId="3A0F9FDB" w14:textId="57937751" w:rsidR="00303054" w:rsidRPr="003462DE" w:rsidRDefault="00303054" w:rsidP="00223817">
      <w:pPr>
        <w:tabs>
          <w:tab w:val="left" w:pos="2160"/>
          <w:tab w:val="right" w:leader="dot" w:pos="9360"/>
        </w:tabs>
        <w:spacing w:line="360" w:lineRule="auto"/>
        <w:ind w:left="1440" w:hanging="720"/>
        <w:rPr>
          <w:rFonts w:eastAsiaTheme="minorEastAsia"/>
          <w:sz w:val="26"/>
          <w:szCs w:val="26"/>
        </w:rPr>
      </w:pPr>
      <w:r w:rsidRPr="003462DE">
        <w:rPr>
          <w:rFonts w:eastAsiaTheme="minorEastAsia"/>
          <w:sz w:val="26"/>
          <w:szCs w:val="26"/>
        </w:rPr>
        <w:tab/>
        <w:t>3.</w:t>
      </w:r>
      <w:r w:rsidRPr="003462DE">
        <w:rPr>
          <w:rFonts w:eastAsiaTheme="minorEastAsia"/>
          <w:sz w:val="26"/>
          <w:szCs w:val="26"/>
        </w:rPr>
        <w:tab/>
        <w:t>Exceptions and Replies</w:t>
      </w:r>
      <w:r w:rsidRPr="003462DE">
        <w:rPr>
          <w:rFonts w:eastAsiaTheme="minorEastAsia"/>
          <w:sz w:val="26"/>
          <w:szCs w:val="26"/>
        </w:rPr>
        <w:tab/>
      </w:r>
      <w:r w:rsidR="00A20800">
        <w:rPr>
          <w:rFonts w:eastAsiaTheme="minorEastAsia"/>
          <w:sz w:val="26"/>
          <w:szCs w:val="26"/>
        </w:rPr>
        <w:t>29</w:t>
      </w:r>
    </w:p>
    <w:p w14:paraId="0474688F" w14:textId="123A0771" w:rsidR="00303054" w:rsidRPr="003462DE" w:rsidRDefault="00303054" w:rsidP="00223817">
      <w:pPr>
        <w:tabs>
          <w:tab w:val="left" w:pos="2160"/>
          <w:tab w:val="right" w:leader="dot" w:pos="9360"/>
        </w:tabs>
        <w:spacing w:line="360" w:lineRule="auto"/>
        <w:ind w:left="1440" w:hanging="720"/>
        <w:rPr>
          <w:rFonts w:eastAsiaTheme="minorEastAsia"/>
          <w:sz w:val="26"/>
          <w:szCs w:val="26"/>
        </w:rPr>
      </w:pPr>
      <w:r w:rsidRPr="003462DE">
        <w:rPr>
          <w:rFonts w:eastAsiaTheme="minorEastAsia"/>
          <w:sz w:val="26"/>
          <w:szCs w:val="26"/>
        </w:rPr>
        <w:tab/>
        <w:t>4.</w:t>
      </w:r>
      <w:r w:rsidRPr="003462DE">
        <w:rPr>
          <w:rFonts w:eastAsiaTheme="minorEastAsia"/>
          <w:sz w:val="26"/>
          <w:szCs w:val="26"/>
        </w:rPr>
        <w:tab/>
        <w:t>Disposition</w:t>
      </w:r>
      <w:r w:rsidRPr="003462DE">
        <w:rPr>
          <w:rFonts w:eastAsiaTheme="minorEastAsia"/>
          <w:sz w:val="26"/>
          <w:szCs w:val="26"/>
        </w:rPr>
        <w:tab/>
      </w:r>
      <w:r w:rsidR="00A20800">
        <w:rPr>
          <w:rFonts w:eastAsiaTheme="minorEastAsia"/>
          <w:sz w:val="26"/>
          <w:szCs w:val="26"/>
        </w:rPr>
        <w:t>30</w:t>
      </w:r>
    </w:p>
    <w:p w14:paraId="00DBDAD1" w14:textId="39BCD073" w:rsidR="00303054" w:rsidRPr="003462DE" w:rsidRDefault="00303054" w:rsidP="00223817">
      <w:pPr>
        <w:tabs>
          <w:tab w:val="left" w:pos="720"/>
          <w:tab w:val="left" w:pos="1440"/>
          <w:tab w:val="right" w:leader="dot" w:pos="9360"/>
        </w:tabs>
        <w:spacing w:line="360" w:lineRule="auto"/>
        <w:ind w:left="720"/>
        <w:rPr>
          <w:rFonts w:eastAsiaTheme="minorEastAsia"/>
          <w:sz w:val="26"/>
          <w:szCs w:val="26"/>
        </w:rPr>
      </w:pPr>
      <w:r w:rsidRPr="003462DE">
        <w:rPr>
          <w:rFonts w:eastAsiaTheme="minorEastAsia"/>
          <w:sz w:val="26"/>
          <w:szCs w:val="26"/>
        </w:rPr>
        <w:t>B.</w:t>
      </w:r>
      <w:r w:rsidRPr="003462DE">
        <w:rPr>
          <w:rFonts w:eastAsiaTheme="minorEastAsia"/>
          <w:sz w:val="26"/>
          <w:szCs w:val="26"/>
        </w:rPr>
        <w:tab/>
        <w:t>Revenues and Revenue Requirement</w:t>
      </w:r>
      <w:r w:rsidRPr="003462DE">
        <w:rPr>
          <w:rFonts w:eastAsiaTheme="minorEastAsia"/>
          <w:sz w:val="26"/>
          <w:szCs w:val="26"/>
        </w:rPr>
        <w:tab/>
      </w:r>
      <w:r w:rsidR="00A20800">
        <w:rPr>
          <w:rFonts w:eastAsiaTheme="minorEastAsia"/>
          <w:sz w:val="26"/>
          <w:szCs w:val="26"/>
        </w:rPr>
        <w:t>32</w:t>
      </w:r>
    </w:p>
    <w:p w14:paraId="0D66457E" w14:textId="287731AA" w:rsidR="00303054" w:rsidRPr="003462DE" w:rsidRDefault="00303054" w:rsidP="00223817">
      <w:pPr>
        <w:tabs>
          <w:tab w:val="left" w:pos="720"/>
          <w:tab w:val="left" w:pos="2160"/>
          <w:tab w:val="right" w:leader="dot" w:pos="9360"/>
        </w:tabs>
        <w:spacing w:line="360" w:lineRule="auto"/>
        <w:ind w:left="1440" w:hanging="720"/>
        <w:rPr>
          <w:rFonts w:eastAsiaTheme="minorEastAsia"/>
          <w:sz w:val="26"/>
          <w:szCs w:val="26"/>
        </w:rPr>
      </w:pPr>
      <w:r w:rsidRPr="003462DE">
        <w:rPr>
          <w:rFonts w:eastAsiaTheme="minorEastAsia"/>
          <w:sz w:val="26"/>
          <w:szCs w:val="26"/>
        </w:rPr>
        <w:lastRenderedPageBreak/>
        <w:tab/>
        <w:t>1.</w:t>
      </w:r>
      <w:r w:rsidRPr="003462DE">
        <w:rPr>
          <w:rFonts w:eastAsiaTheme="minorEastAsia"/>
          <w:sz w:val="26"/>
          <w:szCs w:val="26"/>
        </w:rPr>
        <w:tab/>
        <w:t>Position of the Parties</w:t>
      </w:r>
      <w:r w:rsidRPr="003462DE">
        <w:rPr>
          <w:rFonts w:eastAsiaTheme="minorEastAsia"/>
          <w:sz w:val="26"/>
          <w:szCs w:val="26"/>
        </w:rPr>
        <w:tab/>
      </w:r>
      <w:r w:rsidR="00A20800">
        <w:rPr>
          <w:rFonts w:eastAsiaTheme="minorEastAsia"/>
          <w:sz w:val="26"/>
          <w:szCs w:val="26"/>
        </w:rPr>
        <w:t>32</w:t>
      </w:r>
    </w:p>
    <w:p w14:paraId="2784A3C8" w14:textId="7878698A" w:rsidR="00303054" w:rsidRPr="003462DE" w:rsidRDefault="00303054" w:rsidP="00223817">
      <w:pPr>
        <w:tabs>
          <w:tab w:val="left" w:pos="720"/>
          <w:tab w:val="left" w:pos="2160"/>
          <w:tab w:val="right" w:leader="dot" w:pos="9360"/>
        </w:tabs>
        <w:spacing w:line="360" w:lineRule="auto"/>
        <w:ind w:left="1440" w:hanging="720"/>
        <w:rPr>
          <w:rFonts w:eastAsiaTheme="minorEastAsia"/>
          <w:sz w:val="26"/>
          <w:szCs w:val="26"/>
        </w:rPr>
      </w:pPr>
      <w:r w:rsidRPr="003462DE">
        <w:rPr>
          <w:rFonts w:eastAsiaTheme="minorEastAsia"/>
          <w:sz w:val="26"/>
          <w:szCs w:val="26"/>
        </w:rPr>
        <w:tab/>
        <w:t>2.</w:t>
      </w:r>
      <w:r w:rsidRPr="003462DE">
        <w:rPr>
          <w:rFonts w:eastAsiaTheme="minorEastAsia"/>
          <w:sz w:val="26"/>
          <w:szCs w:val="26"/>
        </w:rPr>
        <w:tab/>
        <w:t>Recommended Decision</w:t>
      </w:r>
      <w:r w:rsidRPr="003462DE">
        <w:rPr>
          <w:rFonts w:eastAsiaTheme="minorEastAsia"/>
          <w:sz w:val="26"/>
          <w:szCs w:val="26"/>
        </w:rPr>
        <w:tab/>
      </w:r>
      <w:r w:rsidR="00A20800">
        <w:rPr>
          <w:rFonts w:eastAsiaTheme="minorEastAsia"/>
          <w:sz w:val="26"/>
          <w:szCs w:val="26"/>
        </w:rPr>
        <w:t>33</w:t>
      </w:r>
    </w:p>
    <w:p w14:paraId="268BE6B1" w14:textId="49E5D43B" w:rsidR="00303054" w:rsidRPr="003462DE" w:rsidRDefault="00303054" w:rsidP="00223817">
      <w:pPr>
        <w:tabs>
          <w:tab w:val="left" w:pos="720"/>
          <w:tab w:val="left" w:pos="2160"/>
          <w:tab w:val="right" w:leader="dot" w:pos="9360"/>
        </w:tabs>
        <w:spacing w:line="360" w:lineRule="auto"/>
        <w:ind w:left="1440"/>
        <w:rPr>
          <w:rFonts w:eastAsiaTheme="minorEastAsia"/>
          <w:sz w:val="26"/>
          <w:szCs w:val="26"/>
        </w:rPr>
      </w:pPr>
      <w:r w:rsidRPr="003462DE">
        <w:rPr>
          <w:rFonts w:eastAsiaTheme="minorEastAsia"/>
          <w:sz w:val="26"/>
          <w:szCs w:val="26"/>
        </w:rPr>
        <w:t>3.</w:t>
      </w:r>
      <w:r w:rsidRPr="003462DE">
        <w:rPr>
          <w:rFonts w:eastAsiaTheme="minorEastAsia"/>
          <w:sz w:val="26"/>
          <w:szCs w:val="26"/>
        </w:rPr>
        <w:tab/>
        <w:t>Disposition</w:t>
      </w:r>
      <w:r w:rsidRPr="003462DE">
        <w:rPr>
          <w:rFonts w:eastAsiaTheme="minorEastAsia"/>
          <w:sz w:val="26"/>
          <w:szCs w:val="26"/>
        </w:rPr>
        <w:tab/>
      </w:r>
      <w:r w:rsidR="00A20800">
        <w:rPr>
          <w:rFonts w:eastAsiaTheme="minorEastAsia"/>
          <w:sz w:val="26"/>
          <w:szCs w:val="26"/>
        </w:rPr>
        <w:t>33</w:t>
      </w:r>
    </w:p>
    <w:p w14:paraId="601DEAE1" w14:textId="40FCF891" w:rsidR="00303054" w:rsidRPr="003462DE" w:rsidRDefault="00303054" w:rsidP="00223817">
      <w:pPr>
        <w:tabs>
          <w:tab w:val="left" w:pos="720"/>
          <w:tab w:val="left" w:pos="1440"/>
          <w:tab w:val="right" w:leader="dot" w:pos="9360"/>
        </w:tabs>
        <w:spacing w:line="360" w:lineRule="auto"/>
        <w:rPr>
          <w:rFonts w:eastAsiaTheme="minorEastAsia"/>
          <w:sz w:val="26"/>
          <w:szCs w:val="26"/>
        </w:rPr>
      </w:pPr>
      <w:r w:rsidRPr="003462DE">
        <w:rPr>
          <w:rFonts w:eastAsiaTheme="minorEastAsia"/>
          <w:sz w:val="26"/>
          <w:szCs w:val="26"/>
        </w:rPr>
        <w:tab/>
        <w:t>C.</w:t>
      </w:r>
      <w:r w:rsidRPr="003462DE">
        <w:rPr>
          <w:rFonts w:eastAsiaTheme="minorEastAsia"/>
          <w:sz w:val="26"/>
          <w:szCs w:val="26"/>
        </w:rPr>
        <w:tab/>
        <w:t>Taxes</w:t>
      </w:r>
      <w:r w:rsidRPr="003462DE">
        <w:rPr>
          <w:rFonts w:eastAsiaTheme="minorEastAsia"/>
          <w:sz w:val="26"/>
          <w:szCs w:val="26"/>
        </w:rPr>
        <w:tab/>
      </w:r>
      <w:r w:rsidR="00F419AD">
        <w:rPr>
          <w:rFonts w:eastAsiaTheme="minorEastAsia"/>
          <w:sz w:val="26"/>
          <w:szCs w:val="26"/>
        </w:rPr>
        <w:t>34</w:t>
      </w:r>
    </w:p>
    <w:p w14:paraId="76C8A25F" w14:textId="13F5B429" w:rsidR="00303054" w:rsidRPr="003462DE" w:rsidRDefault="00303054" w:rsidP="00223817">
      <w:pPr>
        <w:tabs>
          <w:tab w:val="left" w:pos="720"/>
          <w:tab w:val="right" w:leader="dot" w:pos="9360"/>
        </w:tabs>
        <w:spacing w:line="360" w:lineRule="auto"/>
        <w:ind w:left="2160" w:hanging="720"/>
        <w:rPr>
          <w:rFonts w:eastAsiaTheme="minorEastAsia"/>
          <w:sz w:val="26"/>
          <w:szCs w:val="26"/>
        </w:rPr>
      </w:pPr>
      <w:r w:rsidRPr="003462DE">
        <w:rPr>
          <w:rFonts w:eastAsiaTheme="minorEastAsia"/>
          <w:sz w:val="26"/>
          <w:szCs w:val="26"/>
        </w:rPr>
        <w:t>1.</w:t>
      </w:r>
      <w:r w:rsidRPr="003462DE">
        <w:rPr>
          <w:rFonts w:eastAsiaTheme="minorEastAsia"/>
          <w:sz w:val="26"/>
          <w:szCs w:val="26"/>
        </w:rPr>
        <w:tab/>
        <w:t>Position of the Parties</w:t>
      </w:r>
      <w:r w:rsidRPr="003462DE">
        <w:rPr>
          <w:rFonts w:eastAsiaTheme="minorEastAsia"/>
          <w:sz w:val="26"/>
          <w:szCs w:val="26"/>
        </w:rPr>
        <w:tab/>
      </w:r>
      <w:r w:rsidR="00F419AD">
        <w:rPr>
          <w:rFonts w:eastAsiaTheme="minorEastAsia"/>
          <w:sz w:val="26"/>
          <w:szCs w:val="26"/>
        </w:rPr>
        <w:t>34</w:t>
      </w:r>
    </w:p>
    <w:p w14:paraId="0A0A1CF0" w14:textId="19F76404" w:rsidR="00303054" w:rsidRPr="003462DE" w:rsidRDefault="00303054" w:rsidP="00223817">
      <w:pPr>
        <w:tabs>
          <w:tab w:val="left" w:pos="720"/>
          <w:tab w:val="right" w:leader="dot" w:pos="9360"/>
        </w:tabs>
        <w:spacing w:line="360" w:lineRule="auto"/>
        <w:ind w:left="2160" w:hanging="720"/>
        <w:rPr>
          <w:rFonts w:eastAsiaTheme="minorEastAsia"/>
          <w:sz w:val="26"/>
          <w:szCs w:val="26"/>
        </w:rPr>
      </w:pPr>
      <w:r w:rsidRPr="003462DE">
        <w:rPr>
          <w:rFonts w:eastAsiaTheme="minorEastAsia"/>
          <w:sz w:val="26"/>
          <w:szCs w:val="26"/>
        </w:rPr>
        <w:t xml:space="preserve">2. </w:t>
      </w:r>
      <w:r w:rsidRPr="003462DE">
        <w:rPr>
          <w:rFonts w:eastAsiaTheme="minorEastAsia"/>
          <w:sz w:val="26"/>
          <w:szCs w:val="26"/>
        </w:rPr>
        <w:tab/>
        <w:t>Recommended Decision</w:t>
      </w:r>
      <w:r w:rsidRPr="003462DE">
        <w:rPr>
          <w:rFonts w:eastAsiaTheme="minorEastAsia"/>
          <w:sz w:val="26"/>
          <w:szCs w:val="26"/>
        </w:rPr>
        <w:tab/>
      </w:r>
      <w:r w:rsidR="00F419AD">
        <w:rPr>
          <w:rFonts w:eastAsiaTheme="minorEastAsia"/>
          <w:sz w:val="26"/>
          <w:szCs w:val="26"/>
        </w:rPr>
        <w:t>35</w:t>
      </w:r>
    </w:p>
    <w:p w14:paraId="4104D192" w14:textId="0D3ED20C" w:rsidR="00303054" w:rsidRPr="003462DE" w:rsidRDefault="00303054" w:rsidP="00223817">
      <w:pPr>
        <w:tabs>
          <w:tab w:val="left" w:pos="720"/>
          <w:tab w:val="right" w:leader="dot" w:pos="9360"/>
        </w:tabs>
        <w:spacing w:line="360" w:lineRule="auto"/>
        <w:ind w:left="2160" w:hanging="720"/>
        <w:rPr>
          <w:rFonts w:eastAsiaTheme="minorEastAsia"/>
          <w:sz w:val="26"/>
          <w:szCs w:val="26"/>
        </w:rPr>
      </w:pPr>
      <w:r w:rsidRPr="003462DE">
        <w:rPr>
          <w:rFonts w:eastAsiaTheme="minorEastAsia"/>
          <w:sz w:val="26"/>
          <w:szCs w:val="26"/>
        </w:rPr>
        <w:t>3.</w:t>
      </w:r>
      <w:r w:rsidRPr="003462DE">
        <w:rPr>
          <w:rFonts w:eastAsiaTheme="minorEastAsia"/>
          <w:sz w:val="26"/>
          <w:szCs w:val="26"/>
        </w:rPr>
        <w:tab/>
        <w:t>Exceptions and Replies</w:t>
      </w:r>
      <w:r w:rsidRPr="003462DE">
        <w:rPr>
          <w:rFonts w:eastAsiaTheme="minorEastAsia"/>
          <w:sz w:val="26"/>
          <w:szCs w:val="26"/>
        </w:rPr>
        <w:tab/>
      </w:r>
      <w:r w:rsidR="00F419AD">
        <w:rPr>
          <w:rFonts w:eastAsiaTheme="minorEastAsia"/>
          <w:sz w:val="26"/>
          <w:szCs w:val="26"/>
        </w:rPr>
        <w:t>36</w:t>
      </w:r>
    </w:p>
    <w:p w14:paraId="70E89239" w14:textId="0F28C011" w:rsidR="00303054" w:rsidRPr="003462DE" w:rsidRDefault="00303054" w:rsidP="00223817">
      <w:pPr>
        <w:tabs>
          <w:tab w:val="left" w:pos="720"/>
          <w:tab w:val="right" w:leader="dot" w:pos="9360"/>
        </w:tabs>
        <w:spacing w:line="360" w:lineRule="auto"/>
        <w:ind w:left="2160" w:hanging="720"/>
        <w:rPr>
          <w:rFonts w:eastAsiaTheme="minorEastAsia"/>
          <w:sz w:val="26"/>
          <w:szCs w:val="26"/>
        </w:rPr>
      </w:pPr>
      <w:r w:rsidRPr="003462DE">
        <w:rPr>
          <w:rFonts w:eastAsiaTheme="minorEastAsia"/>
          <w:sz w:val="26"/>
          <w:szCs w:val="26"/>
        </w:rPr>
        <w:t>4.</w:t>
      </w:r>
      <w:r w:rsidRPr="003462DE">
        <w:rPr>
          <w:rFonts w:eastAsiaTheme="minorEastAsia"/>
          <w:sz w:val="26"/>
          <w:szCs w:val="26"/>
        </w:rPr>
        <w:tab/>
        <w:t>Disposition</w:t>
      </w:r>
      <w:r w:rsidRPr="003462DE">
        <w:rPr>
          <w:rFonts w:eastAsiaTheme="minorEastAsia"/>
          <w:sz w:val="26"/>
          <w:szCs w:val="26"/>
        </w:rPr>
        <w:tab/>
      </w:r>
      <w:r w:rsidR="00F419AD">
        <w:rPr>
          <w:rFonts w:eastAsiaTheme="minorEastAsia"/>
          <w:sz w:val="26"/>
          <w:szCs w:val="26"/>
        </w:rPr>
        <w:t>36</w:t>
      </w:r>
    </w:p>
    <w:p w14:paraId="253E79CA" w14:textId="737EAF3C" w:rsidR="00303054" w:rsidRPr="003462DE" w:rsidRDefault="00303054" w:rsidP="00223817">
      <w:pPr>
        <w:tabs>
          <w:tab w:val="left" w:pos="720"/>
          <w:tab w:val="left" w:pos="1440"/>
          <w:tab w:val="right" w:leader="dot" w:pos="9360"/>
        </w:tabs>
        <w:spacing w:line="360" w:lineRule="auto"/>
        <w:ind w:left="720"/>
        <w:rPr>
          <w:rFonts w:eastAsiaTheme="minorEastAsia"/>
          <w:sz w:val="26"/>
          <w:szCs w:val="26"/>
        </w:rPr>
      </w:pPr>
      <w:r w:rsidRPr="003462DE">
        <w:rPr>
          <w:rFonts w:eastAsiaTheme="minorEastAsia"/>
          <w:sz w:val="26"/>
          <w:szCs w:val="26"/>
        </w:rPr>
        <w:t>D.</w:t>
      </w:r>
      <w:r w:rsidRPr="003462DE">
        <w:rPr>
          <w:rFonts w:eastAsiaTheme="minorEastAsia"/>
          <w:sz w:val="26"/>
          <w:szCs w:val="26"/>
        </w:rPr>
        <w:tab/>
        <w:t>Rate of Return</w:t>
      </w:r>
      <w:r w:rsidRPr="003462DE">
        <w:rPr>
          <w:rFonts w:eastAsiaTheme="minorEastAsia"/>
          <w:sz w:val="26"/>
          <w:szCs w:val="26"/>
        </w:rPr>
        <w:tab/>
      </w:r>
      <w:r w:rsidR="00F419AD">
        <w:rPr>
          <w:rFonts w:eastAsiaTheme="minorEastAsia"/>
          <w:sz w:val="26"/>
          <w:szCs w:val="26"/>
        </w:rPr>
        <w:t>39</w:t>
      </w:r>
    </w:p>
    <w:p w14:paraId="68D2EF35" w14:textId="4AFC52F2" w:rsidR="00303054" w:rsidRPr="003462DE" w:rsidRDefault="00303054" w:rsidP="00223817">
      <w:pPr>
        <w:tabs>
          <w:tab w:val="left" w:pos="720"/>
          <w:tab w:val="right" w:leader="dot" w:pos="9360"/>
        </w:tabs>
        <w:spacing w:line="360" w:lineRule="auto"/>
        <w:ind w:left="2160" w:hanging="720"/>
        <w:rPr>
          <w:rFonts w:eastAsiaTheme="minorEastAsia"/>
          <w:sz w:val="26"/>
          <w:szCs w:val="26"/>
        </w:rPr>
      </w:pPr>
      <w:r w:rsidRPr="003462DE">
        <w:rPr>
          <w:rFonts w:eastAsiaTheme="minorEastAsia"/>
          <w:sz w:val="26"/>
          <w:szCs w:val="26"/>
        </w:rPr>
        <w:t>1.</w:t>
      </w:r>
      <w:r w:rsidRPr="003462DE">
        <w:rPr>
          <w:rFonts w:eastAsiaTheme="minorEastAsia"/>
          <w:sz w:val="26"/>
          <w:szCs w:val="26"/>
        </w:rPr>
        <w:tab/>
        <w:t>Position of the Parties</w:t>
      </w:r>
      <w:r w:rsidRPr="003462DE">
        <w:rPr>
          <w:rFonts w:eastAsiaTheme="minorEastAsia"/>
          <w:sz w:val="26"/>
          <w:szCs w:val="26"/>
        </w:rPr>
        <w:tab/>
      </w:r>
      <w:r w:rsidR="00F419AD">
        <w:rPr>
          <w:rFonts w:eastAsiaTheme="minorEastAsia"/>
          <w:sz w:val="26"/>
          <w:szCs w:val="26"/>
        </w:rPr>
        <w:t>39</w:t>
      </w:r>
    </w:p>
    <w:p w14:paraId="7F2FA043" w14:textId="1C37F153" w:rsidR="00303054" w:rsidRPr="003462DE" w:rsidRDefault="00303054" w:rsidP="00223817">
      <w:pPr>
        <w:tabs>
          <w:tab w:val="left" w:pos="720"/>
          <w:tab w:val="right" w:leader="dot" w:pos="9360"/>
        </w:tabs>
        <w:spacing w:line="360" w:lineRule="auto"/>
        <w:ind w:left="2160" w:hanging="720"/>
        <w:rPr>
          <w:rFonts w:eastAsiaTheme="minorEastAsia"/>
          <w:sz w:val="26"/>
          <w:szCs w:val="26"/>
        </w:rPr>
      </w:pPr>
      <w:r w:rsidRPr="003462DE">
        <w:rPr>
          <w:rFonts w:eastAsiaTheme="minorEastAsia"/>
          <w:sz w:val="26"/>
          <w:szCs w:val="26"/>
        </w:rPr>
        <w:t>2.</w:t>
      </w:r>
      <w:r w:rsidRPr="003462DE">
        <w:rPr>
          <w:rFonts w:eastAsiaTheme="minorEastAsia"/>
          <w:sz w:val="26"/>
          <w:szCs w:val="26"/>
        </w:rPr>
        <w:tab/>
        <w:t>Recommended Decision</w:t>
      </w:r>
      <w:r w:rsidRPr="003462DE">
        <w:rPr>
          <w:rFonts w:eastAsiaTheme="minorEastAsia"/>
          <w:sz w:val="26"/>
          <w:szCs w:val="26"/>
        </w:rPr>
        <w:tab/>
      </w:r>
      <w:r w:rsidR="00F419AD">
        <w:rPr>
          <w:rFonts w:eastAsiaTheme="minorEastAsia"/>
          <w:sz w:val="26"/>
          <w:szCs w:val="26"/>
        </w:rPr>
        <w:t>41</w:t>
      </w:r>
    </w:p>
    <w:p w14:paraId="61242CA3" w14:textId="72C4DCFC" w:rsidR="00303054" w:rsidRPr="003462DE" w:rsidRDefault="00303054" w:rsidP="00223817">
      <w:pPr>
        <w:tabs>
          <w:tab w:val="left" w:pos="720"/>
          <w:tab w:val="right" w:leader="dot" w:pos="9360"/>
        </w:tabs>
        <w:spacing w:line="360" w:lineRule="auto"/>
        <w:ind w:left="2160" w:hanging="720"/>
        <w:rPr>
          <w:rFonts w:eastAsiaTheme="minorEastAsia"/>
          <w:sz w:val="26"/>
          <w:szCs w:val="26"/>
        </w:rPr>
      </w:pPr>
      <w:r w:rsidRPr="003462DE">
        <w:rPr>
          <w:rFonts w:eastAsiaTheme="minorEastAsia"/>
          <w:sz w:val="26"/>
          <w:szCs w:val="26"/>
        </w:rPr>
        <w:t>3.</w:t>
      </w:r>
      <w:r w:rsidRPr="003462DE">
        <w:rPr>
          <w:rFonts w:eastAsiaTheme="minorEastAsia"/>
          <w:sz w:val="26"/>
          <w:szCs w:val="26"/>
        </w:rPr>
        <w:tab/>
        <w:t>Exceptions and Replies</w:t>
      </w:r>
      <w:r w:rsidRPr="003462DE">
        <w:rPr>
          <w:rFonts w:eastAsiaTheme="minorEastAsia"/>
          <w:sz w:val="26"/>
          <w:szCs w:val="26"/>
        </w:rPr>
        <w:tab/>
      </w:r>
      <w:r w:rsidR="00F419AD">
        <w:rPr>
          <w:rFonts w:eastAsiaTheme="minorEastAsia"/>
          <w:sz w:val="26"/>
          <w:szCs w:val="26"/>
        </w:rPr>
        <w:t>44</w:t>
      </w:r>
    </w:p>
    <w:p w14:paraId="43D1649F" w14:textId="1AC2FEEF" w:rsidR="00303054" w:rsidRPr="003462DE" w:rsidRDefault="00303054" w:rsidP="00223817">
      <w:pPr>
        <w:tabs>
          <w:tab w:val="left" w:pos="720"/>
          <w:tab w:val="right" w:leader="dot" w:pos="9360"/>
        </w:tabs>
        <w:spacing w:line="360" w:lineRule="auto"/>
        <w:ind w:left="2160" w:hanging="720"/>
        <w:rPr>
          <w:rFonts w:eastAsiaTheme="minorEastAsia"/>
          <w:sz w:val="26"/>
          <w:szCs w:val="26"/>
        </w:rPr>
      </w:pPr>
      <w:r w:rsidRPr="003462DE">
        <w:rPr>
          <w:rFonts w:eastAsiaTheme="minorEastAsia"/>
          <w:sz w:val="26"/>
          <w:szCs w:val="26"/>
        </w:rPr>
        <w:t>4.</w:t>
      </w:r>
      <w:r w:rsidRPr="003462DE">
        <w:rPr>
          <w:rFonts w:eastAsiaTheme="minorEastAsia"/>
          <w:sz w:val="26"/>
          <w:szCs w:val="26"/>
        </w:rPr>
        <w:tab/>
        <w:t>Disposition</w:t>
      </w:r>
      <w:r w:rsidRPr="003462DE">
        <w:rPr>
          <w:rFonts w:eastAsiaTheme="minorEastAsia"/>
          <w:sz w:val="26"/>
          <w:szCs w:val="26"/>
        </w:rPr>
        <w:tab/>
      </w:r>
      <w:r w:rsidR="00F419AD">
        <w:rPr>
          <w:rFonts w:eastAsiaTheme="minorEastAsia"/>
          <w:sz w:val="26"/>
          <w:szCs w:val="26"/>
        </w:rPr>
        <w:t>45</w:t>
      </w:r>
    </w:p>
    <w:p w14:paraId="530E07D2" w14:textId="2AC19435" w:rsidR="00303054" w:rsidRPr="003462DE" w:rsidRDefault="00303054" w:rsidP="00223817">
      <w:pPr>
        <w:tabs>
          <w:tab w:val="left" w:pos="720"/>
          <w:tab w:val="left" w:pos="1440"/>
          <w:tab w:val="right" w:leader="dot" w:pos="9360"/>
        </w:tabs>
        <w:spacing w:line="360" w:lineRule="auto"/>
        <w:ind w:left="720"/>
        <w:rPr>
          <w:rFonts w:eastAsiaTheme="minorEastAsia"/>
          <w:sz w:val="26"/>
          <w:szCs w:val="26"/>
        </w:rPr>
      </w:pPr>
      <w:r w:rsidRPr="003462DE">
        <w:rPr>
          <w:rFonts w:eastAsiaTheme="minorEastAsia"/>
          <w:sz w:val="26"/>
          <w:szCs w:val="26"/>
        </w:rPr>
        <w:t>E.</w:t>
      </w:r>
      <w:r w:rsidRPr="003462DE">
        <w:rPr>
          <w:rFonts w:eastAsiaTheme="minorEastAsia"/>
          <w:sz w:val="26"/>
          <w:szCs w:val="26"/>
        </w:rPr>
        <w:tab/>
        <w:t>Quality of Services</w:t>
      </w:r>
      <w:r w:rsidRPr="003462DE">
        <w:rPr>
          <w:rFonts w:eastAsiaTheme="minorEastAsia"/>
          <w:sz w:val="26"/>
          <w:szCs w:val="26"/>
        </w:rPr>
        <w:tab/>
      </w:r>
      <w:r w:rsidR="00F419AD">
        <w:rPr>
          <w:rFonts w:eastAsiaTheme="minorEastAsia"/>
          <w:sz w:val="26"/>
          <w:szCs w:val="26"/>
        </w:rPr>
        <w:t>48</w:t>
      </w:r>
    </w:p>
    <w:p w14:paraId="5C4ED7E2" w14:textId="12103D89" w:rsidR="00303054" w:rsidRPr="003462DE" w:rsidRDefault="00303054" w:rsidP="00223817">
      <w:pPr>
        <w:tabs>
          <w:tab w:val="left" w:pos="720"/>
          <w:tab w:val="left" w:pos="2160"/>
          <w:tab w:val="right" w:leader="dot" w:pos="9360"/>
        </w:tabs>
        <w:spacing w:line="360" w:lineRule="auto"/>
        <w:ind w:left="1440"/>
        <w:rPr>
          <w:rFonts w:eastAsiaTheme="minorEastAsia"/>
          <w:sz w:val="26"/>
          <w:szCs w:val="26"/>
        </w:rPr>
      </w:pPr>
      <w:r w:rsidRPr="003462DE">
        <w:rPr>
          <w:rFonts w:eastAsiaTheme="minorEastAsia"/>
          <w:sz w:val="26"/>
          <w:szCs w:val="26"/>
        </w:rPr>
        <w:t>1.</w:t>
      </w:r>
      <w:r w:rsidRPr="003462DE">
        <w:rPr>
          <w:rFonts w:eastAsiaTheme="minorEastAsia"/>
          <w:sz w:val="26"/>
          <w:szCs w:val="26"/>
        </w:rPr>
        <w:tab/>
        <w:t>Position of the Parties</w:t>
      </w:r>
      <w:r w:rsidRPr="003462DE">
        <w:rPr>
          <w:rFonts w:eastAsiaTheme="minorEastAsia"/>
          <w:sz w:val="26"/>
          <w:szCs w:val="26"/>
        </w:rPr>
        <w:tab/>
      </w:r>
      <w:r w:rsidR="00F419AD">
        <w:rPr>
          <w:rFonts w:eastAsiaTheme="minorEastAsia"/>
          <w:sz w:val="26"/>
          <w:szCs w:val="26"/>
        </w:rPr>
        <w:t>48</w:t>
      </w:r>
    </w:p>
    <w:p w14:paraId="57BCD5B6" w14:textId="152945C0" w:rsidR="00303054" w:rsidRPr="003462DE" w:rsidRDefault="00303054" w:rsidP="00223817">
      <w:pPr>
        <w:tabs>
          <w:tab w:val="left" w:pos="720"/>
          <w:tab w:val="left" w:pos="2160"/>
          <w:tab w:val="right" w:leader="dot" w:pos="9360"/>
        </w:tabs>
        <w:spacing w:line="360" w:lineRule="auto"/>
        <w:ind w:left="1440"/>
        <w:rPr>
          <w:rFonts w:eastAsiaTheme="minorEastAsia"/>
          <w:sz w:val="26"/>
          <w:szCs w:val="26"/>
        </w:rPr>
      </w:pPr>
      <w:r w:rsidRPr="003462DE">
        <w:rPr>
          <w:rFonts w:eastAsiaTheme="minorEastAsia"/>
          <w:sz w:val="26"/>
          <w:szCs w:val="26"/>
        </w:rPr>
        <w:t>2.</w:t>
      </w:r>
      <w:r w:rsidRPr="003462DE">
        <w:rPr>
          <w:rFonts w:eastAsiaTheme="minorEastAsia"/>
          <w:sz w:val="26"/>
          <w:szCs w:val="26"/>
        </w:rPr>
        <w:tab/>
        <w:t>Recommended Decision</w:t>
      </w:r>
      <w:r w:rsidRPr="003462DE">
        <w:rPr>
          <w:rFonts w:eastAsiaTheme="minorEastAsia"/>
          <w:sz w:val="26"/>
          <w:szCs w:val="26"/>
        </w:rPr>
        <w:tab/>
      </w:r>
      <w:r w:rsidR="00F419AD">
        <w:rPr>
          <w:rFonts w:eastAsiaTheme="minorEastAsia"/>
          <w:sz w:val="26"/>
          <w:szCs w:val="26"/>
        </w:rPr>
        <w:t>54</w:t>
      </w:r>
    </w:p>
    <w:p w14:paraId="025F9471" w14:textId="31972331" w:rsidR="00303054" w:rsidRPr="003462DE" w:rsidRDefault="00303054" w:rsidP="00223817">
      <w:pPr>
        <w:tabs>
          <w:tab w:val="left" w:pos="720"/>
          <w:tab w:val="left" w:pos="2160"/>
          <w:tab w:val="right" w:leader="dot" w:pos="9360"/>
        </w:tabs>
        <w:spacing w:line="360" w:lineRule="auto"/>
        <w:ind w:left="1440"/>
        <w:rPr>
          <w:rFonts w:eastAsiaTheme="minorEastAsia"/>
          <w:sz w:val="26"/>
          <w:szCs w:val="26"/>
        </w:rPr>
      </w:pPr>
      <w:r w:rsidRPr="003462DE">
        <w:rPr>
          <w:rFonts w:eastAsiaTheme="minorEastAsia"/>
          <w:sz w:val="26"/>
          <w:szCs w:val="26"/>
        </w:rPr>
        <w:t>3.</w:t>
      </w:r>
      <w:r w:rsidRPr="003462DE">
        <w:rPr>
          <w:rFonts w:eastAsiaTheme="minorEastAsia"/>
          <w:sz w:val="26"/>
          <w:szCs w:val="26"/>
        </w:rPr>
        <w:tab/>
        <w:t>Exceptions and Replies</w:t>
      </w:r>
      <w:r w:rsidRPr="003462DE">
        <w:rPr>
          <w:rFonts w:eastAsiaTheme="minorEastAsia"/>
          <w:sz w:val="26"/>
          <w:szCs w:val="26"/>
        </w:rPr>
        <w:tab/>
      </w:r>
      <w:r w:rsidR="00F419AD">
        <w:rPr>
          <w:rFonts w:eastAsiaTheme="minorEastAsia"/>
          <w:sz w:val="26"/>
          <w:szCs w:val="26"/>
        </w:rPr>
        <w:t>55</w:t>
      </w:r>
    </w:p>
    <w:p w14:paraId="27CE670E" w14:textId="108DC0E9" w:rsidR="00303054" w:rsidRPr="003462DE" w:rsidRDefault="00303054" w:rsidP="00223817">
      <w:pPr>
        <w:tabs>
          <w:tab w:val="left" w:pos="720"/>
          <w:tab w:val="left" w:pos="2880"/>
          <w:tab w:val="right" w:leader="dot" w:pos="9360"/>
        </w:tabs>
        <w:spacing w:line="360" w:lineRule="auto"/>
        <w:ind w:left="2160"/>
        <w:rPr>
          <w:rFonts w:eastAsiaTheme="minorEastAsia"/>
          <w:sz w:val="26"/>
          <w:szCs w:val="26"/>
        </w:rPr>
      </w:pPr>
      <w:r w:rsidRPr="003462DE">
        <w:rPr>
          <w:rFonts w:eastAsiaTheme="minorEastAsia"/>
          <w:sz w:val="26"/>
          <w:szCs w:val="26"/>
        </w:rPr>
        <w:t>a.</w:t>
      </w:r>
      <w:r w:rsidRPr="003462DE">
        <w:rPr>
          <w:rFonts w:eastAsiaTheme="minorEastAsia"/>
          <w:sz w:val="26"/>
          <w:szCs w:val="26"/>
        </w:rPr>
        <w:tab/>
        <w:t>Twin Lakes Exception No. 1 and Replies</w:t>
      </w:r>
      <w:r w:rsidRPr="003462DE">
        <w:rPr>
          <w:rFonts w:eastAsiaTheme="minorEastAsia"/>
          <w:sz w:val="26"/>
          <w:szCs w:val="26"/>
        </w:rPr>
        <w:tab/>
      </w:r>
      <w:r w:rsidR="00F419AD">
        <w:rPr>
          <w:rFonts w:eastAsiaTheme="minorEastAsia"/>
          <w:sz w:val="26"/>
          <w:szCs w:val="26"/>
        </w:rPr>
        <w:t>55</w:t>
      </w:r>
    </w:p>
    <w:p w14:paraId="345439D0" w14:textId="74AF47FB" w:rsidR="00303054" w:rsidRPr="003462DE" w:rsidRDefault="00303054" w:rsidP="00223817">
      <w:pPr>
        <w:tabs>
          <w:tab w:val="left" w:pos="720"/>
          <w:tab w:val="left" w:pos="2880"/>
          <w:tab w:val="right" w:leader="dot" w:pos="9360"/>
        </w:tabs>
        <w:spacing w:line="360" w:lineRule="auto"/>
        <w:ind w:left="2160"/>
        <w:rPr>
          <w:rFonts w:eastAsiaTheme="minorEastAsia"/>
          <w:sz w:val="26"/>
          <w:szCs w:val="26"/>
        </w:rPr>
      </w:pPr>
      <w:r w:rsidRPr="003462DE">
        <w:rPr>
          <w:rFonts w:eastAsiaTheme="minorEastAsia"/>
          <w:sz w:val="26"/>
          <w:szCs w:val="26"/>
        </w:rPr>
        <w:t>b.</w:t>
      </w:r>
      <w:r w:rsidRPr="003462DE">
        <w:rPr>
          <w:rFonts w:eastAsiaTheme="minorEastAsia"/>
          <w:sz w:val="26"/>
          <w:szCs w:val="26"/>
        </w:rPr>
        <w:tab/>
        <w:t>Twin Lakes Exception No. 3 and Replies</w:t>
      </w:r>
      <w:r w:rsidRPr="003462DE">
        <w:rPr>
          <w:rFonts w:eastAsiaTheme="minorEastAsia"/>
          <w:sz w:val="26"/>
          <w:szCs w:val="26"/>
        </w:rPr>
        <w:tab/>
      </w:r>
      <w:r w:rsidR="00F419AD">
        <w:rPr>
          <w:rFonts w:eastAsiaTheme="minorEastAsia"/>
          <w:sz w:val="26"/>
          <w:szCs w:val="26"/>
        </w:rPr>
        <w:t>60</w:t>
      </w:r>
    </w:p>
    <w:p w14:paraId="1E3AB41C" w14:textId="1B34C281" w:rsidR="00303054" w:rsidRPr="003462DE" w:rsidRDefault="00303054" w:rsidP="00223817">
      <w:pPr>
        <w:tabs>
          <w:tab w:val="left" w:pos="720"/>
          <w:tab w:val="left" w:pos="2880"/>
          <w:tab w:val="right" w:leader="dot" w:pos="9360"/>
        </w:tabs>
        <w:spacing w:line="360" w:lineRule="auto"/>
        <w:ind w:left="2160"/>
        <w:rPr>
          <w:rFonts w:eastAsiaTheme="minorEastAsia"/>
          <w:sz w:val="26"/>
          <w:szCs w:val="26"/>
        </w:rPr>
      </w:pPr>
      <w:r w:rsidRPr="003462DE">
        <w:rPr>
          <w:rFonts w:eastAsiaTheme="minorEastAsia"/>
          <w:sz w:val="26"/>
          <w:szCs w:val="26"/>
        </w:rPr>
        <w:t>c.</w:t>
      </w:r>
      <w:r w:rsidRPr="003462DE">
        <w:rPr>
          <w:rFonts w:eastAsiaTheme="minorEastAsia"/>
          <w:sz w:val="26"/>
          <w:szCs w:val="26"/>
        </w:rPr>
        <w:tab/>
        <w:t>OCA Exception No. 4</w:t>
      </w:r>
      <w:r w:rsidRPr="003462DE">
        <w:rPr>
          <w:rFonts w:eastAsiaTheme="minorEastAsia"/>
          <w:sz w:val="26"/>
          <w:szCs w:val="26"/>
        </w:rPr>
        <w:tab/>
      </w:r>
      <w:r w:rsidR="00F419AD">
        <w:rPr>
          <w:rFonts w:eastAsiaTheme="minorEastAsia"/>
          <w:sz w:val="26"/>
          <w:szCs w:val="26"/>
        </w:rPr>
        <w:t>62</w:t>
      </w:r>
    </w:p>
    <w:p w14:paraId="4D1C5DF4" w14:textId="04810768" w:rsidR="00303054" w:rsidRPr="003462DE" w:rsidRDefault="00303054" w:rsidP="00223817">
      <w:pPr>
        <w:tabs>
          <w:tab w:val="left" w:pos="720"/>
          <w:tab w:val="left" w:pos="2160"/>
          <w:tab w:val="right" w:leader="dot" w:pos="9360"/>
        </w:tabs>
        <w:spacing w:line="360" w:lineRule="auto"/>
        <w:ind w:left="1440"/>
        <w:rPr>
          <w:rFonts w:eastAsiaTheme="minorEastAsia"/>
          <w:sz w:val="26"/>
          <w:szCs w:val="26"/>
        </w:rPr>
      </w:pPr>
      <w:r w:rsidRPr="003462DE">
        <w:rPr>
          <w:rFonts w:eastAsiaTheme="minorEastAsia"/>
          <w:sz w:val="26"/>
          <w:szCs w:val="26"/>
        </w:rPr>
        <w:t>4.</w:t>
      </w:r>
      <w:r w:rsidRPr="003462DE">
        <w:rPr>
          <w:rFonts w:eastAsiaTheme="minorEastAsia"/>
          <w:sz w:val="26"/>
          <w:szCs w:val="26"/>
        </w:rPr>
        <w:tab/>
        <w:t>Disposition</w:t>
      </w:r>
      <w:r w:rsidRPr="003462DE">
        <w:rPr>
          <w:rFonts w:eastAsiaTheme="minorEastAsia"/>
          <w:sz w:val="26"/>
          <w:szCs w:val="26"/>
        </w:rPr>
        <w:tab/>
      </w:r>
      <w:r w:rsidR="00F419AD">
        <w:rPr>
          <w:rFonts w:eastAsiaTheme="minorEastAsia"/>
          <w:sz w:val="26"/>
          <w:szCs w:val="26"/>
        </w:rPr>
        <w:t>63</w:t>
      </w:r>
    </w:p>
    <w:p w14:paraId="544D33EE" w14:textId="64EAE266" w:rsidR="00303054" w:rsidRPr="003462DE" w:rsidRDefault="00303054" w:rsidP="00223817">
      <w:pPr>
        <w:tabs>
          <w:tab w:val="left" w:pos="720"/>
          <w:tab w:val="left" w:pos="1440"/>
          <w:tab w:val="right" w:leader="dot" w:pos="9360"/>
        </w:tabs>
        <w:spacing w:line="360" w:lineRule="auto"/>
        <w:ind w:left="720"/>
        <w:rPr>
          <w:rFonts w:eastAsiaTheme="minorEastAsia"/>
          <w:sz w:val="26"/>
          <w:szCs w:val="26"/>
        </w:rPr>
      </w:pPr>
      <w:r w:rsidRPr="003462DE">
        <w:rPr>
          <w:rFonts w:eastAsiaTheme="minorEastAsia"/>
          <w:sz w:val="26"/>
          <w:szCs w:val="26"/>
        </w:rPr>
        <w:t>F.</w:t>
      </w:r>
      <w:r w:rsidRPr="003462DE">
        <w:rPr>
          <w:rFonts w:eastAsiaTheme="minorEastAsia"/>
          <w:sz w:val="26"/>
          <w:szCs w:val="26"/>
        </w:rPr>
        <w:tab/>
        <w:t>Affordability of Rates</w:t>
      </w:r>
      <w:r w:rsidRPr="003462DE">
        <w:rPr>
          <w:rFonts w:eastAsiaTheme="minorEastAsia"/>
          <w:sz w:val="26"/>
          <w:szCs w:val="26"/>
        </w:rPr>
        <w:tab/>
      </w:r>
      <w:r w:rsidR="00F419AD">
        <w:rPr>
          <w:rFonts w:eastAsiaTheme="minorEastAsia"/>
          <w:sz w:val="26"/>
          <w:szCs w:val="26"/>
        </w:rPr>
        <w:t>66</w:t>
      </w:r>
    </w:p>
    <w:p w14:paraId="30CE0695" w14:textId="666B467B" w:rsidR="00303054" w:rsidRPr="003462DE" w:rsidRDefault="00303054" w:rsidP="00223817">
      <w:pPr>
        <w:tabs>
          <w:tab w:val="left" w:pos="720"/>
          <w:tab w:val="left" w:pos="2160"/>
          <w:tab w:val="right" w:leader="dot" w:pos="9360"/>
        </w:tabs>
        <w:spacing w:line="360" w:lineRule="auto"/>
        <w:ind w:left="1440"/>
        <w:rPr>
          <w:rFonts w:eastAsiaTheme="minorEastAsia"/>
          <w:sz w:val="26"/>
          <w:szCs w:val="26"/>
        </w:rPr>
      </w:pPr>
      <w:r w:rsidRPr="003462DE">
        <w:rPr>
          <w:rFonts w:eastAsiaTheme="minorEastAsia"/>
          <w:sz w:val="26"/>
          <w:szCs w:val="26"/>
        </w:rPr>
        <w:t>1.</w:t>
      </w:r>
      <w:r w:rsidRPr="003462DE">
        <w:rPr>
          <w:rFonts w:eastAsiaTheme="minorEastAsia"/>
          <w:sz w:val="26"/>
          <w:szCs w:val="26"/>
        </w:rPr>
        <w:tab/>
        <w:t>Position of the Parties</w:t>
      </w:r>
      <w:r w:rsidRPr="003462DE">
        <w:rPr>
          <w:rFonts w:eastAsiaTheme="minorEastAsia"/>
          <w:sz w:val="26"/>
          <w:szCs w:val="26"/>
        </w:rPr>
        <w:tab/>
      </w:r>
      <w:r w:rsidR="00F419AD">
        <w:rPr>
          <w:rFonts w:eastAsiaTheme="minorEastAsia"/>
          <w:sz w:val="26"/>
          <w:szCs w:val="26"/>
        </w:rPr>
        <w:t>66</w:t>
      </w:r>
    </w:p>
    <w:p w14:paraId="6ADF42CA" w14:textId="719A3E66" w:rsidR="00303054" w:rsidRPr="003462DE" w:rsidRDefault="00303054" w:rsidP="00223817">
      <w:pPr>
        <w:tabs>
          <w:tab w:val="left" w:pos="720"/>
          <w:tab w:val="left" w:pos="2160"/>
          <w:tab w:val="right" w:leader="dot" w:pos="9360"/>
        </w:tabs>
        <w:spacing w:line="360" w:lineRule="auto"/>
        <w:ind w:left="1440"/>
        <w:rPr>
          <w:rFonts w:eastAsiaTheme="minorEastAsia"/>
          <w:sz w:val="26"/>
          <w:szCs w:val="26"/>
        </w:rPr>
      </w:pPr>
      <w:r w:rsidRPr="003462DE">
        <w:rPr>
          <w:rFonts w:eastAsiaTheme="minorEastAsia"/>
          <w:sz w:val="26"/>
          <w:szCs w:val="26"/>
        </w:rPr>
        <w:t xml:space="preserve">2. </w:t>
      </w:r>
      <w:r w:rsidRPr="003462DE">
        <w:rPr>
          <w:rFonts w:eastAsiaTheme="minorEastAsia"/>
          <w:sz w:val="26"/>
          <w:szCs w:val="26"/>
        </w:rPr>
        <w:tab/>
        <w:t>Recommended Decision</w:t>
      </w:r>
      <w:r w:rsidRPr="003462DE">
        <w:rPr>
          <w:rFonts w:eastAsiaTheme="minorEastAsia"/>
          <w:sz w:val="26"/>
          <w:szCs w:val="26"/>
        </w:rPr>
        <w:tab/>
      </w:r>
      <w:r w:rsidR="00F419AD">
        <w:rPr>
          <w:rFonts w:eastAsiaTheme="minorEastAsia"/>
          <w:sz w:val="26"/>
          <w:szCs w:val="26"/>
        </w:rPr>
        <w:t>73</w:t>
      </w:r>
    </w:p>
    <w:p w14:paraId="12123639" w14:textId="7B58E59E" w:rsidR="00303054" w:rsidRPr="003462DE" w:rsidRDefault="00303054" w:rsidP="00223817">
      <w:pPr>
        <w:tabs>
          <w:tab w:val="left" w:pos="720"/>
          <w:tab w:val="left" w:pos="2160"/>
          <w:tab w:val="right" w:leader="dot" w:pos="9360"/>
        </w:tabs>
        <w:spacing w:line="360" w:lineRule="auto"/>
        <w:ind w:left="1440"/>
        <w:rPr>
          <w:rFonts w:eastAsiaTheme="minorEastAsia"/>
          <w:sz w:val="26"/>
          <w:szCs w:val="26"/>
        </w:rPr>
      </w:pPr>
      <w:r w:rsidRPr="003462DE">
        <w:rPr>
          <w:rFonts w:eastAsiaTheme="minorEastAsia"/>
          <w:sz w:val="26"/>
          <w:szCs w:val="26"/>
        </w:rPr>
        <w:t>3.</w:t>
      </w:r>
      <w:r w:rsidRPr="003462DE">
        <w:rPr>
          <w:rFonts w:eastAsiaTheme="minorEastAsia"/>
          <w:sz w:val="26"/>
          <w:szCs w:val="26"/>
        </w:rPr>
        <w:tab/>
        <w:t>Exceptions and Replies</w:t>
      </w:r>
      <w:r w:rsidRPr="003462DE">
        <w:rPr>
          <w:rFonts w:eastAsiaTheme="minorEastAsia"/>
          <w:sz w:val="26"/>
          <w:szCs w:val="26"/>
        </w:rPr>
        <w:tab/>
      </w:r>
      <w:r w:rsidR="00F419AD">
        <w:rPr>
          <w:rFonts w:eastAsiaTheme="minorEastAsia"/>
          <w:sz w:val="26"/>
          <w:szCs w:val="26"/>
        </w:rPr>
        <w:t>74</w:t>
      </w:r>
    </w:p>
    <w:p w14:paraId="5FB6DF7A" w14:textId="668A6883" w:rsidR="00303054" w:rsidRPr="003462DE" w:rsidRDefault="00303054" w:rsidP="00223817">
      <w:pPr>
        <w:tabs>
          <w:tab w:val="left" w:pos="720"/>
          <w:tab w:val="left" w:pos="2790"/>
          <w:tab w:val="right" w:leader="dot" w:pos="9360"/>
        </w:tabs>
        <w:spacing w:line="360" w:lineRule="auto"/>
        <w:ind w:left="2160"/>
        <w:rPr>
          <w:rFonts w:eastAsiaTheme="minorEastAsia"/>
          <w:sz w:val="26"/>
          <w:szCs w:val="26"/>
        </w:rPr>
      </w:pPr>
      <w:r w:rsidRPr="003462DE">
        <w:rPr>
          <w:rFonts w:eastAsiaTheme="minorEastAsia"/>
          <w:sz w:val="26"/>
          <w:szCs w:val="26"/>
        </w:rPr>
        <w:t>a.</w:t>
      </w:r>
      <w:r w:rsidRPr="003462DE">
        <w:rPr>
          <w:rFonts w:eastAsiaTheme="minorEastAsia"/>
          <w:sz w:val="26"/>
          <w:szCs w:val="26"/>
        </w:rPr>
        <w:tab/>
        <w:t>Twin Lakes Exception No. 2 and Replies</w:t>
      </w:r>
      <w:r w:rsidRPr="003462DE">
        <w:rPr>
          <w:rFonts w:eastAsiaTheme="minorEastAsia"/>
          <w:sz w:val="26"/>
          <w:szCs w:val="26"/>
        </w:rPr>
        <w:tab/>
      </w:r>
      <w:r w:rsidR="00F419AD">
        <w:rPr>
          <w:rFonts w:eastAsiaTheme="minorEastAsia"/>
          <w:sz w:val="26"/>
          <w:szCs w:val="26"/>
        </w:rPr>
        <w:t>74</w:t>
      </w:r>
    </w:p>
    <w:p w14:paraId="05A8430F" w14:textId="160951D0" w:rsidR="00303054" w:rsidRPr="003462DE" w:rsidRDefault="00303054" w:rsidP="00223817">
      <w:pPr>
        <w:tabs>
          <w:tab w:val="left" w:pos="720"/>
          <w:tab w:val="left" w:pos="2790"/>
          <w:tab w:val="right" w:leader="dot" w:pos="9360"/>
        </w:tabs>
        <w:spacing w:line="360" w:lineRule="auto"/>
        <w:ind w:left="2160"/>
        <w:rPr>
          <w:rFonts w:eastAsiaTheme="minorEastAsia"/>
          <w:sz w:val="26"/>
          <w:szCs w:val="26"/>
        </w:rPr>
      </w:pPr>
      <w:r w:rsidRPr="003462DE">
        <w:rPr>
          <w:rFonts w:eastAsiaTheme="minorEastAsia"/>
          <w:sz w:val="26"/>
          <w:szCs w:val="26"/>
        </w:rPr>
        <w:t>b.</w:t>
      </w:r>
      <w:r w:rsidRPr="003462DE">
        <w:rPr>
          <w:rFonts w:eastAsiaTheme="minorEastAsia"/>
          <w:sz w:val="26"/>
          <w:szCs w:val="26"/>
        </w:rPr>
        <w:tab/>
        <w:t>OCA Exception No. 5</w:t>
      </w:r>
      <w:r w:rsidRPr="003462DE">
        <w:rPr>
          <w:rFonts w:eastAsiaTheme="minorEastAsia"/>
          <w:sz w:val="26"/>
          <w:szCs w:val="26"/>
        </w:rPr>
        <w:tab/>
      </w:r>
      <w:r w:rsidR="00F419AD">
        <w:rPr>
          <w:rFonts w:eastAsiaTheme="minorEastAsia"/>
          <w:sz w:val="26"/>
          <w:szCs w:val="26"/>
        </w:rPr>
        <w:t>79</w:t>
      </w:r>
    </w:p>
    <w:p w14:paraId="232153F8" w14:textId="7373794B" w:rsidR="00303054" w:rsidRPr="003462DE" w:rsidRDefault="00303054" w:rsidP="00223817">
      <w:pPr>
        <w:tabs>
          <w:tab w:val="left" w:pos="720"/>
          <w:tab w:val="left" w:pos="2160"/>
          <w:tab w:val="right" w:leader="dot" w:pos="9360"/>
        </w:tabs>
        <w:spacing w:line="360" w:lineRule="auto"/>
        <w:ind w:left="1440"/>
        <w:rPr>
          <w:rFonts w:eastAsiaTheme="minorEastAsia"/>
          <w:sz w:val="26"/>
          <w:szCs w:val="26"/>
        </w:rPr>
      </w:pPr>
      <w:r w:rsidRPr="003462DE">
        <w:rPr>
          <w:rFonts w:eastAsiaTheme="minorEastAsia"/>
          <w:sz w:val="26"/>
          <w:szCs w:val="26"/>
        </w:rPr>
        <w:t>4.</w:t>
      </w:r>
      <w:r w:rsidRPr="003462DE">
        <w:rPr>
          <w:rFonts w:eastAsiaTheme="minorEastAsia"/>
          <w:sz w:val="26"/>
          <w:szCs w:val="26"/>
        </w:rPr>
        <w:tab/>
        <w:t>Disposition</w:t>
      </w:r>
      <w:r w:rsidRPr="003462DE">
        <w:rPr>
          <w:rFonts w:eastAsiaTheme="minorEastAsia"/>
          <w:sz w:val="26"/>
          <w:szCs w:val="26"/>
        </w:rPr>
        <w:tab/>
      </w:r>
      <w:r w:rsidR="00F419AD">
        <w:rPr>
          <w:rFonts w:eastAsiaTheme="minorEastAsia"/>
          <w:sz w:val="26"/>
          <w:szCs w:val="26"/>
        </w:rPr>
        <w:t>79</w:t>
      </w:r>
    </w:p>
    <w:p w14:paraId="1D9FA92D" w14:textId="5263ED77" w:rsidR="00092B1D" w:rsidRDefault="00303054" w:rsidP="00223817">
      <w:pPr>
        <w:tabs>
          <w:tab w:val="left" w:pos="720"/>
          <w:tab w:val="right" w:leader="dot" w:pos="9360"/>
        </w:tabs>
        <w:spacing w:line="360" w:lineRule="auto"/>
        <w:rPr>
          <w:b/>
          <w:sz w:val="26"/>
          <w:szCs w:val="26"/>
        </w:rPr>
      </w:pPr>
      <w:r w:rsidRPr="003462DE">
        <w:rPr>
          <w:sz w:val="26"/>
          <w:szCs w:val="26"/>
        </w:rPr>
        <w:t>VI.</w:t>
      </w:r>
      <w:r w:rsidRPr="003462DE">
        <w:rPr>
          <w:rFonts w:eastAsiaTheme="minorEastAsia"/>
          <w:sz w:val="26"/>
          <w:szCs w:val="26"/>
        </w:rPr>
        <w:tab/>
      </w:r>
      <w:r w:rsidRPr="003462DE">
        <w:rPr>
          <w:sz w:val="26"/>
          <w:szCs w:val="26"/>
        </w:rPr>
        <w:t>Conclusion</w:t>
      </w:r>
      <w:r w:rsidRPr="003462DE">
        <w:rPr>
          <w:webHidden/>
          <w:sz w:val="26"/>
          <w:szCs w:val="26"/>
        </w:rPr>
        <w:tab/>
      </w:r>
      <w:r w:rsidR="00223817">
        <w:rPr>
          <w:webHidden/>
          <w:sz w:val="26"/>
          <w:szCs w:val="26"/>
        </w:rPr>
        <w:t>80</w:t>
      </w:r>
      <w:r w:rsidR="00092B1D">
        <w:rPr>
          <w:b/>
          <w:sz w:val="26"/>
          <w:szCs w:val="26"/>
        </w:rPr>
        <w:br w:type="page"/>
      </w:r>
    </w:p>
    <w:p w14:paraId="1129F6E5" w14:textId="77777777" w:rsidR="00802EFC" w:rsidRPr="0029748B" w:rsidRDefault="00802EFC" w:rsidP="0029748B">
      <w:pPr>
        <w:widowControl/>
        <w:tabs>
          <w:tab w:val="left" w:pos="-720"/>
        </w:tabs>
        <w:spacing w:line="360" w:lineRule="auto"/>
        <w:contextualSpacing/>
        <w:rPr>
          <w:sz w:val="26"/>
          <w:szCs w:val="26"/>
        </w:rPr>
      </w:pPr>
      <w:r w:rsidRPr="0029748B">
        <w:rPr>
          <w:b/>
          <w:sz w:val="26"/>
          <w:szCs w:val="26"/>
        </w:rPr>
        <w:lastRenderedPageBreak/>
        <w:t>BY THE COMMISSION:</w:t>
      </w:r>
    </w:p>
    <w:p w14:paraId="11F176FA" w14:textId="77777777" w:rsidR="00802EFC" w:rsidRPr="0029748B" w:rsidRDefault="00802EFC" w:rsidP="0029748B">
      <w:pPr>
        <w:widowControl/>
        <w:tabs>
          <w:tab w:val="left" w:pos="-720"/>
        </w:tabs>
        <w:spacing w:line="360" w:lineRule="auto"/>
        <w:contextualSpacing/>
        <w:rPr>
          <w:sz w:val="26"/>
          <w:szCs w:val="26"/>
        </w:rPr>
      </w:pPr>
    </w:p>
    <w:p w14:paraId="776E08BE" w14:textId="77777777" w:rsidR="00802EFC" w:rsidRPr="00092B1D" w:rsidRDefault="00802EFC" w:rsidP="0029748B">
      <w:pPr>
        <w:widowControl/>
        <w:spacing w:line="360" w:lineRule="auto"/>
        <w:contextualSpacing/>
        <w:rPr>
          <w:rFonts w:eastAsia="Calibri"/>
          <w:color w:val="000000" w:themeColor="text1"/>
          <w:sz w:val="26"/>
          <w:szCs w:val="26"/>
        </w:rPr>
      </w:pPr>
      <w:r w:rsidRPr="0029748B">
        <w:rPr>
          <w:rFonts w:eastAsia="Calibri"/>
          <w:sz w:val="26"/>
          <w:szCs w:val="26"/>
        </w:rPr>
        <w:tab/>
      </w:r>
      <w:r w:rsidRPr="0029748B">
        <w:rPr>
          <w:rFonts w:eastAsia="Calibri"/>
          <w:sz w:val="26"/>
          <w:szCs w:val="26"/>
        </w:rPr>
        <w:tab/>
      </w:r>
      <w:r w:rsidRPr="00092B1D">
        <w:rPr>
          <w:rFonts w:eastAsia="Calibri"/>
          <w:color w:val="000000" w:themeColor="text1"/>
          <w:sz w:val="26"/>
          <w:szCs w:val="26"/>
        </w:rPr>
        <w:t xml:space="preserve">Before the Pennsylvania Public Utility Commission (Commission) for consideration and disposition is the Recommended Decision </w:t>
      </w:r>
      <w:r w:rsidR="00384E91" w:rsidRPr="00092B1D">
        <w:rPr>
          <w:rFonts w:eastAsia="Calibri"/>
          <w:color w:val="000000" w:themeColor="text1"/>
          <w:sz w:val="26"/>
          <w:szCs w:val="26"/>
        </w:rPr>
        <w:t xml:space="preserve">(R.D.) </w:t>
      </w:r>
      <w:r w:rsidRPr="00092B1D">
        <w:rPr>
          <w:rFonts w:eastAsia="Calibri"/>
          <w:color w:val="000000" w:themeColor="text1"/>
          <w:sz w:val="26"/>
          <w:szCs w:val="26"/>
        </w:rPr>
        <w:t xml:space="preserve">of Administrative Law Judge (ALJ) </w:t>
      </w:r>
      <w:r w:rsidR="00205DB8" w:rsidRPr="00092B1D">
        <w:rPr>
          <w:rFonts w:eastAsia="Calibri"/>
          <w:color w:val="000000" w:themeColor="text1"/>
          <w:sz w:val="26"/>
          <w:szCs w:val="26"/>
        </w:rPr>
        <w:t xml:space="preserve">Marta </w:t>
      </w:r>
      <w:proofErr w:type="spellStart"/>
      <w:r w:rsidR="00205DB8" w:rsidRPr="00092B1D">
        <w:rPr>
          <w:rFonts w:eastAsia="Calibri"/>
          <w:color w:val="000000" w:themeColor="text1"/>
          <w:sz w:val="26"/>
          <w:szCs w:val="26"/>
        </w:rPr>
        <w:t>Guhl</w:t>
      </w:r>
      <w:proofErr w:type="spellEnd"/>
      <w:r w:rsidR="00205DB8" w:rsidRPr="00092B1D">
        <w:rPr>
          <w:rFonts w:eastAsia="Calibri"/>
          <w:color w:val="000000" w:themeColor="text1"/>
          <w:sz w:val="26"/>
          <w:szCs w:val="26"/>
        </w:rPr>
        <w:t xml:space="preserve">, </w:t>
      </w:r>
      <w:r w:rsidR="004C4A9B" w:rsidRPr="00092B1D">
        <w:rPr>
          <w:rFonts w:eastAsia="Calibri"/>
          <w:color w:val="000000" w:themeColor="text1"/>
          <w:sz w:val="26"/>
          <w:szCs w:val="26"/>
        </w:rPr>
        <w:t xml:space="preserve">issued on </w:t>
      </w:r>
      <w:r w:rsidR="00205DB8" w:rsidRPr="00092B1D">
        <w:rPr>
          <w:rFonts w:eastAsia="Calibri"/>
          <w:color w:val="000000" w:themeColor="text1"/>
          <w:sz w:val="26"/>
          <w:szCs w:val="26"/>
        </w:rPr>
        <w:t>February 1</w:t>
      </w:r>
      <w:r w:rsidR="00BD3B56" w:rsidRPr="00092B1D">
        <w:rPr>
          <w:rFonts w:eastAsia="Calibri"/>
          <w:color w:val="000000" w:themeColor="text1"/>
          <w:sz w:val="26"/>
          <w:szCs w:val="26"/>
        </w:rPr>
        <w:t>9</w:t>
      </w:r>
      <w:r w:rsidR="00205DB8" w:rsidRPr="00092B1D">
        <w:rPr>
          <w:rFonts w:eastAsia="Calibri"/>
          <w:color w:val="000000" w:themeColor="text1"/>
          <w:sz w:val="26"/>
          <w:szCs w:val="26"/>
        </w:rPr>
        <w:t xml:space="preserve">, 2020, </w:t>
      </w:r>
      <w:r w:rsidRPr="00092B1D">
        <w:rPr>
          <w:rFonts w:eastAsia="Calibri"/>
          <w:color w:val="000000" w:themeColor="text1"/>
          <w:sz w:val="26"/>
          <w:szCs w:val="26"/>
        </w:rPr>
        <w:t>relative to the above-captioned general rate increase proceeding.  Also, before the Commission are the Exceptions</w:t>
      </w:r>
      <w:r w:rsidR="00BD3B56" w:rsidRPr="00092B1D">
        <w:rPr>
          <w:rFonts w:eastAsia="Calibri"/>
          <w:color w:val="000000" w:themeColor="text1"/>
          <w:sz w:val="26"/>
          <w:szCs w:val="26"/>
        </w:rPr>
        <w:t xml:space="preserve"> </w:t>
      </w:r>
      <w:r w:rsidRPr="00092B1D">
        <w:rPr>
          <w:rFonts w:eastAsia="Calibri"/>
          <w:color w:val="000000" w:themeColor="text1"/>
          <w:sz w:val="26"/>
          <w:szCs w:val="26"/>
        </w:rPr>
        <w:t xml:space="preserve">and </w:t>
      </w:r>
      <w:r w:rsidR="00BD3B56" w:rsidRPr="00092B1D">
        <w:rPr>
          <w:rFonts w:eastAsia="Calibri"/>
          <w:color w:val="000000" w:themeColor="text1"/>
          <w:sz w:val="26"/>
          <w:szCs w:val="26"/>
        </w:rPr>
        <w:t xml:space="preserve">the </w:t>
      </w:r>
      <w:r w:rsidRPr="00092B1D">
        <w:rPr>
          <w:rFonts w:eastAsia="Calibri"/>
          <w:color w:val="000000" w:themeColor="text1"/>
          <w:sz w:val="26"/>
          <w:szCs w:val="26"/>
        </w:rPr>
        <w:t>Replies to Exceptions filed with respect thereto.</w:t>
      </w:r>
    </w:p>
    <w:p w14:paraId="53525C81" w14:textId="77777777" w:rsidR="00802EFC" w:rsidRPr="00092B1D" w:rsidRDefault="00802EFC" w:rsidP="0029748B">
      <w:pPr>
        <w:widowControl/>
        <w:spacing w:line="360" w:lineRule="auto"/>
        <w:contextualSpacing/>
        <w:rPr>
          <w:rFonts w:eastAsia="Calibri"/>
          <w:color w:val="000000" w:themeColor="text1"/>
          <w:sz w:val="26"/>
          <w:szCs w:val="26"/>
        </w:rPr>
      </w:pPr>
    </w:p>
    <w:p w14:paraId="19B3A7E4" w14:textId="77777777" w:rsidR="00802EFC" w:rsidRPr="0029748B" w:rsidRDefault="00802EFC" w:rsidP="0029748B">
      <w:pPr>
        <w:widowControl/>
        <w:spacing w:line="360" w:lineRule="auto"/>
        <w:contextualSpacing/>
        <w:rPr>
          <w:rFonts w:eastAsia="Calibri"/>
          <w:sz w:val="26"/>
          <w:szCs w:val="26"/>
        </w:rPr>
      </w:pPr>
      <w:r w:rsidRPr="00092B1D">
        <w:rPr>
          <w:rFonts w:eastAsia="Calibri"/>
          <w:color w:val="000000" w:themeColor="text1"/>
          <w:sz w:val="26"/>
          <w:szCs w:val="26"/>
        </w:rPr>
        <w:tab/>
      </w:r>
      <w:r w:rsidRPr="00092B1D">
        <w:rPr>
          <w:rFonts w:eastAsia="Calibri"/>
          <w:color w:val="000000" w:themeColor="text1"/>
          <w:sz w:val="26"/>
          <w:szCs w:val="26"/>
        </w:rPr>
        <w:tab/>
        <w:t xml:space="preserve">Exceptions to the Recommended Decision were filed on </w:t>
      </w:r>
      <w:r w:rsidR="00C2611D" w:rsidRPr="00092B1D">
        <w:rPr>
          <w:rFonts w:eastAsia="Calibri"/>
          <w:color w:val="000000" w:themeColor="text1"/>
          <w:sz w:val="26"/>
          <w:szCs w:val="26"/>
        </w:rPr>
        <w:t>March 2, 2020</w:t>
      </w:r>
      <w:r w:rsidR="00F124CD" w:rsidRPr="00092B1D">
        <w:rPr>
          <w:rFonts w:eastAsia="Calibri"/>
          <w:color w:val="000000" w:themeColor="text1"/>
          <w:sz w:val="26"/>
          <w:szCs w:val="26"/>
        </w:rPr>
        <w:t>,</w:t>
      </w:r>
      <w:r w:rsidRPr="00092B1D">
        <w:rPr>
          <w:rFonts w:eastAsia="Calibri"/>
          <w:color w:val="000000" w:themeColor="text1"/>
          <w:sz w:val="26"/>
          <w:szCs w:val="26"/>
        </w:rPr>
        <w:t xml:space="preserve"> by the following Parties:  </w:t>
      </w:r>
      <w:r w:rsidR="00C2611D" w:rsidRPr="00092B1D">
        <w:rPr>
          <w:rFonts w:eastAsia="Calibri"/>
          <w:color w:val="000000" w:themeColor="text1"/>
          <w:sz w:val="26"/>
          <w:szCs w:val="26"/>
        </w:rPr>
        <w:t>Twin Lakes U</w:t>
      </w:r>
      <w:r w:rsidRPr="00092B1D">
        <w:rPr>
          <w:color w:val="000000" w:themeColor="text1"/>
          <w:sz w:val="26"/>
          <w:szCs w:val="26"/>
        </w:rPr>
        <w:t>tilities, Inc</w:t>
      </w:r>
      <w:r w:rsidRPr="0029748B">
        <w:rPr>
          <w:sz w:val="26"/>
          <w:szCs w:val="26"/>
        </w:rPr>
        <w:t>.</w:t>
      </w:r>
      <w:r w:rsidRPr="0029748B">
        <w:rPr>
          <w:rFonts w:eastAsia="Calibri"/>
          <w:sz w:val="26"/>
          <w:szCs w:val="26"/>
        </w:rPr>
        <w:t xml:space="preserve"> (</w:t>
      </w:r>
      <w:r w:rsidR="00C2611D" w:rsidRPr="0029748B">
        <w:rPr>
          <w:rFonts w:eastAsia="Calibri"/>
          <w:sz w:val="26"/>
          <w:szCs w:val="26"/>
        </w:rPr>
        <w:t xml:space="preserve">Twin Lakes </w:t>
      </w:r>
      <w:r w:rsidRPr="0029748B">
        <w:rPr>
          <w:rFonts w:eastAsia="Calibri"/>
          <w:sz w:val="26"/>
          <w:szCs w:val="26"/>
        </w:rPr>
        <w:t xml:space="preserve">or Company), the Commission’s Bureau of Investigation and Enforcement (I&amp;E), </w:t>
      </w:r>
      <w:r w:rsidR="00C2611D" w:rsidRPr="0029748B">
        <w:rPr>
          <w:rFonts w:eastAsia="Calibri"/>
          <w:sz w:val="26"/>
          <w:szCs w:val="26"/>
        </w:rPr>
        <w:t xml:space="preserve">and </w:t>
      </w:r>
      <w:r w:rsidRPr="0029748B">
        <w:rPr>
          <w:rFonts w:eastAsia="Calibri"/>
          <w:sz w:val="26"/>
          <w:szCs w:val="26"/>
        </w:rPr>
        <w:t xml:space="preserve">the Office of Consumer Advocate (OCA).  </w:t>
      </w:r>
      <w:r w:rsidR="00D060BD" w:rsidRPr="0029748B">
        <w:rPr>
          <w:rFonts w:eastAsia="Calibri"/>
          <w:sz w:val="26"/>
          <w:szCs w:val="26"/>
        </w:rPr>
        <w:t xml:space="preserve">On </w:t>
      </w:r>
      <w:r w:rsidR="00BD3B56" w:rsidRPr="0029748B">
        <w:rPr>
          <w:rFonts w:eastAsia="Calibri"/>
          <w:sz w:val="26"/>
          <w:szCs w:val="26"/>
        </w:rPr>
        <w:t xml:space="preserve">March 9, 2020, the OCA and I&amp;E </w:t>
      </w:r>
      <w:r w:rsidR="00D060BD" w:rsidRPr="0029748B">
        <w:rPr>
          <w:rFonts w:eastAsia="Calibri"/>
          <w:sz w:val="26"/>
          <w:szCs w:val="26"/>
        </w:rPr>
        <w:t xml:space="preserve">filed </w:t>
      </w:r>
      <w:r w:rsidRPr="0029748B">
        <w:rPr>
          <w:rFonts w:eastAsia="Calibri"/>
          <w:sz w:val="26"/>
          <w:szCs w:val="26"/>
        </w:rPr>
        <w:t>Replies to Exceptions.</w:t>
      </w:r>
    </w:p>
    <w:p w14:paraId="1C3CA64E" w14:textId="77777777" w:rsidR="008511E9" w:rsidRPr="0029748B" w:rsidRDefault="008511E9" w:rsidP="0029748B">
      <w:pPr>
        <w:widowControl/>
        <w:spacing w:line="360" w:lineRule="auto"/>
        <w:contextualSpacing/>
        <w:rPr>
          <w:rFonts w:eastAsia="Calibri"/>
          <w:sz w:val="26"/>
          <w:szCs w:val="26"/>
        </w:rPr>
      </w:pPr>
    </w:p>
    <w:p w14:paraId="5DC4B4F5" w14:textId="77777777" w:rsidR="00BD3B56" w:rsidRPr="0029748B" w:rsidRDefault="008511E9" w:rsidP="0029748B">
      <w:pPr>
        <w:widowControl/>
        <w:spacing w:line="360" w:lineRule="auto"/>
        <w:contextualSpacing/>
        <w:rPr>
          <w:rFonts w:eastAsia="Calibri"/>
          <w:sz w:val="26"/>
          <w:szCs w:val="26"/>
        </w:rPr>
      </w:pPr>
      <w:r w:rsidRPr="0029748B">
        <w:rPr>
          <w:rFonts w:eastAsia="Calibri"/>
          <w:sz w:val="26"/>
          <w:szCs w:val="26"/>
        </w:rPr>
        <w:tab/>
      </w:r>
      <w:r w:rsidRPr="0029748B">
        <w:rPr>
          <w:rFonts w:eastAsia="Calibri"/>
          <w:sz w:val="26"/>
          <w:szCs w:val="26"/>
        </w:rPr>
        <w:tab/>
        <w:t xml:space="preserve">Also, before the Commission is the </w:t>
      </w:r>
      <w:r w:rsidR="00153B20" w:rsidRPr="0029748B">
        <w:rPr>
          <w:rFonts w:eastAsia="Calibri"/>
          <w:sz w:val="26"/>
          <w:szCs w:val="26"/>
        </w:rPr>
        <w:t>J</w:t>
      </w:r>
      <w:r w:rsidRPr="0029748B">
        <w:rPr>
          <w:rFonts w:eastAsia="Calibri"/>
          <w:sz w:val="26"/>
          <w:szCs w:val="26"/>
        </w:rPr>
        <w:t>o</w:t>
      </w:r>
      <w:r w:rsidR="000D6EBB" w:rsidRPr="0029748B">
        <w:rPr>
          <w:rFonts w:eastAsia="Calibri"/>
          <w:sz w:val="26"/>
          <w:szCs w:val="26"/>
        </w:rPr>
        <w:t xml:space="preserve">int </w:t>
      </w:r>
      <w:r w:rsidR="00153B20" w:rsidRPr="0029748B">
        <w:rPr>
          <w:rFonts w:eastAsia="Calibri"/>
          <w:sz w:val="26"/>
          <w:szCs w:val="26"/>
        </w:rPr>
        <w:t>S</w:t>
      </w:r>
      <w:r w:rsidR="000D6EBB" w:rsidRPr="0029748B">
        <w:rPr>
          <w:rFonts w:eastAsia="Calibri"/>
          <w:sz w:val="26"/>
          <w:szCs w:val="26"/>
        </w:rPr>
        <w:t xml:space="preserve">tipulation </w:t>
      </w:r>
      <w:r w:rsidR="00E24596" w:rsidRPr="0029748B">
        <w:rPr>
          <w:rFonts w:eastAsia="Calibri"/>
          <w:sz w:val="26"/>
          <w:szCs w:val="26"/>
        </w:rPr>
        <w:t xml:space="preserve">of the active </w:t>
      </w:r>
      <w:r w:rsidR="00153B20" w:rsidRPr="0029748B">
        <w:rPr>
          <w:rFonts w:eastAsia="Calibri"/>
          <w:sz w:val="26"/>
          <w:szCs w:val="26"/>
        </w:rPr>
        <w:t>P</w:t>
      </w:r>
      <w:r w:rsidR="00E24596" w:rsidRPr="0029748B">
        <w:rPr>
          <w:rFonts w:eastAsia="Calibri"/>
          <w:sz w:val="26"/>
          <w:szCs w:val="26"/>
        </w:rPr>
        <w:t>arties to the proceeding</w:t>
      </w:r>
      <w:r w:rsidR="005F4E77" w:rsidRPr="0029748B">
        <w:rPr>
          <w:rFonts w:eastAsia="Calibri"/>
          <w:sz w:val="26"/>
          <w:szCs w:val="26"/>
        </w:rPr>
        <w:t xml:space="preserve">, </w:t>
      </w:r>
      <w:r w:rsidR="00E24596" w:rsidRPr="0029748B">
        <w:rPr>
          <w:rFonts w:eastAsia="Calibri"/>
          <w:sz w:val="26"/>
          <w:szCs w:val="26"/>
        </w:rPr>
        <w:t>Twin Lakes, I&amp;E and the OCA</w:t>
      </w:r>
      <w:r w:rsidR="00A71A31" w:rsidRPr="0029748B">
        <w:rPr>
          <w:rFonts w:eastAsia="Calibri"/>
          <w:sz w:val="26"/>
          <w:szCs w:val="26"/>
        </w:rPr>
        <w:t xml:space="preserve"> (Joint Stipulation)</w:t>
      </w:r>
      <w:r w:rsidR="00E24596" w:rsidRPr="0029748B">
        <w:rPr>
          <w:rFonts w:eastAsia="Calibri"/>
          <w:sz w:val="26"/>
          <w:szCs w:val="26"/>
        </w:rPr>
        <w:t xml:space="preserve">, </w:t>
      </w:r>
      <w:r w:rsidR="005F4E77" w:rsidRPr="0029748B">
        <w:rPr>
          <w:rFonts w:eastAsia="Calibri"/>
          <w:sz w:val="26"/>
          <w:szCs w:val="26"/>
        </w:rPr>
        <w:t>filed on December 18, 20</w:t>
      </w:r>
      <w:r w:rsidR="00F124CD" w:rsidRPr="0029748B">
        <w:rPr>
          <w:rFonts w:eastAsia="Calibri"/>
          <w:sz w:val="26"/>
          <w:szCs w:val="26"/>
        </w:rPr>
        <w:t>19</w:t>
      </w:r>
      <w:r w:rsidR="005F4E77" w:rsidRPr="0029748B">
        <w:rPr>
          <w:rFonts w:eastAsia="Calibri"/>
          <w:sz w:val="26"/>
          <w:szCs w:val="26"/>
        </w:rPr>
        <w:t xml:space="preserve">, </w:t>
      </w:r>
      <w:r w:rsidR="00E24596" w:rsidRPr="0029748B">
        <w:rPr>
          <w:rFonts w:eastAsia="Calibri"/>
          <w:sz w:val="26"/>
          <w:szCs w:val="26"/>
        </w:rPr>
        <w:t>wher</w:t>
      </w:r>
      <w:r w:rsidR="00460F72">
        <w:rPr>
          <w:rFonts w:eastAsia="Calibri"/>
          <w:sz w:val="26"/>
          <w:szCs w:val="26"/>
        </w:rPr>
        <w:t xml:space="preserve">e, in </w:t>
      </w:r>
      <w:r w:rsidR="00A71A31" w:rsidRPr="0029748B">
        <w:rPr>
          <w:rFonts w:eastAsia="Calibri"/>
          <w:sz w:val="26"/>
          <w:szCs w:val="26"/>
        </w:rPr>
        <w:t xml:space="preserve">support of the </w:t>
      </w:r>
      <w:r w:rsidR="00153B20" w:rsidRPr="0029748B">
        <w:rPr>
          <w:rFonts w:eastAsia="Calibri"/>
          <w:sz w:val="26"/>
          <w:szCs w:val="26"/>
        </w:rPr>
        <w:t>P</w:t>
      </w:r>
      <w:r w:rsidR="00A71A31" w:rsidRPr="0029748B">
        <w:rPr>
          <w:rFonts w:eastAsia="Calibri"/>
          <w:sz w:val="26"/>
          <w:szCs w:val="26"/>
        </w:rPr>
        <w:t xml:space="preserve">arties’ </w:t>
      </w:r>
      <w:r w:rsidR="00153B20" w:rsidRPr="0029748B">
        <w:rPr>
          <w:rFonts w:eastAsia="Calibri"/>
          <w:sz w:val="26"/>
          <w:szCs w:val="26"/>
        </w:rPr>
        <w:t>J</w:t>
      </w:r>
      <w:r w:rsidR="00A71A31" w:rsidRPr="0029748B">
        <w:rPr>
          <w:rFonts w:eastAsia="Calibri"/>
          <w:sz w:val="26"/>
          <w:szCs w:val="26"/>
        </w:rPr>
        <w:t>oint Motion to Admit Testimony and Exhibits into the Record (Joint Motion)</w:t>
      </w:r>
      <w:r w:rsidR="00F124CD" w:rsidRPr="0029748B">
        <w:rPr>
          <w:rFonts w:eastAsia="Calibri"/>
          <w:sz w:val="26"/>
          <w:szCs w:val="26"/>
        </w:rPr>
        <w:t>,</w:t>
      </w:r>
      <w:r w:rsidR="00A71A31" w:rsidRPr="0029748B">
        <w:rPr>
          <w:rFonts w:eastAsia="Calibri"/>
          <w:sz w:val="26"/>
          <w:szCs w:val="26"/>
        </w:rPr>
        <w:t xml:space="preserve"> </w:t>
      </w:r>
      <w:r w:rsidR="00E24596" w:rsidRPr="0029748B">
        <w:rPr>
          <w:rFonts w:eastAsia="Calibri"/>
          <w:sz w:val="26"/>
          <w:szCs w:val="26"/>
        </w:rPr>
        <w:t xml:space="preserve">the </w:t>
      </w:r>
      <w:r w:rsidR="00153B20" w:rsidRPr="0029748B">
        <w:rPr>
          <w:rFonts w:eastAsia="Calibri"/>
          <w:sz w:val="26"/>
          <w:szCs w:val="26"/>
        </w:rPr>
        <w:t>P</w:t>
      </w:r>
      <w:r w:rsidR="000D6EBB" w:rsidRPr="0029748B">
        <w:rPr>
          <w:rFonts w:eastAsia="Calibri"/>
          <w:sz w:val="26"/>
          <w:szCs w:val="26"/>
        </w:rPr>
        <w:t>arties</w:t>
      </w:r>
      <w:r w:rsidR="00A71A31" w:rsidRPr="0029748B">
        <w:rPr>
          <w:rFonts w:eastAsia="Calibri"/>
          <w:sz w:val="26"/>
          <w:szCs w:val="26"/>
        </w:rPr>
        <w:t xml:space="preserve"> </w:t>
      </w:r>
      <w:r w:rsidR="00460F72">
        <w:rPr>
          <w:rFonts w:eastAsia="Calibri"/>
          <w:sz w:val="26"/>
          <w:szCs w:val="26"/>
        </w:rPr>
        <w:t xml:space="preserve">also </w:t>
      </w:r>
      <w:r w:rsidR="00A71A31" w:rsidRPr="0029748B">
        <w:rPr>
          <w:rFonts w:eastAsia="Calibri"/>
          <w:sz w:val="26"/>
          <w:szCs w:val="26"/>
        </w:rPr>
        <w:t xml:space="preserve">requested that the ALJ cancel the scheduled evidentiary </w:t>
      </w:r>
      <w:r w:rsidR="00E24596" w:rsidRPr="0029748B">
        <w:rPr>
          <w:rFonts w:eastAsia="Calibri"/>
          <w:sz w:val="26"/>
          <w:szCs w:val="26"/>
        </w:rPr>
        <w:t>hearings</w:t>
      </w:r>
      <w:r w:rsidR="00A71A31" w:rsidRPr="0029748B">
        <w:rPr>
          <w:rFonts w:eastAsia="Calibri"/>
          <w:sz w:val="26"/>
          <w:szCs w:val="26"/>
        </w:rPr>
        <w:t xml:space="preserve"> based upon the </w:t>
      </w:r>
      <w:r w:rsidR="00153B20" w:rsidRPr="0029748B">
        <w:rPr>
          <w:rFonts w:eastAsia="Calibri"/>
          <w:sz w:val="26"/>
          <w:szCs w:val="26"/>
        </w:rPr>
        <w:t>P</w:t>
      </w:r>
      <w:r w:rsidR="00A71A31" w:rsidRPr="0029748B">
        <w:rPr>
          <w:rFonts w:eastAsia="Calibri"/>
          <w:sz w:val="26"/>
          <w:szCs w:val="26"/>
        </w:rPr>
        <w:t xml:space="preserve">arties’ </w:t>
      </w:r>
      <w:r w:rsidR="00E24596" w:rsidRPr="0029748B">
        <w:rPr>
          <w:rFonts w:eastAsia="Calibri"/>
          <w:sz w:val="26"/>
          <w:szCs w:val="26"/>
        </w:rPr>
        <w:t>stipulat</w:t>
      </w:r>
      <w:r w:rsidR="00A71A31" w:rsidRPr="0029748B">
        <w:rPr>
          <w:rFonts w:eastAsia="Calibri"/>
          <w:sz w:val="26"/>
          <w:szCs w:val="26"/>
        </w:rPr>
        <w:t>ion</w:t>
      </w:r>
      <w:r w:rsidR="00E24596" w:rsidRPr="0029748B">
        <w:rPr>
          <w:rFonts w:eastAsia="Calibri"/>
          <w:sz w:val="26"/>
          <w:szCs w:val="26"/>
        </w:rPr>
        <w:t xml:space="preserve"> to the contents of</w:t>
      </w:r>
      <w:r w:rsidR="00153B20" w:rsidRPr="0029748B">
        <w:rPr>
          <w:rFonts w:eastAsia="Calibri"/>
          <w:sz w:val="26"/>
          <w:szCs w:val="26"/>
        </w:rPr>
        <w:t xml:space="preserve"> </w:t>
      </w:r>
      <w:r w:rsidR="00E24596" w:rsidRPr="0029748B">
        <w:rPr>
          <w:rFonts w:eastAsia="Calibri"/>
          <w:sz w:val="26"/>
          <w:szCs w:val="26"/>
        </w:rPr>
        <w:t>two Appendices</w:t>
      </w:r>
      <w:r w:rsidR="008F7FEE" w:rsidRPr="0029748B">
        <w:rPr>
          <w:rFonts w:eastAsia="Calibri"/>
          <w:sz w:val="26"/>
          <w:szCs w:val="26"/>
        </w:rPr>
        <w:t xml:space="preserve"> </w:t>
      </w:r>
      <w:r w:rsidR="00460F72">
        <w:rPr>
          <w:rFonts w:eastAsia="Calibri"/>
          <w:sz w:val="26"/>
          <w:szCs w:val="26"/>
        </w:rPr>
        <w:t xml:space="preserve">attached </w:t>
      </w:r>
      <w:r w:rsidR="008F7FEE" w:rsidRPr="0029748B">
        <w:rPr>
          <w:rFonts w:eastAsia="Calibri"/>
          <w:sz w:val="26"/>
          <w:szCs w:val="26"/>
        </w:rPr>
        <w:t>to the Joint Motion</w:t>
      </w:r>
      <w:r w:rsidR="00E24596" w:rsidRPr="0029748B">
        <w:rPr>
          <w:rFonts w:eastAsia="Calibri"/>
          <w:sz w:val="26"/>
          <w:szCs w:val="26"/>
        </w:rPr>
        <w:t xml:space="preserve">: </w:t>
      </w:r>
      <w:r w:rsidR="00F124CD" w:rsidRPr="0029748B">
        <w:rPr>
          <w:rFonts w:eastAsia="Calibri"/>
          <w:sz w:val="26"/>
          <w:szCs w:val="26"/>
        </w:rPr>
        <w:t xml:space="preserve">(1) </w:t>
      </w:r>
      <w:r w:rsidR="00E24596" w:rsidRPr="0029748B">
        <w:rPr>
          <w:rFonts w:eastAsia="Calibri"/>
          <w:sz w:val="26"/>
          <w:szCs w:val="26"/>
        </w:rPr>
        <w:t xml:space="preserve">Appendix A (Stipulation for Admission of Testimony and Exhibits), specifying </w:t>
      </w:r>
      <w:r w:rsidR="00460F72">
        <w:rPr>
          <w:rFonts w:eastAsia="Calibri"/>
          <w:sz w:val="26"/>
          <w:szCs w:val="26"/>
        </w:rPr>
        <w:t>the</w:t>
      </w:r>
      <w:r w:rsidR="00E24596" w:rsidRPr="0029748B">
        <w:rPr>
          <w:rFonts w:eastAsia="Calibri"/>
          <w:sz w:val="26"/>
          <w:szCs w:val="26"/>
        </w:rPr>
        <w:t xml:space="preserve"> </w:t>
      </w:r>
      <w:r w:rsidR="00F124CD" w:rsidRPr="0029748B">
        <w:rPr>
          <w:rFonts w:eastAsia="Calibri"/>
          <w:sz w:val="26"/>
          <w:szCs w:val="26"/>
        </w:rPr>
        <w:t>P</w:t>
      </w:r>
      <w:r w:rsidR="00E24596" w:rsidRPr="0029748B">
        <w:rPr>
          <w:rFonts w:eastAsia="Calibri"/>
          <w:sz w:val="26"/>
          <w:szCs w:val="26"/>
        </w:rPr>
        <w:t>art</w:t>
      </w:r>
      <w:r w:rsidR="009E0B1E">
        <w:rPr>
          <w:rFonts w:eastAsia="Calibri"/>
          <w:sz w:val="26"/>
          <w:szCs w:val="26"/>
        </w:rPr>
        <w:t>ies’</w:t>
      </w:r>
      <w:r w:rsidR="00E24596" w:rsidRPr="0029748B">
        <w:rPr>
          <w:rFonts w:eastAsia="Calibri"/>
          <w:sz w:val="26"/>
          <w:szCs w:val="26"/>
        </w:rPr>
        <w:t xml:space="preserve"> witnesses’ testimony and exhibits, </w:t>
      </w:r>
      <w:r w:rsidR="00AB2AC3" w:rsidRPr="0029748B">
        <w:rPr>
          <w:rFonts w:eastAsia="Calibri"/>
          <w:sz w:val="26"/>
          <w:szCs w:val="26"/>
        </w:rPr>
        <w:t xml:space="preserve">and </w:t>
      </w:r>
      <w:r w:rsidR="00E24596" w:rsidRPr="0029748B">
        <w:rPr>
          <w:rFonts w:eastAsia="Calibri"/>
          <w:sz w:val="26"/>
          <w:szCs w:val="26"/>
        </w:rPr>
        <w:t xml:space="preserve">waiving the right to cross examination of witnesses sponsoring their respective testimony; and, </w:t>
      </w:r>
      <w:r w:rsidR="00F124CD" w:rsidRPr="0029748B">
        <w:rPr>
          <w:rFonts w:eastAsia="Calibri"/>
          <w:sz w:val="26"/>
          <w:szCs w:val="26"/>
        </w:rPr>
        <w:t xml:space="preserve">(2) </w:t>
      </w:r>
      <w:r w:rsidR="00E24596" w:rsidRPr="0029748B">
        <w:rPr>
          <w:rFonts w:eastAsia="Calibri"/>
          <w:sz w:val="26"/>
          <w:szCs w:val="26"/>
        </w:rPr>
        <w:t>Appendix B</w:t>
      </w:r>
      <w:r w:rsidR="00A71A31" w:rsidRPr="0029748B">
        <w:rPr>
          <w:rFonts w:eastAsia="Calibri"/>
          <w:sz w:val="26"/>
          <w:szCs w:val="26"/>
        </w:rPr>
        <w:t xml:space="preserve"> (Stipulation of the Parties) stipulating to certain contested facts regarding lead and copper monitoring by the Company.</w:t>
      </w:r>
      <w:r w:rsidR="00153B20" w:rsidRPr="0029748B">
        <w:rPr>
          <w:rFonts w:eastAsia="Calibri"/>
          <w:sz w:val="26"/>
          <w:szCs w:val="26"/>
        </w:rPr>
        <w:t xml:space="preserve"> </w:t>
      </w:r>
      <w:r w:rsidR="00A71A31" w:rsidRPr="0029748B">
        <w:rPr>
          <w:rFonts w:eastAsia="Calibri"/>
          <w:sz w:val="26"/>
          <w:szCs w:val="26"/>
        </w:rPr>
        <w:t xml:space="preserve"> </w:t>
      </w:r>
      <w:r w:rsidR="00A71A31" w:rsidRPr="0029748B">
        <w:rPr>
          <w:rFonts w:eastAsia="Calibri"/>
          <w:i/>
          <w:sz w:val="26"/>
          <w:szCs w:val="26"/>
        </w:rPr>
        <w:t>See</w:t>
      </w:r>
      <w:r w:rsidR="00A71A31" w:rsidRPr="0029748B">
        <w:rPr>
          <w:rFonts w:eastAsia="Calibri"/>
          <w:sz w:val="26"/>
          <w:szCs w:val="26"/>
        </w:rPr>
        <w:t xml:space="preserve"> </w:t>
      </w:r>
      <w:r w:rsidR="00A71A31" w:rsidRPr="0029748B">
        <w:rPr>
          <w:rFonts w:eastAsia="Calibri"/>
          <w:i/>
          <w:iCs/>
          <w:sz w:val="26"/>
          <w:szCs w:val="26"/>
        </w:rPr>
        <w:t>attached</w:t>
      </w:r>
      <w:r w:rsidR="00A71A31" w:rsidRPr="0029748B">
        <w:rPr>
          <w:rFonts w:eastAsia="Calibri"/>
          <w:sz w:val="26"/>
          <w:szCs w:val="26"/>
        </w:rPr>
        <w:t xml:space="preserve">, Appendix </w:t>
      </w:r>
      <w:r w:rsidR="00BA6738" w:rsidRPr="0029748B">
        <w:rPr>
          <w:rFonts w:eastAsia="Calibri"/>
          <w:sz w:val="26"/>
          <w:szCs w:val="26"/>
        </w:rPr>
        <w:t>B</w:t>
      </w:r>
      <w:r w:rsidR="00A71A31" w:rsidRPr="0029748B">
        <w:rPr>
          <w:rFonts w:eastAsia="Calibri"/>
          <w:sz w:val="26"/>
          <w:szCs w:val="26"/>
        </w:rPr>
        <w:t xml:space="preserve"> (Joint Stipulation).</w:t>
      </w:r>
    </w:p>
    <w:p w14:paraId="5E5F04CD" w14:textId="77777777" w:rsidR="00BD3B56" w:rsidRPr="0029748B" w:rsidRDefault="00BD3B56" w:rsidP="0029748B">
      <w:pPr>
        <w:widowControl/>
        <w:spacing w:line="360" w:lineRule="auto"/>
        <w:contextualSpacing/>
        <w:rPr>
          <w:rFonts w:eastAsia="Calibri"/>
          <w:sz w:val="26"/>
          <w:szCs w:val="26"/>
        </w:rPr>
      </w:pPr>
    </w:p>
    <w:p w14:paraId="7E481897" w14:textId="77777777" w:rsidR="00802EFC" w:rsidRPr="0029748B" w:rsidRDefault="008511E9" w:rsidP="0029748B">
      <w:pPr>
        <w:widowControl/>
        <w:spacing w:line="360" w:lineRule="auto"/>
        <w:ind w:firstLine="1440"/>
        <w:contextualSpacing/>
        <w:rPr>
          <w:rFonts w:eastAsia="Calibri"/>
          <w:sz w:val="26"/>
          <w:szCs w:val="26"/>
        </w:rPr>
      </w:pPr>
      <w:r w:rsidRPr="0029748B">
        <w:rPr>
          <w:rFonts w:eastAsia="Calibri"/>
          <w:sz w:val="26"/>
          <w:szCs w:val="26"/>
        </w:rPr>
        <w:t xml:space="preserve">For the reasons stated, </w:t>
      </w:r>
      <w:r w:rsidRPr="0029748B">
        <w:rPr>
          <w:rFonts w:eastAsia="Calibri"/>
          <w:i/>
          <w:iCs/>
          <w:sz w:val="26"/>
          <w:szCs w:val="26"/>
        </w:rPr>
        <w:t>infra</w:t>
      </w:r>
      <w:r w:rsidRPr="0029748B">
        <w:rPr>
          <w:rFonts w:eastAsia="Calibri"/>
          <w:sz w:val="26"/>
          <w:szCs w:val="26"/>
        </w:rPr>
        <w:t xml:space="preserve">, we shall adopt the </w:t>
      </w:r>
      <w:r w:rsidR="00153B20" w:rsidRPr="0029748B">
        <w:rPr>
          <w:rFonts w:eastAsia="Calibri"/>
          <w:sz w:val="26"/>
          <w:szCs w:val="26"/>
        </w:rPr>
        <w:t>P</w:t>
      </w:r>
      <w:r w:rsidR="00AB2AC3" w:rsidRPr="0029748B">
        <w:rPr>
          <w:rFonts w:eastAsia="Calibri"/>
          <w:sz w:val="26"/>
          <w:szCs w:val="26"/>
        </w:rPr>
        <w:t xml:space="preserve">arties’ </w:t>
      </w:r>
      <w:r w:rsidRPr="0029748B">
        <w:rPr>
          <w:rFonts w:eastAsia="Calibri"/>
          <w:sz w:val="26"/>
          <w:szCs w:val="26"/>
        </w:rPr>
        <w:t>Joint Stipulation</w:t>
      </w:r>
      <w:r w:rsidR="00BD3B56" w:rsidRPr="0029748B">
        <w:rPr>
          <w:rFonts w:eastAsia="Calibri"/>
          <w:sz w:val="26"/>
          <w:szCs w:val="26"/>
        </w:rPr>
        <w:t>, as in the public interest</w:t>
      </w:r>
      <w:r w:rsidRPr="0029748B">
        <w:rPr>
          <w:rFonts w:eastAsia="Calibri"/>
          <w:sz w:val="26"/>
          <w:szCs w:val="26"/>
        </w:rPr>
        <w:t>.  Additionally, we shall</w:t>
      </w:r>
      <w:r w:rsidR="00F124CD" w:rsidRPr="0029748B">
        <w:rPr>
          <w:rFonts w:eastAsia="Calibri"/>
          <w:sz w:val="26"/>
          <w:szCs w:val="26"/>
        </w:rPr>
        <w:t>: (1)</w:t>
      </w:r>
      <w:r w:rsidRPr="0029748B">
        <w:rPr>
          <w:rFonts w:eastAsia="Calibri"/>
          <w:sz w:val="26"/>
          <w:szCs w:val="26"/>
        </w:rPr>
        <w:t xml:space="preserve"> grant</w:t>
      </w:r>
      <w:r w:rsidR="00BD3B56" w:rsidRPr="0029748B">
        <w:rPr>
          <w:rFonts w:eastAsia="Calibri"/>
          <w:sz w:val="26"/>
          <w:szCs w:val="26"/>
        </w:rPr>
        <w:t xml:space="preserve">, in part, and deny, in part, </w:t>
      </w:r>
      <w:r w:rsidRPr="0029748B">
        <w:rPr>
          <w:rFonts w:eastAsia="Calibri"/>
          <w:sz w:val="26"/>
          <w:szCs w:val="26"/>
        </w:rPr>
        <w:t>the Exception of I&amp;E</w:t>
      </w:r>
      <w:r w:rsidR="00F124CD" w:rsidRPr="0029748B">
        <w:rPr>
          <w:rFonts w:eastAsia="Calibri"/>
          <w:sz w:val="26"/>
          <w:szCs w:val="26"/>
        </w:rPr>
        <w:t>:</w:t>
      </w:r>
      <w:r w:rsidRPr="0029748B">
        <w:rPr>
          <w:rFonts w:eastAsia="Calibri"/>
          <w:sz w:val="26"/>
          <w:szCs w:val="26"/>
        </w:rPr>
        <w:t xml:space="preserve"> </w:t>
      </w:r>
      <w:r w:rsidR="00F124CD" w:rsidRPr="0029748B">
        <w:rPr>
          <w:rFonts w:eastAsia="Calibri"/>
          <w:sz w:val="26"/>
          <w:szCs w:val="26"/>
        </w:rPr>
        <w:t>(2)</w:t>
      </w:r>
      <w:r w:rsidRPr="0029748B">
        <w:rPr>
          <w:rFonts w:eastAsia="Calibri"/>
          <w:sz w:val="26"/>
          <w:szCs w:val="26"/>
        </w:rPr>
        <w:t xml:space="preserve"> </w:t>
      </w:r>
      <w:r w:rsidR="00BD3B56" w:rsidRPr="0029748B">
        <w:rPr>
          <w:rFonts w:eastAsia="Calibri"/>
          <w:sz w:val="26"/>
          <w:szCs w:val="26"/>
        </w:rPr>
        <w:t xml:space="preserve">grant, in part, and </w:t>
      </w:r>
      <w:r w:rsidRPr="0029748B">
        <w:rPr>
          <w:rFonts w:eastAsia="Calibri"/>
          <w:sz w:val="26"/>
          <w:szCs w:val="26"/>
        </w:rPr>
        <w:t>deny</w:t>
      </w:r>
      <w:r w:rsidR="00BD3B56" w:rsidRPr="0029748B">
        <w:rPr>
          <w:rFonts w:eastAsia="Calibri"/>
          <w:sz w:val="26"/>
          <w:szCs w:val="26"/>
        </w:rPr>
        <w:t xml:space="preserve">, in part, </w:t>
      </w:r>
      <w:r w:rsidRPr="0029748B">
        <w:rPr>
          <w:rFonts w:eastAsia="Calibri"/>
          <w:sz w:val="26"/>
          <w:szCs w:val="26"/>
        </w:rPr>
        <w:t xml:space="preserve">the Exceptions of </w:t>
      </w:r>
      <w:r w:rsidR="00BD3B56" w:rsidRPr="0029748B">
        <w:rPr>
          <w:rFonts w:eastAsia="Calibri"/>
          <w:sz w:val="26"/>
          <w:szCs w:val="26"/>
        </w:rPr>
        <w:t>the OCA</w:t>
      </w:r>
      <w:r w:rsidR="00F124CD" w:rsidRPr="0029748B">
        <w:rPr>
          <w:rFonts w:eastAsia="Calibri"/>
          <w:sz w:val="26"/>
          <w:szCs w:val="26"/>
        </w:rPr>
        <w:t>;</w:t>
      </w:r>
      <w:r w:rsidR="00BD3B56" w:rsidRPr="0029748B">
        <w:rPr>
          <w:rFonts w:eastAsia="Calibri"/>
          <w:sz w:val="26"/>
          <w:szCs w:val="26"/>
        </w:rPr>
        <w:t xml:space="preserve"> </w:t>
      </w:r>
      <w:r w:rsidR="00F124CD" w:rsidRPr="0029748B">
        <w:rPr>
          <w:rFonts w:eastAsia="Calibri"/>
          <w:sz w:val="26"/>
          <w:szCs w:val="26"/>
        </w:rPr>
        <w:t>(3)</w:t>
      </w:r>
      <w:r w:rsidR="00BD3B56" w:rsidRPr="0029748B">
        <w:rPr>
          <w:rFonts w:eastAsia="Calibri"/>
          <w:sz w:val="26"/>
          <w:szCs w:val="26"/>
        </w:rPr>
        <w:t xml:space="preserve"> </w:t>
      </w:r>
      <w:r w:rsidR="00BD3B56" w:rsidRPr="0029748B">
        <w:rPr>
          <w:rFonts w:eastAsia="Calibri"/>
          <w:sz w:val="26"/>
          <w:szCs w:val="26"/>
        </w:rPr>
        <w:lastRenderedPageBreak/>
        <w:t xml:space="preserve">deny the Exceptions of </w:t>
      </w:r>
      <w:r w:rsidRPr="0029748B">
        <w:rPr>
          <w:rFonts w:eastAsia="Calibri"/>
          <w:sz w:val="26"/>
          <w:szCs w:val="26"/>
        </w:rPr>
        <w:t>Twin Lakes</w:t>
      </w:r>
      <w:r w:rsidR="00F124CD" w:rsidRPr="0029748B">
        <w:rPr>
          <w:rFonts w:eastAsia="Calibri"/>
          <w:sz w:val="26"/>
          <w:szCs w:val="26"/>
        </w:rPr>
        <w:t>;</w:t>
      </w:r>
      <w:r w:rsidR="00BD3B56" w:rsidRPr="0029748B">
        <w:rPr>
          <w:rFonts w:eastAsia="Calibri"/>
          <w:sz w:val="26"/>
          <w:szCs w:val="26"/>
        </w:rPr>
        <w:t xml:space="preserve"> </w:t>
      </w:r>
      <w:r w:rsidRPr="0029748B">
        <w:rPr>
          <w:rFonts w:eastAsia="Calibri"/>
          <w:sz w:val="26"/>
          <w:szCs w:val="26"/>
        </w:rPr>
        <w:t>and</w:t>
      </w:r>
      <w:r w:rsidR="00F124CD" w:rsidRPr="0029748B">
        <w:rPr>
          <w:rFonts w:eastAsia="Calibri"/>
          <w:sz w:val="26"/>
          <w:szCs w:val="26"/>
        </w:rPr>
        <w:t>,</w:t>
      </w:r>
      <w:r w:rsidRPr="0029748B">
        <w:rPr>
          <w:rFonts w:eastAsia="Calibri"/>
          <w:sz w:val="26"/>
          <w:szCs w:val="26"/>
        </w:rPr>
        <w:t xml:space="preserve"> </w:t>
      </w:r>
      <w:r w:rsidR="00F124CD" w:rsidRPr="0029748B">
        <w:rPr>
          <w:rFonts w:eastAsia="Calibri"/>
          <w:sz w:val="26"/>
          <w:szCs w:val="26"/>
        </w:rPr>
        <w:t>(4)</w:t>
      </w:r>
      <w:r w:rsidRPr="0029748B">
        <w:rPr>
          <w:rFonts w:eastAsia="Calibri"/>
          <w:sz w:val="26"/>
          <w:szCs w:val="26"/>
        </w:rPr>
        <w:t xml:space="preserve"> adopt the ALJ’s Recommended Decision, as modified, consistent with this Opinion and Order. </w:t>
      </w:r>
    </w:p>
    <w:p w14:paraId="2EE45D2E" w14:textId="77777777" w:rsidR="008511E9" w:rsidRPr="0029748B" w:rsidRDefault="008511E9" w:rsidP="0029748B">
      <w:pPr>
        <w:widowControl/>
        <w:spacing w:line="360" w:lineRule="auto"/>
        <w:contextualSpacing/>
        <w:rPr>
          <w:sz w:val="26"/>
          <w:szCs w:val="26"/>
        </w:rPr>
      </w:pPr>
    </w:p>
    <w:p w14:paraId="09D77F29" w14:textId="77777777" w:rsidR="00C2611D" w:rsidRPr="0029748B" w:rsidRDefault="00F058FB" w:rsidP="0029748B">
      <w:pPr>
        <w:widowControl/>
        <w:spacing w:line="360" w:lineRule="auto"/>
        <w:ind w:firstLine="1440"/>
        <w:rPr>
          <w:sz w:val="26"/>
          <w:szCs w:val="26"/>
        </w:rPr>
      </w:pPr>
      <w:r w:rsidRPr="0029748B">
        <w:rPr>
          <w:sz w:val="26"/>
          <w:szCs w:val="26"/>
        </w:rPr>
        <w:t>As</w:t>
      </w:r>
      <w:r w:rsidR="00F514DA" w:rsidRPr="0029748B">
        <w:rPr>
          <w:sz w:val="26"/>
          <w:szCs w:val="26"/>
        </w:rPr>
        <w:t xml:space="preserve"> </w:t>
      </w:r>
      <w:r w:rsidRPr="0029748B">
        <w:rPr>
          <w:sz w:val="26"/>
          <w:szCs w:val="26"/>
        </w:rPr>
        <w:t xml:space="preserve">discussed </w:t>
      </w:r>
      <w:r w:rsidR="00F514DA" w:rsidRPr="0029748B">
        <w:rPr>
          <w:i/>
          <w:iCs/>
          <w:sz w:val="26"/>
          <w:szCs w:val="26"/>
        </w:rPr>
        <w:t>infra</w:t>
      </w:r>
      <w:r w:rsidRPr="0029748B">
        <w:rPr>
          <w:sz w:val="26"/>
          <w:szCs w:val="26"/>
        </w:rPr>
        <w:t xml:space="preserve">, </w:t>
      </w:r>
      <w:r w:rsidR="00C2611D" w:rsidRPr="0029748B">
        <w:rPr>
          <w:sz w:val="26"/>
          <w:szCs w:val="26"/>
        </w:rPr>
        <w:t>Twin Lakes</w:t>
      </w:r>
      <w:r w:rsidR="00F514DA" w:rsidRPr="0029748B">
        <w:rPr>
          <w:sz w:val="26"/>
          <w:szCs w:val="26"/>
        </w:rPr>
        <w:t>’</w:t>
      </w:r>
      <w:r w:rsidR="00C2611D" w:rsidRPr="0029748B">
        <w:rPr>
          <w:sz w:val="26"/>
          <w:szCs w:val="26"/>
        </w:rPr>
        <w:t xml:space="preserve"> </w:t>
      </w:r>
      <w:r w:rsidRPr="0029748B">
        <w:rPr>
          <w:sz w:val="26"/>
          <w:szCs w:val="26"/>
        </w:rPr>
        <w:t xml:space="preserve">proposed </w:t>
      </w:r>
      <w:r w:rsidR="00F514DA" w:rsidRPr="0029748B">
        <w:rPr>
          <w:sz w:val="26"/>
          <w:szCs w:val="26"/>
        </w:rPr>
        <w:t xml:space="preserve">increase to </w:t>
      </w:r>
      <w:r w:rsidR="00153B20" w:rsidRPr="0029748B">
        <w:rPr>
          <w:sz w:val="26"/>
          <w:szCs w:val="26"/>
        </w:rPr>
        <w:t xml:space="preserve">its </w:t>
      </w:r>
      <w:r w:rsidR="00F514DA" w:rsidRPr="0029748B">
        <w:rPr>
          <w:sz w:val="26"/>
          <w:szCs w:val="26"/>
        </w:rPr>
        <w:t xml:space="preserve">rate base </w:t>
      </w:r>
      <w:r w:rsidRPr="0029748B">
        <w:rPr>
          <w:sz w:val="26"/>
          <w:szCs w:val="26"/>
        </w:rPr>
        <w:t>would have increased its annual revenues by $</w:t>
      </w:r>
      <w:r w:rsidR="00C2611D" w:rsidRPr="0029748B">
        <w:rPr>
          <w:sz w:val="26"/>
          <w:szCs w:val="26"/>
        </w:rPr>
        <w:t>211,793</w:t>
      </w:r>
      <w:r w:rsidRPr="0029748B">
        <w:rPr>
          <w:sz w:val="26"/>
          <w:szCs w:val="26"/>
        </w:rPr>
        <w:t xml:space="preserve">, or </w:t>
      </w:r>
      <w:r w:rsidR="00C2611D" w:rsidRPr="0029748B">
        <w:rPr>
          <w:sz w:val="26"/>
          <w:szCs w:val="26"/>
        </w:rPr>
        <w:t>158.63</w:t>
      </w:r>
      <w:r w:rsidRPr="0029748B">
        <w:rPr>
          <w:sz w:val="26"/>
          <w:szCs w:val="26"/>
        </w:rPr>
        <w:t xml:space="preserve">%, based on </w:t>
      </w:r>
      <w:r w:rsidR="00AD6736" w:rsidRPr="0029748B">
        <w:rPr>
          <w:sz w:val="26"/>
          <w:szCs w:val="26"/>
        </w:rPr>
        <w:t xml:space="preserve">the historic test year </w:t>
      </w:r>
      <w:r w:rsidR="00156157" w:rsidRPr="0029748B">
        <w:rPr>
          <w:sz w:val="26"/>
          <w:szCs w:val="26"/>
        </w:rPr>
        <w:t>(HTY)</w:t>
      </w:r>
      <w:r w:rsidR="00AD6736" w:rsidRPr="0029748B">
        <w:rPr>
          <w:sz w:val="26"/>
          <w:szCs w:val="26"/>
        </w:rPr>
        <w:t xml:space="preserve"> ending March 31, 2019</w:t>
      </w:r>
      <w:r w:rsidRPr="0029748B">
        <w:rPr>
          <w:sz w:val="26"/>
          <w:szCs w:val="26"/>
        </w:rPr>
        <w:t xml:space="preserve">.  </w:t>
      </w:r>
      <w:r w:rsidR="00F46C85" w:rsidRPr="0029748B">
        <w:rPr>
          <w:sz w:val="26"/>
          <w:szCs w:val="26"/>
        </w:rPr>
        <w:t>While the Company requested approval of an overall rate of return of 9</w:t>
      </w:r>
      <w:r w:rsidR="00C110B2" w:rsidRPr="0029748B">
        <w:rPr>
          <w:sz w:val="26"/>
          <w:szCs w:val="26"/>
        </w:rPr>
        <w:t>.0</w:t>
      </w:r>
      <w:r w:rsidR="00F46C85" w:rsidRPr="0029748B">
        <w:rPr>
          <w:sz w:val="26"/>
          <w:szCs w:val="26"/>
        </w:rPr>
        <w:t xml:space="preserve">%, with a cost of common equity </w:t>
      </w:r>
      <w:r w:rsidR="00156157" w:rsidRPr="0029748B">
        <w:rPr>
          <w:sz w:val="26"/>
          <w:szCs w:val="26"/>
        </w:rPr>
        <w:t>(COE)</w:t>
      </w:r>
      <w:r w:rsidR="00F46C85" w:rsidRPr="0029748B">
        <w:rPr>
          <w:sz w:val="26"/>
          <w:szCs w:val="26"/>
        </w:rPr>
        <w:t xml:space="preserve"> of 11</w:t>
      </w:r>
      <w:r w:rsidR="00C110B2" w:rsidRPr="0029748B">
        <w:rPr>
          <w:sz w:val="26"/>
          <w:szCs w:val="26"/>
        </w:rPr>
        <w:t>.0</w:t>
      </w:r>
      <w:r w:rsidR="00F46C85" w:rsidRPr="0029748B">
        <w:rPr>
          <w:sz w:val="26"/>
          <w:szCs w:val="26"/>
        </w:rPr>
        <w:t>%, by this</w:t>
      </w:r>
      <w:r w:rsidR="005F4E77" w:rsidRPr="0029748B">
        <w:rPr>
          <w:sz w:val="26"/>
          <w:szCs w:val="26"/>
        </w:rPr>
        <w:t xml:space="preserve"> Opinion and Order, </w:t>
      </w:r>
      <w:r w:rsidR="00F46C85" w:rsidRPr="0029748B">
        <w:rPr>
          <w:sz w:val="26"/>
          <w:szCs w:val="26"/>
        </w:rPr>
        <w:t xml:space="preserve">we shall approve an overall rate of return of 8.12% with a </w:t>
      </w:r>
      <w:r w:rsidR="00156157" w:rsidRPr="0029748B">
        <w:rPr>
          <w:sz w:val="26"/>
          <w:szCs w:val="26"/>
        </w:rPr>
        <w:t>COE</w:t>
      </w:r>
      <w:r w:rsidR="00F46C85" w:rsidRPr="0029748B">
        <w:rPr>
          <w:sz w:val="26"/>
          <w:szCs w:val="26"/>
        </w:rPr>
        <w:t xml:space="preserve"> of 9.23%.  </w:t>
      </w:r>
      <w:r w:rsidR="005F4E77" w:rsidRPr="0029748B">
        <w:rPr>
          <w:sz w:val="26"/>
          <w:szCs w:val="26"/>
        </w:rPr>
        <w:t xml:space="preserve">Therefore, by our Order, </w:t>
      </w:r>
      <w:r w:rsidRPr="0029748B">
        <w:rPr>
          <w:sz w:val="26"/>
          <w:szCs w:val="26"/>
        </w:rPr>
        <w:t xml:space="preserve">we shall approve </w:t>
      </w:r>
      <w:r w:rsidR="005F4E77" w:rsidRPr="0029748B">
        <w:rPr>
          <w:sz w:val="26"/>
          <w:szCs w:val="26"/>
        </w:rPr>
        <w:t xml:space="preserve">an annual revenue increase for the Company in the amount of </w:t>
      </w:r>
      <w:r w:rsidRPr="0029748B">
        <w:rPr>
          <w:sz w:val="26"/>
          <w:szCs w:val="26"/>
        </w:rPr>
        <w:t>$</w:t>
      </w:r>
      <w:r w:rsidR="00C110B2" w:rsidRPr="0029748B">
        <w:rPr>
          <w:sz w:val="26"/>
          <w:szCs w:val="26"/>
        </w:rPr>
        <w:t>117, 374</w:t>
      </w:r>
      <w:r w:rsidR="00AD6736" w:rsidRPr="0029748B">
        <w:rPr>
          <w:sz w:val="26"/>
          <w:szCs w:val="26"/>
        </w:rPr>
        <w:t>, or 8</w:t>
      </w:r>
      <w:r w:rsidR="00C110B2" w:rsidRPr="0029748B">
        <w:rPr>
          <w:sz w:val="26"/>
          <w:szCs w:val="26"/>
        </w:rPr>
        <w:t>7.91</w:t>
      </w:r>
      <w:r w:rsidR="00AD6736" w:rsidRPr="0029748B">
        <w:rPr>
          <w:sz w:val="26"/>
          <w:szCs w:val="26"/>
        </w:rPr>
        <w:t>%.</w:t>
      </w:r>
      <w:r w:rsidR="00F46C85" w:rsidRPr="0029748B">
        <w:rPr>
          <w:sz w:val="26"/>
          <w:szCs w:val="26"/>
        </w:rPr>
        <w:t xml:space="preserve">  </w:t>
      </w:r>
      <w:r w:rsidR="00AD6736" w:rsidRPr="0029748B">
        <w:rPr>
          <w:sz w:val="26"/>
          <w:szCs w:val="26"/>
        </w:rPr>
        <w:t xml:space="preserve">Because we adopt a rate increase which is less than the full amount requested by the Company, this Opinion and Order directs Twin Lakes to scale back its </w:t>
      </w:r>
      <w:r w:rsidR="00AB2AC3" w:rsidRPr="0029748B">
        <w:rPr>
          <w:sz w:val="26"/>
          <w:szCs w:val="26"/>
        </w:rPr>
        <w:t xml:space="preserve">fixed and volumetric rates </w:t>
      </w:r>
      <w:r w:rsidR="008F7FEE" w:rsidRPr="0029748B">
        <w:rPr>
          <w:sz w:val="26"/>
          <w:szCs w:val="26"/>
        </w:rPr>
        <w:t xml:space="preserve">to correspond </w:t>
      </w:r>
      <w:r w:rsidR="00AD6736" w:rsidRPr="0029748B">
        <w:rPr>
          <w:sz w:val="26"/>
          <w:szCs w:val="26"/>
        </w:rPr>
        <w:t>proportionally</w:t>
      </w:r>
      <w:r w:rsidR="00153B20" w:rsidRPr="0029748B">
        <w:rPr>
          <w:sz w:val="26"/>
          <w:szCs w:val="26"/>
        </w:rPr>
        <w:t xml:space="preserve"> </w:t>
      </w:r>
      <w:r w:rsidR="008F7FEE" w:rsidRPr="0029748B">
        <w:rPr>
          <w:sz w:val="26"/>
          <w:szCs w:val="26"/>
        </w:rPr>
        <w:t>with</w:t>
      </w:r>
      <w:r w:rsidR="00AD6736" w:rsidRPr="0029748B">
        <w:rPr>
          <w:sz w:val="26"/>
          <w:szCs w:val="26"/>
        </w:rPr>
        <w:t xml:space="preserve"> the percent increase </w:t>
      </w:r>
      <w:r w:rsidR="008F7FEE" w:rsidRPr="0029748B">
        <w:rPr>
          <w:sz w:val="26"/>
          <w:szCs w:val="26"/>
        </w:rPr>
        <w:t>originally requested</w:t>
      </w:r>
      <w:r w:rsidR="00AD6736" w:rsidRPr="0029748B">
        <w:rPr>
          <w:sz w:val="26"/>
          <w:szCs w:val="26"/>
        </w:rPr>
        <w:t>.</w:t>
      </w:r>
      <w:bookmarkStart w:id="0" w:name="_Toc522887309"/>
      <w:bookmarkStart w:id="1" w:name="_Toc524347669"/>
      <w:r w:rsidR="00F46C85" w:rsidRPr="0029748B">
        <w:rPr>
          <w:sz w:val="26"/>
          <w:szCs w:val="26"/>
        </w:rPr>
        <w:t xml:space="preserve">  </w:t>
      </w:r>
      <w:r w:rsidR="00D53843" w:rsidRPr="0029748B">
        <w:rPr>
          <w:sz w:val="26"/>
          <w:szCs w:val="26"/>
        </w:rPr>
        <w:t xml:space="preserve">By </w:t>
      </w:r>
      <w:r w:rsidR="00F514DA" w:rsidRPr="0029748B">
        <w:rPr>
          <w:sz w:val="26"/>
          <w:szCs w:val="26"/>
        </w:rPr>
        <w:t xml:space="preserve">this Order </w:t>
      </w:r>
      <w:r w:rsidR="00F46C85" w:rsidRPr="0029748B">
        <w:rPr>
          <w:sz w:val="26"/>
          <w:szCs w:val="26"/>
        </w:rPr>
        <w:t xml:space="preserve">we </w:t>
      </w:r>
      <w:bookmarkStart w:id="2" w:name="_Hlk34806552"/>
      <w:r w:rsidR="00481C21" w:rsidRPr="0029748B">
        <w:rPr>
          <w:sz w:val="26"/>
          <w:szCs w:val="26"/>
        </w:rPr>
        <w:t xml:space="preserve">shall </w:t>
      </w:r>
      <w:r w:rsidR="00D53843" w:rsidRPr="0029748B">
        <w:rPr>
          <w:sz w:val="26"/>
          <w:szCs w:val="26"/>
        </w:rPr>
        <w:t xml:space="preserve">also </w:t>
      </w:r>
      <w:r w:rsidR="00481C21" w:rsidRPr="0029748B">
        <w:rPr>
          <w:sz w:val="26"/>
          <w:szCs w:val="26"/>
        </w:rPr>
        <w:t>direct that the Company</w:t>
      </w:r>
      <w:r w:rsidR="00D53843" w:rsidRPr="0029748B">
        <w:rPr>
          <w:sz w:val="26"/>
          <w:szCs w:val="26"/>
        </w:rPr>
        <w:t xml:space="preserve"> report to the Commission </w:t>
      </w:r>
      <w:r w:rsidR="00F514DA" w:rsidRPr="0029748B">
        <w:rPr>
          <w:sz w:val="26"/>
          <w:szCs w:val="26"/>
        </w:rPr>
        <w:t xml:space="preserve">regarding </w:t>
      </w:r>
      <w:r w:rsidR="00D53843" w:rsidRPr="0029748B">
        <w:rPr>
          <w:sz w:val="26"/>
          <w:szCs w:val="26"/>
        </w:rPr>
        <w:t xml:space="preserve">the affirmative steps taken by the Company to </w:t>
      </w:r>
      <w:r w:rsidR="00606A00" w:rsidRPr="0029748B">
        <w:rPr>
          <w:sz w:val="26"/>
          <w:szCs w:val="26"/>
        </w:rPr>
        <w:t xml:space="preserve">obtain low-cost debt to </w:t>
      </w:r>
      <w:r w:rsidR="00D53843" w:rsidRPr="0029748B">
        <w:rPr>
          <w:sz w:val="26"/>
          <w:szCs w:val="26"/>
        </w:rPr>
        <w:t>reduce the approve</w:t>
      </w:r>
      <w:r w:rsidR="00606A00" w:rsidRPr="0029748B">
        <w:rPr>
          <w:sz w:val="26"/>
          <w:szCs w:val="26"/>
        </w:rPr>
        <w:t>d</w:t>
      </w:r>
      <w:r w:rsidR="00D53843" w:rsidRPr="0029748B">
        <w:rPr>
          <w:sz w:val="26"/>
          <w:szCs w:val="26"/>
        </w:rPr>
        <w:t xml:space="preserve"> cost of debt rate of 7.0%.  Finally, we shall direct that the Company report to the Commission on </w:t>
      </w:r>
      <w:r w:rsidR="00606A00" w:rsidRPr="0029748B">
        <w:rPr>
          <w:sz w:val="26"/>
          <w:szCs w:val="26"/>
        </w:rPr>
        <w:t xml:space="preserve">its </w:t>
      </w:r>
      <w:r w:rsidR="00D53843" w:rsidRPr="0029748B">
        <w:rPr>
          <w:sz w:val="26"/>
          <w:szCs w:val="26"/>
        </w:rPr>
        <w:t>progress in implement</w:t>
      </w:r>
      <w:r w:rsidR="00606A00" w:rsidRPr="0029748B">
        <w:rPr>
          <w:sz w:val="26"/>
          <w:szCs w:val="26"/>
        </w:rPr>
        <w:t xml:space="preserve">ing </w:t>
      </w:r>
      <w:r w:rsidR="00D53843" w:rsidRPr="0029748B">
        <w:rPr>
          <w:sz w:val="26"/>
          <w:szCs w:val="26"/>
        </w:rPr>
        <w:t xml:space="preserve">the </w:t>
      </w:r>
      <w:r w:rsidR="00F514DA" w:rsidRPr="0029748B">
        <w:rPr>
          <w:sz w:val="26"/>
          <w:szCs w:val="26"/>
        </w:rPr>
        <w:t>planned capital investments for repair and improvement of critical infrastructure</w:t>
      </w:r>
      <w:r w:rsidR="00481C21" w:rsidRPr="0029748B">
        <w:rPr>
          <w:sz w:val="26"/>
          <w:szCs w:val="26"/>
        </w:rPr>
        <w:t xml:space="preserve"> </w:t>
      </w:r>
      <w:r w:rsidR="00F514DA" w:rsidRPr="0029748B">
        <w:rPr>
          <w:sz w:val="26"/>
          <w:szCs w:val="26"/>
        </w:rPr>
        <w:t xml:space="preserve">necessary to ensure safe, reliable, and </w:t>
      </w:r>
      <w:r w:rsidR="00166110" w:rsidRPr="0029748B">
        <w:rPr>
          <w:sz w:val="26"/>
          <w:szCs w:val="26"/>
        </w:rPr>
        <w:t xml:space="preserve">reasonable </w:t>
      </w:r>
      <w:r w:rsidR="00F514DA" w:rsidRPr="0029748B">
        <w:rPr>
          <w:sz w:val="26"/>
          <w:szCs w:val="26"/>
        </w:rPr>
        <w:t>water service to its customers.</w:t>
      </w:r>
      <w:bookmarkEnd w:id="2"/>
    </w:p>
    <w:p w14:paraId="2B360C61" w14:textId="77777777" w:rsidR="00631E30" w:rsidRPr="0029748B" w:rsidRDefault="00631E30" w:rsidP="0029748B">
      <w:pPr>
        <w:widowControl/>
        <w:spacing w:line="360" w:lineRule="auto"/>
        <w:rPr>
          <w:b/>
          <w:bCs/>
          <w:sz w:val="26"/>
          <w:szCs w:val="26"/>
        </w:rPr>
      </w:pPr>
    </w:p>
    <w:p w14:paraId="5385BFD3" w14:textId="77777777" w:rsidR="00802EFC" w:rsidRPr="0029748B" w:rsidRDefault="00802EFC" w:rsidP="0029748B">
      <w:pPr>
        <w:pStyle w:val="Heading1"/>
        <w:keepNext w:val="0"/>
        <w:numPr>
          <w:ilvl w:val="0"/>
          <w:numId w:val="2"/>
        </w:numPr>
        <w:ind w:left="0" w:firstLine="0"/>
      </w:pPr>
      <w:bookmarkStart w:id="3" w:name="_Toc35324683"/>
      <w:bookmarkStart w:id="4" w:name="_Toc35328836"/>
      <w:r w:rsidRPr="0029748B">
        <w:t>Background</w:t>
      </w:r>
      <w:bookmarkEnd w:id="0"/>
      <w:bookmarkEnd w:id="1"/>
      <w:bookmarkEnd w:id="3"/>
      <w:bookmarkEnd w:id="4"/>
    </w:p>
    <w:p w14:paraId="4D1CF2A5" w14:textId="77777777" w:rsidR="00F2483A" w:rsidRPr="0029748B" w:rsidRDefault="00F2483A" w:rsidP="0029748B">
      <w:pPr>
        <w:widowControl/>
        <w:spacing w:line="360" w:lineRule="auto"/>
        <w:contextualSpacing/>
        <w:rPr>
          <w:sz w:val="26"/>
          <w:szCs w:val="26"/>
        </w:rPr>
      </w:pPr>
    </w:p>
    <w:p w14:paraId="6A957A7B" w14:textId="77777777" w:rsidR="009B0112" w:rsidRPr="0029748B" w:rsidRDefault="00AD6736" w:rsidP="0029748B">
      <w:pPr>
        <w:widowControl/>
        <w:spacing w:line="360" w:lineRule="auto"/>
        <w:ind w:right="144" w:firstLine="1440"/>
        <w:contextualSpacing/>
        <w:textAlignment w:val="baseline"/>
        <w:rPr>
          <w:color w:val="000000"/>
          <w:sz w:val="26"/>
          <w:szCs w:val="26"/>
        </w:rPr>
      </w:pPr>
      <w:r w:rsidRPr="0029748B">
        <w:rPr>
          <w:color w:val="000000"/>
          <w:sz w:val="26"/>
          <w:szCs w:val="26"/>
        </w:rPr>
        <w:t xml:space="preserve">Twin Lakes </w:t>
      </w:r>
      <w:r w:rsidR="009B0112" w:rsidRPr="0029748B">
        <w:rPr>
          <w:color w:val="000000"/>
          <w:sz w:val="26"/>
          <w:szCs w:val="26"/>
        </w:rPr>
        <w:t xml:space="preserve">provides </w:t>
      </w:r>
      <w:r w:rsidR="001B67C0" w:rsidRPr="0029748B">
        <w:rPr>
          <w:color w:val="000000"/>
          <w:sz w:val="26"/>
          <w:szCs w:val="26"/>
        </w:rPr>
        <w:t xml:space="preserve">jurisdictional water </w:t>
      </w:r>
      <w:r w:rsidR="009B0112" w:rsidRPr="0029748B">
        <w:rPr>
          <w:color w:val="000000"/>
          <w:sz w:val="26"/>
          <w:szCs w:val="26"/>
        </w:rPr>
        <w:t xml:space="preserve">distribution services to approximately </w:t>
      </w:r>
      <w:r w:rsidR="001B67C0" w:rsidRPr="0029748B">
        <w:rPr>
          <w:color w:val="000000"/>
          <w:sz w:val="26"/>
          <w:szCs w:val="26"/>
        </w:rPr>
        <w:t xml:space="preserve">114 </w:t>
      </w:r>
      <w:r w:rsidR="009B0112" w:rsidRPr="0029748B">
        <w:rPr>
          <w:color w:val="000000"/>
          <w:sz w:val="26"/>
          <w:szCs w:val="26"/>
        </w:rPr>
        <w:t xml:space="preserve">residential customers in </w:t>
      </w:r>
      <w:r w:rsidR="001B67C0" w:rsidRPr="0029748B">
        <w:rPr>
          <w:color w:val="000000"/>
          <w:sz w:val="26"/>
          <w:szCs w:val="26"/>
        </w:rPr>
        <w:t>the service territory of Pike County, in the Commonwealth of Pennsylvania</w:t>
      </w:r>
      <w:r w:rsidR="009B0112" w:rsidRPr="0029748B">
        <w:rPr>
          <w:color w:val="000000"/>
          <w:sz w:val="26"/>
          <w:szCs w:val="26"/>
        </w:rPr>
        <w:t xml:space="preserve">. </w:t>
      </w:r>
      <w:r w:rsidR="00F2483A" w:rsidRPr="0029748B">
        <w:rPr>
          <w:color w:val="000000"/>
          <w:sz w:val="26"/>
          <w:szCs w:val="26"/>
        </w:rPr>
        <w:t xml:space="preserve"> </w:t>
      </w:r>
      <w:r w:rsidR="001B67C0" w:rsidRPr="0029748B">
        <w:rPr>
          <w:color w:val="000000"/>
          <w:sz w:val="26"/>
          <w:szCs w:val="26"/>
        </w:rPr>
        <w:t xml:space="preserve">Twin Lakes </w:t>
      </w:r>
      <w:r w:rsidR="009B0112" w:rsidRPr="0029748B">
        <w:rPr>
          <w:color w:val="000000"/>
          <w:sz w:val="26"/>
          <w:szCs w:val="26"/>
        </w:rPr>
        <w:t xml:space="preserve">maintains </w:t>
      </w:r>
      <w:r w:rsidR="001B67C0" w:rsidRPr="0029748B">
        <w:rPr>
          <w:color w:val="000000"/>
          <w:sz w:val="26"/>
          <w:szCs w:val="26"/>
        </w:rPr>
        <w:t>a water distribution system consisting of: one functional well (Well No. 2);</w:t>
      </w:r>
      <w:r w:rsidR="00C916B7" w:rsidRPr="0029748B">
        <w:rPr>
          <w:color w:val="000000"/>
          <w:sz w:val="26"/>
          <w:szCs w:val="26"/>
        </w:rPr>
        <w:t xml:space="preserve"> </w:t>
      </w:r>
      <w:r w:rsidR="001B67C0" w:rsidRPr="0029748B">
        <w:rPr>
          <w:color w:val="000000"/>
          <w:sz w:val="26"/>
          <w:szCs w:val="26"/>
        </w:rPr>
        <w:t>one non-functional well (Well No. 1); a small treatment/pumping station with an integral atmospheric 20,000 gallon storage tank; approximately 3.7 miles of water main of various diameters; and, an approximate combined 120 active and inactive services.</w:t>
      </w:r>
      <w:r w:rsidR="009B0112" w:rsidRPr="0029748B">
        <w:rPr>
          <w:color w:val="000000"/>
          <w:sz w:val="26"/>
          <w:szCs w:val="26"/>
        </w:rPr>
        <w:t xml:space="preserve"> </w:t>
      </w:r>
      <w:r w:rsidR="00F2483A" w:rsidRPr="0029748B">
        <w:rPr>
          <w:color w:val="000000"/>
          <w:sz w:val="26"/>
          <w:szCs w:val="26"/>
        </w:rPr>
        <w:t xml:space="preserve"> The Company</w:t>
      </w:r>
      <w:r w:rsidR="009B0112" w:rsidRPr="0029748B">
        <w:rPr>
          <w:color w:val="000000"/>
          <w:sz w:val="26"/>
          <w:szCs w:val="26"/>
        </w:rPr>
        <w:t xml:space="preserve"> is a public utility and </w:t>
      </w:r>
      <w:r w:rsidR="001B67C0" w:rsidRPr="0029748B">
        <w:rPr>
          <w:color w:val="000000"/>
          <w:sz w:val="26"/>
          <w:szCs w:val="26"/>
        </w:rPr>
        <w:lastRenderedPageBreak/>
        <w:t xml:space="preserve">jurisdictional water </w:t>
      </w:r>
      <w:r w:rsidR="009B0112" w:rsidRPr="0029748B">
        <w:rPr>
          <w:color w:val="000000"/>
          <w:sz w:val="26"/>
          <w:szCs w:val="26"/>
        </w:rPr>
        <w:t>distribution company as those terms are defined in the Pennsylvania Public Utility Code</w:t>
      </w:r>
      <w:r w:rsidR="007E7DA8" w:rsidRPr="0029748B">
        <w:rPr>
          <w:color w:val="000000"/>
          <w:sz w:val="26"/>
          <w:szCs w:val="26"/>
        </w:rPr>
        <w:t xml:space="preserve"> (Code)</w:t>
      </w:r>
      <w:r w:rsidR="009B0112" w:rsidRPr="0029748B">
        <w:rPr>
          <w:color w:val="000000"/>
          <w:sz w:val="26"/>
          <w:szCs w:val="26"/>
        </w:rPr>
        <w:t>, 66 Pa. C.S. § 102.</w:t>
      </w:r>
    </w:p>
    <w:p w14:paraId="0388B906" w14:textId="77777777" w:rsidR="00F2483A" w:rsidRPr="0029748B" w:rsidRDefault="00F2483A" w:rsidP="0029748B">
      <w:pPr>
        <w:widowControl/>
        <w:spacing w:line="360" w:lineRule="auto"/>
        <w:ind w:right="144" w:firstLine="1440"/>
        <w:contextualSpacing/>
        <w:textAlignment w:val="baseline"/>
        <w:rPr>
          <w:color w:val="000000"/>
          <w:sz w:val="26"/>
          <w:szCs w:val="26"/>
        </w:rPr>
      </w:pPr>
    </w:p>
    <w:p w14:paraId="2F2EC3B8" w14:textId="77777777" w:rsidR="009B0112" w:rsidRPr="0029748B" w:rsidRDefault="00153B20" w:rsidP="0029748B">
      <w:pPr>
        <w:widowControl/>
        <w:spacing w:line="360" w:lineRule="auto"/>
        <w:ind w:right="72" w:firstLine="1440"/>
        <w:contextualSpacing/>
        <w:textAlignment w:val="baseline"/>
        <w:rPr>
          <w:color w:val="000000"/>
          <w:sz w:val="26"/>
          <w:szCs w:val="26"/>
        </w:rPr>
      </w:pPr>
      <w:r w:rsidRPr="0029748B">
        <w:rPr>
          <w:color w:val="000000"/>
          <w:sz w:val="26"/>
          <w:szCs w:val="26"/>
        </w:rPr>
        <w:t xml:space="preserve">As noted previously, </w:t>
      </w:r>
      <w:r w:rsidR="001B67C0" w:rsidRPr="0029748B">
        <w:rPr>
          <w:color w:val="000000"/>
          <w:sz w:val="26"/>
          <w:szCs w:val="26"/>
        </w:rPr>
        <w:t xml:space="preserve">Twin Lakes </w:t>
      </w:r>
      <w:r w:rsidR="00F2483A" w:rsidRPr="0029748B">
        <w:rPr>
          <w:color w:val="000000"/>
          <w:sz w:val="26"/>
          <w:szCs w:val="26"/>
        </w:rPr>
        <w:t>seeks</w:t>
      </w:r>
      <w:r w:rsidR="009B0112" w:rsidRPr="0029748B">
        <w:rPr>
          <w:color w:val="000000"/>
          <w:sz w:val="26"/>
          <w:szCs w:val="26"/>
        </w:rPr>
        <w:t xml:space="preserve"> approval of an increase in its annual jurisdictional operating revenues of $</w:t>
      </w:r>
      <w:r w:rsidR="00455134" w:rsidRPr="0029748B">
        <w:rPr>
          <w:color w:val="000000"/>
          <w:sz w:val="26"/>
          <w:szCs w:val="26"/>
        </w:rPr>
        <w:t>211,793, or 158.63%</w:t>
      </w:r>
      <w:r w:rsidR="00606A00" w:rsidRPr="0029748B">
        <w:rPr>
          <w:color w:val="000000"/>
          <w:sz w:val="26"/>
          <w:szCs w:val="26"/>
        </w:rPr>
        <w:t xml:space="preserve"> above present revenues</w:t>
      </w:r>
      <w:r w:rsidR="00455134" w:rsidRPr="0029748B">
        <w:rPr>
          <w:color w:val="000000"/>
          <w:sz w:val="26"/>
          <w:szCs w:val="26"/>
        </w:rPr>
        <w:t xml:space="preserve">. </w:t>
      </w:r>
      <w:r w:rsidR="00F2483A" w:rsidRPr="0029748B">
        <w:rPr>
          <w:color w:val="000000"/>
          <w:sz w:val="26"/>
          <w:szCs w:val="26"/>
        </w:rPr>
        <w:t xml:space="preserve"> The Company</w:t>
      </w:r>
      <w:r w:rsidR="009B0112" w:rsidRPr="0029748B">
        <w:rPr>
          <w:color w:val="000000"/>
          <w:sz w:val="26"/>
          <w:szCs w:val="26"/>
        </w:rPr>
        <w:t>’s requested increase is based on a</w:t>
      </w:r>
      <w:r w:rsidR="00032A04" w:rsidRPr="0029748B">
        <w:rPr>
          <w:color w:val="000000"/>
          <w:sz w:val="26"/>
          <w:szCs w:val="26"/>
        </w:rPr>
        <w:t xml:space="preserve">n </w:t>
      </w:r>
      <w:r w:rsidR="00AE1443" w:rsidRPr="0029748B">
        <w:rPr>
          <w:color w:val="000000"/>
          <w:sz w:val="26"/>
          <w:szCs w:val="26"/>
        </w:rPr>
        <w:t>H</w:t>
      </w:r>
      <w:r w:rsidR="00AB2AC3" w:rsidRPr="0029748B">
        <w:rPr>
          <w:color w:val="000000"/>
          <w:sz w:val="26"/>
          <w:szCs w:val="26"/>
        </w:rPr>
        <w:t xml:space="preserve">TY </w:t>
      </w:r>
      <w:r w:rsidR="009B0112" w:rsidRPr="0029748B">
        <w:rPr>
          <w:color w:val="000000"/>
          <w:sz w:val="26"/>
          <w:szCs w:val="26"/>
        </w:rPr>
        <w:t xml:space="preserve">ending </w:t>
      </w:r>
      <w:r w:rsidR="00032A04" w:rsidRPr="0029748B">
        <w:rPr>
          <w:color w:val="000000"/>
          <w:sz w:val="26"/>
          <w:szCs w:val="26"/>
        </w:rPr>
        <w:t>March 31, 2019</w:t>
      </w:r>
      <w:r w:rsidR="009B0112" w:rsidRPr="0029748B">
        <w:rPr>
          <w:color w:val="000000"/>
          <w:sz w:val="26"/>
          <w:szCs w:val="26"/>
        </w:rPr>
        <w:t xml:space="preserve"> and is designed to provide the Company with an opportunity to earn a </w:t>
      </w:r>
      <w:r w:rsidR="00AE1F33" w:rsidRPr="0029748B">
        <w:rPr>
          <w:color w:val="000000"/>
          <w:sz w:val="26"/>
          <w:szCs w:val="26"/>
        </w:rPr>
        <w:t>9</w:t>
      </w:r>
      <w:r w:rsidR="009B0112" w:rsidRPr="0029748B">
        <w:rPr>
          <w:color w:val="000000"/>
          <w:sz w:val="26"/>
          <w:szCs w:val="26"/>
        </w:rPr>
        <w:t>% overall rate of return, including an 11% return on equity, on a claimed rate base of $</w:t>
      </w:r>
      <w:r w:rsidR="00AE1443" w:rsidRPr="0029748B">
        <w:rPr>
          <w:color w:val="000000"/>
          <w:sz w:val="26"/>
          <w:szCs w:val="26"/>
        </w:rPr>
        <w:t>1,307,710.</w:t>
      </w:r>
      <w:r w:rsidR="00C916B7" w:rsidRPr="0029748B">
        <w:rPr>
          <w:color w:val="000000"/>
          <w:sz w:val="26"/>
          <w:szCs w:val="26"/>
        </w:rPr>
        <w:t xml:space="preserve"> </w:t>
      </w:r>
      <w:r w:rsidR="009B0112" w:rsidRPr="0029748B">
        <w:rPr>
          <w:color w:val="000000"/>
          <w:sz w:val="26"/>
          <w:szCs w:val="26"/>
        </w:rPr>
        <w:t xml:space="preserve"> </w:t>
      </w:r>
    </w:p>
    <w:p w14:paraId="30172796" w14:textId="77777777" w:rsidR="00F2483A" w:rsidRPr="0029748B" w:rsidRDefault="00F2483A" w:rsidP="0029748B">
      <w:pPr>
        <w:widowControl/>
        <w:spacing w:line="360" w:lineRule="auto"/>
        <w:ind w:right="72" w:firstLine="1440"/>
        <w:contextualSpacing/>
        <w:textAlignment w:val="baseline"/>
        <w:rPr>
          <w:color w:val="000000"/>
          <w:sz w:val="26"/>
          <w:szCs w:val="26"/>
        </w:rPr>
      </w:pPr>
    </w:p>
    <w:p w14:paraId="035672BF" w14:textId="77777777" w:rsidR="009F7083" w:rsidRPr="0029748B" w:rsidRDefault="00032A04" w:rsidP="0029748B">
      <w:pPr>
        <w:widowControl/>
        <w:spacing w:line="360" w:lineRule="auto"/>
        <w:ind w:right="72" w:firstLine="1440"/>
        <w:contextualSpacing/>
        <w:textAlignment w:val="baseline"/>
        <w:rPr>
          <w:b/>
          <w:sz w:val="26"/>
          <w:szCs w:val="26"/>
        </w:rPr>
      </w:pPr>
      <w:r w:rsidRPr="0029748B">
        <w:rPr>
          <w:color w:val="000000"/>
          <w:sz w:val="26"/>
          <w:szCs w:val="26"/>
        </w:rPr>
        <w:t xml:space="preserve">Twin Lakes </w:t>
      </w:r>
      <w:r w:rsidR="009B0112" w:rsidRPr="0029748B">
        <w:rPr>
          <w:color w:val="000000"/>
          <w:sz w:val="26"/>
          <w:szCs w:val="26"/>
        </w:rPr>
        <w:t xml:space="preserve">asserts that the requested rate increase reflects the business </w:t>
      </w:r>
      <w:r w:rsidR="00C916B7" w:rsidRPr="0029748B">
        <w:rPr>
          <w:color w:val="000000"/>
          <w:sz w:val="26"/>
          <w:szCs w:val="26"/>
        </w:rPr>
        <w:t xml:space="preserve">challenges </w:t>
      </w:r>
      <w:r w:rsidR="009B0112" w:rsidRPr="0029748B">
        <w:rPr>
          <w:color w:val="000000"/>
          <w:sz w:val="26"/>
          <w:szCs w:val="26"/>
        </w:rPr>
        <w:t>the Company currently faces, including</w:t>
      </w:r>
      <w:r w:rsidR="00153B20" w:rsidRPr="0029748B">
        <w:rPr>
          <w:color w:val="000000"/>
          <w:sz w:val="26"/>
          <w:szCs w:val="26"/>
        </w:rPr>
        <w:t>,</w:t>
      </w:r>
      <w:r w:rsidR="009B0112" w:rsidRPr="0029748B">
        <w:rPr>
          <w:color w:val="000000"/>
          <w:sz w:val="26"/>
          <w:szCs w:val="26"/>
        </w:rPr>
        <w:t xml:space="preserve"> </w:t>
      </w:r>
      <w:r w:rsidR="00C916B7" w:rsidRPr="0029748B">
        <w:rPr>
          <w:color w:val="000000"/>
          <w:sz w:val="26"/>
          <w:szCs w:val="26"/>
        </w:rPr>
        <w:t xml:space="preserve">required </w:t>
      </w:r>
      <w:r w:rsidR="009B0112" w:rsidRPr="0029748B">
        <w:rPr>
          <w:color w:val="000000"/>
          <w:sz w:val="26"/>
          <w:szCs w:val="26"/>
        </w:rPr>
        <w:t>investment</w:t>
      </w:r>
      <w:r w:rsidR="00C916B7" w:rsidRPr="0029748B">
        <w:rPr>
          <w:color w:val="000000"/>
          <w:sz w:val="26"/>
          <w:szCs w:val="26"/>
        </w:rPr>
        <w:t>s</w:t>
      </w:r>
      <w:r w:rsidR="009B0112" w:rsidRPr="0029748B">
        <w:rPr>
          <w:color w:val="000000"/>
          <w:sz w:val="26"/>
          <w:szCs w:val="26"/>
        </w:rPr>
        <w:t xml:space="preserve"> in the repair</w:t>
      </w:r>
      <w:r w:rsidR="00CB2017" w:rsidRPr="0029748B">
        <w:rPr>
          <w:color w:val="000000"/>
          <w:sz w:val="26"/>
          <w:szCs w:val="26"/>
        </w:rPr>
        <w:t>/</w:t>
      </w:r>
      <w:r w:rsidR="009B0112" w:rsidRPr="0029748B">
        <w:rPr>
          <w:color w:val="000000"/>
          <w:sz w:val="26"/>
          <w:szCs w:val="26"/>
        </w:rPr>
        <w:t xml:space="preserve">replacement or improvement of </w:t>
      </w:r>
      <w:r w:rsidR="00C916B7" w:rsidRPr="0029748B">
        <w:rPr>
          <w:color w:val="000000"/>
          <w:sz w:val="26"/>
          <w:szCs w:val="26"/>
        </w:rPr>
        <w:t xml:space="preserve">the </w:t>
      </w:r>
      <w:r w:rsidR="009B0112" w:rsidRPr="0029748B">
        <w:rPr>
          <w:color w:val="000000"/>
          <w:sz w:val="26"/>
          <w:szCs w:val="26"/>
        </w:rPr>
        <w:t>distribution system</w:t>
      </w:r>
      <w:r w:rsidR="00A77F18" w:rsidRPr="0029748B">
        <w:rPr>
          <w:color w:val="000000"/>
          <w:sz w:val="26"/>
          <w:szCs w:val="26"/>
        </w:rPr>
        <w:t>;</w:t>
      </w:r>
      <w:r w:rsidR="00C916B7" w:rsidRPr="0029748B">
        <w:rPr>
          <w:color w:val="000000"/>
          <w:sz w:val="26"/>
          <w:szCs w:val="26"/>
        </w:rPr>
        <w:t xml:space="preserve"> and the high costs associated with maintaining a distribution system while serving a small customer base. </w:t>
      </w:r>
      <w:r w:rsidRPr="0029748B">
        <w:rPr>
          <w:color w:val="000000"/>
          <w:sz w:val="26"/>
          <w:szCs w:val="26"/>
        </w:rPr>
        <w:t xml:space="preserve"> Twin Lakes </w:t>
      </w:r>
      <w:r w:rsidR="009B0112" w:rsidRPr="0029748B">
        <w:rPr>
          <w:color w:val="000000"/>
          <w:sz w:val="26"/>
          <w:szCs w:val="26"/>
        </w:rPr>
        <w:t xml:space="preserve">further asserts that </w:t>
      </w:r>
      <w:r w:rsidR="00C916B7" w:rsidRPr="0029748B">
        <w:rPr>
          <w:color w:val="000000"/>
          <w:sz w:val="26"/>
          <w:szCs w:val="26"/>
        </w:rPr>
        <w:t xml:space="preserve">continued </w:t>
      </w:r>
      <w:r w:rsidR="009B0112" w:rsidRPr="0029748B">
        <w:rPr>
          <w:color w:val="000000"/>
          <w:sz w:val="26"/>
          <w:szCs w:val="26"/>
        </w:rPr>
        <w:t xml:space="preserve">growth in operating and capital costs, along with </w:t>
      </w:r>
      <w:r w:rsidR="00153B20" w:rsidRPr="0029748B">
        <w:rPr>
          <w:color w:val="000000"/>
          <w:sz w:val="26"/>
          <w:szCs w:val="26"/>
        </w:rPr>
        <w:t xml:space="preserve">the </w:t>
      </w:r>
      <w:r w:rsidR="00C916B7" w:rsidRPr="0029748B">
        <w:rPr>
          <w:color w:val="000000"/>
          <w:sz w:val="26"/>
          <w:szCs w:val="26"/>
        </w:rPr>
        <w:t>inability to obtain low-cost credit as a stand</w:t>
      </w:r>
      <w:r w:rsidR="00063C56" w:rsidRPr="0029748B">
        <w:rPr>
          <w:color w:val="000000"/>
          <w:sz w:val="26"/>
          <w:szCs w:val="26"/>
        </w:rPr>
        <w:t>-</w:t>
      </w:r>
      <w:r w:rsidR="00C916B7" w:rsidRPr="0029748B">
        <w:rPr>
          <w:color w:val="000000"/>
          <w:sz w:val="26"/>
          <w:szCs w:val="26"/>
        </w:rPr>
        <w:t xml:space="preserve">alone </w:t>
      </w:r>
      <w:r w:rsidR="00063C56" w:rsidRPr="0029748B">
        <w:rPr>
          <w:color w:val="000000"/>
          <w:sz w:val="26"/>
          <w:szCs w:val="26"/>
        </w:rPr>
        <w:t xml:space="preserve">entity, </w:t>
      </w:r>
      <w:r w:rsidR="009B0112" w:rsidRPr="0029748B">
        <w:rPr>
          <w:color w:val="000000"/>
          <w:sz w:val="26"/>
          <w:szCs w:val="26"/>
        </w:rPr>
        <w:t xml:space="preserve">prevent it from earning a fair rate of return on its investment, at </w:t>
      </w:r>
      <w:r w:rsidR="0046278B" w:rsidRPr="0029748B">
        <w:rPr>
          <w:color w:val="000000"/>
          <w:sz w:val="26"/>
          <w:szCs w:val="26"/>
        </w:rPr>
        <w:t>current</w:t>
      </w:r>
      <w:r w:rsidR="009B0112" w:rsidRPr="0029748B">
        <w:rPr>
          <w:color w:val="000000"/>
          <w:sz w:val="26"/>
          <w:szCs w:val="26"/>
        </w:rPr>
        <w:t xml:space="preserve"> rate</w:t>
      </w:r>
      <w:r w:rsidR="0046278B" w:rsidRPr="0029748B">
        <w:rPr>
          <w:color w:val="000000"/>
          <w:sz w:val="26"/>
          <w:szCs w:val="26"/>
        </w:rPr>
        <w:t>s</w:t>
      </w:r>
      <w:r w:rsidR="009B0112" w:rsidRPr="0029748B">
        <w:rPr>
          <w:color w:val="000000"/>
          <w:sz w:val="26"/>
          <w:szCs w:val="26"/>
        </w:rPr>
        <w:t>.</w:t>
      </w:r>
    </w:p>
    <w:p w14:paraId="267CC748" w14:textId="77777777" w:rsidR="00AE1443" w:rsidRPr="0029748B" w:rsidRDefault="00AE1443" w:rsidP="0029748B">
      <w:pPr>
        <w:widowControl/>
        <w:spacing w:line="360" w:lineRule="auto"/>
        <w:ind w:right="72" w:firstLine="1440"/>
        <w:contextualSpacing/>
        <w:textAlignment w:val="baseline"/>
        <w:rPr>
          <w:b/>
          <w:sz w:val="26"/>
          <w:szCs w:val="26"/>
        </w:rPr>
      </w:pPr>
    </w:p>
    <w:p w14:paraId="1BF5C9FC" w14:textId="77777777" w:rsidR="001C2BF8" w:rsidRPr="0029748B" w:rsidRDefault="001C2BF8" w:rsidP="0029748B">
      <w:pPr>
        <w:pStyle w:val="ListParagraph"/>
        <w:widowControl/>
        <w:numPr>
          <w:ilvl w:val="0"/>
          <w:numId w:val="2"/>
        </w:numPr>
        <w:spacing w:line="360" w:lineRule="auto"/>
        <w:ind w:left="0" w:firstLine="0"/>
        <w:jc w:val="center"/>
        <w:outlineLvl w:val="0"/>
        <w:rPr>
          <w:b/>
          <w:sz w:val="26"/>
          <w:szCs w:val="26"/>
        </w:rPr>
      </w:pPr>
      <w:bookmarkStart w:id="5" w:name="_Toc35324684"/>
      <w:bookmarkStart w:id="6" w:name="_Toc35328837"/>
      <w:r w:rsidRPr="0029748B">
        <w:rPr>
          <w:b/>
          <w:sz w:val="26"/>
          <w:szCs w:val="26"/>
        </w:rPr>
        <w:t>History of Proceeding</w:t>
      </w:r>
      <w:bookmarkEnd w:id="5"/>
      <w:bookmarkEnd w:id="6"/>
    </w:p>
    <w:p w14:paraId="3F527E32" w14:textId="77777777" w:rsidR="001C2BF8" w:rsidRPr="0029748B" w:rsidRDefault="001C2BF8" w:rsidP="0029748B">
      <w:pPr>
        <w:pStyle w:val="ListParagraph"/>
        <w:widowControl/>
        <w:spacing w:line="360" w:lineRule="auto"/>
        <w:rPr>
          <w:b/>
          <w:sz w:val="26"/>
          <w:szCs w:val="26"/>
        </w:rPr>
      </w:pPr>
    </w:p>
    <w:p w14:paraId="5AC0201A" w14:textId="77777777" w:rsidR="00393923" w:rsidRPr="0029748B" w:rsidRDefault="00393923" w:rsidP="0029748B">
      <w:pPr>
        <w:widowControl/>
        <w:spacing w:line="360" w:lineRule="auto"/>
        <w:ind w:right="72" w:firstLine="1440"/>
        <w:contextualSpacing/>
        <w:textAlignment w:val="baseline"/>
        <w:rPr>
          <w:color w:val="000000"/>
          <w:sz w:val="26"/>
          <w:szCs w:val="26"/>
        </w:rPr>
      </w:pPr>
      <w:r w:rsidRPr="0029748B">
        <w:rPr>
          <w:color w:val="000000"/>
          <w:sz w:val="26"/>
          <w:szCs w:val="26"/>
        </w:rPr>
        <w:t xml:space="preserve">On </w:t>
      </w:r>
      <w:r w:rsidR="00032A04" w:rsidRPr="0029748B">
        <w:rPr>
          <w:color w:val="000000"/>
          <w:sz w:val="26"/>
          <w:szCs w:val="26"/>
        </w:rPr>
        <w:t xml:space="preserve">July 23, 2019, Twin Lakes </w:t>
      </w:r>
      <w:r w:rsidRPr="0029748B">
        <w:rPr>
          <w:color w:val="000000"/>
          <w:sz w:val="26"/>
          <w:szCs w:val="26"/>
        </w:rPr>
        <w:t xml:space="preserve">filed </w:t>
      </w:r>
      <w:r w:rsidR="00032A04" w:rsidRPr="0029748B">
        <w:rPr>
          <w:color w:val="000000"/>
          <w:sz w:val="26"/>
          <w:szCs w:val="26"/>
        </w:rPr>
        <w:t>Supplement No. 8 to Tariff Water-Pa. P.U.C. No. 4</w:t>
      </w:r>
      <w:r w:rsidR="00631E30" w:rsidRPr="0029748B">
        <w:rPr>
          <w:color w:val="000000"/>
          <w:sz w:val="26"/>
          <w:szCs w:val="26"/>
        </w:rPr>
        <w:t xml:space="preserve"> (Supplement No. 8)</w:t>
      </w:r>
      <w:r w:rsidR="00032A04" w:rsidRPr="0029748B">
        <w:rPr>
          <w:color w:val="000000"/>
          <w:sz w:val="26"/>
          <w:szCs w:val="26"/>
        </w:rPr>
        <w:t xml:space="preserve">, to become effective September 19, 2019. </w:t>
      </w:r>
      <w:r w:rsidR="00A04486" w:rsidRPr="0029748B">
        <w:rPr>
          <w:color w:val="000000"/>
          <w:sz w:val="26"/>
          <w:szCs w:val="26"/>
        </w:rPr>
        <w:t xml:space="preserve"> </w:t>
      </w:r>
      <w:r w:rsidRPr="0029748B">
        <w:rPr>
          <w:color w:val="000000"/>
          <w:sz w:val="26"/>
          <w:szCs w:val="26"/>
        </w:rPr>
        <w:t xml:space="preserve">In </w:t>
      </w:r>
      <w:r w:rsidR="00631E30" w:rsidRPr="0029748B">
        <w:rPr>
          <w:color w:val="000000"/>
          <w:sz w:val="26"/>
          <w:szCs w:val="26"/>
        </w:rPr>
        <w:t xml:space="preserve">Supplement </w:t>
      </w:r>
      <w:r w:rsidRPr="0029748B">
        <w:rPr>
          <w:color w:val="000000"/>
          <w:sz w:val="26"/>
          <w:szCs w:val="26"/>
        </w:rPr>
        <w:t xml:space="preserve">No. </w:t>
      </w:r>
      <w:r w:rsidR="00032A04" w:rsidRPr="0029748B">
        <w:rPr>
          <w:color w:val="000000"/>
          <w:sz w:val="26"/>
          <w:szCs w:val="26"/>
        </w:rPr>
        <w:t>8</w:t>
      </w:r>
      <w:r w:rsidRPr="0029748B">
        <w:rPr>
          <w:color w:val="000000"/>
          <w:sz w:val="26"/>
          <w:szCs w:val="26"/>
        </w:rPr>
        <w:t xml:space="preserve">, </w:t>
      </w:r>
      <w:r w:rsidR="00032A04" w:rsidRPr="0029748B">
        <w:rPr>
          <w:color w:val="000000"/>
          <w:sz w:val="26"/>
          <w:szCs w:val="26"/>
        </w:rPr>
        <w:t xml:space="preserve">Twin Lakes </w:t>
      </w:r>
      <w:r w:rsidRPr="0029748B">
        <w:rPr>
          <w:color w:val="000000"/>
          <w:sz w:val="26"/>
          <w:szCs w:val="26"/>
        </w:rPr>
        <w:t>proposed changes to its base retail distribution rates designed to produce an increase in revenues of approximately $</w:t>
      </w:r>
      <w:r w:rsidR="00AE1F33" w:rsidRPr="0029748B">
        <w:rPr>
          <w:color w:val="000000"/>
          <w:sz w:val="26"/>
          <w:szCs w:val="26"/>
        </w:rPr>
        <w:t>211,793</w:t>
      </w:r>
      <w:r w:rsidRPr="0029748B">
        <w:rPr>
          <w:color w:val="000000"/>
          <w:sz w:val="26"/>
          <w:szCs w:val="26"/>
        </w:rPr>
        <w:t xml:space="preserve">, based upon data for the </w:t>
      </w:r>
      <w:r w:rsidR="0046278B" w:rsidRPr="0029748B">
        <w:rPr>
          <w:color w:val="000000"/>
          <w:sz w:val="26"/>
          <w:szCs w:val="26"/>
        </w:rPr>
        <w:t>HTY</w:t>
      </w:r>
      <w:r w:rsidR="00032A04" w:rsidRPr="0029748B">
        <w:rPr>
          <w:color w:val="000000"/>
          <w:sz w:val="26"/>
          <w:szCs w:val="26"/>
        </w:rPr>
        <w:t xml:space="preserve"> ending March 31, 2019</w:t>
      </w:r>
      <w:r w:rsidRPr="0029748B">
        <w:rPr>
          <w:color w:val="000000"/>
          <w:sz w:val="26"/>
          <w:szCs w:val="26"/>
        </w:rPr>
        <w:t>.</w:t>
      </w:r>
    </w:p>
    <w:p w14:paraId="179C5A6B" w14:textId="77777777" w:rsidR="00A04486" w:rsidRPr="0029748B" w:rsidRDefault="00A04486" w:rsidP="0029748B">
      <w:pPr>
        <w:widowControl/>
        <w:spacing w:line="360" w:lineRule="auto"/>
        <w:ind w:right="72" w:firstLine="1440"/>
        <w:contextualSpacing/>
        <w:textAlignment w:val="baseline"/>
        <w:rPr>
          <w:color w:val="000000"/>
          <w:sz w:val="26"/>
          <w:szCs w:val="26"/>
        </w:rPr>
      </w:pPr>
    </w:p>
    <w:p w14:paraId="64456D98" w14:textId="77777777" w:rsidR="00A04486" w:rsidRPr="0029748B" w:rsidRDefault="009458F4" w:rsidP="0029748B">
      <w:pPr>
        <w:widowControl/>
        <w:spacing w:line="360" w:lineRule="auto"/>
        <w:ind w:right="72" w:firstLine="1440"/>
        <w:contextualSpacing/>
        <w:textAlignment w:val="baseline"/>
        <w:rPr>
          <w:color w:val="000000"/>
          <w:sz w:val="26"/>
          <w:szCs w:val="26"/>
        </w:rPr>
      </w:pPr>
      <w:r w:rsidRPr="0029748B">
        <w:rPr>
          <w:color w:val="000000"/>
          <w:sz w:val="26"/>
          <w:szCs w:val="26"/>
        </w:rPr>
        <w:t xml:space="preserve">By Order entered </w:t>
      </w:r>
      <w:r w:rsidR="00032A04" w:rsidRPr="0029748B">
        <w:rPr>
          <w:color w:val="000000"/>
          <w:sz w:val="26"/>
          <w:szCs w:val="26"/>
        </w:rPr>
        <w:t>August 29, 2019,</w:t>
      </w:r>
      <w:r w:rsidRPr="0029748B">
        <w:rPr>
          <w:color w:val="000000"/>
          <w:sz w:val="26"/>
          <w:szCs w:val="26"/>
        </w:rPr>
        <w:t xml:space="preserve"> </w:t>
      </w:r>
      <w:r w:rsidR="009B6ACC" w:rsidRPr="0029748B">
        <w:rPr>
          <w:color w:val="000000"/>
          <w:sz w:val="26"/>
          <w:szCs w:val="26"/>
        </w:rPr>
        <w:t>Supplement</w:t>
      </w:r>
      <w:r w:rsidR="00393923" w:rsidRPr="0029748B">
        <w:rPr>
          <w:color w:val="000000"/>
          <w:sz w:val="26"/>
          <w:szCs w:val="26"/>
        </w:rPr>
        <w:t xml:space="preserve"> No.</w:t>
      </w:r>
      <w:r w:rsidR="00032A04" w:rsidRPr="0029748B">
        <w:rPr>
          <w:color w:val="000000"/>
          <w:sz w:val="26"/>
          <w:szCs w:val="26"/>
        </w:rPr>
        <w:t xml:space="preserve"> 8 </w:t>
      </w:r>
      <w:r w:rsidR="00393923" w:rsidRPr="0029748B">
        <w:rPr>
          <w:color w:val="000000"/>
          <w:sz w:val="26"/>
          <w:szCs w:val="26"/>
        </w:rPr>
        <w:t>w</w:t>
      </w:r>
      <w:r w:rsidR="00032A04" w:rsidRPr="0029748B">
        <w:rPr>
          <w:color w:val="000000"/>
          <w:sz w:val="26"/>
          <w:szCs w:val="26"/>
        </w:rPr>
        <w:t xml:space="preserve">as </w:t>
      </w:r>
      <w:r w:rsidR="00393923" w:rsidRPr="0029748B">
        <w:rPr>
          <w:color w:val="000000"/>
          <w:sz w:val="26"/>
          <w:szCs w:val="26"/>
        </w:rPr>
        <w:t xml:space="preserve">suspended by operation of law, for up to nine months, or until </w:t>
      </w:r>
      <w:r w:rsidR="00032A04" w:rsidRPr="0029748B">
        <w:rPr>
          <w:color w:val="000000"/>
          <w:sz w:val="26"/>
          <w:szCs w:val="26"/>
        </w:rPr>
        <w:t>April 19, 2020</w:t>
      </w:r>
      <w:r w:rsidR="00393923" w:rsidRPr="0029748B">
        <w:rPr>
          <w:color w:val="000000"/>
          <w:sz w:val="26"/>
          <w:szCs w:val="26"/>
        </w:rPr>
        <w:t>, unless permitted by Commission Order to become effective at an earlier date</w:t>
      </w:r>
      <w:r w:rsidR="00AE1443" w:rsidRPr="0029748B">
        <w:rPr>
          <w:color w:val="000000"/>
          <w:sz w:val="26"/>
          <w:szCs w:val="26"/>
        </w:rPr>
        <w:t>, pursuant to Section 1308(d) of the Code, 66 Pa. C.S. § 1308(d)</w:t>
      </w:r>
      <w:r w:rsidR="00393923" w:rsidRPr="0029748B">
        <w:rPr>
          <w:color w:val="000000"/>
          <w:sz w:val="26"/>
          <w:szCs w:val="26"/>
        </w:rPr>
        <w:t xml:space="preserve">. </w:t>
      </w:r>
      <w:r w:rsidR="00A04486" w:rsidRPr="0029748B">
        <w:rPr>
          <w:color w:val="000000"/>
          <w:sz w:val="26"/>
          <w:szCs w:val="26"/>
        </w:rPr>
        <w:t xml:space="preserve"> </w:t>
      </w:r>
      <w:r w:rsidRPr="0029748B">
        <w:rPr>
          <w:color w:val="000000"/>
          <w:sz w:val="26"/>
          <w:szCs w:val="26"/>
        </w:rPr>
        <w:t>T</w:t>
      </w:r>
      <w:r w:rsidR="00393923" w:rsidRPr="0029748B">
        <w:rPr>
          <w:color w:val="000000"/>
          <w:sz w:val="26"/>
          <w:szCs w:val="26"/>
        </w:rPr>
        <w:t xml:space="preserve">he Commission </w:t>
      </w:r>
      <w:r w:rsidRPr="0029748B">
        <w:rPr>
          <w:color w:val="000000"/>
          <w:sz w:val="26"/>
          <w:szCs w:val="26"/>
        </w:rPr>
        <w:t xml:space="preserve">also </w:t>
      </w:r>
      <w:r w:rsidR="00AA4D4F" w:rsidRPr="0029748B">
        <w:rPr>
          <w:color w:val="000000"/>
          <w:sz w:val="26"/>
          <w:szCs w:val="26"/>
        </w:rPr>
        <w:t xml:space="preserve">referred the matter to the </w:t>
      </w:r>
      <w:r w:rsidR="00AA4D4F" w:rsidRPr="0029748B">
        <w:rPr>
          <w:color w:val="000000"/>
          <w:sz w:val="26"/>
          <w:szCs w:val="26"/>
        </w:rPr>
        <w:lastRenderedPageBreak/>
        <w:t>Commission’s Office of Administrative Law Judge (OALJ) for evidentiary hearing and a Recommended Decision regarding Twin Lakes</w:t>
      </w:r>
      <w:r w:rsidR="0046278B" w:rsidRPr="0029748B">
        <w:rPr>
          <w:color w:val="000000"/>
          <w:sz w:val="26"/>
          <w:szCs w:val="26"/>
        </w:rPr>
        <w:t>’</w:t>
      </w:r>
      <w:r w:rsidR="00AA4D4F" w:rsidRPr="0029748B">
        <w:rPr>
          <w:color w:val="000000"/>
          <w:sz w:val="26"/>
          <w:szCs w:val="26"/>
        </w:rPr>
        <w:t xml:space="preserve"> proposed general rate increase.  The matter was assigned to ALJ </w:t>
      </w:r>
      <w:proofErr w:type="spellStart"/>
      <w:r w:rsidR="00AA4D4F" w:rsidRPr="0029748B">
        <w:rPr>
          <w:color w:val="000000"/>
          <w:sz w:val="26"/>
          <w:szCs w:val="26"/>
        </w:rPr>
        <w:t>Guhl</w:t>
      </w:r>
      <w:proofErr w:type="spellEnd"/>
      <w:r w:rsidR="00AA4D4F" w:rsidRPr="0029748B">
        <w:rPr>
          <w:color w:val="000000"/>
          <w:sz w:val="26"/>
          <w:szCs w:val="26"/>
        </w:rPr>
        <w:t xml:space="preserve">. </w:t>
      </w:r>
    </w:p>
    <w:p w14:paraId="568A5F4C" w14:textId="77777777" w:rsidR="00AA4D4F" w:rsidRPr="0029748B" w:rsidRDefault="00AA4D4F" w:rsidP="0029748B">
      <w:pPr>
        <w:widowControl/>
        <w:spacing w:line="360" w:lineRule="auto"/>
        <w:ind w:right="72" w:firstLine="1440"/>
        <w:contextualSpacing/>
        <w:textAlignment w:val="baseline"/>
        <w:rPr>
          <w:color w:val="000000"/>
          <w:sz w:val="26"/>
          <w:szCs w:val="26"/>
        </w:rPr>
      </w:pPr>
    </w:p>
    <w:p w14:paraId="1576C2D9" w14:textId="77777777" w:rsidR="000A56C7" w:rsidRPr="0029748B" w:rsidRDefault="004E3EF0" w:rsidP="0029748B">
      <w:pPr>
        <w:widowControl/>
        <w:spacing w:line="360" w:lineRule="auto"/>
        <w:ind w:right="72" w:firstLine="1440"/>
        <w:contextualSpacing/>
        <w:textAlignment w:val="baseline"/>
        <w:rPr>
          <w:color w:val="000000"/>
          <w:sz w:val="26"/>
          <w:szCs w:val="26"/>
        </w:rPr>
      </w:pPr>
      <w:r w:rsidRPr="0029748B">
        <w:rPr>
          <w:color w:val="000000"/>
          <w:sz w:val="26"/>
          <w:szCs w:val="26"/>
        </w:rPr>
        <w:t xml:space="preserve">On </w:t>
      </w:r>
      <w:r w:rsidR="00AA4D4F" w:rsidRPr="0029748B">
        <w:rPr>
          <w:color w:val="000000"/>
          <w:sz w:val="26"/>
          <w:szCs w:val="26"/>
        </w:rPr>
        <w:t xml:space="preserve">July 29, 2019, </w:t>
      </w:r>
      <w:r w:rsidR="009458F4" w:rsidRPr="0029748B">
        <w:rPr>
          <w:color w:val="000000"/>
          <w:sz w:val="26"/>
          <w:szCs w:val="26"/>
        </w:rPr>
        <w:t xml:space="preserve">I&amp;E </w:t>
      </w:r>
      <w:r w:rsidR="00393923" w:rsidRPr="0029748B">
        <w:rPr>
          <w:color w:val="000000"/>
          <w:sz w:val="26"/>
          <w:szCs w:val="26"/>
        </w:rPr>
        <w:t>filed a Notice of Appearance.</w:t>
      </w:r>
    </w:p>
    <w:p w14:paraId="081DC951" w14:textId="77777777" w:rsidR="000A56C7" w:rsidRPr="0029748B" w:rsidRDefault="000A56C7" w:rsidP="0029748B">
      <w:pPr>
        <w:widowControl/>
        <w:spacing w:line="360" w:lineRule="auto"/>
        <w:ind w:right="72" w:firstLine="1440"/>
        <w:contextualSpacing/>
        <w:textAlignment w:val="baseline"/>
        <w:rPr>
          <w:color w:val="000000"/>
          <w:sz w:val="26"/>
          <w:szCs w:val="26"/>
        </w:rPr>
      </w:pPr>
    </w:p>
    <w:p w14:paraId="79C0CAAA" w14:textId="77777777" w:rsidR="000A56C7" w:rsidRPr="0029748B" w:rsidRDefault="000A56C7" w:rsidP="0029748B">
      <w:pPr>
        <w:widowControl/>
        <w:spacing w:line="360" w:lineRule="auto"/>
        <w:ind w:right="72" w:firstLine="1440"/>
        <w:contextualSpacing/>
        <w:textAlignment w:val="baseline"/>
        <w:rPr>
          <w:color w:val="000000"/>
          <w:sz w:val="26"/>
          <w:szCs w:val="26"/>
        </w:rPr>
      </w:pPr>
      <w:r w:rsidRPr="0029748B">
        <w:rPr>
          <w:color w:val="000000"/>
          <w:sz w:val="26"/>
          <w:szCs w:val="26"/>
        </w:rPr>
        <w:t>On July 30, 2019, the OCA filed a Formal Complaint and Public Statement.</w:t>
      </w:r>
    </w:p>
    <w:p w14:paraId="742BDC55" w14:textId="77777777" w:rsidR="000A56C7" w:rsidRPr="0029748B" w:rsidRDefault="000A56C7" w:rsidP="0029748B">
      <w:pPr>
        <w:widowControl/>
        <w:spacing w:line="360" w:lineRule="auto"/>
        <w:ind w:right="72" w:firstLine="1440"/>
        <w:contextualSpacing/>
        <w:textAlignment w:val="baseline"/>
        <w:rPr>
          <w:color w:val="000000"/>
          <w:sz w:val="26"/>
          <w:szCs w:val="26"/>
        </w:rPr>
      </w:pPr>
    </w:p>
    <w:p w14:paraId="51B09D64" w14:textId="77777777" w:rsidR="00393923" w:rsidRPr="0029748B" w:rsidRDefault="00063C56" w:rsidP="0029748B">
      <w:pPr>
        <w:widowControl/>
        <w:spacing w:line="360" w:lineRule="auto"/>
        <w:ind w:right="72" w:firstLine="1440"/>
        <w:contextualSpacing/>
        <w:textAlignment w:val="baseline"/>
        <w:rPr>
          <w:color w:val="000000"/>
          <w:sz w:val="26"/>
          <w:szCs w:val="26"/>
        </w:rPr>
      </w:pPr>
      <w:r w:rsidRPr="0029748B">
        <w:rPr>
          <w:color w:val="000000"/>
          <w:sz w:val="26"/>
          <w:szCs w:val="26"/>
        </w:rPr>
        <w:t xml:space="preserve"> </w:t>
      </w:r>
      <w:r w:rsidR="0046278B" w:rsidRPr="0029748B">
        <w:rPr>
          <w:color w:val="000000"/>
          <w:sz w:val="26"/>
          <w:szCs w:val="26"/>
        </w:rPr>
        <w:t xml:space="preserve">Ten Twin Lakes’ residential customers filed </w:t>
      </w:r>
      <w:r w:rsidR="000A56C7" w:rsidRPr="0029748B">
        <w:rPr>
          <w:color w:val="000000"/>
          <w:sz w:val="26"/>
          <w:szCs w:val="26"/>
        </w:rPr>
        <w:t>Formal Complaints</w:t>
      </w:r>
      <w:r w:rsidR="0046278B" w:rsidRPr="0029748B">
        <w:rPr>
          <w:color w:val="000000"/>
          <w:sz w:val="26"/>
          <w:szCs w:val="26"/>
        </w:rPr>
        <w:t xml:space="preserve"> in which they asserted</w:t>
      </w:r>
      <w:r w:rsidR="000A56C7" w:rsidRPr="0029748B">
        <w:rPr>
          <w:color w:val="000000"/>
          <w:sz w:val="26"/>
          <w:szCs w:val="26"/>
        </w:rPr>
        <w:t xml:space="preserve"> that </w:t>
      </w:r>
      <w:r w:rsidRPr="0029748B">
        <w:rPr>
          <w:color w:val="000000"/>
          <w:sz w:val="26"/>
          <w:szCs w:val="26"/>
        </w:rPr>
        <w:t xml:space="preserve">Twin Lakes’ </w:t>
      </w:r>
      <w:r w:rsidR="000A56C7" w:rsidRPr="0029748B">
        <w:rPr>
          <w:color w:val="000000"/>
          <w:sz w:val="26"/>
          <w:szCs w:val="26"/>
        </w:rPr>
        <w:t>proposed rate increase was too high</w:t>
      </w:r>
      <w:r w:rsidRPr="0029748B">
        <w:rPr>
          <w:color w:val="000000"/>
          <w:sz w:val="26"/>
          <w:szCs w:val="26"/>
        </w:rPr>
        <w:t>, and, if approved, would render water service unaffordable</w:t>
      </w:r>
      <w:r w:rsidR="0046278B" w:rsidRPr="0029748B">
        <w:rPr>
          <w:color w:val="000000"/>
          <w:sz w:val="26"/>
          <w:szCs w:val="26"/>
        </w:rPr>
        <w:t xml:space="preserve">.  Those ten customers included the following individuals:(1) </w:t>
      </w:r>
      <w:r w:rsidR="00AA4D4F" w:rsidRPr="0029748B">
        <w:rPr>
          <w:color w:val="000000"/>
          <w:sz w:val="26"/>
          <w:szCs w:val="26"/>
        </w:rPr>
        <w:t xml:space="preserve">Irene Blanchard on August 5, 2019; </w:t>
      </w:r>
      <w:r w:rsidR="0046278B" w:rsidRPr="0029748B">
        <w:rPr>
          <w:color w:val="000000"/>
          <w:sz w:val="26"/>
          <w:szCs w:val="26"/>
        </w:rPr>
        <w:t xml:space="preserve">(2) </w:t>
      </w:r>
      <w:r w:rsidR="00AA4D4F" w:rsidRPr="0029748B">
        <w:rPr>
          <w:color w:val="000000"/>
          <w:sz w:val="26"/>
          <w:szCs w:val="26"/>
        </w:rPr>
        <w:t xml:space="preserve">Jeffrey Shatt on August 7, 2019; </w:t>
      </w:r>
      <w:r w:rsidR="0046278B" w:rsidRPr="0029748B">
        <w:rPr>
          <w:color w:val="000000"/>
          <w:sz w:val="26"/>
          <w:szCs w:val="26"/>
        </w:rPr>
        <w:t xml:space="preserve">(3) </w:t>
      </w:r>
      <w:proofErr w:type="spellStart"/>
      <w:r w:rsidR="00AA4D4F" w:rsidRPr="0029748B">
        <w:rPr>
          <w:color w:val="000000"/>
          <w:sz w:val="26"/>
          <w:szCs w:val="26"/>
        </w:rPr>
        <w:t>Ciro</w:t>
      </w:r>
      <w:proofErr w:type="spellEnd"/>
      <w:r w:rsidR="00AA4D4F" w:rsidRPr="0029748B">
        <w:rPr>
          <w:color w:val="000000"/>
          <w:sz w:val="26"/>
          <w:szCs w:val="26"/>
        </w:rPr>
        <w:t xml:space="preserve"> </w:t>
      </w:r>
      <w:proofErr w:type="spellStart"/>
      <w:r w:rsidR="00AA4D4F" w:rsidRPr="0029748B">
        <w:rPr>
          <w:color w:val="000000"/>
          <w:sz w:val="26"/>
          <w:szCs w:val="26"/>
        </w:rPr>
        <w:t>Matrecano</w:t>
      </w:r>
      <w:proofErr w:type="spellEnd"/>
      <w:r w:rsidR="00AA4D4F" w:rsidRPr="0029748B">
        <w:rPr>
          <w:color w:val="000000"/>
          <w:sz w:val="26"/>
          <w:szCs w:val="26"/>
        </w:rPr>
        <w:t xml:space="preserve"> on August 12, 2019; </w:t>
      </w:r>
      <w:r w:rsidR="0046278B" w:rsidRPr="0029748B">
        <w:rPr>
          <w:color w:val="000000"/>
          <w:sz w:val="26"/>
          <w:szCs w:val="26"/>
        </w:rPr>
        <w:t xml:space="preserve">(4) </w:t>
      </w:r>
      <w:r w:rsidR="00AA4D4F" w:rsidRPr="0029748B">
        <w:rPr>
          <w:color w:val="000000"/>
          <w:sz w:val="26"/>
          <w:szCs w:val="26"/>
        </w:rPr>
        <w:t xml:space="preserve">Neil and Kathleen Joyce on August 15, 2019; </w:t>
      </w:r>
      <w:r w:rsidR="0046278B" w:rsidRPr="0029748B">
        <w:rPr>
          <w:color w:val="000000"/>
          <w:sz w:val="26"/>
          <w:szCs w:val="26"/>
        </w:rPr>
        <w:t xml:space="preserve">(5) </w:t>
      </w:r>
      <w:r w:rsidR="00AA4D4F" w:rsidRPr="0029748B">
        <w:rPr>
          <w:color w:val="000000"/>
          <w:sz w:val="26"/>
          <w:szCs w:val="26"/>
        </w:rPr>
        <w:t xml:space="preserve">Lisa </w:t>
      </w:r>
      <w:proofErr w:type="spellStart"/>
      <w:r w:rsidR="00AA4D4F" w:rsidRPr="0029748B">
        <w:rPr>
          <w:color w:val="000000"/>
          <w:sz w:val="26"/>
          <w:szCs w:val="26"/>
        </w:rPr>
        <w:t>Celenza</w:t>
      </w:r>
      <w:proofErr w:type="spellEnd"/>
      <w:r w:rsidR="00AA4D4F" w:rsidRPr="0029748B">
        <w:rPr>
          <w:color w:val="000000"/>
          <w:sz w:val="26"/>
          <w:szCs w:val="26"/>
        </w:rPr>
        <w:t xml:space="preserve"> on August 19, 2019; </w:t>
      </w:r>
      <w:r w:rsidR="0046278B" w:rsidRPr="0029748B">
        <w:rPr>
          <w:color w:val="000000"/>
          <w:sz w:val="26"/>
          <w:szCs w:val="26"/>
        </w:rPr>
        <w:t xml:space="preserve">(6) </w:t>
      </w:r>
      <w:r w:rsidR="00AA4D4F" w:rsidRPr="0029748B">
        <w:rPr>
          <w:color w:val="000000"/>
          <w:sz w:val="26"/>
          <w:szCs w:val="26"/>
        </w:rPr>
        <w:t xml:space="preserve">Tami DeFrancesco on August 21, 2019; </w:t>
      </w:r>
      <w:r w:rsidR="0046278B" w:rsidRPr="0029748B">
        <w:rPr>
          <w:color w:val="000000"/>
          <w:sz w:val="26"/>
          <w:szCs w:val="26"/>
        </w:rPr>
        <w:t xml:space="preserve">(7) </w:t>
      </w:r>
      <w:r w:rsidR="00AA4D4F" w:rsidRPr="0029748B">
        <w:rPr>
          <w:color w:val="000000"/>
          <w:sz w:val="26"/>
          <w:szCs w:val="26"/>
        </w:rPr>
        <w:t xml:space="preserve">Virginia Pfeiffer on August 21, 2019; </w:t>
      </w:r>
      <w:r w:rsidR="0046278B" w:rsidRPr="0029748B">
        <w:rPr>
          <w:color w:val="000000"/>
          <w:sz w:val="26"/>
          <w:szCs w:val="26"/>
        </w:rPr>
        <w:t xml:space="preserve">(8) </w:t>
      </w:r>
      <w:r w:rsidR="00AA4D4F" w:rsidRPr="0029748B">
        <w:rPr>
          <w:color w:val="000000"/>
          <w:sz w:val="26"/>
          <w:szCs w:val="26"/>
        </w:rPr>
        <w:t>Charle</w:t>
      </w:r>
      <w:r w:rsidR="00323609" w:rsidRPr="0029748B">
        <w:rPr>
          <w:color w:val="000000"/>
          <w:sz w:val="26"/>
          <w:szCs w:val="26"/>
        </w:rPr>
        <w:t>s</w:t>
      </w:r>
      <w:r w:rsidR="00AA4D4F" w:rsidRPr="0029748B">
        <w:rPr>
          <w:color w:val="000000"/>
          <w:sz w:val="26"/>
          <w:szCs w:val="26"/>
        </w:rPr>
        <w:t xml:space="preserve"> </w:t>
      </w:r>
      <w:proofErr w:type="spellStart"/>
      <w:r w:rsidR="00AA4D4F" w:rsidRPr="0029748B">
        <w:rPr>
          <w:color w:val="000000"/>
          <w:sz w:val="26"/>
          <w:szCs w:val="26"/>
        </w:rPr>
        <w:t>Dell</w:t>
      </w:r>
      <w:r w:rsidR="000A56C7" w:rsidRPr="0029748B">
        <w:rPr>
          <w:color w:val="000000"/>
          <w:sz w:val="26"/>
          <w:szCs w:val="26"/>
        </w:rPr>
        <w:t>ert</w:t>
      </w:r>
      <w:proofErr w:type="spellEnd"/>
      <w:r w:rsidR="000A56C7" w:rsidRPr="0029748B">
        <w:rPr>
          <w:color w:val="000000"/>
          <w:sz w:val="26"/>
          <w:szCs w:val="26"/>
        </w:rPr>
        <w:t xml:space="preserve"> on August 26, 2019; </w:t>
      </w:r>
      <w:r w:rsidR="0046278B" w:rsidRPr="0029748B">
        <w:rPr>
          <w:color w:val="000000"/>
          <w:sz w:val="26"/>
          <w:szCs w:val="26"/>
        </w:rPr>
        <w:t>(9)</w:t>
      </w:r>
      <w:r w:rsidR="00726352" w:rsidRPr="0029748B">
        <w:rPr>
          <w:color w:val="000000"/>
          <w:sz w:val="26"/>
          <w:szCs w:val="26"/>
        </w:rPr>
        <w:t> </w:t>
      </w:r>
      <w:r w:rsidR="000A56C7" w:rsidRPr="0029748B">
        <w:rPr>
          <w:color w:val="000000"/>
          <w:sz w:val="26"/>
          <w:szCs w:val="26"/>
        </w:rPr>
        <w:t xml:space="preserve">James </w:t>
      </w:r>
      <w:proofErr w:type="spellStart"/>
      <w:r w:rsidR="000A56C7" w:rsidRPr="0029748B">
        <w:rPr>
          <w:color w:val="000000"/>
          <w:sz w:val="26"/>
          <w:szCs w:val="26"/>
        </w:rPr>
        <w:t>Gelardi</w:t>
      </w:r>
      <w:proofErr w:type="spellEnd"/>
      <w:r w:rsidR="000A56C7" w:rsidRPr="0029748B">
        <w:rPr>
          <w:color w:val="000000"/>
          <w:sz w:val="26"/>
          <w:szCs w:val="26"/>
        </w:rPr>
        <w:t xml:space="preserve"> on September 3, 2019; and, </w:t>
      </w:r>
      <w:r w:rsidR="0046278B" w:rsidRPr="0029748B">
        <w:rPr>
          <w:color w:val="000000"/>
          <w:sz w:val="26"/>
          <w:szCs w:val="26"/>
        </w:rPr>
        <w:t xml:space="preserve">(10) </w:t>
      </w:r>
      <w:r w:rsidR="000A56C7" w:rsidRPr="0029748B">
        <w:rPr>
          <w:color w:val="000000"/>
          <w:sz w:val="26"/>
          <w:szCs w:val="26"/>
        </w:rPr>
        <w:t xml:space="preserve">Frank and </w:t>
      </w:r>
      <w:proofErr w:type="spellStart"/>
      <w:r w:rsidR="000A56C7" w:rsidRPr="0029748B">
        <w:rPr>
          <w:color w:val="000000"/>
          <w:sz w:val="26"/>
          <w:szCs w:val="26"/>
        </w:rPr>
        <w:t>Shuko</w:t>
      </w:r>
      <w:proofErr w:type="spellEnd"/>
      <w:r w:rsidR="000A56C7" w:rsidRPr="0029748B">
        <w:rPr>
          <w:color w:val="000000"/>
          <w:sz w:val="26"/>
          <w:szCs w:val="26"/>
        </w:rPr>
        <w:t xml:space="preserve"> </w:t>
      </w:r>
      <w:proofErr w:type="spellStart"/>
      <w:r w:rsidR="000A56C7" w:rsidRPr="0029748B">
        <w:rPr>
          <w:color w:val="000000"/>
          <w:sz w:val="26"/>
          <w:szCs w:val="26"/>
        </w:rPr>
        <w:t>Kashimba</w:t>
      </w:r>
      <w:proofErr w:type="spellEnd"/>
      <w:r w:rsidR="000A56C7" w:rsidRPr="0029748B">
        <w:rPr>
          <w:color w:val="000000"/>
          <w:sz w:val="26"/>
          <w:szCs w:val="26"/>
        </w:rPr>
        <w:t xml:space="preserve"> on September 3, 2019. </w:t>
      </w:r>
    </w:p>
    <w:p w14:paraId="7F92F08C" w14:textId="77777777" w:rsidR="00A04486" w:rsidRPr="0029748B" w:rsidRDefault="00A04486" w:rsidP="0029748B">
      <w:pPr>
        <w:widowControl/>
        <w:spacing w:line="360" w:lineRule="auto"/>
        <w:ind w:right="72" w:firstLine="1440"/>
        <w:contextualSpacing/>
        <w:textAlignment w:val="baseline"/>
        <w:rPr>
          <w:color w:val="000000"/>
          <w:sz w:val="26"/>
          <w:szCs w:val="26"/>
        </w:rPr>
      </w:pPr>
    </w:p>
    <w:p w14:paraId="4323284A" w14:textId="77777777" w:rsidR="00631E30" w:rsidRPr="0029748B" w:rsidRDefault="00631E30" w:rsidP="0029748B">
      <w:pPr>
        <w:widowControl/>
        <w:spacing w:line="360" w:lineRule="auto"/>
        <w:ind w:right="72" w:firstLine="1440"/>
        <w:contextualSpacing/>
        <w:textAlignment w:val="baseline"/>
        <w:rPr>
          <w:color w:val="000000"/>
          <w:sz w:val="26"/>
          <w:szCs w:val="26"/>
        </w:rPr>
      </w:pPr>
      <w:r w:rsidRPr="0029748B">
        <w:rPr>
          <w:color w:val="000000"/>
          <w:sz w:val="26"/>
          <w:szCs w:val="26"/>
        </w:rPr>
        <w:t>On September 13, 2019, Twin Lakes filed Supplement No. 9 to Tariff Water-Pa. P.U.C. No. 4 (Supplement No. 9), to suspend the rates proposed in Supplement No. 8 until April 19, 2020.</w:t>
      </w:r>
    </w:p>
    <w:p w14:paraId="36CD7B6C" w14:textId="77777777" w:rsidR="00631E30" w:rsidRPr="0029748B" w:rsidRDefault="00631E30" w:rsidP="0029748B">
      <w:pPr>
        <w:widowControl/>
        <w:spacing w:line="360" w:lineRule="auto"/>
        <w:ind w:right="72" w:firstLine="1440"/>
        <w:contextualSpacing/>
        <w:textAlignment w:val="baseline"/>
        <w:rPr>
          <w:color w:val="000000"/>
          <w:sz w:val="26"/>
          <w:szCs w:val="26"/>
        </w:rPr>
      </w:pPr>
    </w:p>
    <w:p w14:paraId="04049E3A" w14:textId="77777777" w:rsidR="00631E30" w:rsidRPr="0029748B" w:rsidRDefault="00631E30" w:rsidP="0029748B">
      <w:pPr>
        <w:widowControl/>
        <w:spacing w:line="360" w:lineRule="auto"/>
        <w:ind w:right="72" w:firstLine="1440"/>
        <w:contextualSpacing/>
        <w:textAlignment w:val="baseline"/>
        <w:rPr>
          <w:color w:val="000000"/>
          <w:sz w:val="26"/>
          <w:szCs w:val="26"/>
        </w:rPr>
      </w:pPr>
      <w:r w:rsidRPr="0029748B">
        <w:rPr>
          <w:color w:val="000000"/>
          <w:sz w:val="26"/>
          <w:szCs w:val="26"/>
        </w:rPr>
        <w:t xml:space="preserve">A pre-hearing conference was held on September 23, 2019, at which Counsel </w:t>
      </w:r>
      <w:r w:rsidR="003E61EE" w:rsidRPr="0029748B">
        <w:rPr>
          <w:color w:val="000000"/>
          <w:sz w:val="26"/>
          <w:szCs w:val="26"/>
        </w:rPr>
        <w:t xml:space="preserve">was in attendance and appeared on behalf of </w:t>
      </w:r>
      <w:r w:rsidRPr="0029748B">
        <w:rPr>
          <w:color w:val="000000"/>
          <w:sz w:val="26"/>
          <w:szCs w:val="26"/>
        </w:rPr>
        <w:t>Twin Lakes, I&amp;E and the OCA</w:t>
      </w:r>
      <w:r w:rsidR="003E61EE" w:rsidRPr="0029748B">
        <w:rPr>
          <w:color w:val="000000"/>
          <w:sz w:val="26"/>
          <w:szCs w:val="26"/>
        </w:rPr>
        <w:t xml:space="preserve">. </w:t>
      </w:r>
      <w:r w:rsidRPr="0029748B">
        <w:rPr>
          <w:color w:val="000000"/>
          <w:sz w:val="26"/>
          <w:szCs w:val="26"/>
        </w:rPr>
        <w:t xml:space="preserve"> Also present were </w:t>
      </w:r>
      <w:r w:rsidRPr="0029748B">
        <w:rPr>
          <w:i/>
          <w:iCs/>
          <w:color w:val="000000"/>
          <w:sz w:val="26"/>
          <w:szCs w:val="26"/>
        </w:rPr>
        <w:t>pro se</w:t>
      </w:r>
      <w:r w:rsidRPr="0029748B">
        <w:rPr>
          <w:color w:val="000000"/>
          <w:sz w:val="26"/>
          <w:szCs w:val="26"/>
        </w:rPr>
        <w:t xml:space="preserve"> Complainants Irene Blanchard, Lisa </w:t>
      </w:r>
      <w:proofErr w:type="spellStart"/>
      <w:r w:rsidRPr="0029748B">
        <w:rPr>
          <w:color w:val="000000"/>
          <w:sz w:val="26"/>
          <w:szCs w:val="26"/>
        </w:rPr>
        <w:t>Celenza</w:t>
      </w:r>
      <w:proofErr w:type="spellEnd"/>
      <w:r w:rsidRPr="0029748B">
        <w:rPr>
          <w:color w:val="000000"/>
          <w:sz w:val="26"/>
          <w:szCs w:val="26"/>
        </w:rPr>
        <w:t xml:space="preserve"> and Charles </w:t>
      </w:r>
      <w:proofErr w:type="spellStart"/>
      <w:r w:rsidRPr="0029748B">
        <w:rPr>
          <w:color w:val="000000"/>
          <w:sz w:val="26"/>
          <w:szCs w:val="26"/>
        </w:rPr>
        <w:t>Dellert</w:t>
      </w:r>
      <w:proofErr w:type="spellEnd"/>
      <w:r w:rsidR="003E61EE" w:rsidRPr="0029748B">
        <w:rPr>
          <w:color w:val="000000"/>
          <w:sz w:val="26"/>
          <w:szCs w:val="26"/>
        </w:rPr>
        <w:t xml:space="preserve">, who each elected to be inactive participants in this proceeding. </w:t>
      </w:r>
      <w:r w:rsidR="004A3D68" w:rsidRPr="0029748B">
        <w:rPr>
          <w:color w:val="000000"/>
          <w:sz w:val="26"/>
          <w:szCs w:val="26"/>
        </w:rPr>
        <w:t xml:space="preserve"> </w:t>
      </w:r>
      <w:r w:rsidR="003E61EE" w:rsidRPr="0029748B">
        <w:rPr>
          <w:color w:val="000000"/>
          <w:sz w:val="26"/>
          <w:szCs w:val="26"/>
        </w:rPr>
        <w:t>R.D. at 4-5.</w:t>
      </w:r>
    </w:p>
    <w:p w14:paraId="4036CF31" w14:textId="77777777" w:rsidR="003E61EE" w:rsidRPr="0029748B" w:rsidRDefault="003E61EE" w:rsidP="0029748B">
      <w:pPr>
        <w:widowControl/>
        <w:spacing w:line="360" w:lineRule="auto"/>
        <w:ind w:right="72" w:firstLine="1440"/>
        <w:contextualSpacing/>
        <w:textAlignment w:val="baseline"/>
        <w:rPr>
          <w:color w:val="000000"/>
          <w:sz w:val="26"/>
          <w:szCs w:val="26"/>
        </w:rPr>
      </w:pPr>
    </w:p>
    <w:p w14:paraId="11B76684" w14:textId="77777777" w:rsidR="00393923" w:rsidRPr="0029748B" w:rsidRDefault="00393923" w:rsidP="0029748B">
      <w:pPr>
        <w:widowControl/>
        <w:spacing w:line="360" w:lineRule="auto"/>
        <w:ind w:right="72" w:firstLine="1440"/>
        <w:contextualSpacing/>
        <w:textAlignment w:val="baseline"/>
        <w:rPr>
          <w:color w:val="000000"/>
          <w:sz w:val="26"/>
          <w:szCs w:val="26"/>
        </w:rPr>
      </w:pPr>
      <w:r w:rsidRPr="0029748B">
        <w:rPr>
          <w:color w:val="000000"/>
          <w:sz w:val="26"/>
          <w:szCs w:val="26"/>
        </w:rPr>
        <w:lastRenderedPageBreak/>
        <w:t xml:space="preserve">On </w:t>
      </w:r>
      <w:r w:rsidR="000A56C7" w:rsidRPr="0029748B">
        <w:rPr>
          <w:color w:val="000000"/>
          <w:sz w:val="26"/>
          <w:szCs w:val="26"/>
        </w:rPr>
        <w:t xml:space="preserve">September 27, 2019, </w:t>
      </w:r>
      <w:r w:rsidR="00F43EDE" w:rsidRPr="0029748B">
        <w:rPr>
          <w:color w:val="000000"/>
          <w:sz w:val="26"/>
          <w:szCs w:val="26"/>
        </w:rPr>
        <w:t xml:space="preserve">Twin Lakes </w:t>
      </w:r>
      <w:r w:rsidRPr="0029748B">
        <w:rPr>
          <w:color w:val="000000"/>
          <w:sz w:val="26"/>
          <w:szCs w:val="26"/>
        </w:rPr>
        <w:t xml:space="preserve">filed </w:t>
      </w:r>
      <w:r w:rsidR="000A56C7" w:rsidRPr="0029748B">
        <w:rPr>
          <w:color w:val="000000"/>
          <w:sz w:val="26"/>
          <w:szCs w:val="26"/>
        </w:rPr>
        <w:t>the</w:t>
      </w:r>
      <w:r w:rsidRPr="0029748B">
        <w:rPr>
          <w:color w:val="000000"/>
          <w:sz w:val="26"/>
          <w:szCs w:val="26"/>
        </w:rPr>
        <w:t xml:space="preserve"> Direct Testimony of </w:t>
      </w:r>
      <w:r w:rsidR="000A56C7" w:rsidRPr="0029748B">
        <w:rPr>
          <w:color w:val="000000"/>
          <w:sz w:val="26"/>
          <w:szCs w:val="26"/>
        </w:rPr>
        <w:t>three witnesses: A. Bruce O</w:t>
      </w:r>
      <w:r w:rsidR="00323609" w:rsidRPr="0029748B">
        <w:rPr>
          <w:color w:val="000000"/>
          <w:sz w:val="26"/>
          <w:szCs w:val="26"/>
        </w:rPr>
        <w:t>’C</w:t>
      </w:r>
      <w:r w:rsidR="000A56C7" w:rsidRPr="0029748B">
        <w:rPr>
          <w:color w:val="000000"/>
          <w:sz w:val="26"/>
          <w:szCs w:val="26"/>
        </w:rPr>
        <w:t>onner, TLU Statements No. 1; Michele L. Tilley, TLU Sta</w:t>
      </w:r>
      <w:r w:rsidR="00AE1443" w:rsidRPr="0029748B">
        <w:rPr>
          <w:color w:val="000000"/>
          <w:sz w:val="26"/>
          <w:szCs w:val="26"/>
        </w:rPr>
        <w:t>t</w:t>
      </w:r>
      <w:r w:rsidR="000A56C7" w:rsidRPr="0029748B">
        <w:rPr>
          <w:color w:val="000000"/>
          <w:sz w:val="26"/>
          <w:szCs w:val="26"/>
        </w:rPr>
        <w:t xml:space="preserve">ement No. 2; and Robert </w:t>
      </w:r>
      <w:proofErr w:type="spellStart"/>
      <w:r w:rsidR="000A56C7" w:rsidRPr="0029748B">
        <w:rPr>
          <w:color w:val="000000"/>
          <w:sz w:val="26"/>
          <w:szCs w:val="26"/>
        </w:rPr>
        <w:t>Fullager</w:t>
      </w:r>
      <w:proofErr w:type="spellEnd"/>
      <w:r w:rsidR="000A56C7" w:rsidRPr="0029748B">
        <w:rPr>
          <w:color w:val="000000"/>
          <w:sz w:val="26"/>
          <w:szCs w:val="26"/>
        </w:rPr>
        <w:t xml:space="preserve">, TLU Statement NO. 3. </w:t>
      </w:r>
      <w:r w:rsidR="004A3D68" w:rsidRPr="0029748B">
        <w:rPr>
          <w:color w:val="000000"/>
          <w:sz w:val="26"/>
          <w:szCs w:val="26"/>
        </w:rPr>
        <w:t xml:space="preserve"> </w:t>
      </w:r>
      <w:r w:rsidR="000A56C7" w:rsidRPr="0029748B">
        <w:rPr>
          <w:color w:val="000000"/>
          <w:sz w:val="26"/>
          <w:szCs w:val="26"/>
        </w:rPr>
        <w:t xml:space="preserve">R.D. at 5 </w:t>
      </w:r>
    </w:p>
    <w:p w14:paraId="43E49604" w14:textId="77777777" w:rsidR="00952071" w:rsidRPr="0029748B" w:rsidRDefault="00952071" w:rsidP="0029748B">
      <w:pPr>
        <w:widowControl/>
        <w:spacing w:line="360" w:lineRule="auto"/>
        <w:ind w:right="72" w:firstLine="1440"/>
        <w:contextualSpacing/>
        <w:textAlignment w:val="baseline"/>
        <w:rPr>
          <w:color w:val="000000"/>
          <w:sz w:val="26"/>
          <w:szCs w:val="26"/>
        </w:rPr>
      </w:pPr>
    </w:p>
    <w:p w14:paraId="335BFCE8" w14:textId="77777777" w:rsidR="00952071" w:rsidRPr="0029748B" w:rsidRDefault="00952071" w:rsidP="0029748B">
      <w:pPr>
        <w:widowControl/>
        <w:spacing w:line="360" w:lineRule="auto"/>
        <w:ind w:right="72" w:firstLine="1440"/>
        <w:contextualSpacing/>
        <w:textAlignment w:val="baseline"/>
        <w:rPr>
          <w:color w:val="000000"/>
          <w:sz w:val="26"/>
          <w:szCs w:val="26"/>
        </w:rPr>
      </w:pPr>
      <w:r w:rsidRPr="0029748B">
        <w:rPr>
          <w:color w:val="000000"/>
          <w:sz w:val="26"/>
          <w:szCs w:val="26"/>
        </w:rPr>
        <w:t xml:space="preserve">Two public input hearings were held on </w:t>
      </w:r>
      <w:r w:rsidR="007019B5" w:rsidRPr="0029748B">
        <w:rPr>
          <w:color w:val="000000"/>
          <w:sz w:val="26"/>
          <w:szCs w:val="26"/>
        </w:rPr>
        <w:t xml:space="preserve">October 17, 2019, </w:t>
      </w:r>
      <w:r w:rsidRPr="0029748B">
        <w:rPr>
          <w:color w:val="000000"/>
          <w:sz w:val="26"/>
          <w:szCs w:val="26"/>
        </w:rPr>
        <w:t xml:space="preserve">at which </w:t>
      </w:r>
      <w:r w:rsidR="007019B5" w:rsidRPr="0029748B">
        <w:rPr>
          <w:color w:val="000000"/>
          <w:sz w:val="26"/>
          <w:szCs w:val="26"/>
        </w:rPr>
        <w:t xml:space="preserve">nine </w:t>
      </w:r>
      <w:r w:rsidR="00063C56" w:rsidRPr="0029748B">
        <w:rPr>
          <w:color w:val="000000"/>
          <w:sz w:val="26"/>
          <w:szCs w:val="26"/>
        </w:rPr>
        <w:t xml:space="preserve">of </w:t>
      </w:r>
      <w:r w:rsidR="007019B5" w:rsidRPr="0029748B">
        <w:rPr>
          <w:color w:val="000000"/>
          <w:sz w:val="26"/>
          <w:szCs w:val="26"/>
        </w:rPr>
        <w:t>Twin Lakes</w:t>
      </w:r>
      <w:r w:rsidR="00063C56" w:rsidRPr="0029748B">
        <w:rPr>
          <w:color w:val="000000"/>
          <w:sz w:val="26"/>
          <w:szCs w:val="26"/>
        </w:rPr>
        <w:t>’</w:t>
      </w:r>
      <w:r w:rsidR="007019B5" w:rsidRPr="0029748B">
        <w:rPr>
          <w:color w:val="000000"/>
          <w:sz w:val="26"/>
          <w:szCs w:val="26"/>
        </w:rPr>
        <w:t xml:space="preserve"> customers presented on the record testimony.</w:t>
      </w:r>
      <w:r w:rsidRPr="0029748B">
        <w:rPr>
          <w:color w:val="000000"/>
          <w:sz w:val="26"/>
          <w:szCs w:val="26"/>
        </w:rPr>
        <w:t xml:space="preserve"> </w:t>
      </w:r>
      <w:r w:rsidR="004A3D68" w:rsidRPr="0029748B">
        <w:rPr>
          <w:color w:val="000000"/>
          <w:sz w:val="26"/>
          <w:szCs w:val="26"/>
        </w:rPr>
        <w:t xml:space="preserve"> </w:t>
      </w:r>
      <w:r w:rsidRPr="0029748B">
        <w:rPr>
          <w:color w:val="000000"/>
          <w:sz w:val="26"/>
          <w:szCs w:val="26"/>
        </w:rPr>
        <w:t xml:space="preserve">R.D. at </w:t>
      </w:r>
      <w:r w:rsidR="007019B5" w:rsidRPr="0029748B">
        <w:rPr>
          <w:color w:val="000000"/>
          <w:sz w:val="26"/>
          <w:szCs w:val="26"/>
        </w:rPr>
        <w:t>5</w:t>
      </w:r>
      <w:r w:rsidRPr="0029748B">
        <w:rPr>
          <w:color w:val="000000"/>
          <w:sz w:val="26"/>
          <w:szCs w:val="26"/>
        </w:rPr>
        <w:t>.</w:t>
      </w:r>
    </w:p>
    <w:p w14:paraId="6B0227DF" w14:textId="77777777" w:rsidR="00AD5AD7" w:rsidRPr="0029748B" w:rsidRDefault="00AD5AD7" w:rsidP="0029748B">
      <w:pPr>
        <w:widowControl/>
        <w:spacing w:line="360" w:lineRule="auto"/>
        <w:ind w:right="72" w:firstLine="1440"/>
        <w:contextualSpacing/>
        <w:textAlignment w:val="baseline"/>
        <w:rPr>
          <w:color w:val="000000"/>
          <w:sz w:val="26"/>
          <w:szCs w:val="26"/>
        </w:rPr>
      </w:pPr>
    </w:p>
    <w:p w14:paraId="4CC07CD0" w14:textId="77777777" w:rsidR="007019B5" w:rsidRPr="0029748B" w:rsidRDefault="00393923" w:rsidP="0029748B">
      <w:pPr>
        <w:widowControl/>
        <w:spacing w:line="360" w:lineRule="auto"/>
        <w:ind w:right="72" w:firstLine="1440"/>
        <w:contextualSpacing/>
        <w:textAlignment w:val="baseline"/>
        <w:rPr>
          <w:color w:val="000000"/>
          <w:sz w:val="26"/>
          <w:szCs w:val="26"/>
        </w:rPr>
      </w:pPr>
      <w:r w:rsidRPr="0029748B">
        <w:rPr>
          <w:color w:val="000000"/>
          <w:sz w:val="26"/>
          <w:szCs w:val="26"/>
        </w:rPr>
        <w:t xml:space="preserve">On </w:t>
      </w:r>
      <w:r w:rsidR="007019B5" w:rsidRPr="0029748B">
        <w:rPr>
          <w:color w:val="000000"/>
          <w:sz w:val="26"/>
          <w:szCs w:val="26"/>
        </w:rPr>
        <w:t>November 1, the</w:t>
      </w:r>
      <w:r w:rsidR="007179E9" w:rsidRPr="0029748B">
        <w:rPr>
          <w:color w:val="000000"/>
          <w:sz w:val="26"/>
          <w:szCs w:val="26"/>
        </w:rPr>
        <w:t xml:space="preserve"> OCA </w:t>
      </w:r>
      <w:r w:rsidRPr="0029748B">
        <w:rPr>
          <w:color w:val="000000"/>
          <w:sz w:val="26"/>
          <w:szCs w:val="26"/>
        </w:rPr>
        <w:t xml:space="preserve">served </w:t>
      </w:r>
      <w:r w:rsidR="00F44026" w:rsidRPr="0029748B">
        <w:rPr>
          <w:color w:val="000000"/>
          <w:sz w:val="26"/>
          <w:szCs w:val="26"/>
        </w:rPr>
        <w:t xml:space="preserve">the </w:t>
      </w:r>
      <w:r w:rsidRPr="0029748B">
        <w:rPr>
          <w:color w:val="000000"/>
          <w:sz w:val="26"/>
          <w:szCs w:val="26"/>
        </w:rPr>
        <w:t xml:space="preserve">Direct Testimony </w:t>
      </w:r>
      <w:r w:rsidR="007019B5" w:rsidRPr="0029748B">
        <w:rPr>
          <w:color w:val="000000"/>
          <w:sz w:val="26"/>
          <w:szCs w:val="26"/>
        </w:rPr>
        <w:t xml:space="preserve">of </w:t>
      </w:r>
      <w:r w:rsidR="00F44026" w:rsidRPr="0029748B">
        <w:rPr>
          <w:color w:val="000000"/>
          <w:sz w:val="26"/>
          <w:szCs w:val="26"/>
        </w:rPr>
        <w:t xml:space="preserve">its </w:t>
      </w:r>
      <w:r w:rsidR="007019B5" w:rsidRPr="0029748B">
        <w:rPr>
          <w:color w:val="000000"/>
          <w:sz w:val="26"/>
          <w:szCs w:val="26"/>
        </w:rPr>
        <w:t xml:space="preserve">three witnesses: </w:t>
      </w:r>
      <w:r w:rsidR="003E61EE" w:rsidRPr="0029748B">
        <w:rPr>
          <w:color w:val="000000"/>
          <w:sz w:val="26"/>
          <w:szCs w:val="26"/>
        </w:rPr>
        <w:t>Aaron L. Rothschild, OCA Statement No. 1; Stacy L. Sherwood, OCA Statement No. 2; and, Terry L. Fought, OCA Statement No. 3.</w:t>
      </w:r>
    </w:p>
    <w:p w14:paraId="0F81197F" w14:textId="77777777" w:rsidR="007019B5" w:rsidRPr="0029748B" w:rsidRDefault="007019B5" w:rsidP="0029748B">
      <w:pPr>
        <w:widowControl/>
        <w:spacing w:line="360" w:lineRule="auto"/>
        <w:ind w:right="72" w:firstLine="1440"/>
        <w:contextualSpacing/>
        <w:textAlignment w:val="baseline"/>
        <w:rPr>
          <w:color w:val="000000"/>
          <w:sz w:val="26"/>
          <w:szCs w:val="26"/>
        </w:rPr>
      </w:pPr>
    </w:p>
    <w:p w14:paraId="66BBE01F" w14:textId="77777777" w:rsidR="007019B5" w:rsidRPr="0029748B" w:rsidRDefault="007019B5" w:rsidP="0029748B">
      <w:pPr>
        <w:widowControl/>
        <w:spacing w:line="360" w:lineRule="auto"/>
        <w:ind w:right="72" w:firstLine="1440"/>
        <w:contextualSpacing/>
        <w:textAlignment w:val="baseline"/>
        <w:rPr>
          <w:color w:val="000000"/>
          <w:sz w:val="26"/>
          <w:szCs w:val="26"/>
        </w:rPr>
      </w:pPr>
      <w:r w:rsidRPr="0029748B">
        <w:rPr>
          <w:color w:val="000000"/>
          <w:sz w:val="26"/>
          <w:szCs w:val="26"/>
        </w:rPr>
        <w:t xml:space="preserve">On November 4, 2019, I&amp;E served </w:t>
      </w:r>
      <w:r w:rsidR="00F44026" w:rsidRPr="0029748B">
        <w:rPr>
          <w:color w:val="000000"/>
          <w:sz w:val="26"/>
          <w:szCs w:val="26"/>
        </w:rPr>
        <w:t xml:space="preserve">the </w:t>
      </w:r>
      <w:r w:rsidRPr="0029748B">
        <w:rPr>
          <w:color w:val="000000"/>
          <w:sz w:val="26"/>
          <w:szCs w:val="26"/>
        </w:rPr>
        <w:t xml:space="preserve">Direct Testimony of </w:t>
      </w:r>
      <w:r w:rsidR="00F44026" w:rsidRPr="0029748B">
        <w:rPr>
          <w:color w:val="000000"/>
          <w:sz w:val="26"/>
          <w:szCs w:val="26"/>
        </w:rPr>
        <w:t xml:space="preserve">its </w:t>
      </w:r>
      <w:r w:rsidRPr="0029748B">
        <w:rPr>
          <w:color w:val="000000"/>
          <w:sz w:val="26"/>
          <w:szCs w:val="26"/>
        </w:rPr>
        <w:t xml:space="preserve">three witnesses: </w:t>
      </w:r>
      <w:r w:rsidR="003E61EE" w:rsidRPr="0029748B">
        <w:rPr>
          <w:color w:val="000000"/>
          <w:sz w:val="26"/>
          <w:szCs w:val="26"/>
        </w:rPr>
        <w:t xml:space="preserve">John </w:t>
      </w:r>
      <w:proofErr w:type="spellStart"/>
      <w:r w:rsidR="003E61EE" w:rsidRPr="0029748B">
        <w:rPr>
          <w:color w:val="000000"/>
          <w:sz w:val="26"/>
          <w:szCs w:val="26"/>
        </w:rPr>
        <w:t>Zalesky</w:t>
      </w:r>
      <w:proofErr w:type="spellEnd"/>
      <w:r w:rsidR="003E61EE" w:rsidRPr="0029748B">
        <w:rPr>
          <w:color w:val="000000"/>
          <w:sz w:val="26"/>
          <w:szCs w:val="26"/>
        </w:rPr>
        <w:t xml:space="preserve">, I&amp;E Statement No. 1; Christopher M. Henkel, I&amp;E Statement No. 2; and, </w:t>
      </w:r>
      <w:proofErr w:type="spellStart"/>
      <w:r w:rsidR="003E61EE" w:rsidRPr="0029748B">
        <w:rPr>
          <w:color w:val="000000"/>
          <w:sz w:val="26"/>
          <w:szCs w:val="26"/>
        </w:rPr>
        <w:t>Esyan</w:t>
      </w:r>
      <w:proofErr w:type="spellEnd"/>
      <w:r w:rsidR="003E61EE" w:rsidRPr="0029748B">
        <w:rPr>
          <w:color w:val="000000"/>
          <w:sz w:val="26"/>
          <w:szCs w:val="26"/>
        </w:rPr>
        <w:t xml:space="preserve"> A. </w:t>
      </w:r>
      <w:proofErr w:type="spellStart"/>
      <w:r w:rsidR="003E61EE" w:rsidRPr="0029748B">
        <w:rPr>
          <w:color w:val="000000"/>
          <w:sz w:val="26"/>
          <w:szCs w:val="26"/>
        </w:rPr>
        <w:t>Sakaya</w:t>
      </w:r>
      <w:proofErr w:type="spellEnd"/>
      <w:r w:rsidR="003E61EE" w:rsidRPr="0029748B">
        <w:rPr>
          <w:color w:val="000000"/>
          <w:sz w:val="26"/>
          <w:szCs w:val="26"/>
        </w:rPr>
        <w:t>, I&amp;E Statement No. 3.</w:t>
      </w:r>
    </w:p>
    <w:p w14:paraId="5091EDF0" w14:textId="77777777" w:rsidR="003E61EE" w:rsidRPr="0029748B" w:rsidRDefault="003E61EE" w:rsidP="0029748B">
      <w:pPr>
        <w:widowControl/>
        <w:spacing w:line="360" w:lineRule="auto"/>
        <w:ind w:right="72" w:firstLine="1440"/>
        <w:contextualSpacing/>
        <w:textAlignment w:val="baseline"/>
        <w:rPr>
          <w:color w:val="000000"/>
          <w:sz w:val="26"/>
          <w:szCs w:val="26"/>
        </w:rPr>
      </w:pPr>
    </w:p>
    <w:p w14:paraId="0961E084" w14:textId="77777777" w:rsidR="007019B5" w:rsidRPr="0029748B" w:rsidRDefault="00393923" w:rsidP="0029748B">
      <w:pPr>
        <w:widowControl/>
        <w:spacing w:line="360" w:lineRule="auto"/>
        <w:ind w:right="72" w:firstLine="1440"/>
        <w:contextualSpacing/>
        <w:textAlignment w:val="baseline"/>
        <w:rPr>
          <w:color w:val="000000"/>
          <w:sz w:val="26"/>
          <w:szCs w:val="26"/>
        </w:rPr>
      </w:pPr>
      <w:r w:rsidRPr="0029748B">
        <w:rPr>
          <w:color w:val="000000"/>
          <w:sz w:val="26"/>
          <w:szCs w:val="26"/>
        </w:rPr>
        <w:t>On</w:t>
      </w:r>
      <w:r w:rsidR="007019B5" w:rsidRPr="0029748B">
        <w:rPr>
          <w:color w:val="000000"/>
          <w:sz w:val="26"/>
          <w:szCs w:val="26"/>
        </w:rPr>
        <w:t xml:space="preserve"> November 20, 2019, </w:t>
      </w:r>
      <w:r w:rsidR="00F43EDE" w:rsidRPr="0029748B">
        <w:rPr>
          <w:color w:val="000000"/>
          <w:sz w:val="26"/>
          <w:szCs w:val="26"/>
        </w:rPr>
        <w:t>Twin Lakes</w:t>
      </w:r>
      <w:r w:rsidR="007019B5" w:rsidRPr="0029748B">
        <w:rPr>
          <w:color w:val="000000"/>
          <w:sz w:val="26"/>
          <w:szCs w:val="26"/>
        </w:rPr>
        <w:t xml:space="preserve"> </w:t>
      </w:r>
      <w:r w:rsidR="008F7FEE" w:rsidRPr="0029748B">
        <w:rPr>
          <w:color w:val="000000"/>
          <w:sz w:val="26"/>
          <w:szCs w:val="26"/>
        </w:rPr>
        <w:t>served</w:t>
      </w:r>
      <w:r w:rsidRPr="0029748B">
        <w:rPr>
          <w:color w:val="000000"/>
          <w:sz w:val="26"/>
          <w:szCs w:val="26"/>
        </w:rPr>
        <w:t xml:space="preserve"> </w:t>
      </w:r>
      <w:r w:rsidR="007019B5" w:rsidRPr="0029748B">
        <w:rPr>
          <w:color w:val="000000"/>
          <w:sz w:val="26"/>
          <w:szCs w:val="26"/>
        </w:rPr>
        <w:t xml:space="preserve">the following </w:t>
      </w:r>
      <w:r w:rsidRPr="0029748B">
        <w:rPr>
          <w:color w:val="000000"/>
          <w:sz w:val="26"/>
          <w:szCs w:val="26"/>
        </w:rPr>
        <w:t>Rebuttal Testimony</w:t>
      </w:r>
      <w:r w:rsidR="00D47808" w:rsidRPr="0029748B">
        <w:rPr>
          <w:color w:val="000000"/>
          <w:sz w:val="26"/>
          <w:szCs w:val="26"/>
        </w:rPr>
        <w:t xml:space="preserve"> and Exhibits</w:t>
      </w:r>
      <w:r w:rsidR="007019B5" w:rsidRPr="0029748B">
        <w:rPr>
          <w:color w:val="000000"/>
          <w:sz w:val="26"/>
          <w:szCs w:val="26"/>
        </w:rPr>
        <w:t>:</w:t>
      </w:r>
      <w:r w:rsidR="003E61EE" w:rsidRPr="0029748B">
        <w:rPr>
          <w:color w:val="000000"/>
          <w:sz w:val="26"/>
          <w:szCs w:val="26"/>
        </w:rPr>
        <w:t xml:space="preserve"> </w:t>
      </w:r>
      <w:r w:rsidR="00727E98" w:rsidRPr="0029748B">
        <w:rPr>
          <w:color w:val="000000"/>
          <w:sz w:val="26"/>
          <w:szCs w:val="26"/>
        </w:rPr>
        <w:t>Michele L. Tilley</w:t>
      </w:r>
      <w:r w:rsidR="00D47808" w:rsidRPr="0029748B">
        <w:rPr>
          <w:color w:val="000000"/>
          <w:sz w:val="26"/>
          <w:szCs w:val="26"/>
        </w:rPr>
        <w:t xml:space="preserve">, TLU Statement No. MLT-2R, and Exhibits MLT-A-G; and Robert K. </w:t>
      </w:r>
      <w:proofErr w:type="spellStart"/>
      <w:r w:rsidR="00D47808" w:rsidRPr="0029748B">
        <w:rPr>
          <w:color w:val="000000"/>
          <w:sz w:val="26"/>
          <w:szCs w:val="26"/>
        </w:rPr>
        <w:t>Fullager</w:t>
      </w:r>
      <w:proofErr w:type="spellEnd"/>
      <w:r w:rsidR="00D47808" w:rsidRPr="0029748B">
        <w:rPr>
          <w:color w:val="000000"/>
          <w:sz w:val="26"/>
          <w:szCs w:val="26"/>
        </w:rPr>
        <w:t>, TLU Statement No. RFK-2R.</w:t>
      </w:r>
    </w:p>
    <w:p w14:paraId="0AEED0A5" w14:textId="77777777" w:rsidR="00D47808" w:rsidRPr="0029748B" w:rsidRDefault="00D47808" w:rsidP="0029748B">
      <w:pPr>
        <w:widowControl/>
        <w:spacing w:line="360" w:lineRule="auto"/>
        <w:ind w:right="72" w:firstLine="1440"/>
        <w:contextualSpacing/>
        <w:textAlignment w:val="baseline"/>
        <w:rPr>
          <w:color w:val="000000"/>
          <w:sz w:val="26"/>
          <w:szCs w:val="26"/>
          <w:highlight w:val="yellow"/>
        </w:rPr>
      </w:pPr>
    </w:p>
    <w:p w14:paraId="06C6EF42" w14:textId="77777777" w:rsidR="00D47808" w:rsidRPr="0029748B" w:rsidRDefault="00393923" w:rsidP="0029748B">
      <w:pPr>
        <w:widowControl/>
        <w:spacing w:line="360" w:lineRule="auto"/>
        <w:ind w:firstLine="1440"/>
        <w:contextualSpacing/>
        <w:textAlignment w:val="baseline"/>
        <w:rPr>
          <w:color w:val="000000"/>
          <w:sz w:val="26"/>
          <w:szCs w:val="26"/>
        </w:rPr>
      </w:pPr>
      <w:r w:rsidRPr="0029748B">
        <w:rPr>
          <w:color w:val="000000"/>
          <w:sz w:val="26"/>
          <w:szCs w:val="26"/>
        </w:rPr>
        <w:t>I&amp;E</w:t>
      </w:r>
      <w:r w:rsidR="00D47808" w:rsidRPr="0029748B">
        <w:rPr>
          <w:color w:val="000000"/>
          <w:sz w:val="26"/>
          <w:szCs w:val="26"/>
        </w:rPr>
        <w:t xml:space="preserve"> and the </w:t>
      </w:r>
      <w:r w:rsidRPr="0029748B">
        <w:rPr>
          <w:color w:val="000000"/>
          <w:sz w:val="26"/>
          <w:szCs w:val="26"/>
        </w:rPr>
        <w:t>OCA</w:t>
      </w:r>
      <w:r w:rsidR="00D47808" w:rsidRPr="0029748B">
        <w:rPr>
          <w:color w:val="000000"/>
          <w:sz w:val="26"/>
          <w:szCs w:val="26"/>
        </w:rPr>
        <w:t xml:space="preserve"> s</w:t>
      </w:r>
      <w:r w:rsidRPr="0029748B">
        <w:rPr>
          <w:color w:val="000000"/>
          <w:sz w:val="26"/>
          <w:szCs w:val="26"/>
        </w:rPr>
        <w:t xml:space="preserve">erved </w:t>
      </w:r>
      <w:proofErr w:type="spellStart"/>
      <w:r w:rsidRPr="0029748B">
        <w:rPr>
          <w:color w:val="000000"/>
          <w:sz w:val="26"/>
          <w:szCs w:val="26"/>
        </w:rPr>
        <w:t>Surrebuttal</w:t>
      </w:r>
      <w:proofErr w:type="spellEnd"/>
      <w:r w:rsidRPr="0029748B">
        <w:rPr>
          <w:color w:val="000000"/>
          <w:sz w:val="26"/>
          <w:szCs w:val="26"/>
        </w:rPr>
        <w:t xml:space="preserve"> Testimony and </w:t>
      </w:r>
      <w:r w:rsidR="00A9597D" w:rsidRPr="0029748B">
        <w:rPr>
          <w:color w:val="000000"/>
          <w:sz w:val="26"/>
          <w:szCs w:val="26"/>
        </w:rPr>
        <w:t>E</w:t>
      </w:r>
      <w:r w:rsidRPr="0029748B">
        <w:rPr>
          <w:color w:val="000000"/>
          <w:sz w:val="26"/>
          <w:szCs w:val="26"/>
        </w:rPr>
        <w:t xml:space="preserve">xhibits on </w:t>
      </w:r>
      <w:r w:rsidR="00D47808" w:rsidRPr="0029748B">
        <w:rPr>
          <w:color w:val="000000"/>
          <w:sz w:val="26"/>
          <w:szCs w:val="26"/>
        </w:rPr>
        <w:t>December</w:t>
      </w:r>
      <w:r w:rsidR="00DF38EE" w:rsidRPr="0029748B">
        <w:rPr>
          <w:color w:val="000000"/>
          <w:sz w:val="26"/>
          <w:szCs w:val="26"/>
        </w:rPr>
        <w:t> </w:t>
      </w:r>
      <w:r w:rsidR="00D47808" w:rsidRPr="0029748B">
        <w:rPr>
          <w:color w:val="000000"/>
          <w:sz w:val="26"/>
          <w:szCs w:val="26"/>
        </w:rPr>
        <w:t>10, 2019</w:t>
      </w:r>
      <w:r w:rsidR="008F76FD" w:rsidRPr="0029748B">
        <w:rPr>
          <w:color w:val="000000"/>
          <w:sz w:val="26"/>
          <w:szCs w:val="26"/>
        </w:rPr>
        <w:t xml:space="preserve">, including: </w:t>
      </w:r>
      <w:proofErr w:type="spellStart"/>
      <w:r w:rsidR="008F76FD" w:rsidRPr="0029748B">
        <w:rPr>
          <w:color w:val="000000"/>
          <w:sz w:val="26"/>
          <w:szCs w:val="26"/>
        </w:rPr>
        <w:t>Surrebuttal</w:t>
      </w:r>
      <w:proofErr w:type="spellEnd"/>
      <w:r w:rsidR="008F76FD" w:rsidRPr="0029748B">
        <w:rPr>
          <w:color w:val="000000"/>
          <w:sz w:val="26"/>
          <w:szCs w:val="26"/>
        </w:rPr>
        <w:t xml:space="preserve"> Testimony of John </w:t>
      </w:r>
      <w:proofErr w:type="spellStart"/>
      <w:r w:rsidR="008F76FD" w:rsidRPr="0029748B">
        <w:rPr>
          <w:color w:val="000000"/>
          <w:sz w:val="26"/>
          <w:szCs w:val="26"/>
        </w:rPr>
        <w:t>Zalesky</w:t>
      </w:r>
      <w:proofErr w:type="spellEnd"/>
      <w:r w:rsidR="008F76FD" w:rsidRPr="0029748B">
        <w:rPr>
          <w:color w:val="000000"/>
          <w:sz w:val="26"/>
          <w:szCs w:val="26"/>
        </w:rPr>
        <w:t>, I&amp;E Sta</w:t>
      </w:r>
      <w:r w:rsidR="003A32EA" w:rsidRPr="0029748B">
        <w:rPr>
          <w:color w:val="000000"/>
          <w:sz w:val="26"/>
          <w:szCs w:val="26"/>
        </w:rPr>
        <w:t>t</w:t>
      </w:r>
      <w:r w:rsidR="008F76FD" w:rsidRPr="0029748B">
        <w:rPr>
          <w:color w:val="000000"/>
          <w:sz w:val="26"/>
          <w:szCs w:val="26"/>
        </w:rPr>
        <w:t xml:space="preserve">ement No. 1-SR; </w:t>
      </w:r>
      <w:proofErr w:type="spellStart"/>
      <w:r w:rsidR="008F76FD" w:rsidRPr="0029748B">
        <w:rPr>
          <w:color w:val="000000"/>
          <w:sz w:val="26"/>
          <w:szCs w:val="26"/>
        </w:rPr>
        <w:t>Surrebuttal</w:t>
      </w:r>
      <w:proofErr w:type="spellEnd"/>
      <w:r w:rsidR="008F76FD" w:rsidRPr="0029748B">
        <w:rPr>
          <w:color w:val="000000"/>
          <w:sz w:val="26"/>
          <w:szCs w:val="26"/>
        </w:rPr>
        <w:t xml:space="preserve"> Testimony of </w:t>
      </w:r>
      <w:r w:rsidR="003A32EA" w:rsidRPr="0029748B">
        <w:rPr>
          <w:color w:val="000000"/>
          <w:sz w:val="26"/>
          <w:szCs w:val="26"/>
        </w:rPr>
        <w:t>Christopher M. Henkel</w:t>
      </w:r>
      <w:r w:rsidR="008F76FD" w:rsidRPr="0029748B">
        <w:rPr>
          <w:color w:val="000000"/>
          <w:sz w:val="26"/>
          <w:szCs w:val="26"/>
        </w:rPr>
        <w:t>, I&amp;E Sta</w:t>
      </w:r>
      <w:r w:rsidR="003A32EA" w:rsidRPr="0029748B">
        <w:rPr>
          <w:color w:val="000000"/>
          <w:sz w:val="26"/>
          <w:szCs w:val="26"/>
        </w:rPr>
        <w:t>t</w:t>
      </w:r>
      <w:r w:rsidR="008F76FD" w:rsidRPr="0029748B">
        <w:rPr>
          <w:color w:val="000000"/>
          <w:sz w:val="26"/>
          <w:szCs w:val="26"/>
        </w:rPr>
        <w:t xml:space="preserve">ement No. </w:t>
      </w:r>
      <w:r w:rsidR="003A32EA" w:rsidRPr="0029748B">
        <w:rPr>
          <w:color w:val="000000"/>
          <w:sz w:val="26"/>
          <w:szCs w:val="26"/>
        </w:rPr>
        <w:t>2</w:t>
      </w:r>
      <w:r w:rsidR="008F76FD" w:rsidRPr="0029748B">
        <w:rPr>
          <w:color w:val="000000"/>
          <w:sz w:val="26"/>
          <w:szCs w:val="26"/>
        </w:rPr>
        <w:t>-SR</w:t>
      </w:r>
      <w:r w:rsidR="003A32EA" w:rsidRPr="0029748B">
        <w:rPr>
          <w:color w:val="000000"/>
          <w:sz w:val="26"/>
          <w:szCs w:val="26"/>
        </w:rPr>
        <w:t xml:space="preserve">; </w:t>
      </w:r>
      <w:proofErr w:type="spellStart"/>
      <w:r w:rsidR="008F76FD" w:rsidRPr="0029748B">
        <w:rPr>
          <w:color w:val="000000"/>
          <w:sz w:val="26"/>
          <w:szCs w:val="26"/>
        </w:rPr>
        <w:t>Surrebuttal</w:t>
      </w:r>
      <w:proofErr w:type="spellEnd"/>
      <w:r w:rsidR="008F76FD" w:rsidRPr="0029748B">
        <w:rPr>
          <w:color w:val="000000"/>
          <w:sz w:val="26"/>
          <w:szCs w:val="26"/>
        </w:rPr>
        <w:t xml:space="preserve"> Testimony of </w:t>
      </w:r>
      <w:proofErr w:type="spellStart"/>
      <w:r w:rsidR="003A32EA" w:rsidRPr="0029748B">
        <w:rPr>
          <w:color w:val="000000"/>
          <w:sz w:val="26"/>
          <w:szCs w:val="26"/>
        </w:rPr>
        <w:t>Esyan</w:t>
      </w:r>
      <w:proofErr w:type="spellEnd"/>
      <w:r w:rsidR="003A32EA" w:rsidRPr="0029748B">
        <w:rPr>
          <w:color w:val="000000"/>
          <w:sz w:val="26"/>
          <w:szCs w:val="26"/>
        </w:rPr>
        <w:t xml:space="preserve"> A. </w:t>
      </w:r>
      <w:proofErr w:type="spellStart"/>
      <w:r w:rsidR="003A32EA" w:rsidRPr="0029748B">
        <w:rPr>
          <w:color w:val="000000"/>
          <w:sz w:val="26"/>
          <w:szCs w:val="26"/>
        </w:rPr>
        <w:t>Sakaya</w:t>
      </w:r>
      <w:proofErr w:type="spellEnd"/>
      <w:r w:rsidR="008F76FD" w:rsidRPr="0029748B">
        <w:rPr>
          <w:color w:val="000000"/>
          <w:sz w:val="26"/>
          <w:szCs w:val="26"/>
        </w:rPr>
        <w:t xml:space="preserve">, </w:t>
      </w:r>
      <w:r w:rsidR="003A32EA" w:rsidRPr="0029748B">
        <w:rPr>
          <w:color w:val="000000"/>
          <w:sz w:val="26"/>
          <w:szCs w:val="26"/>
        </w:rPr>
        <w:t>I&amp;E</w:t>
      </w:r>
      <w:r w:rsidR="008F76FD" w:rsidRPr="0029748B">
        <w:rPr>
          <w:color w:val="000000"/>
          <w:sz w:val="26"/>
          <w:szCs w:val="26"/>
        </w:rPr>
        <w:t xml:space="preserve"> Sta</w:t>
      </w:r>
      <w:r w:rsidR="003A32EA" w:rsidRPr="0029748B">
        <w:rPr>
          <w:color w:val="000000"/>
          <w:sz w:val="26"/>
          <w:szCs w:val="26"/>
        </w:rPr>
        <w:t>t</w:t>
      </w:r>
      <w:r w:rsidR="008F76FD" w:rsidRPr="0029748B">
        <w:rPr>
          <w:color w:val="000000"/>
          <w:sz w:val="26"/>
          <w:szCs w:val="26"/>
        </w:rPr>
        <w:t xml:space="preserve">ement No. </w:t>
      </w:r>
      <w:r w:rsidR="003A32EA" w:rsidRPr="0029748B">
        <w:rPr>
          <w:color w:val="000000"/>
          <w:sz w:val="26"/>
          <w:szCs w:val="26"/>
        </w:rPr>
        <w:t>3</w:t>
      </w:r>
      <w:r w:rsidR="008F76FD" w:rsidRPr="0029748B">
        <w:rPr>
          <w:color w:val="000000"/>
          <w:sz w:val="26"/>
          <w:szCs w:val="26"/>
        </w:rPr>
        <w:t>-SR</w:t>
      </w:r>
      <w:r w:rsidR="003A32EA" w:rsidRPr="0029748B">
        <w:rPr>
          <w:color w:val="000000"/>
          <w:sz w:val="26"/>
          <w:szCs w:val="26"/>
        </w:rPr>
        <w:t xml:space="preserve">.; </w:t>
      </w:r>
      <w:proofErr w:type="spellStart"/>
      <w:r w:rsidR="003A32EA" w:rsidRPr="0029748B">
        <w:rPr>
          <w:color w:val="000000"/>
          <w:sz w:val="26"/>
          <w:szCs w:val="26"/>
        </w:rPr>
        <w:t>Surrebuttal</w:t>
      </w:r>
      <w:proofErr w:type="spellEnd"/>
      <w:r w:rsidR="003A32EA" w:rsidRPr="0029748B">
        <w:rPr>
          <w:color w:val="000000"/>
          <w:sz w:val="26"/>
          <w:szCs w:val="26"/>
        </w:rPr>
        <w:t xml:space="preserve"> Testimony and Exhibits of Stacy L. Sherwood, OCA Statement No. 1-SR; </w:t>
      </w:r>
      <w:proofErr w:type="spellStart"/>
      <w:r w:rsidR="003A32EA" w:rsidRPr="0029748B">
        <w:rPr>
          <w:color w:val="000000"/>
          <w:sz w:val="26"/>
          <w:szCs w:val="26"/>
        </w:rPr>
        <w:t>Surrebuttal</w:t>
      </w:r>
      <w:proofErr w:type="spellEnd"/>
      <w:r w:rsidR="003A32EA" w:rsidRPr="0029748B">
        <w:rPr>
          <w:color w:val="000000"/>
          <w:sz w:val="26"/>
          <w:szCs w:val="26"/>
        </w:rPr>
        <w:t xml:space="preserve"> Testimony of  John </w:t>
      </w:r>
      <w:proofErr w:type="spellStart"/>
      <w:r w:rsidR="003A32EA" w:rsidRPr="0029748B">
        <w:rPr>
          <w:color w:val="000000"/>
          <w:sz w:val="26"/>
          <w:szCs w:val="26"/>
        </w:rPr>
        <w:t>Zalesky</w:t>
      </w:r>
      <w:proofErr w:type="spellEnd"/>
      <w:r w:rsidR="003A32EA" w:rsidRPr="0029748B">
        <w:rPr>
          <w:color w:val="000000"/>
          <w:sz w:val="26"/>
          <w:szCs w:val="26"/>
        </w:rPr>
        <w:t xml:space="preserve">, I&amp;E </w:t>
      </w:r>
      <w:r w:rsidR="00323609" w:rsidRPr="0029748B">
        <w:rPr>
          <w:color w:val="000000"/>
          <w:sz w:val="26"/>
          <w:szCs w:val="26"/>
        </w:rPr>
        <w:t>Statement</w:t>
      </w:r>
      <w:r w:rsidR="003A32EA" w:rsidRPr="0029748B">
        <w:rPr>
          <w:color w:val="000000"/>
          <w:sz w:val="26"/>
          <w:szCs w:val="26"/>
        </w:rPr>
        <w:t xml:space="preserve"> No. 1-SR </w:t>
      </w:r>
    </w:p>
    <w:p w14:paraId="18D57BFD" w14:textId="77777777" w:rsidR="00D47808" w:rsidRPr="0029748B" w:rsidRDefault="00D47808" w:rsidP="0029748B">
      <w:pPr>
        <w:widowControl/>
        <w:spacing w:line="360" w:lineRule="auto"/>
        <w:ind w:left="720" w:right="72" w:firstLine="720"/>
        <w:contextualSpacing/>
        <w:textAlignment w:val="baseline"/>
        <w:rPr>
          <w:color w:val="000000"/>
          <w:sz w:val="26"/>
          <w:szCs w:val="26"/>
        </w:rPr>
      </w:pPr>
    </w:p>
    <w:p w14:paraId="5102578D" w14:textId="77777777" w:rsidR="00625333" w:rsidRPr="0029748B" w:rsidRDefault="00625333" w:rsidP="0029748B">
      <w:pPr>
        <w:widowControl/>
        <w:spacing w:line="360" w:lineRule="auto"/>
        <w:ind w:firstLine="1440"/>
        <w:contextualSpacing/>
        <w:textAlignment w:val="baseline"/>
        <w:rPr>
          <w:color w:val="000000"/>
          <w:sz w:val="26"/>
          <w:szCs w:val="26"/>
        </w:rPr>
      </w:pPr>
      <w:r w:rsidRPr="0029748B">
        <w:rPr>
          <w:color w:val="000000"/>
          <w:sz w:val="26"/>
          <w:szCs w:val="26"/>
        </w:rPr>
        <w:t>On December 1</w:t>
      </w:r>
      <w:r w:rsidR="00FD0C8E" w:rsidRPr="0029748B">
        <w:rPr>
          <w:color w:val="000000"/>
          <w:sz w:val="26"/>
          <w:szCs w:val="26"/>
        </w:rPr>
        <w:t>8</w:t>
      </w:r>
      <w:r w:rsidRPr="0029748B">
        <w:rPr>
          <w:color w:val="000000"/>
          <w:sz w:val="26"/>
          <w:szCs w:val="26"/>
        </w:rPr>
        <w:t xml:space="preserve">, 2019, </w:t>
      </w:r>
      <w:r w:rsidR="00FD0C8E" w:rsidRPr="0029748B">
        <w:rPr>
          <w:color w:val="000000"/>
          <w:sz w:val="26"/>
          <w:szCs w:val="26"/>
        </w:rPr>
        <w:t xml:space="preserve">the active </w:t>
      </w:r>
      <w:r w:rsidR="00027AB8" w:rsidRPr="0029748B">
        <w:rPr>
          <w:color w:val="000000"/>
          <w:sz w:val="26"/>
          <w:szCs w:val="26"/>
        </w:rPr>
        <w:t>P</w:t>
      </w:r>
      <w:r w:rsidR="000A00B7" w:rsidRPr="0029748B">
        <w:rPr>
          <w:color w:val="000000"/>
          <w:sz w:val="26"/>
          <w:szCs w:val="26"/>
        </w:rPr>
        <w:t>arties</w:t>
      </w:r>
      <w:r w:rsidR="00FD0C8E" w:rsidRPr="0029748B">
        <w:rPr>
          <w:color w:val="000000"/>
          <w:sz w:val="26"/>
          <w:szCs w:val="26"/>
        </w:rPr>
        <w:t xml:space="preserve"> to the proceeding</w:t>
      </w:r>
      <w:r w:rsidR="00063C56" w:rsidRPr="0029748B">
        <w:rPr>
          <w:color w:val="000000"/>
          <w:sz w:val="26"/>
          <w:szCs w:val="26"/>
        </w:rPr>
        <w:t>, Twin Lakes, I&amp;E and the OCA,</w:t>
      </w:r>
      <w:r w:rsidR="00FD0C8E" w:rsidRPr="0029748B">
        <w:rPr>
          <w:color w:val="000000"/>
          <w:sz w:val="26"/>
          <w:szCs w:val="26"/>
        </w:rPr>
        <w:t xml:space="preserve"> filed </w:t>
      </w:r>
      <w:r w:rsidR="004A3D68" w:rsidRPr="0029748B">
        <w:rPr>
          <w:color w:val="000000"/>
          <w:sz w:val="26"/>
          <w:szCs w:val="26"/>
        </w:rPr>
        <w:t>the</w:t>
      </w:r>
      <w:r w:rsidR="00FD0C8E" w:rsidRPr="0029748B">
        <w:rPr>
          <w:color w:val="000000"/>
          <w:sz w:val="26"/>
          <w:szCs w:val="26"/>
        </w:rPr>
        <w:t xml:space="preserve"> </w:t>
      </w:r>
      <w:r w:rsidR="004C1B9E" w:rsidRPr="0029748B">
        <w:rPr>
          <w:color w:val="000000"/>
          <w:sz w:val="26"/>
          <w:szCs w:val="26"/>
        </w:rPr>
        <w:t xml:space="preserve">Joint Motion </w:t>
      </w:r>
      <w:r w:rsidRPr="0029748B">
        <w:rPr>
          <w:color w:val="000000"/>
          <w:sz w:val="26"/>
          <w:szCs w:val="26"/>
        </w:rPr>
        <w:t xml:space="preserve">and </w:t>
      </w:r>
      <w:r w:rsidR="004A3D68" w:rsidRPr="0029748B">
        <w:rPr>
          <w:color w:val="000000"/>
          <w:sz w:val="26"/>
          <w:szCs w:val="26"/>
        </w:rPr>
        <w:t xml:space="preserve">the </w:t>
      </w:r>
      <w:r w:rsidR="004C1B9E" w:rsidRPr="0029748B">
        <w:rPr>
          <w:color w:val="000000"/>
          <w:sz w:val="26"/>
          <w:szCs w:val="26"/>
        </w:rPr>
        <w:t>J</w:t>
      </w:r>
      <w:r w:rsidRPr="0029748B">
        <w:rPr>
          <w:color w:val="000000"/>
          <w:sz w:val="26"/>
          <w:szCs w:val="26"/>
        </w:rPr>
        <w:t>oint Stipulation</w:t>
      </w:r>
      <w:r w:rsidR="00D7368B" w:rsidRPr="0029748B">
        <w:rPr>
          <w:color w:val="000000"/>
          <w:sz w:val="26"/>
          <w:szCs w:val="26"/>
        </w:rPr>
        <w:t xml:space="preserve">. </w:t>
      </w:r>
      <w:r w:rsidR="00557EC2" w:rsidRPr="0029748B">
        <w:rPr>
          <w:color w:val="000000"/>
          <w:sz w:val="26"/>
          <w:szCs w:val="26"/>
        </w:rPr>
        <w:t xml:space="preserve"> </w:t>
      </w:r>
      <w:r w:rsidR="004A3D68" w:rsidRPr="0029748B">
        <w:rPr>
          <w:color w:val="000000"/>
          <w:sz w:val="26"/>
          <w:szCs w:val="26"/>
        </w:rPr>
        <w:t>As earlier indicated, t</w:t>
      </w:r>
      <w:r w:rsidR="00557EC2" w:rsidRPr="0029748B">
        <w:rPr>
          <w:color w:val="000000"/>
          <w:sz w:val="26"/>
          <w:szCs w:val="26"/>
        </w:rPr>
        <w:t xml:space="preserve">he </w:t>
      </w:r>
      <w:r w:rsidR="00FD0C8E" w:rsidRPr="0029748B">
        <w:rPr>
          <w:rFonts w:eastAsia="Calibri"/>
          <w:sz w:val="26"/>
          <w:szCs w:val="26"/>
        </w:rPr>
        <w:t xml:space="preserve">Joint Stipulation </w:t>
      </w:r>
      <w:r w:rsidR="00557EC2" w:rsidRPr="0029748B">
        <w:rPr>
          <w:rFonts w:eastAsia="Calibri"/>
          <w:sz w:val="26"/>
          <w:szCs w:val="26"/>
        </w:rPr>
        <w:t xml:space="preserve">was comprised of </w:t>
      </w:r>
      <w:r w:rsidR="00FD0C8E" w:rsidRPr="0029748B">
        <w:rPr>
          <w:rFonts w:eastAsia="Calibri"/>
          <w:sz w:val="26"/>
          <w:szCs w:val="26"/>
        </w:rPr>
        <w:t xml:space="preserve">two attached Appendices: Appendix A </w:t>
      </w:r>
      <w:r w:rsidR="00FD0C8E" w:rsidRPr="0029748B">
        <w:rPr>
          <w:rFonts w:eastAsia="Calibri"/>
          <w:sz w:val="26"/>
          <w:szCs w:val="26"/>
        </w:rPr>
        <w:lastRenderedPageBreak/>
        <w:t>(Stipulation for Admission of Testimony and Exhibits); and, Appendix B (Stipulation of the Parties)</w:t>
      </w:r>
      <w:r w:rsidR="003362BD" w:rsidRPr="0029748B">
        <w:rPr>
          <w:rFonts w:eastAsia="Calibri"/>
          <w:sz w:val="26"/>
          <w:szCs w:val="26"/>
        </w:rPr>
        <w:t xml:space="preserve"> </w:t>
      </w:r>
      <w:r w:rsidR="00D7368B" w:rsidRPr="0029748B">
        <w:rPr>
          <w:rFonts w:eastAsia="Calibri"/>
          <w:sz w:val="26"/>
          <w:szCs w:val="26"/>
        </w:rPr>
        <w:t>(</w:t>
      </w:r>
      <w:r w:rsidR="00FD0C8E" w:rsidRPr="0029748B">
        <w:rPr>
          <w:rFonts w:eastAsia="Calibri"/>
          <w:sz w:val="26"/>
          <w:szCs w:val="26"/>
        </w:rPr>
        <w:t>stipulating to the certain contested facts regarding</w:t>
      </w:r>
      <w:r w:rsidR="00D7368B" w:rsidRPr="0029748B">
        <w:rPr>
          <w:rFonts w:eastAsia="Calibri"/>
          <w:sz w:val="26"/>
          <w:szCs w:val="26"/>
        </w:rPr>
        <w:t>,</w:t>
      </w:r>
      <w:r w:rsidR="00FD0C8E" w:rsidRPr="0029748B">
        <w:rPr>
          <w:rFonts w:eastAsia="Calibri"/>
          <w:sz w:val="26"/>
          <w:szCs w:val="26"/>
        </w:rPr>
        <w:t xml:space="preserve"> </w:t>
      </w:r>
      <w:r w:rsidR="00D7368B" w:rsidRPr="0029748B">
        <w:rPr>
          <w:rFonts w:eastAsia="Calibri"/>
          <w:i/>
          <w:iCs/>
          <w:sz w:val="26"/>
          <w:szCs w:val="26"/>
        </w:rPr>
        <w:t>inter alia,</w:t>
      </w:r>
      <w:r w:rsidR="00D7368B" w:rsidRPr="0029748B">
        <w:rPr>
          <w:rFonts w:eastAsia="Calibri"/>
          <w:sz w:val="26"/>
          <w:szCs w:val="26"/>
        </w:rPr>
        <w:t xml:space="preserve"> </w:t>
      </w:r>
      <w:r w:rsidR="00FD0C8E" w:rsidRPr="0029748B">
        <w:rPr>
          <w:rFonts w:eastAsia="Calibri"/>
          <w:sz w:val="26"/>
          <w:szCs w:val="26"/>
        </w:rPr>
        <w:t>lead and copper monitoring by the Company</w:t>
      </w:r>
      <w:r w:rsidR="00D7368B" w:rsidRPr="0029748B">
        <w:rPr>
          <w:rFonts w:eastAsia="Calibri"/>
          <w:sz w:val="26"/>
          <w:szCs w:val="26"/>
        </w:rPr>
        <w:t>)</w:t>
      </w:r>
      <w:r w:rsidR="00FD0C8E" w:rsidRPr="0029748B">
        <w:rPr>
          <w:rFonts w:eastAsia="Calibri"/>
          <w:sz w:val="26"/>
          <w:szCs w:val="26"/>
        </w:rPr>
        <w:t xml:space="preserve">. </w:t>
      </w:r>
    </w:p>
    <w:p w14:paraId="61E5905E" w14:textId="77777777" w:rsidR="00625333" w:rsidRPr="0029748B" w:rsidRDefault="00625333" w:rsidP="0029748B">
      <w:pPr>
        <w:widowControl/>
        <w:spacing w:line="360" w:lineRule="auto"/>
        <w:ind w:firstLine="1440"/>
        <w:contextualSpacing/>
        <w:textAlignment w:val="baseline"/>
        <w:rPr>
          <w:color w:val="000000"/>
          <w:sz w:val="26"/>
          <w:szCs w:val="26"/>
        </w:rPr>
      </w:pPr>
    </w:p>
    <w:p w14:paraId="3EE03F50" w14:textId="77777777" w:rsidR="00393923" w:rsidRPr="0029748B" w:rsidRDefault="00625333" w:rsidP="0029748B">
      <w:pPr>
        <w:widowControl/>
        <w:spacing w:line="360" w:lineRule="auto"/>
        <w:ind w:firstLine="1440"/>
        <w:contextualSpacing/>
        <w:textAlignment w:val="baseline"/>
        <w:rPr>
          <w:color w:val="000000"/>
          <w:sz w:val="26"/>
          <w:szCs w:val="26"/>
        </w:rPr>
      </w:pPr>
      <w:r w:rsidRPr="0029748B">
        <w:rPr>
          <w:color w:val="000000"/>
          <w:sz w:val="26"/>
          <w:szCs w:val="26"/>
        </w:rPr>
        <w:t xml:space="preserve">By </w:t>
      </w:r>
      <w:r w:rsidR="004C1B9E" w:rsidRPr="0029748B">
        <w:rPr>
          <w:color w:val="000000"/>
          <w:sz w:val="26"/>
          <w:szCs w:val="26"/>
        </w:rPr>
        <w:t>O</w:t>
      </w:r>
      <w:r w:rsidRPr="0029748B">
        <w:rPr>
          <w:color w:val="000000"/>
          <w:sz w:val="26"/>
          <w:szCs w:val="26"/>
        </w:rPr>
        <w:t>rder entered on December 18, 2019, the ALJ</w:t>
      </w:r>
      <w:r w:rsidR="000F367A" w:rsidRPr="0029748B">
        <w:rPr>
          <w:color w:val="000000"/>
          <w:sz w:val="26"/>
          <w:szCs w:val="26"/>
        </w:rPr>
        <w:t>: (1)</w:t>
      </w:r>
      <w:r w:rsidRPr="0029748B">
        <w:rPr>
          <w:color w:val="000000"/>
          <w:sz w:val="26"/>
          <w:szCs w:val="26"/>
        </w:rPr>
        <w:t xml:space="preserve"> granted the</w:t>
      </w:r>
      <w:r w:rsidR="00CB2017" w:rsidRPr="0029748B">
        <w:rPr>
          <w:color w:val="000000"/>
          <w:sz w:val="26"/>
          <w:szCs w:val="26"/>
        </w:rPr>
        <w:t xml:space="preserve"> </w:t>
      </w:r>
      <w:r w:rsidR="00027AB8" w:rsidRPr="0029748B">
        <w:rPr>
          <w:color w:val="000000"/>
          <w:sz w:val="26"/>
          <w:szCs w:val="26"/>
        </w:rPr>
        <w:t>J</w:t>
      </w:r>
      <w:r w:rsidRPr="0029748B">
        <w:rPr>
          <w:color w:val="000000"/>
          <w:sz w:val="26"/>
          <w:szCs w:val="26"/>
        </w:rPr>
        <w:t xml:space="preserve">oint Motion </w:t>
      </w:r>
      <w:r w:rsidR="00C67543" w:rsidRPr="0029748B">
        <w:rPr>
          <w:color w:val="000000"/>
          <w:sz w:val="26"/>
          <w:szCs w:val="26"/>
        </w:rPr>
        <w:t>filed by Twin Lakes, I&amp;E and the OCA</w:t>
      </w:r>
      <w:r w:rsidR="000F367A" w:rsidRPr="0029748B">
        <w:rPr>
          <w:color w:val="000000"/>
          <w:sz w:val="26"/>
          <w:szCs w:val="26"/>
        </w:rPr>
        <w:t>; (2)</w:t>
      </w:r>
      <w:r w:rsidR="00C67543" w:rsidRPr="0029748B">
        <w:rPr>
          <w:color w:val="000000"/>
          <w:sz w:val="26"/>
          <w:szCs w:val="26"/>
        </w:rPr>
        <w:t xml:space="preserve"> </w:t>
      </w:r>
      <w:r w:rsidRPr="0029748B">
        <w:rPr>
          <w:color w:val="000000"/>
          <w:sz w:val="26"/>
          <w:szCs w:val="26"/>
        </w:rPr>
        <w:t>a</w:t>
      </w:r>
      <w:r w:rsidR="00A9597D" w:rsidRPr="0029748B">
        <w:rPr>
          <w:color w:val="000000"/>
          <w:sz w:val="26"/>
          <w:szCs w:val="26"/>
        </w:rPr>
        <w:t xml:space="preserve">dopted </w:t>
      </w:r>
      <w:r w:rsidRPr="0029748B">
        <w:rPr>
          <w:color w:val="000000"/>
          <w:sz w:val="26"/>
          <w:szCs w:val="26"/>
        </w:rPr>
        <w:t xml:space="preserve">the </w:t>
      </w:r>
      <w:r w:rsidR="00A9597D" w:rsidRPr="0029748B">
        <w:rPr>
          <w:color w:val="000000"/>
          <w:sz w:val="26"/>
          <w:szCs w:val="26"/>
        </w:rPr>
        <w:t>J</w:t>
      </w:r>
      <w:r w:rsidRPr="0029748B">
        <w:rPr>
          <w:color w:val="000000"/>
          <w:sz w:val="26"/>
          <w:szCs w:val="26"/>
        </w:rPr>
        <w:t xml:space="preserve">oint </w:t>
      </w:r>
      <w:r w:rsidR="00C67543" w:rsidRPr="0029748B">
        <w:rPr>
          <w:color w:val="000000"/>
          <w:sz w:val="26"/>
          <w:szCs w:val="26"/>
        </w:rPr>
        <w:t>S</w:t>
      </w:r>
      <w:r w:rsidRPr="0029748B">
        <w:rPr>
          <w:color w:val="000000"/>
          <w:sz w:val="26"/>
          <w:szCs w:val="26"/>
        </w:rPr>
        <w:t>tipulation</w:t>
      </w:r>
      <w:r w:rsidR="000F367A" w:rsidRPr="0029748B">
        <w:rPr>
          <w:color w:val="000000"/>
          <w:sz w:val="26"/>
          <w:szCs w:val="26"/>
        </w:rPr>
        <w:t>; (3)</w:t>
      </w:r>
      <w:r w:rsidR="00C67543" w:rsidRPr="0029748B">
        <w:rPr>
          <w:color w:val="000000"/>
          <w:sz w:val="26"/>
          <w:szCs w:val="26"/>
        </w:rPr>
        <w:t xml:space="preserve"> admitted the stipulat</w:t>
      </w:r>
      <w:r w:rsidR="00557EC2" w:rsidRPr="0029748B">
        <w:rPr>
          <w:color w:val="000000"/>
          <w:sz w:val="26"/>
          <w:szCs w:val="26"/>
        </w:rPr>
        <w:t xml:space="preserve">ion of </w:t>
      </w:r>
      <w:r w:rsidR="00FD0C8E" w:rsidRPr="0029748B">
        <w:rPr>
          <w:color w:val="000000"/>
          <w:sz w:val="26"/>
          <w:szCs w:val="26"/>
        </w:rPr>
        <w:t>facts</w:t>
      </w:r>
      <w:r w:rsidR="00557EC2" w:rsidRPr="0029748B">
        <w:rPr>
          <w:color w:val="000000"/>
          <w:sz w:val="26"/>
          <w:szCs w:val="26"/>
        </w:rPr>
        <w:t xml:space="preserve"> and </w:t>
      </w:r>
      <w:r w:rsidR="000F367A" w:rsidRPr="0029748B">
        <w:rPr>
          <w:color w:val="000000"/>
          <w:sz w:val="26"/>
          <w:szCs w:val="26"/>
        </w:rPr>
        <w:t>t</w:t>
      </w:r>
      <w:r w:rsidR="00C67543" w:rsidRPr="0029748B">
        <w:rPr>
          <w:color w:val="000000"/>
          <w:sz w:val="26"/>
          <w:szCs w:val="26"/>
        </w:rPr>
        <w:t>estimony</w:t>
      </w:r>
      <w:r w:rsidR="00E679BE" w:rsidRPr="0029748B">
        <w:rPr>
          <w:color w:val="000000"/>
          <w:sz w:val="26"/>
          <w:szCs w:val="26"/>
        </w:rPr>
        <w:t>,</w:t>
      </w:r>
      <w:r w:rsidR="00C67543" w:rsidRPr="0029748B">
        <w:rPr>
          <w:color w:val="000000"/>
          <w:sz w:val="26"/>
          <w:szCs w:val="26"/>
        </w:rPr>
        <w:t xml:space="preserve"> </w:t>
      </w:r>
      <w:r w:rsidR="000F367A" w:rsidRPr="0029748B">
        <w:rPr>
          <w:color w:val="000000"/>
          <w:sz w:val="26"/>
          <w:szCs w:val="26"/>
        </w:rPr>
        <w:t>e</w:t>
      </w:r>
      <w:r w:rsidR="00C67543" w:rsidRPr="0029748B">
        <w:rPr>
          <w:color w:val="000000"/>
          <w:sz w:val="26"/>
          <w:szCs w:val="26"/>
        </w:rPr>
        <w:t xml:space="preserve">xhibits </w:t>
      </w:r>
      <w:r w:rsidR="00FD0C8E" w:rsidRPr="0029748B">
        <w:rPr>
          <w:color w:val="000000"/>
          <w:sz w:val="26"/>
          <w:szCs w:val="26"/>
        </w:rPr>
        <w:t>into the record</w:t>
      </w:r>
      <w:r w:rsidR="000F367A" w:rsidRPr="0029748B">
        <w:rPr>
          <w:color w:val="000000"/>
          <w:sz w:val="26"/>
          <w:szCs w:val="26"/>
        </w:rPr>
        <w:t>;</w:t>
      </w:r>
      <w:r w:rsidR="00FD0C8E" w:rsidRPr="0029748B">
        <w:rPr>
          <w:color w:val="000000"/>
          <w:sz w:val="26"/>
          <w:szCs w:val="26"/>
        </w:rPr>
        <w:t xml:space="preserve"> </w:t>
      </w:r>
      <w:r w:rsidR="00C67543" w:rsidRPr="0029748B">
        <w:rPr>
          <w:color w:val="000000"/>
          <w:sz w:val="26"/>
          <w:szCs w:val="26"/>
        </w:rPr>
        <w:t xml:space="preserve">and </w:t>
      </w:r>
      <w:r w:rsidR="000F367A" w:rsidRPr="0029748B">
        <w:rPr>
          <w:color w:val="000000"/>
          <w:sz w:val="26"/>
          <w:szCs w:val="26"/>
        </w:rPr>
        <w:t xml:space="preserve">(4) </w:t>
      </w:r>
      <w:r w:rsidR="00C67543" w:rsidRPr="0029748B">
        <w:rPr>
          <w:color w:val="000000"/>
          <w:sz w:val="26"/>
          <w:szCs w:val="26"/>
        </w:rPr>
        <w:t>cancelled the evidentiary hearings scheduled in the proceeding.</w:t>
      </w:r>
    </w:p>
    <w:p w14:paraId="3BE9BFBF" w14:textId="77777777" w:rsidR="00920301" w:rsidRPr="0029748B" w:rsidRDefault="00920301" w:rsidP="0029748B">
      <w:pPr>
        <w:widowControl/>
        <w:spacing w:line="360" w:lineRule="auto"/>
        <w:ind w:firstLine="1440"/>
        <w:contextualSpacing/>
        <w:textAlignment w:val="baseline"/>
        <w:rPr>
          <w:color w:val="000000"/>
          <w:sz w:val="26"/>
          <w:szCs w:val="26"/>
        </w:rPr>
      </w:pPr>
    </w:p>
    <w:p w14:paraId="116DDA81" w14:textId="77777777" w:rsidR="008D46D7" w:rsidRPr="0029748B" w:rsidRDefault="00F43EDE" w:rsidP="0029748B">
      <w:pPr>
        <w:widowControl/>
        <w:spacing w:line="360" w:lineRule="auto"/>
        <w:ind w:right="72" w:firstLine="1440"/>
        <w:contextualSpacing/>
        <w:textAlignment w:val="baseline"/>
        <w:rPr>
          <w:color w:val="000000"/>
          <w:sz w:val="26"/>
          <w:szCs w:val="26"/>
        </w:rPr>
      </w:pPr>
      <w:bookmarkStart w:id="7" w:name="_Hlk525912583"/>
      <w:r w:rsidRPr="0029748B">
        <w:rPr>
          <w:color w:val="000000"/>
          <w:sz w:val="26"/>
          <w:szCs w:val="26"/>
        </w:rPr>
        <w:t>Twin Lakes</w:t>
      </w:r>
      <w:r w:rsidR="008D46D7" w:rsidRPr="0029748B">
        <w:rPr>
          <w:color w:val="000000"/>
          <w:sz w:val="26"/>
          <w:szCs w:val="26"/>
        </w:rPr>
        <w:t xml:space="preserve">, I&amp;E, </w:t>
      </w:r>
      <w:r w:rsidRPr="0029748B">
        <w:rPr>
          <w:color w:val="000000"/>
          <w:sz w:val="26"/>
          <w:szCs w:val="26"/>
        </w:rPr>
        <w:t xml:space="preserve">and </w:t>
      </w:r>
      <w:r w:rsidR="008D46D7" w:rsidRPr="0029748B">
        <w:rPr>
          <w:color w:val="000000"/>
          <w:sz w:val="26"/>
          <w:szCs w:val="26"/>
        </w:rPr>
        <w:t xml:space="preserve">the OCA </w:t>
      </w:r>
      <w:bookmarkEnd w:id="7"/>
      <w:r w:rsidR="00393923" w:rsidRPr="0029748B">
        <w:rPr>
          <w:color w:val="000000"/>
          <w:sz w:val="26"/>
          <w:szCs w:val="26"/>
        </w:rPr>
        <w:t>filed Main Briefs on J</w:t>
      </w:r>
      <w:r w:rsidR="00A9597D" w:rsidRPr="0029748B">
        <w:rPr>
          <w:color w:val="000000"/>
          <w:sz w:val="26"/>
          <w:szCs w:val="26"/>
        </w:rPr>
        <w:t>anuary 7, 2020</w:t>
      </w:r>
      <w:r w:rsidR="008D46D7" w:rsidRPr="0029748B">
        <w:rPr>
          <w:color w:val="000000"/>
          <w:sz w:val="26"/>
          <w:szCs w:val="26"/>
        </w:rPr>
        <w:t>, and Re</w:t>
      </w:r>
      <w:r w:rsidR="00393923" w:rsidRPr="0029748B">
        <w:rPr>
          <w:color w:val="000000"/>
          <w:sz w:val="26"/>
          <w:szCs w:val="26"/>
        </w:rPr>
        <w:t>ply Briefs on J</w:t>
      </w:r>
      <w:r w:rsidR="00455134" w:rsidRPr="0029748B">
        <w:rPr>
          <w:color w:val="000000"/>
          <w:sz w:val="26"/>
          <w:szCs w:val="26"/>
        </w:rPr>
        <w:t xml:space="preserve">anuary </w:t>
      </w:r>
      <w:r w:rsidR="00A9597D" w:rsidRPr="0029748B">
        <w:rPr>
          <w:color w:val="000000"/>
          <w:sz w:val="26"/>
          <w:szCs w:val="26"/>
        </w:rPr>
        <w:t>15</w:t>
      </w:r>
      <w:r w:rsidR="00455134" w:rsidRPr="0029748B">
        <w:rPr>
          <w:color w:val="000000"/>
          <w:sz w:val="26"/>
          <w:szCs w:val="26"/>
        </w:rPr>
        <w:t>, 2020</w:t>
      </w:r>
      <w:r w:rsidR="00393923" w:rsidRPr="0029748B">
        <w:rPr>
          <w:color w:val="000000"/>
          <w:sz w:val="26"/>
          <w:szCs w:val="26"/>
        </w:rPr>
        <w:t xml:space="preserve">. </w:t>
      </w:r>
      <w:r w:rsidR="008D46D7" w:rsidRPr="0029748B">
        <w:rPr>
          <w:color w:val="000000"/>
          <w:sz w:val="26"/>
          <w:szCs w:val="26"/>
        </w:rPr>
        <w:t xml:space="preserve"> </w:t>
      </w:r>
      <w:r w:rsidR="00557EC2" w:rsidRPr="0029748B">
        <w:rPr>
          <w:color w:val="000000"/>
          <w:sz w:val="26"/>
          <w:szCs w:val="26"/>
        </w:rPr>
        <w:t xml:space="preserve">Upon the filing of the </w:t>
      </w:r>
      <w:r w:rsidR="000D16A1" w:rsidRPr="0029748B">
        <w:rPr>
          <w:color w:val="000000"/>
          <w:sz w:val="26"/>
          <w:szCs w:val="26"/>
        </w:rPr>
        <w:t>P</w:t>
      </w:r>
      <w:r w:rsidR="00557EC2" w:rsidRPr="0029748B">
        <w:rPr>
          <w:color w:val="000000"/>
          <w:sz w:val="26"/>
          <w:szCs w:val="26"/>
        </w:rPr>
        <w:t xml:space="preserve">arties’ Reply Briefs on </w:t>
      </w:r>
      <w:r w:rsidR="00393923" w:rsidRPr="0029748B">
        <w:rPr>
          <w:color w:val="000000"/>
          <w:sz w:val="26"/>
          <w:szCs w:val="26"/>
        </w:rPr>
        <w:t>J</w:t>
      </w:r>
      <w:r w:rsidR="00455134" w:rsidRPr="0029748B">
        <w:rPr>
          <w:color w:val="000000"/>
          <w:sz w:val="26"/>
          <w:szCs w:val="26"/>
        </w:rPr>
        <w:t>anuary 15, 2020</w:t>
      </w:r>
      <w:r w:rsidR="008D46D7" w:rsidRPr="0029748B">
        <w:rPr>
          <w:color w:val="000000"/>
          <w:sz w:val="26"/>
          <w:szCs w:val="26"/>
        </w:rPr>
        <w:t>,</w:t>
      </w:r>
      <w:r w:rsidR="00393923" w:rsidRPr="0029748B">
        <w:rPr>
          <w:color w:val="000000"/>
          <w:sz w:val="26"/>
          <w:szCs w:val="26"/>
        </w:rPr>
        <w:t xml:space="preserve"> </w:t>
      </w:r>
      <w:r w:rsidR="00557EC2" w:rsidRPr="0029748B">
        <w:rPr>
          <w:color w:val="000000"/>
          <w:sz w:val="26"/>
          <w:szCs w:val="26"/>
        </w:rPr>
        <w:t xml:space="preserve">the record was closed. </w:t>
      </w:r>
    </w:p>
    <w:p w14:paraId="3E6451B8" w14:textId="77777777" w:rsidR="00557EC2" w:rsidRPr="0029748B" w:rsidRDefault="00557EC2" w:rsidP="0029748B">
      <w:pPr>
        <w:widowControl/>
        <w:spacing w:line="360" w:lineRule="auto"/>
        <w:ind w:right="72" w:firstLine="1440"/>
        <w:contextualSpacing/>
        <w:textAlignment w:val="baseline"/>
        <w:rPr>
          <w:color w:val="000000"/>
          <w:sz w:val="26"/>
          <w:szCs w:val="26"/>
        </w:rPr>
      </w:pPr>
    </w:p>
    <w:p w14:paraId="299FC4EE" w14:textId="77777777" w:rsidR="008D46D7" w:rsidRPr="0029748B" w:rsidRDefault="008D46D7" w:rsidP="0029748B">
      <w:pPr>
        <w:widowControl/>
        <w:spacing w:line="360" w:lineRule="auto"/>
        <w:ind w:right="72" w:firstLine="1440"/>
        <w:contextualSpacing/>
        <w:textAlignment w:val="baseline"/>
        <w:rPr>
          <w:color w:val="000000"/>
          <w:sz w:val="26"/>
          <w:szCs w:val="26"/>
        </w:rPr>
      </w:pPr>
      <w:r w:rsidRPr="0029748B">
        <w:rPr>
          <w:color w:val="000000"/>
          <w:sz w:val="26"/>
          <w:szCs w:val="26"/>
        </w:rPr>
        <w:t>In th</w:t>
      </w:r>
      <w:r w:rsidR="00F43EDE" w:rsidRPr="0029748B">
        <w:rPr>
          <w:color w:val="000000"/>
          <w:sz w:val="26"/>
          <w:szCs w:val="26"/>
        </w:rPr>
        <w:t>e</w:t>
      </w:r>
      <w:r w:rsidRPr="0029748B">
        <w:rPr>
          <w:color w:val="000000"/>
          <w:sz w:val="26"/>
          <w:szCs w:val="26"/>
        </w:rPr>
        <w:t xml:space="preserve"> Recommended Decision issued on </w:t>
      </w:r>
      <w:r w:rsidR="007019B5" w:rsidRPr="0029748B">
        <w:rPr>
          <w:color w:val="000000"/>
          <w:sz w:val="26"/>
          <w:szCs w:val="26"/>
        </w:rPr>
        <w:t>February 1</w:t>
      </w:r>
      <w:r w:rsidR="00557EC2" w:rsidRPr="0029748B">
        <w:rPr>
          <w:color w:val="000000"/>
          <w:sz w:val="26"/>
          <w:szCs w:val="26"/>
        </w:rPr>
        <w:t>9</w:t>
      </w:r>
      <w:r w:rsidR="007019B5" w:rsidRPr="0029748B">
        <w:rPr>
          <w:color w:val="000000"/>
          <w:sz w:val="26"/>
          <w:szCs w:val="26"/>
        </w:rPr>
        <w:t>, 2020</w:t>
      </w:r>
      <w:r w:rsidRPr="0029748B">
        <w:rPr>
          <w:color w:val="000000"/>
          <w:sz w:val="26"/>
          <w:szCs w:val="26"/>
        </w:rPr>
        <w:t xml:space="preserve">, the ALJ recommended that the Company be permitted to file tariffs or tariff supplements containing rates designed to produce </w:t>
      </w:r>
      <w:r w:rsidR="00952071" w:rsidRPr="0029748B">
        <w:rPr>
          <w:color w:val="000000"/>
          <w:sz w:val="26"/>
          <w:szCs w:val="26"/>
        </w:rPr>
        <w:t>a</w:t>
      </w:r>
      <w:r w:rsidR="00557EC2" w:rsidRPr="0029748B">
        <w:rPr>
          <w:color w:val="000000"/>
          <w:sz w:val="26"/>
          <w:szCs w:val="26"/>
        </w:rPr>
        <w:t xml:space="preserve">n increase in the amount of $111,776 over the Company’s </w:t>
      </w:r>
      <w:r w:rsidR="00952071" w:rsidRPr="0029748B">
        <w:rPr>
          <w:color w:val="000000"/>
          <w:sz w:val="26"/>
          <w:szCs w:val="26"/>
        </w:rPr>
        <w:t xml:space="preserve">present </w:t>
      </w:r>
      <w:r w:rsidR="00033B76" w:rsidRPr="0029748B">
        <w:rPr>
          <w:color w:val="000000"/>
          <w:sz w:val="26"/>
          <w:szCs w:val="26"/>
        </w:rPr>
        <w:t xml:space="preserve">annual operating </w:t>
      </w:r>
      <w:r w:rsidR="00952071" w:rsidRPr="0029748B">
        <w:rPr>
          <w:color w:val="000000"/>
          <w:sz w:val="26"/>
          <w:szCs w:val="26"/>
        </w:rPr>
        <w:t xml:space="preserve">revenues. </w:t>
      </w:r>
      <w:r w:rsidR="000D16A1" w:rsidRPr="0029748B">
        <w:rPr>
          <w:color w:val="000000"/>
          <w:sz w:val="26"/>
          <w:szCs w:val="26"/>
        </w:rPr>
        <w:t xml:space="preserve"> </w:t>
      </w:r>
      <w:r w:rsidR="00952071" w:rsidRPr="0029748B">
        <w:rPr>
          <w:color w:val="000000"/>
          <w:sz w:val="26"/>
          <w:szCs w:val="26"/>
        </w:rPr>
        <w:t xml:space="preserve">R.D. at </w:t>
      </w:r>
      <w:r w:rsidR="00455134" w:rsidRPr="0029748B">
        <w:rPr>
          <w:color w:val="000000"/>
          <w:sz w:val="26"/>
          <w:szCs w:val="26"/>
        </w:rPr>
        <w:t>91</w:t>
      </w:r>
      <w:r w:rsidR="00952071" w:rsidRPr="0029748B">
        <w:rPr>
          <w:color w:val="000000"/>
          <w:sz w:val="26"/>
          <w:szCs w:val="26"/>
        </w:rPr>
        <w:t xml:space="preserve">.  As previously noted, </w:t>
      </w:r>
      <w:r w:rsidR="00F43EDE" w:rsidRPr="0029748B">
        <w:rPr>
          <w:color w:val="000000"/>
          <w:sz w:val="26"/>
          <w:szCs w:val="26"/>
        </w:rPr>
        <w:t>Twin Lakes</w:t>
      </w:r>
      <w:r w:rsidR="00952071" w:rsidRPr="0029748B">
        <w:rPr>
          <w:color w:val="000000"/>
          <w:sz w:val="26"/>
          <w:szCs w:val="26"/>
        </w:rPr>
        <w:t xml:space="preserve">, I&amp;E, </w:t>
      </w:r>
      <w:r w:rsidR="00F43EDE" w:rsidRPr="0029748B">
        <w:rPr>
          <w:color w:val="000000"/>
          <w:sz w:val="26"/>
          <w:szCs w:val="26"/>
        </w:rPr>
        <w:t xml:space="preserve">and </w:t>
      </w:r>
      <w:r w:rsidR="00952071" w:rsidRPr="0029748B">
        <w:rPr>
          <w:color w:val="000000"/>
          <w:sz w:val="26"/>
          <w:szCs w:val="26"/>
        </w:rPr>
        <w:t xml:space="preserve">the OCA filed Exceptions on </w:t>
      </w:r>
      <w:r w:rsidR="00F43EDE" w:rsidRPr="0029748B">
        <w:rPr>
          <w:color w:val="000000"/>
          <w:sz w:val="26"/>
          <w:szCs w:val="26"/>
        </w:rPr>
        <w:t>March 2, 2020</w:t>
      </w:r>
      <w:r w:rsidR="000726CB" w:rsidRPr="0029748B">
        <w:rPr>
          <w:color w:val="000000"/>
          <w:sz w:val="26"/>
          <w:szCs w:val="26"/>
        </w:rPr>
        <w:t xml:space="preserve">.  I&amp;E and the OCA </w:t>
      </w:r>
      <w:r w:rsidR="00A9597D" w:rsidRPr="0029748B">
        <w:rPr>
          <w:color w:val="000000"/>
          <w:sz w:val="26"/>
          <w:szCs w:val="26"/>
        </w:rPr>
        <w:t xml:space="preserve">filed </w:t>
      </w:r>
      <w:r w:rsidR="00952071" w:rsidRPr="0029748B">
        <w:rPr>
          <w:color w:val="000000"/>
          <w:sz w:val="26"/>
          <w:szCs w:val="26"/>
        </w:rPr>
        <w:t xml:space="preserve">Replies to Exceptions on </w:t>
      </w:r>
      <w:r w:rsidR="00455134" w:rsidRPr="0029748B">
        <w:rPr>
          <w:color w:val="000000"/>
          <w:sz w:val="26"/>
          <w:szCs w:val="26"/>
        </w:rPr>
        <w:t>March 9, 2020</w:t>
      </w:r>
      <w:r w:rsidR="00952071" w:rsidRPr="0029748B">
        <w:rPr>
          <w:rFonts w:eastAsia="Calibri"/>
          <w:sz w:val="26"/>
          <w:szCs w:val="26"/>
        </w:rPr>
        <w:t>.</w:t>
      </w:r>
    </w:p>
    <w:p w14:paraId="7152A411" w14:textId="77777777" w:rsidR="00393923" w:rsidRPr="0029748B" w:rsidRDefault="00393923" w:rsidP="0029748B">
      <w:pPr>
        <w:pStyle w:val="ListParagraph"/>
        <w:widowControl/>
        <w:spacing w:line="360" w:lineRule="auto"/>
        <w:ind w:left="0"/>
        <w:rPr>
          <w:b/>
          <w:sz w:val="26"/>
          <w:szCs w:val="26"/>
        </w:rPr>
      </w:pPr>
    </w:p>
    <w:p w14:paraId="0A6D1691" w14:textId="77777777" w:rsidR="001C2BF8" w:rsidRPr="0029748B" w:rsidRDefault="00DC6D54" w:rsidP="0029748B">
      <w:pPr>
        <w:pStyle w:val="ListParagraph"/>
        <w:widowControl/>
        <w:numPr>
          <w:ilvl w:val="0"/>
          <w:numId w:val="2"/>
        </w:numPr>
        <w:spacing w:line="360" w:lineRule="auto"/>
        <w:ind w:left="0" w:firstLine="0"/>
        <w:jc w:val="center"/>
        <w:outlineLvl w:val="0"/>
        <w:rPr>
          <w:b/>
          <w:sz w:val="26"/>
          <w:szCs w:val="26"/>
        </w:rPr>
      </w:pPr>
      <w:bookmarkStart w:id="8" w:name="_Toc35324685"/>
      <w:bookmarkStart w:id="9" w:name="_Toc35328838"/>
      <w:r w:rsidRPr="0029748B">
        <w:rPr>
          <w:b/>
          <w:sz w:val="26"/>
          <w:szCs w:val="26"/>
        </w:rPr>
        <w:t>Legal Standards</w:t>
      </w:r>
      <w:bookmarkEnd w:id="8"/>
      <w:bookmarkEnd w:id="9"/>
    </w:p>
    <w:p w14:paraId="16076BDB" w14:textId="77777777" w:rsidR="00D3034C" w:rsidRPr="0029748B" w:rsidRDefault="00D3034C" w:rsidP="0029748B">
      <w:pPr>
        <w:widowControl/>
        <w:spacing w:line="360" w:lineRule="auto"/>
        <w:contextualSpacing/>
        <w:rPr>
          <w:sz w:val="26"/>
          <w:szCs w:val="26"/>
        </w:rPr>
      </w:pPr>
    </w:p>
    <w:p w14:paraId="35C1665C" w14:textId="77777777" w:rsidR="00FA36CB" w:rsidRPr="0029748B" w:rsidRDefault="00FA36CB" w:rsidP="0029748B">
      <w:pPr>
        <w:widowControl/>
        <w:tabs>
          <w:tab w:val="left" w:pos="-720"/>
        </w:tabs>
        <w:spacing w:line="360" w:lineRule="auto"/>
        <w:ind w:firstLine="1440"/>
        <w:contextualSpacing/>
        <w:rPr>
          <w:rFonts w:eastAsiaTheme="minorHAnsi"/>
          <w:sz w:val="26"/>
          <w:szCs w:val="26"/>
        </w:rPr>
      </w:pPr>
      <w:r w:rsidRPr="0029748B">
        <w:rPr>
          <w:rFonts w:eastAsiaTheme="minorHAnsi"/>
          <w:sz w:val="26"/>
          <w:szCs w:val="26"/>
        </w:rPr>
        <w:t>In deciding this or any other general rate increase case brought under Section</w:t>
      </w:r>
      <w:r w:rsidR="003362BD" w:rsidRPr="0029748B">
        <w:rPr>
          <w:rFonts w:eastAsiaTheme="minorHAnsi"/>
          <w:sz w:val="26"/>
          <w:szCs w:val="26"/>
        </w:rPr>
        <w:t> </w:t>
      </w:r>
      <w:r w:rsidRPr="0029748B">
        <w:rPr>
          <w:rFonts w:eastAsiaTheme="minorHAnsi"/>
          <w:sz w:val="26"/>
          <w:szCs w:val="26"/>
        </w:rPr>
        <w:t xml:space="preserve">1308(d) of the Code, 66 Pa. C.S. § 1308(d), certain general principles always apply.  A public utility is entitled to an opportunity to earn a fair rate of return on the value of the property dedicated to public service.  </w:t>
      </w:r>
      <w:r w:rsidRPr="0029748B">
        <w:rPr>
          <w:rFonts w:eastAsiaTheme="minorHAnsi"/>
          <w:i/>
          <w:sz w:val="26"/>
          <w:szCs w:val="26"/>
        </w:rPr>
        <w:t>Pa. PUC v.</w:t>
      </w:r>
      <w:r w:rsidRPr="0029748B">
        <w:rPr>
          <w:rFonts w:eastAsiaTheme="minorHAnsi"/>
          <w:sz w:val="26"/>
          <w:szCs w:val="26"/>
        </w:rPr>
        <w:t xml:space="preserve"> </w:t>
      </w:r>
      <w:r w:rsidRPr="0029748B">
        <w:rPr>
          <w:rFonts w:eastAsiaTheme="minorHAnsi"/>
          <w:i/>
          <w:sz w:val="26"/>
          <w:szCs w:val="26"/>
        </w:rPr>
        <w:t>Pennsylvania Gas and Water Co.</w:t>
      </w:r>
      <w:r w:rsidR="004C1B9E" w:rsidRPr="0029748B">
        <w:rPr>
          <w:rFonts w:eastAsiaTheme="minorHAnsi"/>
          <w:iCs/>
          <w:sz w:val="26"/>
          <w:szCs w:val="26"/>
        </w:rPr>
        <w:t>,</w:t>
      </w:r>
      <w:r w:rsidRPr="0029748B">
        <w:rPr>
          <w:rFonts w:eastAsiaTheme="minorHAnsi"/>
          <w:sz w:val="26"/>
          <w:szCs w:val="26"/>
        </w:rPr>
        <w:t xml:space="preserve"> 341 A.2d 239, 251 (Pa. </w:t>
      </w:r>
      <w:proofErr w:type="spellStart"/>
      <w:r w:rsidRPr="0029748B">
        <w:rPr>
          <w:rFonts w:eastAsiaTheme="minorHAnsi"/>
          <w:sz w:val="26"/>
          <w:szCs w:val="26"/>
        </w:rPr>
        <w:t>Cmwlth</w:t>
      </w:r>
      <w:proofErr w:type="spellEnd"/>
      <w:r w:rsidRPr="0029748B">
        <w:rPr>
          <w:rFonts w:eastAsiaTheme="minorHAnsi"/>
          <w:sz w:val="26"/>
          <w:szCs w:val="26"/>
        </w:rPr>
        <w:t xml:space="preserve">. 1975).  In determining a fair rate of return, the Commission is guided by the criteria provided by the United States Supreme Court in the landmark cases of </w:t>
      </w:r>
      <w:r w:rsidRPr="0029748B">
        <w:rPr>
          <w:rFonts w:eastAsiaTheme="minorHAnsi"/>
          <w:i/>
          <w:sz w:val="26"/>
          <w:szCs w:val="26"/>
        </w:rPr>
        <w:t xml:space="preserve">Bluefield Water Works and Improvement Co. v. Public Service </w:t>
      </w:r>
      <w:r w:rsidRPr="0029748B">
        <w:rPr>
          <w:rFonts w:eastAsiaTheme="minorHAnsi"/>
          <w:i/>
          <w:sz w:val="26"/>
          <w:szCs w:val="26"/>
        </w:rPr>
        <w:lastRenderedPageBreak/>
        <w:t>Comm’n of West Virginia</w:t>
      </w:r>
      <w:r w:rsidRPr="0029748B">
        <w:rPr>
          <w:rFonts w:eastAsiaTheme="minorHAnsi"/>
          <w:sz w:val="26"/>
          <w:szCs w:val="26"/>
        </w:rPr>
        <w:t xml:space="preserve">, 262 U.S. 679 (1923) and </w:t>
      </w:r>
      <w:r w:rsidRPr="0029748B">
        <w:rPr>
          <w:rFonts w:eastAsiaTheme="minorHAnsi"/>
          <w:i/>
          <w:sz w:val="26"/>
          <w:szCs w:val="26"/>
        </w:rPr>
        <w:t>Federal Power Comm’n v. Hope Natural Gas Co.</w:t>
      </w:r>
      <w:r w:rsidRPr="0029748B">
        <w:rPr>
          <w:rFonts w:eastAsiaTheme="minorHAnsi"/>
          <w:sz w:val="26"/>
          <w:szCs w:val="26"/>
        </w:rPr>
        <w:t xml:space="preserve">, 320 U.S. 591 (1944).  In </w:t>
      </w:r>
      <w:r w:rsidRPr="0029748B">
        <w:rPr>
          <w:rFonts w:eastAsiaTheme="minorHAnsi"/>
          <w:i/>
          <w:sz w:val="26"/>
          <w:szCs w:val="26"/>
        </w:rPr>
        <w:t>Bluefield</w:t>
      </w:r>
      <w:r w:rsidRPr="0029748B">
        <w:rPr>
          <w:rFonts w:eastAsiaTheme="minorHAnsi"/>
          <w:sz w:val="26"/>
          <w:szCs w:val="26"/>
        </w:rPr>
        <w:t>, the Court stated:</w:t>
      </w:r>
    </w:p>
    <w:p w14:paraId="57809AEE" w14:textId="77777777" w:rsidR="00FA36CB" w:rsidRPr="0029748B" w:rsidRDefault="00FA36CB" w:rsidP="0029748B">
      <w:pPr>
        <w:widowControl/>
        <w:tabs>
          <w:tab w:val="left" w:pos="-720"/>
        </w:tabs>
        <w:spacing w:line="360" w:lineRule="auto"/>
        <w:ind w:firstLine="1440"/>
        <w:contextualSpacing/>
        <w:rPr>
          <w:rFonts w:eastAsiaTheme="minorHAnsi"/>
          <w:sz w:val="26"/>
          <w:szCs w:val="26"/>
        </w:rPr>
      </w:pPr>
    </w:p>
    <w:p w14:paraId="7BC48F8C" w14:textId="77777777" w:rsidR="00FA36CB" w:rsidRPr="0029748B" w:rsidRDefault="00FA36CB" w:rsidP="0029748B">
      <w:pPr>
        <w:widowControl/>
        <w:ind w:left="1440" w:right="1440"/>
        <w:contextualSpacing/>
        <w:rPr>
          <w:rFonts w:eastAsiaTheme="minorHAnsi"/>
          <w:sz w:val="26"/>
          <w:szCs w:val="26"/>
        </w:rPr>
      </w:pPr>
      <w:r w:rsidRPr="0029748B">
        <w:rPr>
          <w:rFonts w:eastAsiaTheme="minorHAnsi"/>
          <w:sz w:val="26"/>
          <w:szCs w:val="26"/>
        </w:rPr>
        <w:t>A public utility is entitled to such rates as will permit it to earn a return on the value of the property which it employs for the convenience of the public equal to that generally being made at the same time and in the same general part of the country on investments in other business undertakings which are attended by corresponding risks and uncertainties; but it has no constitutional right to profits such as are realized or anticipated in highly profitable enterprises or speculative ventures.  The return should be reasonably sufficient to assure confidence in the financial soundness of the utility and should be adequate, under efficient and economical management, to maintain and support its credit and enable it to raise the money necessary for the proper discharge of its public duties.  A rate of return may be too high or too low by changes affecting opportunities for investment, the money market and business conditions generally.</w:t>
      </w:r>
    </w:p>
    <w:p w14:paraId="3EC3EE10" w14:textId="77777777" w:rsidR="00FA36CB" w:rsidRPr="0029748B" w:rsidRDefault="00FA36CB" w:rsidP="0029748B">
      <w:pPr>
        <w:widowControl/>
        <w:ind w:left="1440" w:right="1440"/>
        <w:contextualSpacing/>
        <w:rPr>
          <w:rFonts w:eastAsiaTheme="minorHAnsi"/>
          <w:sz w:val="26"/>
          <w:szCs w:val="26"/>
        </w:rPr>
      </w:pPr>
    </w:p>
    <w:p w14:paraId="7D90AD8E" w14:textId="77777777" w:rsidR="00FA36CB" w:rsidRPr="0029748B" w:rsidRDefault="00FA36CB" w:rsidP="0029748B">
      <w:pPr>
        <w:widowControl/>
        <w:spacing w:line="360" w:lineRule="auto"/>
        <w:ind w:right="1440"/>
        <w:contextualSpacing/>
        <w:rPr>
          <w:rFonts w:eastAsiaTheme="minorHAnsi"/>
          <w:sz w:val="26"/>
          <w:szCs w:val="26"/>
        </w:rPr>
      </w:pPr>
      <w:r w:rsidRPr="0029748B">
        <w:rPr>
          <w:rFonts w:eastAsiaTheme="minorHAnsi"/>
          <w:i/>
          <w:sz w:val="26"/>
          <w:szCs w:val="26"/>
        </w:rPr>
        <w:t>Bluefield</w:t>
      </w:r>
      <w:r w:rsidRPr="0029748B">
        <w:rPr>
          <w:rFonts w:eastAsiaTheme="minorHAnsi"/>
          <w:sz w:val="26"/>
          <w:szCs w:val="26"/>
        </w:rPr>
        <w:t>, 262 U.S. at 692-693.</w:t>
      </w:r>
    </w:p>
    <w:p w14:paraId="325F274F" w14:textId="77777777" w:rsidR="00FA36CB" w:rsidRPr="0029748B" w:rsidRDefault="00FA36CB" w:rsidP="0029748B">
      <w:pPr>
        <w:widowControl/>
        <w:tabs>
          <w:tab w:val="left" w:pos="-720"/>
        </w:tabs>
        <w:spacing w:line="360" w:lineRule="auto"/>
        <w:contextualSpacing/>
        <w:rPr>
          <w:rFonts w:eastAsiaTheme="minorHAnsi"/>
          <w:sz w:val="26"/>
          <w:szCs w:val="26"/>
        </w:rPr>
      </w:pPr>
    </w:p>
    <w:p w14:paraId="0773CBF5" w14:textId="77777777" w:rsidR="00FA36CB" w:rsidRPr="0029748B" w:rsidRDefault="00FA36CB" w:rsidP="0029748B">
      <w:pPr>
        <w:widowControl/>
        <w:spacing w:line="360" w:lineRule="auto"/>
        <w:ind w:firstLine="1440"/>
        <w:contextualSpacing/>
        <w:rPr>
          <w:rFonts w:eastAsiaTheme="minorHAnsi"/>
          <w:sz w:val="26"/>
          <w:szCs w:val="26"/>
        </w:rPr>
      </w:pPr>
      <w:r w:rsidRPr="0029748B">
        <w:rPr>
          <w:rFonts w:eastAsiaTheme="minorHAnsi"/>
          <w:sz w:val="26"/>
          <w:szCs w:val="26"/>
        </w:rPr>
        <w:t>The burden of proof to establish the justness and reasonableness of every element of a public utility’s rate increase request rests solely upon the public utility in all proceedings filed under Section 1308(d) of the Code.  The standard to be met by the public utility is set forth in Section 315(a) of the Code, 66 Pa. C.S. § 315(a), as follows:</w:t>
      </w:r>
    </w:p>
    <w:p w14:paraId="006429B5" w14:textId="77777777" w:rsidR="00FA36CB" w:rsidRPr="0029748B" w:rsidRDefault="00FA36CB" w:rsidP="0029748B">
      <w:pPr>
        <w:widowControl/>
        <w:spacing w:line="360" w:lineRule="auto"/>
        <w:ind w:left="1440" w:right="1440"/>
        <w:contextualSpacing/>
        <w:rPr>
          <w:rFonts w:eastAsiaTheme="minorHAnsi"/>
          <w:b/>
          <w:sz w:val="26"/>
          <w:szCs w:val="26"/>
        </w:rPr>
      </w:pPr>
    </w:p>
    <w:p w14:paraId="1DA0C4F8" w14:textId="77777777" w:rsidR="00FA36CB" w:rsidRPr="0029748B" w:rsidRDefault="00FA36CB" w:rsidP="0029748B">
      <w:pPr>
        <w:widowControl/>
        <w:ind w:left="1440" w:right="1440"/>
        <w:contextualSpacing/>
        <w:rPr>
          <w:rFonts w:eastAsiaTheme="minorHAnsi"/>
          <w:sz w:val="26"/>
          <w:szCs w:val="26"/>
        </w:rPr>
      </w:pPr>
      <w:r w:rsidRPr="0029748B">
        <w:rPr>
          <w:rFonts w:eastAsiaTheme="minorHAnsi"/>
          <w:b/>
          <w:sz w:val="26"/>
          <w:szCs w:val="26"/>
        </w:rPr>
        <w:t>Reasonableness of rates.</w:t>
      </w:r>
      <w:r w:rsidRPr="0029748B">
        <w:rPr>
          <w:rFonts w:eastAsiaTheme="minorHAnsi"/>
          <w:sz w:val="26"/>
          <w:szCs w:val="26"/>
        </w:rPr>
        <w:t xml:space="preserve"> – In any proceeding upon the motion of the commission, involving any proposed or existing rate of any public utility, or in any proceedings upon complaint involving any proposed increase in rates, the burden of proof to show that the rate involved is just and reasonable shall be upon the public utility.</w:t>
      </w:r>
    </w:p>
    <w:p w14:paraId="3BB12B1F" w14:textId="77777777" w:rsidR="00D01F32" w:rsidRPr="0029748B" w:rsidRDefault="00D01F32" w:rsidP="0029748B">
      <w:pPr>
        <w:widowControl/>
        <w:ind w:left="1440" w:right="1440"/>
        <w:contextualSpacing/>
        <w:rPr>
          <w:rFonts w:eastAsiaTheme="minorHAnsi"/>
          <w:sz w:val="26"/>
          <w:szCs w:val="26"/>
        </w:rPr>
      </w:pPr>
    </w:p>
    <w:p w14:paraId="16D02200" w14:textId="77777777" w:rsidR="00D01F32" w:rsidRPr="0029748B" w:rsidRDefault="00D01F32" w:rsidP="0029748B">
      <w:pPr>
        <w:widowControl/>
        <w:ind w:left="1440" w:right="1440"/>
        <w:contextualSpacing/>
        <w:rPr>
          <w:rFonts w:eastAsiaTheme="minorHAnsi"/>
          <w:sz w:val="26"/>
          <w:szCs w:val="26"/>
        </w:rPr>
      </w:pPr>
    </w:p>
    <w:p w14:paraId="49B51664" w14:textId="77777777" w:rsidR="00FA36CB" w:rsidRPr="0029748B" w:rsidRDefault="00FA36CB" w:rsidP="0029748B">
      <w:pPr>
        <w:widowControl/>
        <w:spacing w:line="360" w:lineRule="auto"/>
        <w:ind w:firstLine="1440"/>
        <w:contextualSpacing/>
        <w:rPr>
          <w:rFonts w:eastAsiaTheme="minorHAnsi"/>
          <w:sz w:val="26"/>
          <w:szCs w:val="26"/>
        </w:rPr>
      </w:pPr>
      <w:r w:rsidRPr="0029748B">
        <w:rPr>
          <w:rFonts w:eastAsiaTheme="minorHAnsi"/>
          <w:sz w:val="26"/>
          <w:szCs w:val="26"/>
        </w:rPr>
        <w:t>In reviewing Section 315(a) of the Code, the Pennsylvania Commonwealth Court interpreted a public utility’s burden of proof in a rate proceeding as follows:</w:t>
      </w:r>
    </w:p>
    <w:p w14:paraId="4328E39A" w14:textId="77777777" w:rsidR="00FA36CB" w:rsidRPr="0029748B" w:rsidRDefault="00FA36CB" w:rsidP="0029748B">
      <w:pPr>
        <w:widowControl/>
        <w:ind w:left="1440" w:right="1296"/>
        <w:contextualSpacing/>
        <w:rPr>
          <w:rFonts w:eastAsiaTheme="minorHAnsi"/>
          <w:sz w:val="26"/>
          <w:szCs w:val="26"/>
        </w:rPr>
      </w:pPr>
      <w:r w:rsidRPr="0029748B">
        <w:rPr>
          <w:rFonts w:eastAsiaTheme="minorHAnsi"/>
          <w:sz w:val="26"/>
          <w:szCs w:val="26"/>
        </w:rPr>
        <w:lastRenderedPageBreak/>
        <w:t xml:space="preserve">Section 315(a) of the Public Utility Code, 66 Pa. C.S. § 315(a), places the burden of proving the justness and reasonableness of a proposed rate hike squarely on the public utility.  </w:t>
      </w:r>
      <w:r w:rsidRPr="0029748B">
        <w:rPr>
          <w:rFonts w:eastAsiaTheme="minorHAnsi"/>
          <w:i/>
          <w:sz w:val="26"/>
          <w:szCs w:val="26"/>
        </w:rPr>
        <w:t>It is well-established that the evidence adduced by a utility to meet this burden must be substantial</w:t>
      </w:r>
      <w:r w:rsidRPr="0029748B">
        <w:rPr>
          <w:rFonts w:eastAsiaTheme="minorHAnsi"/>
          <w:sz w:val="26"/>
          <w:szCs w:val="26"/>
        </w:rPr>
        <w:t>.</w:t>
      </w:r>
    </w:p>
    <w:p w14:paraId="12B06CA8" w14:textId="77777777" w:rsidR="00D01F32" w:rsidRPr="0029748B" w:rsidRDefault="00D01F32" w:rsidP="00F74FF1">
      <w:pPr>
        <w:widowControl/>
        <w:spacing w:line="360" w:lineRule="auto"/>
        <w:ind w:right="1296"/>
        <w:contextualSpacing/>
        <w:rPr>
          <w:rFonts w:eastAsiaTheme="minorHAnsi"/>
          <w:sz w:val="26"/>
          <w:szCs w:val="26"/>
        </w:rPr>
      </w:pPr>
    </w:p>
    <w:p w14:paraId="1545171D" w14:textId="77777777" w:rsidR="00FA36CB" w:rsidRPr="0029748B" w:rsidRDefault="00FA36CB" w:rsidP="0029748B">
      <w:pPr>
        <w:widowControl/>
        <w:spacing w:line="360" w:lineRule="auto"/>
        <w:contextualSpacing/>
        <w:rPr>
          <w:rFonts w:eastAsiaTheme="minorHAnsi"/>
          <w:sz w:val="26"/>
          <w:szCs w:val="26"/>
        </w:rPr>
      </w:pPr>
      <w:r w:rsidRPr="0029748B">
        <w:rPr>
          <w:rFonts w:eastAsiaTheme="minorHAnsi"/>
          <w:i/>
          <w:sz w:val="26"/>
          <w:szCs w:val="26"/>
        </w:rPr>
        <w:t>Lower Frederick Twp. Water Co. v. Pa. PUC</w:t>
      </w:r>
      <w:r w:rsidRPr="0029748B">
        <w:rPr>
          <w:rFonts w:eastAsiaTheme="minorHAnsi"/>
          <w:sz w:val="26"/>
          <w:szCs w:val="26"/>
        </w:rPr>
        <w:t xml:space="preserve">, 409 A.2d 505, 507 (Pa. </w:t>
      </w:r>
      <w:proofErr w:type="spellStart"/>
      <w:r w:rsidRPr="0029748B">
        <w:rPr>
          <w:rFonts w:eastAsiaTheme="minorHAnsi"/>
          <w:sz w:val="26"/>
          <w:szCs w:val="26"/>
        </w:rPr>
        <w:t>Cmwlth</w:t>
      </w:r>
      <w:proofErr w:type="spellEnd"/>
      <w:r w:rsidRPr="0029748B">
        <w:rPr>
          <w:rFonts w:eastAsiaTheme="minorHAnsi"/>
          <w:sz w:val="26"/>
          <w:szCs w:val="26"/>
        </w:rPr>
        <w:t xml:space="preserve">. 1980) (emphasis added).  </w:t>
      </w:r>
      <w:r w:rsidRPr="0029748B">
        <w:rPr>
          <w:rFonts w:eastAsiaTheme="minorHAnsi"/>
          <w:i/>
          <w:sz w:val="26"/>
          <w:szCs w:val="26"/>
        </w:rPr>
        <w:t>See also</w:t>
      </w:r>
      <w:r w:rsidRPr="0029748B">
        <w:rPr>
          <w:rFonts w:eastAsiaTheme="minorHAnsi"/>
          <w:sz w:val="26"/>
          <w:szCs w:val="26"/>
        </w:rPr>
        <w:t xml:space="preserve">, </w:t>
      </w:r>
      <w:r w:rsidRPr="0029748B">
        <w:rPr>
          <w:rFonts w:eastAsiaTheme="minorHAnsi"/>
          <w:i/>
          <w:sz w:val="26"/>
          <w:szCs w:val="26"/>
        </w:rPr>
        <w:t>Brockway Glass Co. v. Pa. PUC</w:t>
      </w:r>
      <w:r w:rsidRPr="0029748B">
        <w:rPr>
          <w:rFonts w:eastAsiaTheme="minorHAnsi"/>
          <w:sz w:val="26"/>
          <w:szCs w:val="26"/>
        </w:rPr>
        <w:t>, 437 A.2d 1067 (Pa.</w:t>
      </w:r>
      <w:r w:rsidR="0029748B" w:rsidRPr="0029748B">
        <w:rPr>
          <w:rFonts w:eastAsiaTheme="minorHAnsi"/>
          <w:sz w:val="26"/>
          <w:szCs w:val="26"/>
        </w:rPr>
        <w:t> </w:t>
      </w:r>
      <w:proofErr w:type="spellStart"/>
      <w:r w:rsidRPr="0029748B">
        <w:rPr>
          <w:rFonts w:eastAsiaTheme="minorHAnsi"/>
          <w:sz w:val="26"/>
          <w:szCs w:val="26"/>
        </w:rPr>
        <w:t>Cmwlth</w:t>
      </w:r>
      <w:proofErr w:type="spellEnd"/>
      <w:r w:rsidRPr="0029748B">
        <w:rPr>
          <w:rFonts w:eastAsiaTheme="minorHAnsi"/>
          <w:sz w:val="26"/>
          <w:szCs w:val="26"/>
        </w:rPr>
        <w:t>. 1981).</w:t>
      </w:r>
    </w:p>
    <w:p w14:paraId="16948236" w14:textId="77777777" w:rsidR="00FA36CB" w:rsidRPr="0029748B" w:rsidRDefault="00FA36CB" w:rsidP="0029748B">
      <w:pPr>
        <w:widowControl/>
        <w:spacing w:line="360" w:lineRule="auto"/>
        <w:contextualSpacing/>
        <w:rPr>
          <w:rFonts w:eastAsiaTheme="minorHAnsi"/>
          <w:sz w:val="26"/>
          <w:szCs w:val="26"/>
        </w:rPr>
      </w:pPr>
    </w:p>
    <w:p w14:paraId="5A5420D1" w14:textId="77777777" w:rsidR="00FA36CB" w:rsidRPr="0029748B" w:rsidRDefault="00FA36CB" w:rsidP="0029748B">
      <w:pPr>
        <w:widowControl/>
        <w:spacing w:line="360" w:lineRule="auto"/>
        <w:ind w:firstLine="1440"/>
        <w:contextualSpacing/>
        <w:rPr>
          <w:rFonts w:eastAsiaTheme="minorHAnsi"/>
          <w:sz w:val="26"/>
          <w:szCs w:val="26"/>
        </w:rPr>
      </w:pPr>
      <w:r w:rsidRPr="0029748B">
        <w:rPr>
          <w:rFonts w:eastAsiaTheme="minorHAnsi"/>
          <w:sz w:val="26"/>
          <w:szCs w:val="26"/>
        </w:rPr>
        <w:t>In general rate increase proceedings, it is well established that the burden of proof does not shift to parties challenging a requested rate increase.  Rather, the utility’s burden of establishing the justness and reasonableness of every component of its rate request is an affirmative one, and that burden remains with the public utility throughout the course of the rate proceeding.  There is no similar burden placed on parties to justify a proposed adjustment to the Company’s filing.  The Pennsylvania Supreme Court has held:</w:t>
      </w:r>
    </w:p>
    <w:p w14:paraId="687BCB8A" w14:textId="77777777" w:rsidR="0029748B" w:rsidRPr="0029748B" w:rsidRDefault="0029748B" w:rsidP="0029748B">
      <w:pPr>
        <w:widowControl/>
        <w:ind w:firstLine="1440"/>
        <w:contextualSpacing/>
        <w:rPr>
          <w:rFonts w:eastAsiaTheme="minorHAnsi"/>
          <w:sz w:val="26"/>
          <w:szCs w:val="26"/>
        </w:rPr>
      </w:pPr>
    </w:p>
    <w:p w14:paraId="703C5043" w14:textId="77777777" w:rsidR="00CB55D9" w:rsidRPr="0029748B" w:rsidRDefault="00FA36CB" w:rsidP="0029748B">
      <w:pPr>
        <w:widowControl/>
        <w:ind w:left="1440" w:right="1296"/>
        <w:contextualSpacing/>
        <w:rPr>
          <w:rFonts w:eastAsiaTheme="minorHAnsi"/>
          <w:sz w:val="26"/>
          <w:szCs w:val="26"/>
        </w:rPr>
      </w:pPr>
      <w:r w:rsidRPr="0029748B">
        <w:rPr>
          <w:rFonts w:eastAsiaTheme="minorHAnsi"/>
          <w:sz w:val="26"/>
          <w:szCs w:val="26"/>
        </w:rPr>
        <w:t xml:space="preserve">[T]he appellants did not have the burden of proving that the plant additions were improper, unnecessary or too costly; on the contrary, that burden is, by statute, on the utility to </w:t>
      </w:r>
    </w:p>
    <w:p w14:paraId="54E00017" w14:textId="77777777" w:rsidR="00FA36CB" w:rsidRPr="0029748B" w:rsidRDefault="00FA36CB" w:rsidP="0029748B">
      <w:pPr>
        <w:widowControl/>
        <w:ind w:left="1440" w:right="1296"/>
        <w:contextualSpacing/>
        <w:rPr>
          <w:rFonts w:eastAsiaTheme="minorHAnsi"/>
          <w:sz w:val="26"/>
          <w:szCs w:val="26"/>
        </w:rPr>
      </w:pPr>
      <w:r w:rsidRPr="0029748B">
        <w:rPr>
          <w:rFonts w:eastAsiaTheme="minorHAnsi"/>
          <w:sz w:val="26"/>
          <w:szCs w:val="26"/>
        </w:rPr>
        <w:t>demonstrate the reasonable necessity and cost of the installations, and that is the burden which the utility patently failed to carry.</w:t>
      </w:r>
    </w:p>
    <w:p w14:paraId="307065F9" w14:textId="77777777" w:rsidR="00CB55D9" w:rsidRPr="0029748B" w:rsidRDefault="00CB55D9" w:rsidP="00790F24">
      <w:pPr>
        <w:widowControl/>
        <w:spacing w:line="360" w:lineRule="auto"/>
        <w:ind w:left="1440" w:right="1296"/>
        <w:contextualSpacing/>
        <w:rPr>
          <w:rFonts w:eastAsiaTheme="minorHAnsi"/>
          <w:sz w:val="26"/>
          <w:szCs w:val="26"/>
        </w:rPr>
      </w:pPr>
    </w:p>
    <w:p w14:paraId="6304BF59" w14:textId="77777777" w:rsidR="00FA36CB" w:rsidRPr="0029748B" w:rsidRDefault="00FA36CB" w:rsidP="0029748B">
      <w:pPr>
        <w:widowControl/>
        <w:spacing w:line="360" w:lineRule="auto"/>
        <w:ind w:right="1440"/>
        <w:contextualSpacing/>
        <w:rPr>
          <w:rFonts w:eastAsiaTheme="minorHAnsi"/>
          <w:sz w:val="26"/>
          <w:szCs w:val="26"/>
        </w:rPr>
      </w:pPr>
      <w:proofErr w:type="spellStart"/>
      <w:r w:rsidRPr="0029748B">
        <w:rPr>
          <w:rFonts w:eastAsiaTheme="minorHAnsi"/>
          <w:i/>
          <w:sz w:val="26"/>
          <w:szCs w:val="26"/>
        </w:rPr>
        <w:t>Berner</w:t>
      </w:r>
      <w:proofErr w:type="spellEnd"/>
      <w:r w:rsidRPr="0029748B">
        <w:rPr>
          <w:rFonts w:eastAsiaTheme="minorHAnsi"/>
          <w:i/>
          <w:sz w:val="26"/>
          <w:szCs w:val="26"/>
        </w:rPr>
        <w:t xml:space="preserve"> v. Pa. PUC</w:t>
      </w:r>
      <w:r w:rsidRPr="0029748B">
        <w:rPr>
          <w:rFonts w:eastAsiaTheme="minorHAnsi"/>
          <w:sz w:val="26"/>
          <w:szCs w:val="26"/>
        </w:rPr>
        <w:t>, 116 A.2d 738, 744 (</w:t>
      </w:r>
      <w:r w:rsidR="00822E0D" w:rsidRPr="0029748B">
        <w:rPr>
          <w:rFonts w:eastAsiaTheme="minorHAnsi"/>
          <w:sz w:val="26"/>
          <w:szCs w:val="26"/>
        </w:rPr>
        <w:t xml:space="preserve">Pa. </w:t>
      </w:r>
      <w:r w:rsidRPr="0029748B">
        <w:rPr>
          <w:rFonts w:eastAsiaTheme="minorHAnsi"/>
          <w:sz w:val="26"/>
          <w:szCs w:val="26"/>
        </w:rPr>
        <w:t>1955).</w:t>
      </w:r>
    </w:p>
    <w:p w14:paraId="482D9485" w14:textId="77777777" w:rsidR="0002239F" w:rsidRPr="0029748B" w:rsidRDefault="0002239F" w:rsidP="0029748B">
      <w:pPr>
        <w:widowControl/>
        <w:spacing w:line="360" w:lineRule="auto"/>
        <w:ind w:right="1440"/>
        <w:contextualSpacing/>
        <w:rPr>
          <w:rFonts w:eastAsiaTheme="minorHAnsi"/>
          <w:sz w:val="26"/>
          <w:szCs w:val="26"/>
        </w:rPr>
      </w:pPr>
    </w:p>
    <w:p w14:paraId="17A78E55" w14:textId="77777777" w:rsidR="00FA36CB" w:rsidRPr="0029748B" w:rsidRDefault="00FA36CB" w:rsidP="0029748B">
      <w:pPr>
        <w:widowControl/>
        <w:tabs>
          <w:tab w:val="left" w:pos="-720"/>
        </w:tabs>
        <w:spacing w:line="360" w:lineRule="auto"/>
        <w:ind w:firstLine="1440"/>
        <w:contextualSpacing/>
        <w:rPr>
          <w:rFonts w:eastAsiaTheme="minorHAnsi"/>
          <w:sz w:val="26"/>
          <w:szCs w:val="26"/>
        </w:rPr>
      </w:pPr>
      <w:r w:rsidRPr="0029748B">
        <w:rPr>
          <w:rFonts w:eastAsiaTheme="minorHAnsi"/>
          <w:sz w:val="26"/>
          <w:szCs w:val="26"/>
        </w:rPr>
        <w:t>This does not mean, however, that in proving that its proposed rates are just and reasonable, a public utility must affirmatively defend every claim it has made in its filing, even those which no other party has questioned.  As the Pennsylvania Commonwealth Court has held:</w:t>
      </w:r>
    </w:p>
    <w:p w14:paraId="120C0875" w14:textId="77777777" w:rsidR="00FA36CB" w:rsidRPr="0029748B" w:rsidRDefault="00FA36CB" w:rsidP="0029748B">
      <w:pPr>
        <w:widowControl/>
        <w:spacing w:line="360" w:lineRule="auto"/>
        <w:ind w:left="1440" w:right="1296"/>
        <w:contextualSpacing/>
        <w:rPr>
          <w:rFonts w:eastAsiaTheme="minorHAnsi"/>
          <w:sz w:val="26"/>
          <w:szCs w:val="26"/>
        </w:rPr>
      </w:pPr>
    </w:p>
    <w:p w14:paraId="72AD1F1B" w14:textId="77777777" w:rsidR="00FA36CB" w:rsidRPr="0029748B" w:rsidRDefault="00FA36CB" w:rsidP="0029748B">
      <w:pPr>
        <w:widowControl/>
        <w:ind w:left="1440" w:right="1296"/>
        <w:contextualSpacing/>
        <w:rPr>
          <w:rFonts w:eastAsiaTheme="minorHAnsi"/>
          <w:sz w:val="26"/>
          <w:szCs w:val="26"/>
        </w:rPr>
      </w:pPr>
      <w:r w:rsidRPr="0029748B">
        <w:rPr>
          <w:rFonts w:eastAsiaTheme="minorHAnsi"/>
          <w:sz w:val="26"/>
          <w:szCs w:val="26"/>
        </w:rPr>
        <w:lastRenderedPageBreak/>
        <w:t>While it is axiomatic that a utility has the burden of proving the justness and reasonableness of its proposed rates, it cannot be called upon to account for every action absent prior notice that such action is to be challenged.</w:t>
      </w:r>
    </w:p>
    <w:p w14:paraId="768F4E42" w14:textId="77777777" w:rsidR="00C9313E" w:rsidRPr="0029748B" w:rsidRDefault="00C9313E" w:rsidP="0029748B">
      <w:pPr>
        <w:widowControl/>
        <w:spacing w:line="360" w:lineRule="auto"/>
        <w:ind w:left="1440" w:right="1296"/>
        <w:contextualSpacing/>
        <w:rPr>
          <w:rFonts w:eastAsiaTheme="minorHAnsi"/>
          <w:sz w:val="26"/>
          <w:szCs w:val="26"/>
        </w:rPr>
      </w:pPr>
    </w:p>
    <w:p w14:paraId="72BA3921" w14:textId="77777777" w:rsidR="00FA36CB" w:rsidRPr="0029748B" w:rsidRDefault="00FA36CB" w:rsidP="0029748B">
      <w:pPr>
        <w:widowControl/>
        <w:spacing w:line="360" w:lineRule="auto"/>
        <w:contextualSpacing/>
        <w:rPr>
          <w:rFonts w:eastAsiaTheme="minorHAnsi"/>
          <w:sz w:val="26"/>
          <w:szCs w:val="26"/>
        </w:rPr>
      </w:pPr>
      <w:r w:rsidRPr="0029748B">
        <w:rPr>
          <w:rFonts w:eastAsiaTheme="minorHAnsi"/>
          <w:i/>
          <w:sz w:val="26"/>
          <w:szCs w:val="26"/>
        </w:rPr>
        <w:t>Allegheny Center Assocs. v. Pa. PUC</w:t>
      </w:r>
      <w:r w:rsidRPr="0029748B">
        <w:rPr>
          <w:rFonts w:eastAsiaTheme="minorHAnsi"/>
          <w:sz w:val="26"/>
          <w:szCs w:val="26"/>
        </w:rPr>
        <w:t xml:space="preserve">, 570 A.2d 149, 153 (Pa. </w:t>
      </w:r>
      <w:proofErr w:type="spellStart"/>
      <w:r w:rsidRPr="0029748B">
        <w:rPr>
          <w:rFonts w:eastAsiaTheme="minorHAnsi"/>
          <w:sz w:val="26"/>
          <w:szCs w:val="26"/>
        </w:rPr>
        <w:t>Cmwlth</w:t>
      </w:r>
      <w:proofErr w:type="spellEnd"/>
      <w:r w:rsidRPr="0029748B">
        <w:rPr>
          <w:rFonts w:eastAsiaTheme="minorHAnsi"/>
          <w:sz w:val="26"/>
          <w:szCs w:val="26"/>
        </w:rPr>
        <w:t xml:space="preserve">. 1990) (citation omitted).  </w:t>
      </w:r>
      <w:r w:rsidRPr="0029748B">
        <w:rPr>
          <w:rFonts w:eastAsiaTheme="minorHAnsi"/>
          <w:i/>
          <w:sz w:val="26"/>
          <w:szCs w:val="26"/>
        </w:rPr>
        <w:t>See also, Pa. PUC v. Equitable Gas Co.</w:t>
      </w:r>
      <w:r w:rsidRPr="0029748B">
        <w:rPr>
          <w:rFonts w:eastAsiaTheme="minorHAnsi"/>
          <w:sz w:val="26"/>
          <w:szCs w:val="26"/>
        </w:rPr>
        <w:t>, 73 Pa. P.U.C. 310, 359-360 (1990).</w:t>
      </w:r>
    </w:p>
    <w:p w14:paraId="6D2E8A44" w14:textId="77777777" w:rsidR="00FA36CB" w:rsidRPr="0029748B" w:rsidRDefault="00FA36CB" w:rsidP="0029748B">
      <w:pPr>
        <w:widowControl/>
        <w:spacing w:line="360" w:lineRule="auto"/>
        <w:ind w:firstLine="1440"/>
        <w:contextualSpacing/>
        <w:rPr>
          <w:rFonts w:eastAsiaTheme="minorHAnsi"/>
          <w:sz w:val="26"/>
          <w:szCs w:val="26"/>
        </w:rPr>
      </w:pPr>
    </w:p>
    <w:p w14:paraId="2D7B4678" w14:textId="77777777" w:rsidR="00FA36CB" w:rsidRPr="0029748B" w:rsidRDefault="00FA36CB" w:rsidP="0029748B">
      <w:pPr>
        <w:widowControl/>
        <w:spacing w:line="360" w:lineRule="auto"/>
        <w:ind w:firstLine="1440"/>
        <w:contextualSpacing/>
        <w:rPr>
          <w:rFonts w:eastAsiaTheme="minorHAnsi"/>
          <w:sz w:val="26"/>
          <w:szCs w:val="26"/>
        </w:rPr>
      </w:pPr>
      <w:r w:rsidRPr="0029748B">
        <w:rPr>
          <w:rFonts w:eastAsiaTheme="minorHAnsi"/>
          <w:sz w:val="26"/>
          <w:szCs w:val="26"/>
        </w:rPr>
        <w:t>Additionally, Section 315(a) of the Code, 66 Pa. C.S. § 315(a), cannot reasonably be read to place the burden of proof on the utility with respect to an issue the utility did not include in its general rate case filing and which, frequently, the utility would oppose.  Inasmuch as the Legislature is not presumed to intend an absurd result in interpretation of its enactments,</w:t>
      </w:r>
      <w:r w:rsidRPr="0029748B">
        <w:rPr>
          <w:rFonts w:eastAsiaTheme="minorHAnsi"/>
          <w:sz w:val="26"/>
          <w:szCs w:val="26"/>
          <w:vertAlign w:val="superscript"/>
        </w:rPr>
        <w:footnoteReference w:id="2"/>
      </w:r>
      <w:r w:rsidRPr="0029748B">
        <w:rPr>
          <w:rFonts w:eastAsiaTheme="minorHAnsi"/>
          <w:sz w:val="26"/>
          <w:szCs w:val="26"/>
        </w:rPr>
        <w:t xml:space="preserve"> the burden of proof must be on the party who proposes a rate increase beyond that sought by the utility.  The mere rejection of evidence contrary to that adduced by the public utility is not an impermissible shifting of the evidentiary burden.  </w:t>
      </w:r>
      <w:r w:rsidRPr="0029748B">
        <w:rPr>
          <w:rFonts w:eastAsiaTheme="minorHAnsi"/>
          <w:i/>
          <w:sz w:val="26"/>
          <w:szCs w:val="26"/>
        </w:rPr>
        <w:t>United States Steel Corp. v. Pa. PUC</w:t>
      </w:r>
      <w:r w:rsidRPr="0029748B">
        <w:rPr>
          <w:rFonts w:eastAsiaTheme="minorHAnsi"/>
          <w:sz w:val="26"/>
          <w:szCs w:val="26"/>
        </w:rPr>
        <w:t xml:space="preserve">, 456 A.2d 686 (Pa. </w:t>
      </w:r>
      <w:proofErr w:type="spellStart"/>
      <w:r w:rsidRPr="0029748B">
        <w:rPr>
          <w:rFonts w:eastAsiaTheme="minorHAnsi"/>
          <w:sz w:val="26"/>
          <w:szCs w:val="26"/>
        </w:rPr>
        <w:t>Cmwlth</w:t>
      </w:r>
      <w:proofErr w:type="spellEnd"/>
      <w:r w:rsidRPr="0029748B">
        <w:rPr>
          <w:rFonts w:eastAsiaTheme="minorHAnsi"/>
          <w:sz w:val="26"/>
          <w:szCs w:val="26"/>
        </w:rPr>
        <w:t>. 1983).</w:t>
      </w:r>
    </w:p>
    <w:p w14:paraId="6D4B357E" w14:textId="77777777" w:rsidR="00FA36CB" w:rsidRPr="0029748B" w:rsidRDefault="00FA36CB" w:rsidP="0029748B">
      <w:pPr>
        <w:widowControl/>
        <w:tabs>
          <w:tab w:val="left" w:pos="-720"/>
        </w:tabs>
        <w:spacing w:line="360" w:lineRule="auto"/>
        <w:ind w:firstLine="1440"/>
        <w:contextualSpacing/>
        <w:rPr>
          <w:rFonts w:eastAsiaTheme="minorHAnsi"/>
          <w:sz w:val="26"/>
          <w:szCs w:val="26"/>
        </w:rPr>
      </w:pPr>
    </w:p>
    <w:p w14:paraId="7950230C" w14:textId="77777777" w:rsidR="00FA36CB" w:rsidRPr="0029748B" w:rsidRDefault="00FA36CB" w:rsidP="0029748B">
      <w:pPr>
        <w:widowControl/>
        <w:tabs>
          <w:tab w:val="left" w:pos="-720"/>
        </w:tabs>
        <w:spacing w:line="360" w:lineRule="auto"/>
        <w:ind w:firstLine="1440"/>
        <w:contextualSpacing/>
        <w:rPr>
          <w:rFonts w:eastAsiaTheme="minorHAnsi"/>
          <w:sz w:val="26"/>
          <w:szCs w:val="26"/>
        </w:rPr>
      </w:pPr>
      <w:r w:rsidRPr="0029748B">
        <w:rPr>
          <w:rFonts w:eastAsiaTheme="minorHAnsi"/>
          <w:sz w:val="26"/>
          <w:szCs w:val="26"/>
        </w:rPr>
        <w:t xml:space="preserve">In analyzing a proposed general rate increase, the Commission determines a rate of return to be applied to a rate base measured by the aggregate value of all the utility’s property used and useful in the public service.  The Commission determines a proper rate of return by calculating the utility’s capital structure and the cost of the different types of capital during the period in issue.  The Commission is granted wide discretion, because of its administrative expertise, in determining the cost of capital.  </w:t>
      </w:r>
      <w:r w:rsidRPr="0029748B">
        <w:rPr>
          <w:rFonts w:eastAsiaTheme="minorHAnsi"/>
          <w:i/>
          <w:sz w:val="26"/>
          <w:szCs w:val="26"/>
        </w:rPr>
        <w:t>Equitable Gas Co. v. Pa. PUC</w:t>
      </w:r>
      <w:r w:rsidRPr="0029748B">
        <w:rPr>
          <w:rFonts w:eastAsiaTheme="minorHAnsi"/>
          <w:sz w:val="26"/>
          <w:szCs w:val="26"/>
        </w:rPr>
        <w:t xml:space="preserve">, 405 A.2d 1055, 1059 (Pa. </w:t>
      </w:r>
      <w:proofErr w:type="spellStart"/>
      <w:r w:rsidRPr="0029748B">
        <w:rPr>
          <w:rFonts w:eastAsiaTheme="minorHAnsi"/>
          <w:sz w:val="26"/>
          <w:szCs w:val="26"/>
        </w:rPr>
        <w:t>Cmwlth</w:t>
      </w:r>
      <w:proofErr w:type="spellEnd"/>
      <w:r w:rsidRPr="0029748B">
        <w:rPr>
          <w:rFonts w:eastAsiaTheme="minorHAnsi"/>
          <w:sz w:val="26"/>
          <w:szCs w:val="26"/>
        </w:rPr>
        <w:t>. 1979) (determination of cost of capital is basically a matter of judgment which should be left to the regulatory agency and not disturbed absent an abuse of discretion).</w:t>
      </w:r>
    </w:p>
    <w:p w14:paraId="125D825E" w14:textId="77777777" w:rsidR="00FA36CB" w:rsidRPr="0029748B" w:rsidRDefault="00FA36CB" w:rsidP="0029748B">
      <w:pPr>
        <w:widowControl/>
        <w:tabs>
          <w:tab w:val="left" w:pos="-720"/>
        </w:tabs>
        <w:spacing w:line="360" w:lineRule="auto"/>
        <w:ind w:firstLine="1440"/>
        <w:contextualSpacing/>
        <w:rPr>
          <w:rFonts w:eastAsiaTheme="minorHAnsi"/>
          <w:sz w:val="26"/>
          <w:szCs w:val="26"/>
        </w:rPr>
      </w:pPr>
    </w:p>
    <w:p w14:paraId="285EFF21" w14:textId="77777777" w:rsidR="00FA36CB" w:rsidRPr="0029748B" w:rsidRDefault="00FA36CB" w:rsidP="0029748B">
      <w:pPr>
        <w:widowControl/>
        <w:spacing w:line="360" w:lineRule="auto"/>
        <w:ind w:firstLine="1440"/>
        <w:contextualSpacing/>
        <w:rPr>
          <w:rFonts w:eastAsiaTheme="minorHAnsi"/>
          <w:sz w:val="26"/>
          <w:szCs w:val="26"/>
        </w:rPr>
      </w:pPr>
      <w:r w:rsidRPr="0029748B">
        <w:rPr>
          <w:rFonts w:eastAsiaTheme="minorHAnsi"/>
          <w:sz w:val="26"/>
          <w:szCs w:val="26"/>
        </w:rPr>
        <w:lastRenderedPageBreak/>
        <w:t xml:space="preserve">As we proceed in our review of the various positions of the Parties in this proceeding, we </w:t>
      </w:r>
      <w:r w:rsidR="00F43EDE" w:rsidRPr="0029748B">
        <w:rPr>
          <w:rFonts w:eastAsiaTheme="minorHAnsi"/>
          <w:sz w:val="26"/>
          <w:szCs w:val="26"/>
        </w:rPr>
        <w:t>note</w:t>
      </w:r>
      <w:r w:rsidRPr="0029748B">
        <w:rPr>
          <w:rFonts w:eastAsiaTheme="minorHAnsi"/>
          <w:sz w:val="26"/>
          <w:szCs w:val="26"/>
        </w:rPr>
        <w:t xml:space="preserve"> that any issue or Exception that we do not specifically address </w:t>
      </w:r>
      <w:r w:rsidRPr="0029748B">
        <w:rPr>
          <w:sz w:val="26"/>
          <w:szCs w:val="26"/>
        </w:rPr>
        <w:t xml:space="preserve">shall be deemed to have been duly considered and denied without further discussion.  The Commission is not required to consider expressly or at length each contention or argument raised by the parties.  </w:t>
      </w:r>
      <w:hyperlink r:id="rId10" w:history="1">
        <w:r w:rsidRPr="0029748B">
          <w:rPr>
            <w:i/>
            <w:iCs/>
            <w:color w:val="000000"/>
            <w:sz w:val="26"/>
            <w:szCs w:val="26"/>
          </w:rPr>
          <w:t>Consolidated Rail Corp. v. Pa. PUC</w:t>
        </w:r>
        <w:r w:rsidRPr="00F74FF1">
          <w:rPr>
            <w:color w:val="000000"/>
            <w:sz w:val="26"/>
            <w:szCs w:val="26"/>
          </w:rPr>
          <w:t xml:space="preserve">, </w:t>
        </w:r>
        <w:r w:rsidRPr="0029748B">
          <w:rPr>
            <w:color w:val="000000"/>
            <w:sz w:val="26"/>
            <w:szCs w:val="26"/>
          </w:rPr>
          <w:t>625 A.2d 741 (Pa.</w:t>
        </w:r>
        <w:r w:rsidR="007C4BF9">
          <w:rPr>
            <w:color w:val="000000"/>
            <w:sz w:val="26"/>
            <w:szCs w:val="26"/>
          </w:rPr>
          <w:t> </w:t>
        </w:r>
        <w:proofErr w:type="spellStart"/>
        <w:r w:rsidRPr="0029748B">
          <w:rPr>
            <w:color w:val="000000"/>
            <w:sz w:val="26"/>
            <w:szCs w:val="26"/>
          </w:rPr>
          <w:t>Cmwlth</w:t>
        </w:r>
        <w:proofErr w:type="spellEnd"/>
        <w:r w:rsidRPr="0029748B">
          <w:rPr>
            <w:color w:val="000000"/>
            <w:sz w:val="26"/>
            <w:szCs w:val="26"/>
          </w:rPr>
          <w:t>. 1993);</w:t>
        </w:r>
      </w:hyperlink>
      <w:r w:rsidRPr="0029748B">
        <w:rPr>
          <w:color w:val="000000"/>
          <w:sz w:val="26"/>
          <w:szCs w:val="26"/>
        </w:rPr>
        <w:t xml:space="preserve"> </w:t>
      </w:r>
      <w:r w:rsidRPr="0029748B">
        <w:rPr>
          <w:i/>
          <w:color w:val="000000"/>
          <w:sz w:val="26"/>
          <w:szCs w:val="26"/>
        </w:rPr>
        <w:t xml:space="preserve">also </w:t>
      </w:r>
      <w:r w:rsidRPr="0029748B">
        <w:rPr>
          <w:i/>
          <w:iCs/>
          <w:color w:val="000000"/>
          <w:sz w:val="26"/>
          <w:szCs w:val="26"/>
        </w:rPr>
        <w:t xml:space="preserve">see, generally, </w:t>
      </w:r>
      <w:hyperlink r:id="rId11" w:history="1">
        <w:r w:rsidRPr="0029748B">
          <w:rPr>
            <w:i/>
            <w:iCs/>
            <w:color w:val="000000"/>
            <w:sz w:val="26"/>
            <w:szCs w:val="26"/>
          </w:rPr>
          <w:t>University of Pennsylvania v. Pa. PUC</w:t>
        </w:r>
        <w:r w:rsidRPr="0029748B">
          <w:rPr>
            <w:color w:val="000000"/>
            <w:sz w:val="26"/>
            <w:szCs w:val="26"/>
          </w:rPr>
          <w:t>, 485</w:t>
        </w:r>
        <w:r w:rsidR="007C4BF9">
          <w:rPr>
            <w:color w:val="000000"/>
            <w:sz w:val="26"/>
            <w:szCs w:val="26"/>
          </w:rPr>
          <w:t> </w:t>
        </w:r>
        <w:r w:rsidRPr="0029748B">
          <w:rPr>
            <w:color w:val="000000"/>
            <w:sz w:val="26"/>
            <w:szCs w:val="26"/>
          </w:rPr>
          <w:t xml:space="preserve">A.2d 1217 (Pa. </w:t>
        </w:r>
        <w:proofErr w:type="spellStart"/>
        <w:r w:rsidRPr="0029748B">
          <w:rPr>
            <w:color w:val="000000"/>
            <w:sz w:val="26"/>
            <w:szCs w:val="26"/>
          </w:rPr>
          <w:t>Cmwlth</w:t>
        </w:r>
        <w:proofErr w:type="spellEnd"/>
        <w:r w:rsidRPr="0029748B">
          <w:rPr>
            <w:color w:val="000000"/>
            <w:sz w:val="26"/>
            <w:szCs w:val="26"/>
          </w:rPr>
          <w:t>. 1984).</w:t>
        </w:r>
      </w:hyperlink>
    </w:p>
    <w:p w14:paraId="5F6E6A8E" w14:textId="77777777" w:rsidR="009F7083" w:rsidRPr="0029748B" w:rsidRDefault="009F7083" w:rsidP="0029748B">
      <w:pPr>
        <w:widowControl/>
        <w:spacing w:after="200" w:line="276" w:lineRule="auto"/>
        <w:rPr>
          <w:b/>
          <w:sz w:val="26"/>
          <w:szCs w:val="26"/>
        </w:rPr>
      </w:pPr>
    </w:p>
    <w:p w14:paraId="29FAB410" w14:textId="77777777" w:rsidR="000362A3" w:rsidRPr="0029748B" w:rsidRDefault="00B26FB1" w:rsidP="0029748B">
      <w:pPr>
        <w:pStyle w:val="ListParagraph"/>
        <w:widowControl/>
        <w:numPr>
          <w:ilvl w:val="0"/>
          <w:numId w:val="2"/>
        </w:numPr>
        <w:spacing w:line="360" w:lineRule="auto"/>
        <w:ind w:left="0" w:firstLine="0"/>
        <w:jc w:val="center"/>
        <w:outlineLvl w:val="0"/>
        <w:rPr>
          <w:b/>
          <w:sz w:val="26"/>
          <w:szCs w:val="26"/>
        </w:rPr>
      </w:pPr>
      <w:bookmarkStart w:id="10" w:name="_Toc35324686"/>
      <w:bookmarkStart w:id="11" w:name="_Toc35328839"/>
      <w:r>
        <w:rPr>
          <w:b/>
          <w:sz w:val="26"/>
          <w:szCs w:val="26"/>
        </w:rPr>
        <w:t>The Parties’ Joint Stipulations and t</w:t>
      </w:r>
      <w:r w:rsidR="00C335A6" w:rsidRPr="0029748B">
        <w:rPr>
          <w:b/>
          <w:sz w:val="26"/>
          <w:szCs w:val="26"/>
        </w:rPr>
        <w:t xml:space="preserve">he </w:t>
      </w:r>
      <w:r w:rsidR="007F0010" w:rsidRPr="0029748B">
        <w:rPr>
          <w:b/>
          <w:sz w:val="26"/>
          <w:szCs w:val="26"/>
        </w:rPr>
        <w:t>ALJ</w:t>
      </w:r>
      <w:r w:rsidR="006E37DF" w:rsidRPr="0029748B">
        <w:rPr>
          <w:b/>
          <w:sz w:val="26"/>
          <w:szCs w:val="26"/>
        </w:rPr>
        <w:t xml:space="preserve">’s Uncontested </w:t>
      </w:r>
      <w:r w:rsidR="00C335A6" w:rsidRPr="0029748B">
        <w:rPr>
          <w:b/>
          <w:sz w:val="26"/>
          <w:szCs w:val="26"/>
        </w:rPr>
        <w:t>Recommendations</w:t>
      </w:r>
      <w:bookmarkEnd w:id="10"/>
      <w:bookmarkEnd w:id="11"/>
      <w:r w:rsidR="004C4A9B" w:rsidRPr="0029748B">
        <w:rPr>
          <w:b/>
          <w:sz w:val="26"/>
          <w:szCs w:val="26"/>
        </w:rPr>
        <w:t xml:space="preserve"> </w:t>
      </w:r>
      <w:r w:rsidR="00F43EDE" w:rsidRPr="0029748B">
        <w:rPr>
          <w:b/>
          <w:sz w:val="26"/>
          <w:szCs w:val="26"/>
        </w:rPr>
        <w:t xml:space="preserve"> </w:t>
      </w:r>
    </w:p>
    <w:p w14:paraId="11DA8190" w14:textId="77777777" w:rsidR="00D3034C" w:rsidRDefault="00D3034C" w:rsidP="0029748B">
      <w:pPr>
        <w:widowControl/>
        <w:spacing w:line="360" w:lineRule="auto"/>
        <w:contextualSpacing/>
        <w:rPr>
          <w:b/>
          <w:sz w:val="26"/>
          <w:szCs w:val="26"/>
        </w:rPr>
      </w:pPr>
    </w:p>
    <w:p w14:paraId="06A92A30" w14:textId="77777777" w:rsidR="00B26FB1" w:rsidRPr="0029748B" w:rsidRDefault="00B26FB1" w:rsidP="00790F24">
      <w:pPr>
        <w:pStyle w:val="ListParagraph"/>
        <w:widowControl/>
        <w:numPr>
          <w:ilvl w:val="0"/>
          <w:numId w:val="3"/>
        </w:numPr>
        <w:spacing w:line="360" w:lineRule="auto"/>
        <w:ind w:left="0" w:firstLine="0"/>
        <w:outlineLvl w:val="1"/>
        <w:rPr>
          <w:b/>
          <w:sz w:val="26"/>
          <w:szCs w:val="26"/>
        </w:rPr>
      </w:pPr>
      <w:bookmarkStart w:id="12" w:name="_Toc35324691"/>
      <w:bookmarkStart w:id="13" w:name="_Toc35328840"/>
      <w:r w:rsidRPr="0029748B">
        <w:rPr>
          <w:b/>
          <w:sz w:val="26"/>
          <w:szCs w:val="26"/>
        </w:rPr>
        <w:t>Joint Stipulation of the Parties</w:t>
      </w:r>
      <w:bookmarkEnd w:id="12"/>
      <w:bookmarkEnd w:id="13"/>
    </w:p>
    <w:p w14:paraId="22C421BF" w14:textId="77777777" w:rsidR="00B26FB1" w:rsidRPr="0029748B" w:rsidRDefault="00B26FB1" w:rsidP="00B26FB1">
      <w:pPr>
        <w:pStyle w:val="ListParagraph"/>
        <w:widowControl/>
        <w:spacing w:line="360" w:lineRule="auto"/>
        <w:ind w:hanging="720"/>
        <w:outlineLvl w:val="1"/>
        <w:rPr>
          <w:b/>
          <w:sz w:val="26"/>
          <w:szCs w:val="26"/>
        </w:rPr>
      </w:pPr>
    </w:p>
    <w:p w14:paraId="594F599A" w14:textId="77777777" w:rsidR="00B26FB1" w:rsidRPr="0029748B" w:rsidRDefault="00B26FB1" w:rsidP="00B26FB1">
      <w:pPr>
        <w:widowControl/>
        <w:spacing w:line="360" w:lineRule="auto"/>
        <w:ind w:firstLine="1440"/>
        <w:contextualSpacing/>
        <w:textAlignment w:val="baseline"/>
        <w:rPr>
          <w:color w:val="000000"/>
          <w:sz w:val="26"/>
          <w:szCs w:val="26"/>
        </w:rPr>
      </w:pPr>
      <w:r w:rsidRPr="0029748B">
        <w:rPr>
          <w:color w:val="000000"/>
          <w:sz w:val="26"/>
          <w:szCs w:val="26"/>
        </w:rPr>
        <w:t>By Order entered on December 18, 2019, the ALJ granted the Joint Motion filed by Twin Lakes, I&amp;E and the OCA, moving that the ALJ approve and admit the attached Joint Stipulation for Admission of Testimony and Exhibits (Joint Stipulation) into the record of this proceeding.</w:t>
      </w:r>
    </w:p>
    <w:p w14:paraId="542D5225" w14:textId="77777777" w:rsidR="00B26FB1" w:rsidRPr="0029748B" w:rsidRDefault="00B26FB1" w:rsidP="00B26FB1">
      <w:pPr>
        <w:widowControl/>
        <w:spacing w:line="360" w:lineRule="auto"/>
        <w:ind w:firstLine="1440"/>
        <w:contextualSpacing/>
        <w:textAlignment w:val="baseline"/>
        <w:rPr>
          <w:color w:val="000000"/>
          <w:sz w:val="26"/>
          <w:szCs w:val="26"/>
        </w:rPr>
      </w:pPr>
    </w:p>
    <w:p w14:paraId="69B5302D" w14:textId="77777777" w:rsidR="00B26FB1" w:rsidRDefault="00B26FB1" w:rsidP="00B26FB1">
      <w:pPr>
        <w:widowControl/>
        <w:spacing w:line="360" w:lineRule="auto"/>
        <w:ind w:firstLine="1440"/>
        <w:contextualSpacing/>
        <w:textAlignment w:val="baseline"/>
        <w:rPr>
          <w:rFonts w:eastAsia="Calibri"/>
          <w:sz w:val="26"/>
          <w:szCs w:val="26"/>
        </w:rPr>
      </w:pPr>
      <w:r w:rsidRPr="0029748B">
        <w:rPr>
          <w:color w:val="000000"/>
          <w:sz w:val="26"/>
          <w:szCs w:val="26"/>
        </w:rPr>
        <w:t xml:space="preserve">The </w:t>
      </w:r>
      <w:r w:rsidRPr="0029748B">
        <w:rPr>
          <w:rFonts w:eastAsia="Calibri"/>
          <w:sz w:val="26"/>
          <w:szCs w:val="26"/>
        </w:rPr>
        <w:t xml:space="preserve">Joint Stipulation was comprised of two attached Appendices: Appendix A (Stipulation for Admission of Testimony and Exhibits), specifying each parties’ witnesses’ testimony and exhibits, and waiving the right to cross examination of witnesses sponsoring their respective testimony; and, Appendix B (Stipulation of the Parties) stipulating to the certain contested facts regarding, </w:t>
      </w:r>
      <w:r w:rsidRPr="0029748B">
        <w:rPr>
          <w:rFonts w:eastAsia="Calibri"/>
          <w:i/>
          <w:iCs/>
          <w:sz w:val="26"/>
          <w:szCs w:val="26"/>
        </w:rPr>
        <w:t>inter alia</w:t>
      </w:r>
      <w:r w:rsidRPr="0029748B">
        <w:rPr>
          <w:rFonts w:eastAsia="Calibri"/>
          <w:sz w:val="26"/>
          <w:szCs w:val="26"/>
        </w:rPr>
        <w:t xml:space="preserve">, the Company’s duties to conduct lead and copper monitoring.  </w:t>
      </w:r>
      <w:r w:rsidRPr="0029748B">
        <w:rPr>
          <w:rFonts w:eastAsia="Calibri"/>
          <w:i/>
          <w:iCs/>
          <w:sz w:val="26"/>
          <w:szCs w:val="26"/>
        </w:rPr>
        <w:t>See</w:t>
      </w:r>
      <w:r w:rsidRPr="0029748B">
        <w:rPr>
          <w:rFonts w:eastAsia="Calibri"/>
          <w:sz w:val="26"/>
          <w:szCs w:val="26"/>
        </w:rPr>
        <w:t>, Attached Appendix B (Joint Stipulation).</w:t>
      </w:r>
    </w:p>
    <w:p w14:paraId="67062D46" w14:textId="77777777" w:rsidR="00B26FB1" w:rsidRPr="0029748B" w:rsidRDefault="00B26FB1" w:rsidP="00B26FB1">
      <w:pPr>
        <w:widowControl/>
        <w:spacing w:line="360" w:lineRule="auto"/>
        <w:ind w:firstLine="1440"/>
        <w:contextualSpacing/>
        <w:textAlignment w:val="baseline"/>
        <w:rPr>
          <w:rFonts w:eastAsia="Calibri"/>
          <w:sz w:val="26"/>
          <w:szCs w:val="26"/>
        </w:rPr>
      </w:pPr>
    </w:p>
    <w:p w14:paraId="7303CB17" w14:textId="77777777" w:rsidR="00B26FB1" w:rsidRPr="0029748B" w:rsidRDefault="00B26FB1" w:rsidP="00B26FB1">
      <w:pPr>
        <w:widowControl/>
        <w:spacing w:line="360" w:lineRule="auto"/>
        <w:ind w:firstLine="1440"/>
        <w:contextualSpacing/>
        <w:textAlignment w:val="baseline"/>
        <w:rPr>
          <w:color w:val="000000"/>
          <w:sz w:val="26"/>
          <w:szCs w:val="26"/>
        </w:rPr>
      </w:pPr>
      <w:r w:rsidRPr="0029748B">
        <w:rPr>
          <w:rFonts w:eastAsia="Calibri"/>
          <w:sz w:val="26"/>
          <w:szCs w:val="26"/>
        </w:rPr>
        <w:t xml:space="preserve">The ALJ recognized that the Parties’ agreement on certain evidentiary matters and stipulation to certain contested facts was beneficial for all parties, and in the public interest, as it operated to streamline the proceeding by resolving certain </w:t>
      </w:r>
      <w:r w:rsidRPr="0029748B">
        <w:rPr>
          <w:rFonts w:eastAsia="Calibri"/>
          <w:sz w:val="26"/>
          <w:szCs w:val="26"/>
        </w:rPr>
        <w:lastRenderedPageBreak/>
        <w:t xml:space="preserve">evidentiary and factual matters in dispute, and eliminate the litigation expense otherwise required by the scheduled evidentiary hearings.  R.D. at 6. </w:t>
      </w:r>
    </w:p>
    <w:p w14:paraId="73932A70" w14:textId="77777777" w:rsidR="00B26FB1" w:rsidRDefault="00B26FB1" w:rsidP="0029748B">
      <w:pPr>
        <w:widowControl/>
        <w:spacing w:line="360" w:lineRule="auto"/>
        <w:contextualSpacing/>
        <w:rPr>
          <w:b/>
          <w:sz w:val="26"/>
          <w:szCs w:val="26"/>
        </w:rPr>
      </w:pPr>
    </w:p>
    <w:p w14:paraId="6FCFF8E8" w14:textId="77777777" w:rsidR="00B26FB1" w:rsidRDefault="00B26FB1" w:rsidP="00790F24">
      <w:pPr>
        <w:pStyle w:val="ListParagraph"/>
        <w:widowControl/>
        <w:numPr>
          <w:ilvl w:val="0"/>
          <w:numId w:val="3"/>
        </w:numPr>
        <w:spacing w:line="360" w:lineRule="auto"/>
        <w:ind w:left="720" w:hanging="720"/>
        <w:rPr>
          <w:b/>
          <w:sz w:val="26"/>
          <w:szCs w:val="26"/>
        </w:rPr>
      </w:pPr>
      <w:r>
        <w:rPr>
          <w:b/>
          <w:sz w:val="26"/>
          <w:szCs w:val="26"/>
        </w:rPr>
        <w:t>The ALJ’s Uncontested Recommendations</w:t>
      </w:r>
    </w:p>
    <w:p w14:paraId="188CBD9E" w14:textId="77777777" w:rsidR="00B26FB1" w:rsidRPr="00B26FB1" w:rsidRDefault="00B26FB1" w:rsidP="00B26FB1">
      <w:pPr>
        <w:pStyle w:val="ListParagraph"/>
        <w:widowControl/>
        <w:spacing w:line="360" w:lineRule="auto"/>
        <w:ind w:left="360"/>
        <w:rPr>
          <w:b/>
          <w:sz w:val="26"/>
          <w:szCs w:val="26"/>
        </w:rPr>
      </w:pPr>
      <w:r>
        <w:rPr>
          <w:b/>
          <w:sz w:val="26"/>
          <w:szCs w:val="26"/>
        </w:rPr>
        <w:t xml:space="preserve"> </w:t>
      </w:r>
    </w:p>
    <w:p w14:paraId="6A530813" w14:textId="77777777" w:rsidR="00D3034C" w:rsidRPr="0029748B" w:rsidRDefault="00C335A6" w:rsidP="0029748B">
      <w:pPr>
        <w:widowControl/>
        <w:spacing w:line="360" w:lineRule="auto"/>
        <w:ind w:left="72" w:right="72" w:firstLine="1440"/>
        <w:contextualSpacing/>
        <w:textAlignment w:val="baseline"/>
        <w:rPr>
          <w:color w:val="000000"/>
          <w:sz w:val="26"/>
          <w:szCs w:val="26"/>
        </w:rPr>
      </w:pPr>
      <w:r w:rsidRPr="0029748B">
        <w:rPr>
          <w:color w:val="000000"/>
          <w:sz w:val="26"/>
          <w:szCs w:val="26"/>
        </w:rPr>
        <w:t xml:space="preserve">Our review of the </w:t>
      </w:r>
      <w:r w:rsidR="007F0010" w:rsidRPr="0029748B">
        <w:rPr>
          <w:color w:val="000000"/>
          <w:sz w:val="26"/>
          <w:szCs w:val="26"/>
        </w:rPr>
        <w:t xml:space="preserve">ALJ’s </w:t>
      </w:r>
      <w:r w:rsidR="004C4A9B" w:rsidRPr="0029748B">
        <w:rPr>
          <w:color w:val="000000"/>
          <w:sz w:val="26"/>
          <w:szCs w:val="26"/>
        </w:rPr>
        <w:t>uncontested</w:t>
      </w:r>
      <w:r w:rsidRPr="0029748B">
        <w:rPr>
          <w:color w:val="000000"/>
          <w:sz w:val="26"/>
          <w:szCs w:val="26"/>
        </w:rPr>
        <w:t xml:space="preserve"> recommendations pertains to all matters which </w:t>
      </w:r>
      <w:r w:rsidR="00676BC6" w:rsidRPr="0029748B">
        <w:rPr>
          <w:color w:val="000000"/>
          <w:sz w:val="26"/>
          <w:szCs w:val="26"/>
        </w:rPr>
        <w:t>were neither raised nor</w:t>
      </w:r>
      <w:r w:rsidRPr="0029748B">
        <w:rPr>
          <w:color w:val="000000"/>
          <w:sz w:val="26"/>
          <w:szCs w:val="26"/>
        </w:rPr>
        <w:t xml:space="preserve"> implicated by the Exceptions</w:t>
      </w:r>
      <w:r w:rsidR="007128E3" w:rsidRPr="0029748B">
        <w:rPr>
          <w:color w:val="000000"/>
          <w:sz w:val="26"/>
          <w:szCs w:val="26"/>
        </w:rPr>
        <w:t xml:space="preserve"> </w:t>
      </w:r>
      <w:r w:rsidR="00676BC6" w:rsidRPr="0029748B">
        <w:rPr>
          <w:color w:val="000000"/>
          <w:sz w:val="26"/>
          <w:szCs w:val="26"/>
        </w:rPr>
        <w:t xml:space="preserve">and </w:t>
      </w:r>
      <w:r w:rsidR="007128E3" w:rsidRPr="0029748B">
        <w:rPr>
          <w:color w:val="000000"/>
          <w:sz w:val="26"/>
          <w:szCs w:val="26"/>
        </w:rPr>
        <w:t>Replies</w:t>
      </w:r>
      <w:r w:rsidR="00676BC6" w:rsidRPr="0029748B">
        <w:rPr>
          <w:color w:val="000000"/>
          <w:sz w:val="26"/>
          <w:szCs w:val="26"/>
        </w:rPr>
        <w:t xml:space="preserve"> thereto </w:t>
      </w:r>
      <w:r w:rsidRPr="0029748B">
        <w:rPr>
          <w:color w:val="000000"/>
          <w:sz w:val="26"/>
          <w:szCs w:val="26"/>
        </w:rPr>
        <w:t xml:space="preserve">filed by </w:t>
      </w:r>
      <w:r w:rsidR="00F43EDE" w:rsidRPr="0029748B">
        <w:rPr>
          <w:color w:val="000000"/>
          <w:sz w:val="26"/>
          <w:szCs w:val="26"/>
        </w:rPr>
        <w:t>Twin Lakes</w:t>
      </w:r>
      <w:r w:rsidR="00D3034C" w:rsidRPr="0029748B">
        <w:rPr>
          <w:color w:val="000000"/>
          <w:sz w:val="26"/>
          <w:szCs w:val="26"/>
        </w:rPr>
        <w:t xml:space="preserve">, I&amp;E, </w:t>
      </w:r>
      <w:r w:rsidR="00F43EDE" w:rsidRPr="0029748B">
        <w:rPr>
          <w:color w:val="000000"/>
          <w:sz w:val="26"/>
          <w:szCs w:val="26"/>
        </w:rPr>
        <w:t xml:space="preserve">and </w:t>
      </w:r>
      <w:r w:rsidR="00D3034C" w:rsidRPr="0029748B">
        <w:rPr>
          <w:color w:val="000000"/>
          <w:sz w:val="26"/>
          <w:szCs w:val="26"/>
        </w:rPr>
        <w:t>the OCA</w:t>
      </w:r>
      <w:r w:rsidRPr="0029748B">
        <w:rPr>
          <w:color w:val="000000"/>
          <w:sz w:val="26"/>
          <w:szCs w:val="26"/>
        </w:rPr>
        <w:t>.</w:t>
      </w:r>
      <w:r w:rsidR="006853A0" w:rsidRPr="0029748B">
        <w:rPr>
          <w:color w:val="000000"/>
          <w:sz w:val="26"/>
          <w:szCs w:val="26"/>
        </w:rPr>
        <w:t xml:space="preserve">  </w:t>
      </w:r>
      <w:r w:rsidRPr="0029748B">
        <w:rPr>
          <w:color w:val="000000"/>
          <w:sz w:val="26"/>
          <w:szCs w:val="26"/>
        </w:rPr>
        <w:t>Therefore, our review of</w:t>
      </w:r>
      <w:r w:rsidR="009915C6" w:rsidRPr="0029748B">
        <w:rPr>
          <w:color w:val="000000"/>
          <w:sz w:val="26"/>
          <w:szCs w:val="26"/>
        </w:rPr>
        <w:t xml:space="preserve"> the </w:t>
      </w:r>
      <w:r w:rsidRPr="0029748B">
        <w:rPr>
          <w:color w:val="000000"/>
          <w:sz w:val="26"/>
          <w:szCs w:val="26"/>
        </w:rPr>
        <w:t>ALJ</w:t>
      </w:r>
      <w:r w:rsidR="006E37DF" w:rsidRPr="0029748B">
        <w:rPr>
          <w:color w:val="000000"/>
          <w:sz w:val="26"/>
          <w:szCs w:val="26"/>
        </w:rPr>
        <w:t>’s uncontested</w:t>
      </w:r>
      <w:r w:rsidRPr="0029748B">
        <w:rPr>
          <w:color w:val="000000"/>
          <w:sz w:val="26"/>
          <w:szCs w:val="26"/>
        </w:rPr>
        <w:t xml:space="preserve"> recommendations includes</w:t>
      </w:r>
      <w:r w:rsidR="007128E3" w:rsidRPr="0029748B">
        <w:rPr>
          <w:color w:val="000000"/>
          <w:sz w:val="26"/>
          <w:szCs w:val="26"/>
        </w:rPr>
        <w:t xml:space="preserve">: </w:t>
      </w:r>
      <w:r w:rsidR="00EB5433" w:rsidRPr="0029748B">
        <w:rPr>
          <w:color w:val="000000"/>
          <w:sz w:val="26"/>
          <w:szCs w:val="26"/>
        </w:rPr>
        <w:t xml:space="preserve">(1) </w:t>
      </w:r>
      <w:r w:rsidR="007128E3" w:rsidRPr="0029748B">
        <w:rPr>
          <w:color w:val="000000"/>
          <w:sz w:val="26"/>
          <w:szCs w:val="26"/>
        </w:rPr>
        <w:t>Rate Base</w:t>
      </w:r>
      <w:r w:rsidR="00676BC6" w:rsidRPr="0029748B">
        <w:rPr>
          <w:color w:val="000000"/>
          <w:sz w:val="26"/>
          <w:szCs w:val="26"/>
        </w:rPr>
        <w:t xml:space="preserve"> </w:t>
      </w:r>
      <w:r w:rsidR="00CC1DC5" w:rsidRPr="0029748B">
        <w:rPr>
          <w:color w:val="000000"/>
          <w:sz w:val="26"/>
          <w:szCs w:val="26"/>
        </w:rPr>
        <w:t>pertaining to u</w:t>
      </w:r>
      <w:r w:rsidR="007128E3" w:rsidRPr="0029748B">
        <w:rPr>
          <w:color w:val="000000"/>
          <w:sz w:val="26"/>
          <w:szCs w:val="26"/>
        </w:rPr>
        <w:t>tility plant in service, depreciation reserve</w:t>
      </w:r>
      <w:r w:rsidR="006E37DF" w:rsidRPr="0029748B">
        <w:rPr>
          <w:color w:val="000000"/>
          <w:sz w:val="26"/>
          <w:szCs w:val="26"/>
        </w:rPr>
        <w:t>,</w:t>
      </w:r>
      <w:r w:rsidR="007128E3" w:rsidRPr="0029748B">
        <w:rPr>
          <w:color w:val="000000"/>
          <w:sz w:val="26"/>
          <w:szCs w:val="26"/>
        </w:rPr>
        <w:t xml:space="preserve"> and cash working capital</w:t>
      </w:r>
      <w:r w:rsidR="0066152F" w:rsidRPr="0029748B">
        <w:rPr>
          <w:color w:val="000000"/>
          <w:sz w:val="26"/>
          <w:szCs w:val="26"/>
        </w:rPr>
        <w:t xml:space="preserve">; </w:t>
      </w:r>
      <w:r w:rsidR="00EB5433" w:rsidRPr="0029748B">
        <w:rPr>
          <w:color w:val="000000"/>
          <w:sz w:val="26"/>
          <w:szCs w:val="26"/>
        </w:rPr>
        <w:t>(</w:t>
      </w:r>
      <w:r w:rsidR="00C20869">
        <w:rPr>
          <w:color w:val="000000"/>
          <w:sz w:val="26"/>
          <w:szCs w:val="26"/>
        </w:rPr>
        <w:t>2</w:t>
      </w:r>
      <w:r w:rsidR="00EB5433" w:rsidRPr="0029748B">
        <w:rPr>
          <w:color w:val="000000"/>
          <w:sz w:val="26"/>
          <w:szCs w:val="26"/>
        </w:rPr>
        <w:t xml:space="preserve">) </w:t>
      </w:r>
      <w:r w:rsidR="007128E3" w:rsidRPr="0029748B">
        <w:rPr>
          <w:color w:val="000000"/>
          <w:sz w:val="26"/>
          <w:szCs w:val="26"/>
        </w:rPr>
        <w:t>Expenses</w:t>
      </w:r>
      <w:r w:rsidR="0066152F" w:rsidRPr="0029748B">
        <w:rPr>
          <w:color w:val="000000"/>
          <w:sz w:val="26"/>
          <w:szCs w:val="26"/>
        </w:rPr>
        <w:t xml:space="preserve"> pertaining to rate case expense, maintenance supplies, purchased power and chemical expenses, and bad debt expense</w:t>
      </w:r>
      <w:r w:rsidR="007128E3" w:rsidRPr="0029748B">
        <w:rPr>
          <w:color w:val="000000"/>
          <w:sz w:val="26"/>
          <w:szCs w:val="26"/>
        </w:rPr>
        <w:t xml:space="preserve">; </w:t>
      </w:r>
      <w:r w:rsidR="00EB5433" w:rsidRPr="0029748B">
        <w:rPr>
          <w:color w:val="000000"/>
          <w:sz w:val="26"/>
          <w:szCs w:val="26"/>
        </w:rPr>
        <w:t>(</w:t>
      </w:r>
      <w:r w:rsidR="00C20869">
        <w:rPr>
          <w:color w:val="000000"/>
          <w:sz w:val="26"/>
          <w:szCs w:val="26"/>
        </w:rPr>
        <w:t>3</w:t>
      </w:r>
      <w:r w:rsidR="00EB5433" w:rsidRPr="0029748B">
        <w:rPr>
          <w:color w:val="000000"/>
          <w:sz w:val="26"/>
          <w:szCs w:val="26"/>
        </w:rPr>
        <w:t xml:space="preserve">) </w:t>
      </w:r>
      <w:r w:rsidR="007128E3" w:rsidRPr="0029748B">
        <w:rPr>
          <w:color w:val="000000"/>
          <w:sz w:val="26"/>
          <w:szCs w:val="26"/>
        </w:rPr>
        <w:t>Capital Structure</w:t>
      </w:r>
      <w:r w:rsidR="0066152F" w:rsidRPr="0029748B">
        <w:rPr>
          <w:color w:val="000000"/>
          <w:sz w:val="26"/>
          <w:szCs w:val="26"/>
        </w:rPr>
        <w:t>; and</w:t>
      </w:r>
      <w:r w:rsidR="006E37DF" w:rsidRPr="0029748B">
        <w:rPr>
          <w:color w:val="000000"/>
          <w:sz w:val="26"/>
          <w:szCs w:val="26"/>
        </w:rPr>
        <w:t>,</w:t>
      </w:r>
      <w:r w:rsidR="0066152F" w:rsidRPr="0029748B">
        <w:rPr>
          <w:color w:val="000000"/>
          <w:sz w:val="26"/>
          <w:szCs w:val="26"/>
        </w:rPr>
        <w:t xml:space="preserve"> </w:t>
      </w:r>
      <w:r w:rsidR="00EB5433" w:rsidRPr="0029748B">
        <w:rPr>
          <w:color w:val="000000"/>
          <w:sz w:val="26"/>
          <w:szCs w:val="26"/>
        </w:rPr>
        <w:t>(</w:t>
      </w:r>
      <w:r w:rsidR="00C20869">
        <w:rPr>
          <w:color w:val="000000"/>
          <w:sz w:val="26"/>
          <w:szCs w:val="26"/>
        </w:rPr>
        <w:t>4</w:t>
      </w:r>
      <w:r w:rsidR="00EB5433" w:rsidRPr="0029748B">
        <w:rPr>
          <w:color w:val="000000"/>
          <w:sz w:val="26"/>
          <w:szCs w:val="26"/>
        </w:rPr>
        <w:t xml:space="preserve">) </w:t>
      </w:r>
      <w:r w:rsidR="0066152F" w:rsidRPr="0029748B">
        <w:rPr>
          <w:color w:val="000000"/>
          <w:sz w:val="26"/>
          <w:szCs w:val="26"/>
        </w:rPr>
        <w:t>Rate Structure</w:t>
      </w:r>
      <w:r w:rsidR="00C20869">
        <w:rPr>
          <w:rStyle w:val="FootnoteReference"/>
          <w:color w:val="000000"/>
          <w:sz w:val="26"/>
          <w:szCs w:val="26"/>
        </w:rPr>
        <w:footnoteReference w:id="3"/>
      </w:r>
      <w:r w:rsidRPr="0029748B">
        <w:rPr>
          <w:color w:val="000000"/>
          <w:sz w:val="26"/>
          <w:szCs w:val="26"/>
        </w:rPr>
        <w:t>.</w:t>
      </w:r>
      <w:r w:rsidR="00D3034C" w:rsidRPr="0029748B">
        <w:rPr>
          <w:color w:val="000000"/>
          <w:sz w:val="26"/>
          <w:szCs w:val="26"/>
        </w:rPr>
        <w:t xml:space="preserve">  </w:t>
      </w:r>
      <w:r w:rsidR="000216D8" w:rsidRPr="0029748B">
        <w:rPr>
          <w:color w:val="000000"/>
          <w:sz w:val="26"/>
          <w:szCs w:val="26"/>
        </w:rPr>
        <w:t xml:space="preserve">In addition, the ALJ adopted the Joint Stipulation of the </w:t>
      </w:r>
      <w:r w:rsidR="00755C65" w:rsidRPr="0029748B">
        <w:rPr>
          <w:color w:val="000000"/>
          <w:sz w:val="26"/>
          <w:szCs w:val="26"/>
        </w:rPr>
        <w:t>P</w:t>
      </w:r>
      <w:r w:rsidR="000216D8" w:rsidRPr="0029748B">
        <w:rPr>
          <w:color w:val="000000"/>
          <w:sz w:val="26"/>
          <w:szCs w:val="26"/>
        </w:rPr>
        <w:t>arties, resolv</w:t>
      </w:r>
      <w:r w:rsidR="006E37DF" w:rsidRPr="0029748B">
        <w:rPr>
          <w:color w:val="000000"/>
          <w:sz w:val="26"/>
          <w:szCs w:val="26"/>
        </w:rPr>
        <w:t>ing</w:t>
      </w:r>
      <w:r w:rsidR="000216D8" w:rsidRPr="0029748B">
        <w:rPr>
          <w:color w:val="000000"/>
          <w:sz w:val="26"/>
          <w:szCs w:val="26"/>
        </w:rPr>
        <w:t xml:space="preserve"> certain evidentiary matters and potential facts in dispute.  </w:t>
      </w:r>
      <w:r w:rsidR="00D3034C" w:rsidRPr="0029748B">
        <w:rPr>
          <w:color w:val="000000"/>
          <w:sz w:val="26"/>
          <w:szCs w:val="26"/>
        </w:rPr>
        <w:t xml:space="preserve">As </w:t>
      </w:r>
      <w:r w:rsidR="004C4A9B" w:rsidRPr="0029748B">
        <w:rPr>
          <w:color w:val="000000"/>
          <w:sz w:val="26"/>
          <w:szCs w:val="26"/>
        </w:rPr>
        <w:t>discussed</w:t>
      </w:r>
      <w:r w:rsidRPr="0029748B">
        <w:rPr>
          <w:color w:val="000000"/>
          <w:sz w:val="26"/>
          <w:szCs w:val="26"/>
        </w:rPr>
        <w:t xml:space="preserve"> b</w:t>
      </w:r>
      <w:r w:rsidR="00D3034C" w:rsidRPr="0029748B">
        <w:rPr>
          <w:color w:val="000000"/>
          <w:sz w:val="26"/>
          <w:szCs w:val="26"/>
        </w:rPr>
        <w:t xml:space="preserve">elow, </w:t>
      </w:r>
      <w:r w:rsidR="00F00915" w:rsidRPr="0029748B">
        <w:rPr>
          <w:color w:val="000000"/>
          <w:sz w:val="26"/>
          <w:szCs w:val="26"/>
        </w:rPr>
        <w:t xml:space="preserve">the ALJ recommended </w:t>
      </w:r>
      <w:r w:rsidR="006E37DF" w:rsidRPr="0029748B">
        <w:rPr>
          <w:color w:val="000000"/>
          <w:sz w:val="26"/>
          <w:szCs w:val="26"/>
        </w:rPr>
        <w:t xml:space="preserve">that the Commission adopt the </w:t>
      </w:r>
      <w:r w:rsidR="00F00915" w:rsidRPr="0029748B">
        <w:rPr>
          <w:color w:val="000000"/>
          <w:sz w:val="26"/>
          <w:szCs w:val="26"/>
        </w:rPr>
        <w:t xml:space="preserve">findings </w:t>
      </w:r>
      <w:r w:rsidR="006E37DF" w:rsidRPr="0029748B">
        <w:rPr>
          <w:color w:val="000000"/>
          <w:sz w:val="26"/>
          <w:szCs w:val="26"/>
        </w:rPr>
        <w:t xml:space="preserve">on each issue </w:t>
      </w:r>
      <w:r w:rsidR="00F00915" w:rsidRPr="0029748B">
        <w:rPr>
          <w:color w:val="000000"/>
          <w:sz w:val="26"/>
          <w:szCs w:val="26"/>
        </w:rPr>
        <w:t xml:space="preserve">as </w:t>
      </w:r>
      <w:r w:rsidR="00D3034C" w:rsidRPr="0029748B">
        <w:rPr>
          <w:color w:val="000000"/>
          <w:sz w:val="26"/>
          <w:szCs w:val="26"/>
        </w:rPr>
        <w:t>being in the public interest.</w:t>
      </w:r>
      <w:r w:rsidR="00EB5433" w:rsidRPr="0029748B">
        <w:rPr>
          <w:color w:val="000000"/>
          <w:sz w:val="26"/>
          <w:szCs w:val="26"/>
        </w:rPr>
        <w:t xml:space="preserve"> </w:t>
      </w:r>
      <w:r w:rsidR="00D3034C" w:rsidRPr="0029748B">
        <w:rPr>
          <w:color w:val="000000"/>
          <w:sz w:val="26"/>
          <w:szCs w:val="26"/>
        </w:rPr>
        <w:t xml:space="preserve"> </w:t>
      </w:r>
      <w:r w:rsidR="00676BC6" w:rsidRPr="0029748B">
        <w:rPr>
          <w:i/>
          <w:color w:val="000000"/>
          <w:sz w:val="26"/>
          <w:szCs w:val="26"/>
        </w:rPr>
        <w:t>See</w:t>
      </w:r>
      <w:r w:rsidR="00676BC6" w:rsidRPr="003E468D">
        <w:rPr>
          <w:iCs/>
          <w:color w:val="000000"/>
          <w:sz w:val="26"/>
          <w:szCs w:val="26"/>
        </w:rPr>
        <w:t xml:space="preserve">, </w:t>
      </w:r>
      <w:r w:rsidR="00D3034C" w:rsidRPr="0029748B">
        <w:rPr>
          <w:color w:val="000000"/>
          <w:sz w:val="26"/>
          <w:szCs w:val="26"/>
        </w:rPr>
        <w:t>R.D. at 6-12</w:t>
      </w:r>
      <w:r w:rsidR="00D0760F" w:rsidRPr="0029748B">
        <w:rPr>
          <w:color w:val="000000"/>
          <w:sz w:val="26"/>
          <w:szCs w:val="26"/>
        </w:rPr>
        <w:t>, 89-90</w:t>
      </w:r>
      <w:r w:rsidR="008C70C0" w:rsidRPr="0029748B">
        <w:rPr>
          <w:color w:val="000000"/>
          <w:sz w:val="26"/>
          <w:szCs w:val="26"/>
        </w:rPr>
        <w:t>.</w:t>
      </w:r>
    </w:p>
    <w:p w14:paraId="0E69AB27" w14:textId="77777777" w:rsidR="00D3034C" w:rsidRPr="0029748B" w:rsidRDefault="00D3034C" w:rsidP="0029748B">
      <w:pPr>
        <w:widowControl/>
        <w:spacing w:line="360" w:lineRule="auto"/>
        <w:ind w:left="72" w:right="72" w:firstLine="1440"/>
        <w:contextualSpacing/>
        <w:textAlignment w:val="baseline"/>
        <w:rPr>
          <w:color w:val="000000"/>
          <w:sz w:val="26"/>
          <w:szCs w:val="26"/>
        </w:rPr>
      </w:pPr>
    </w:p>
    <w:p w14:paraId="06D7C060" w14:textId="3013F6D1" w:rsidR="00D3034C" w:rsidRPr="00D82252" w:rsidRDefault="00B26FB1" w:rsidP="00790F24">
      <w:pPr>
        <w:pStyle w:val="ListParagraph"/>
        <w:keepNext/>
        <w:widowControl/>
        <w:numPr>
          <w:ilvl w:val="0"/>
          <w:numId w:val="23"/>
        </w:numPr>
        <w:tabs>
          <w:tab w:val="left" w:pos="1512"/>
        </w:tabs>
        <w:ind w:left="1440" w:hanging="720"/>
        <w:textAlignment w:val="baseline"/>
        <w:outlineLvl w:val="1"/>
        <w:rPr>
          <w:b/>
          <w:color w:val="000000"/>
          <w:sz w:val="26"/>
          <w:szCs w:val="26"/>
        </w:rPr>
      </w:pPr>
      <w:bookmarkStart w:id="14" w:name="_Toc35324687"/>
      <w:bookmarkStart w:id="15" w:name="_Toc35328841"/>
      <w:r w:rsidRPr="00D82252">
        <w:rPr>
          <w:b/>
          <w:color w:val="000000"/>
          <w:sz w:val="26"/>
          <w:szCs w:val="26"/>
        </w:rPr>
        <w:t>Rate Base: a</w:t>
      </w:r>
      <w:r w:rsidR="007128E3" w:rsidRPr="00D82252">
        <w:rPr>
          <w:b/>
          <w:color w:val="000000"/>
          <w:sz w:val="26"/>
          <w:szCs w:val="26"/>
        </w:rPr>
        <w:t xml:space="preserve">) Utility Plant in Service; </w:t>
      </w:r>
      <w:r w:rsidRPr="00D82252">
        <w:rPr>
          <w:b/>
          <w:color w:val="000000"/>
          <w:sz w:val="26"/>
          <w:szCs w:val="26"/>
        </w:rPr>
        <w:t>b) Depreciation Reserve; and c</w:t>
      </w:r>
      <w:r w:rsidR="007128E3" w:rsidRPr="00D82252">
        <w:rPr>
          <w:b/>
          <w:color w:val="000000"/>
          <w:sz w:val="26"/>
          <w:szCs w:val="26"/>
        </w:rPr>
        <w:t>) Cash Working Capital</w:t>
      </w:r>
      <w:bookmarkEnd w:id="14"/>
      <w:bookmarkEnd w:id="15"/>
    </w:p>
    <w:p w14:paraId="1DFBE81C" w14:textId="77777777" w:rsidR="00D3034C" w:rsidRPr="0029748B" w:rsidRDefault="00D3034C" w:rsidP="00F74FF1">
      <w:pPr>
        <w:keepNext/>
        <w:widowControl/>
        <w:tabs>
          <w:tab w:val="left" w:pos="1512"/>
        </w:tabs>
        <w:spacing w:line="480" w:lineRule="auto"/>
        <w:ind w:left="1512" w:right="72"/>
        <w:contextualSpacing/>
        <w:textAlignment w:val="baseline"/>
        <w:rPr>
          <w:color w:val="000000"/>
          <w:sz w:val="26"/>
          <w:szCs w:val="26"/>
        </w:rPr>
      </w:pPr>
    </w:p>
    <w:p w14:paraId="64044DB7" w14:textId="77777777" w:rsidR="007128E3" w:rsidRPr="0029748B" w:rsidRDefault="00B26FB1" w:rsidP="00790F24">
      <w:pPr>
        <w:pStyle w:val="ListParagraph"/>
        <w:keepNext/>
        <w:widowControl/>
        <w:spacing w:line="360" w:lineRule="auto"/>
        <w:ind w:left="1440" w:right="72"/>
        <w:textAlignment w:val="baseline"/>
        <w:rPr>
          <w:b/>
          <w:bCs/>
          <w:color w:val="000000"/>
          <w:sz w:val="26"/>
          <w:szCs w:val="26"/>
        </w:rPr>
      </w:pPr>
      <w:r>
        <w:rPr>
          <w:b/>
          <w:bCs/>
          <w:color w:val="000000"/>
          <w:sz w:val="26"/>
          <w:szCs w:val="26"/>
        </w:rPr>
        <w:t>a</w:t>
      </w:r>
      <w:r w:rsidR="00C9313E" w:rsidRPr="0029748B">
        <w:rPr>
          <w:b/>
          <w:bCs/>
          <w:color w:val="000000"/>
          <w:sz w:val="26"/>
          <w:szCs w:val="26"/>
        </w:rPr>
        <w:t>.</w:t>
      </w:r>
      <w:r w:rsidR="00C9313E" w:rsidRPr="0029748B">
        <w:rPr>
          <w:b/>
          <w:bCs/>
          <w:color w:val="000000"/>
          <w:sz w:val="26"/>
          <w:szCs w:val="26"/>
        </w:rPr>
        <w:tab/>
      </w:r>
      <w:r w:rsidR="007128E3" w:rsidRPr="0029748B">
        <w:rPr>
          <w:b/>
          <w:bCs/>
          <w:color w:val="000000"/>
          <w:sz w:val="26"/>
          <w:szCs w:val="26"/>
        </w:rPr>
        <w:t xml:space="preserve">Utility Plant in Service </w:t>
      </w:r>
    </w:p>
    <w:p w14:paraId="142653A1" w14:textId="77777777" w:rsidR="00D86641" w:rsidRPr="0029748B" w:rsidRDefault="00D86641" w:rsidP="0029748B">
      <w:pPr>
        <w:keepNext/>
        <w:widowControl/>
        <w:spacing w:line="360" w:lineRule="auto"/>
        <w:ind w:firstLine="1440"/>
        <w:rPr>
          <w:sz w:val="26"/>
          <w:szCs w:val="26"/>
        </w:rPr>
      </w:pPr>
    </w:p>
    <w:p w14:paraId="1D62FB6B" w14:textId="77777777" w:rsidR="00830099" w:rsidRPr="0029748B" w:rsidRDefault="00D86641" w:rsidP="0029748B">
      <w:pPr>
        <w:keepNext/>
        <w:widowControl/>
        <w:spacing w:line="360" w:lineRule="auto"/>
        <w:ind w:firstLine="1440"/>
        <w:rPr>
          <w:sz w:val="26"/>
          <w:szCs w:val="26"/>
        </w:rPr>
      </w:pPr>
      <w:r w:rsidRPr="0029748B">
        <w:rPr>
          <w:sz w:val="26"/>
          <w:szCs w:val="26"/>
        </w:rPr>
        <w:t xml:space="preserve">With respect to the </w:t>
      </w:r>
      <w:r w:rsidR="00CC2010" w:rsidRPr="0029748B">
        <w:rPr>
          <w:sz w:val="26"/>
          <w:szCs w:val="26"/>
        </w:rPr>
        <w:t>u</w:t>
      </w:r>
      <w:r w:rsidRPr="0029748B">
        <w:rPr>
          <w:sz w:val="26"/>
          <w:szCs w:val="26"/>
        </w:rPr>
        <w:t xml:space="preserve">tility </w:t>
      </w:r>
      <w:r w:rsidR="00CC2010" w:rsidRPr="0029748B">
        <w:rPr>
          <w:sz w:val="26"/>
          <w:szCs w:val="26"/>
        </w:rPr>
        <w:t>p</w:t>
      </w:r>
      <w:r w:rsidRPr="0029748B">
        <w:rPr>
          <w:sz w:val="26"/>
          <w:szCs w:val="26"/>
        </w:rPr>
        <w:t xml:space="preserve">lant in </w:t>
      </w:r>
      <w:r w:rsidR="00CC2010" w:rsidRPr="0029748B">
        <w:rPr>
          <w:sz w:val="26"/>
          <w:szCs w:val="26"/>
        </w:rPr>
        <w:t>s</w:t>
      </w:r>
      <w:r w:rsidRPr="0029748B">
        <w:rPr>
          <w:sz w:val="26"/>
          <w:szCs w:val="26"/>
        </w:rPr>
        <w:t>ervice component of Rate Base</w:t>
      </w:r>
      <w:r w:rsidR="004452B6" w:rsidRPr="0029748B">
        <w:rPr>
          <w:sz w:val="26"/>
          <w:szCs w:val="26"/>
        </w:rPr>
        <w:t xml:space="preserve">, </w:t>
      </w:r>
      <w:r w:rsidR="00830099" w:rsidRPr="0029748B">
        <w:rPr>
          <w:sz w:val="26"/>
          <w:szCs w:val="26"/>
        </w:rPr>
        <w:t xml:space="preserve">the ALJ accepted the agreement among the </w:t>
      </w:r>
      <w:r w:rsidR="00755C65" w:rsidRPr="0029748B">
        <w:rPr>
          <w:sz w:val="26"/>
          <w:szCs w:val="26"/>
        </w:rPr>
        <w:t>P</w:t>
      </w:r>
      <w:r w:rsidR="00830099" w:rsidRPr="0029748B">
        <w:rPr>
          <w:sz w:val="26"/>
          <w:szCs w:val="26"/>
        </w:rPr>
        <w:t>arties to the calculation of utility plant in service, in</w:t>
      </w:r>
      <w:r w:rsidR="004452B6" w:rsidRPr="0029748B">
        <w:rPr>
          <w:sz w:val="26"/>
          <w:szCs w:val="26"/>
        </w:rPr>
        <w:t xml:space="preserve">cluding the </w:t>
      </w:r>
      <w:r w:rsidR="004452B6" w:rsidRPr="0029748B">
        <w:rPr>
          <w:i/>
          <w:iCs/>
          <w:sz w:val="26"/>
          <w:szCs w:val="26"/>
        </w:rPr>
        <w:t>pro forma</w:t>
      </w:r>
      <w:r w:rsidR="004452B6" w:rsidRPr="0029748B">
        <w:rPr>
          <w:sz w:val="26"/>
          <w:szCs w:val="26"/>
        </w:rPr>
        <w:t xml:space="preserve"> adjustment</w:t>
      </w:r>
      <w:r w:rsidR="00830099" w:rsidRPr="0029748B">
        <w:rPr>
          <w:sz w:val="26"/>
          <w:szCs w:val="26"/>
        </w:rPr>
        <w:t>,</w:t>
      </w:r>
      <w:r w:rsidR="004452B6" w:rsidRPr="0029748B">
        <w:rPr>
          <w:sz w:val="26"/>
          <w:szCs w:val="26"/>
        </w:rPr>
        <w:t xml:space="preserve"> in the amount of $1,481,061</w:t>
      </w:r>
      <w:r w:rsidR="00830099" w:rsidRPr="0029748B">
        <w:rPr>
          <w:sz w:val="26"/>
          <w:szCs w:val="26"/>
        </w:rPr>
        <w:t>.</w:t>
      </w:r>
    </w:p>
    <w:p w14:paraId="7953E6A0" w14:textId="77777777" w:rsidR="00830099" w:rsidRPr="0029748B" w:rsidRDefault="00830099" w:rsidP="0029748B">
      <w:pPr>
        <w:widowControl/>
        <w:spacing w:line="360" w:lineRule="auto"/>
        <w:ind w:firstLine="1440"/>
        <w:rPr>
          <w:sz w:val="26"/>
          <w:szCs w:val="26"/>
        </w:rPr>
      </w:pPr>
    </w:p>
    <w:p w14:paraId="22C36F27" w14:textId="77777777" w:rsidR="00830099" w:rsidRPr="0029748B" w:rsidRDefault="00830099" w:rsidP="0029748B">
      <w:pPr>
        <w:widowControl/>
        <w:spacing w:line="360" w:lineRule="auto"/>
        <w:ind w:firstLine="1440"/>
        <w:rPr>
          <w:color w:val="000000"/>
          <w:sz w:val="26"/>
          <w:szCs w:val="26"/>
        </w:rPr>
      </w:pPr>
      <w:r w:rsidRPr="0029748B">
        <w:rPr>
          <w:color w:val="000000"/>
          <w:sz w:val="26"/>
          <w:szCs w:val="26"/>
        </w:rPr>
        <w:lastRenderedPageBreak/>
        <w:t xml:space="preserve">Based on the Company’s </w:t>
      </w:r>
      <w:r w:rsidR="006E37DF" w:rsidRPr="0029748B">
        <w:rPr>
          <w:color w:val="000000"/>
          <w:sz w:val="26"/>
          <w:szCs w:val="26"/>
        </w:rPr>
        <w:t>H</w:t>
      </w:r>
      <w:r w:rsidRPr="0029748B">
        <w:rPr>
          <w:color w:val="000000"/>
          <w:sz w:val="26"/>
          <w:szCs w:val="26"/>
        </w:rPr>
        <w:t>TY</w:t>
      </w:r>
      <w:r w:rsidR="00CC2010" w:rsidRPr="0029748B">
        <w:rPr>
          <w:color w:val="000000"/>
          <w:sz w:val="26"/>
          <w:szCs w:val="26"/>
        </w:rPr>
        <w:t xml:space="preserve"> </w:t>
      </w:r>
      <w:r w:rsidRPr="0029748B">
        <w:rPr>
          <w:color w:val="000000"/>
          <w:sz w:val="26"/>
          <w:szCs w:val="26"/>
        </w:rPr>
        <w:t>ending March 31, 2019, Twin Lakes claimed a depreciated original cost in this proceeding of $1,443,561.  Twin Lakes further claimed projected plant in service additions from April 1, 2019 to September 30, 2019</w:t>
      </w:r>
      <w:r w:rsidR="00755C65" w:rsidRPr="0029748B">
        <w:rPr>
          <w:color w:val="000000"/>
          <w:sz w:val="26"/>
          <w:szCs w:val="26"/>
        </w:rPr>
        <w:t>,</w:t>
      </w:r>
      <w:r w:rsidRPr="0029748B">
        <w:rPr>
          <w:color w:val="000000"/>
          <w:sz w:val="26"/>
          <w:szCs w:val="26"/>
        </w:rPr>
        <w:t xml:space="preserve"> of $37,500.  This resulted in a total plant in service balance of $1,481,06</w:t>
      </w:r>
      <w:r w:rsidR="00CC2010" w:rsidRPr="0029748B">
        <w:rPr>
          <w:color w:val="000000"/>
          <w:sz w:val="26"/>
          <w:szCs w:val="26"/>
        </w:rPr>
        <w:t>1</w:t>
      </w:r>
      <w:r w:rsidRPr="0029748B">
        <w:rPr>
          <w:color w:val="000000"/>
          <w:sz w:val="26"/>
          <w:szCs w:val="26"/>
        </w:rPr>
        <w:t xml:space="preserve">. </w:t>
      </w:r>
    </w:p>
    <w:p w14:paraId="3E8BFBB7" w14:textId="77777777" w:rsidR="006E37DF" w:rsidRPr="0029748B" w:rsidRDefault="006E37DF" w:rsidP="0029748B">
      <w:pPr>
        <w:widowControl/>
        <w:spacing w:line="360" w:lineRule="auto"/>
        <w:ind w:firstLine="1440"/>
        <w:rPr>
          <w:color w:val="000000"/>
          <w:sz w:val="26"/>
          <w:szCs w:val="26"/>
        </w:rPr>
      </w:pPr>
    </w:p>
    <w:p w14:paraId="1B447F70" w14:textId="77777777" w:rsidR="00D86641" w:rsidRPr="0029748B" w:rsidRDefault="00830099" w:rsidP="0029748B">
      <w:pPr>
        <w:widowControl/>
        <w:spacing w:line="360" w:lineRule="auto"/>
        <w:ind w:firstLine="1440"/>
        <w:rPr>
          <w:color w:val="000000"/>
          <w:sz w:val="26"/>
          <w:szCs w:val="26"/>
        </w:rPr>
      </w:pPr>
      <w:r w:rsidRPr="0029748B">
        <w:rPr>
          <w:color w:val="000000"/>
          <w:sz w:val="26"/>
          <w:szCs w:val="26"/>
        </w:rPr>
        <w:t xml:space="preserve">Because both I&amp;E and the OCA witnesses accepted the Company's proposal to reflect the post-test year </w:t>
      </w:r>
      <w:r w:rsidRPr="0029748B">
        <w:rPr>
          <w:i/>
          <w:iCs/>
          <w:color w:val="000000"/>
          <w:sz w:val="26"/>
          <w:szCs w:val="26"/>
        </w:rPr>
        <w:t>pro forma</w:t>
      </w:r>
      <w:r w:rsidRPr="0029748B">
        <w:rPr>
          <w:color w:val="000000"/>
          <w:sz w:val="26"/>
          <w:szCs w:val="26"/>
        </w:rPr>
        <w:t xml:space="preserve"> plant in service additions and accumulated depreciation from April l, 2019 to September 30, 2019, the ALJ recommend</w:t>
      </w:r>
      <w:r w:rsidR="006E37DF" w:rsidRPr="0029748B">
        <w:rPr>
          <w:color w:val="000000"/>
          <w:sz w:val="26"/>
          <w:szCs w:val="26"/>
        </w:rPr>
        <w:t>ed</w:t>
      </w:r>
      <w:r w:rsidRPr="0029748B">
        <w:rPr>
          <w:color w:val="000000"/>
          <w:sz w:val="26"/>
          <w:szCs w:val="26"/>
        </w:rPr>
        <w:t xml:space="preserve"> adoption of </w:t>
      </w:r>
      <w:r w:rsidR="00755C65" w:rsidRPr="0029748B">
        <w:rPr>
          <w:color w:val="000000"/>
          <w:sz w:val="26"/>
          <w:szCs w:val="26"/>
        </w:rPr>
        <w:t xml:space="preserve">the </w:t>
      </w:r>
      <w:r w:rsidR="00F00915" w:rsidRPr="0029748B">
        <w:rPr>
          <w:color w:val="000000"/>
          <w:sz w:val="26"/>
          <w:szCs w:val="26"/>
        </w:rPr>
        <w:t xml:space="preserve">Company’s </w:t>
      </w:r>
      <w:r w:rsidRPr="0029748B">
        <w:rPr>
          <w:color w:val="000000"/>
          <w:sz w:val="26"/>
          <w:szCs w:val="26"/>
        </w:rPr>
        <w:t xml:space="preserve">utility plant in service claimed as reasonable </w:t>
      </w:r>
      <w:r w:rsidR="00CC2010" w:rsidRPr="0029748B">
        <w:rPr>
          <w:color w:val="000000"/>
          <w:sz w:val="26"/>
          <w:szCs w:val="26"/>
        </w:rPr>
        <w:t xml:space="preserve">and </w:t>
      </w:r>
      <w:r w:rsidRPr="0029748B">
        <w:rPr>
          <w:color w:val="000000"/>
          <w:sz w:val="26"/>
          <w:szCs w:val="26"/>
        </w:rPr>
        <w:t xml:space="preserve">in the public interest.  </w:t>
      </w:r>
      <w:r w:rsidR="004452B6" w:rsidRPr="0029748B">
        <w:rPr>
          <w:sz w:val="26"/>
          <w:szCs w:val="26"/>
        </w:rPr>
        <w:t>R</w:t>
      </w:r>
      <w:r w:rsidR="00CC2010" w:rsidRPr="0029748B">
        <w:rPr>
          <w:sz w:val="26"/>
          <w:szCs w:val="26"/>
        </w:rPr>
        <w:t>.</w:t>
      </w:r>
      <w:r w:rsidR="004452B6" w:rsidRPr="0029748B">
        <w:rPr>
          <w:sz w:val="26"/>
          <w:szCs w:val="26"/>
        </w:rPr>
        <w:t>D</w:t>
      </w:r>
      <w:r w:rsidR="00CC2010" w:rsidRPr="0029748B">
        <w:rPr>
          <w:sz w:val="26"/>
          <w:szCs w:val="26"/>
        </w:rPr>
        <w:t>.</w:t>
      </w:r>
      <w:r w:rsidR="00D86641" w:rsidRPr="0029748B">
        <w:rPr>
          <w:sz w:val="26"/>
          <w:szCs w:val="26"/>
        </w:rPr>
        <w:t xml:space="preserve"> at 14 </w:t>
      </w:r>
      <w:r w:rsidR="00CC2010" w:rsidRPr="0029748B">
        <w:rPr>
          <w:sz w:val="26"/>
          <w:szCs w:val="26"/>
        </w:rPr>
        <w:t>(</w:t>
      </w:r>
      <w:r w:rsidR="00D86641" w:rsidRPr="0029748B">
        <w:rPr>
          <w:sz w:val="26"/>
          <w:szCs w:val="26"/>
        </w:rPr>
        <w:t>citing TLU M</w:t>
      </w:r>
      <w:r w:rsidR="00CC2010" w:rsidRPr="0029748B">
        <w:rPr>
          <w:sz w:val="26"/>
          <w:szCs w:val="26"/>
        </w:rPr>
        <w:t>.</w:t>
      </w:r>
      <w:r w:rsidR="00D86641" w:rsidRPr="0029748B">
        <w:rPr>
          <w:sz w:val="26"/>
          <w:szCs w:val="26"/>
        </w:rPr>
        <w:t>B</w:t>
      </w:r>
      <w:r w:rsidR="00CC2010" w:rsidRPr="0029748B">
        <w:rPr>
          <w:sz w:val="26"/>
          <w:szCs w:val="26"/>
        </w:rPr>
        <w:t>.</w:t>
      </w:r>
      <w:r w:rsidR="00D86641" w:rsidRPr="0029748B">
        <w:rPr>
          <w:sz w:val="26"/>
          <w:szCs w:val="26"/>
        </w:rPr>
        <w:t xml:space="preserve"> at 5</w:t>
      </w:r>
      <w:r w:rsidR="00B53B43" w:rsidRPr="0029748B">
        <w:rPr>
          <w:sz w:val="26"/>
          <w:szCs w:val="26"/>
        </w:rPr>
        <w:t xml:space="preserve">; </w:t>
      </w:r>
      <w:r w:rsidR="00D86641" w:rsidRPr="0029748B">
        <w:rPr>
          <w:sz w:val="26"/>
          <w:szCs w:val="26"/>
        </w:rPr>
        <w:t>I&amp;E M</w:t>
      </w:r>
      <w:r w:rsidR="00CC2010" w:rsidRPr="0029748B">
        <w:rPr>
          <w:sz w:val="26"/>
          <w:szCs w:val="26"/>
        </w:rPr>
        <w:t>.</w:t>
      </w:r>
      <w:r w:rsidR="00D86641" w:rsidRPr="0029748B">
        <w:rPr>
          <w:sz w:val="26"/>
          <w:szCs w:val="26"/>
        </w:rPr>
        <w:t>B</w:t>
      </w:r>
      <w:r w:rsidR="00CC2010" w:rsidRPr="0029748B">
        <w:rPr>
          <w:sz w:val="26"/>
          <w:szCs w:val="26"/>
        </w:rPr>
        <w:t>.</w:t>
      </w:r>
      <w:r w:rsidR="00D86641" w:rsidRPr="0029748B">
        <w:rPr>
          <w:sz w:val="26"/>
          <w:szCs w:val="26"/>
        </w:rPr>
        <w:t xml:space="preserve"> at 5</w:t>
      </w:r>
      <w:r w:rsidR="00B53B43" w:rsidRPr="0029748B">
        <w:rPr>
          <w:sz w:val="26"/>
          <w:szCs w:val="26"/>
        </w:rPr>
        <w:t>;</w:t>
      </w:r>
      <w:r w:rsidR="00D86641" w:rsidRPr="0029748B">
        <w:rPr>
          <w:sz w:val="26"/>
          <w:szCs w:val="26"/>
        </w:rPr>
        <w:t xml:space="preserve"> OCA M</w:t>
      </w:r>
      <w:r w:rsidR="00CC2010" w:rsidRPr="0029748B">
        <w:rPr>
          <w:sz w:val="26"/>
          <w:szCs w:val="26"/>
        </w:rPr>
        <w:t>.</w:t>
      </w:r>
      <w:r w:rsidR="00D86641" w:rsidRPr="0029748B">
        <w:rPr>
          <w:sz w:val="26"/>
          <w:szCs w:val="26"/>
        </w:rPr>
        <w:t>B</w:t>
      </w:r>
      <w:r w:rsidR="00CC2010" w:rsidRPr="0029748B">
        <w:rPr>
          <w:sz w:val="26"/>
          <w:szCs w:val="26"/>
        </w:rPr>
        <w:t>.</w:t>
      </w:r>
      <w:r w:rsidR="00D86641" w:rsidRPr="0029748B">
        <w:rPr>
          <w:sz w:val="26"/>
          <w:szCs w:val="26"/>
        </w:rPr>
        <w:t xml:space="preserve"> at 7</w:t>
      </w:r>
      <w:r w:rsidR="00B53B43" w:rsidRPr="0029748B">
        <w:rPr>
          <w:sz w:val="26"/>
          <w:szCs w:val="26"/>
        </w:rPr>
        <w:t xml:space="preserve">; </w:t>
      </w:r>
      <w:r w:rsidR="004452B6" w:rsidRPr="0029748B">
        <w:rPr>
          <w:sz w:val="26"/>
          <w:szCs w:val="26"/>
        </w:rPr>
        <w:t>Twin Lakes</w:t>
      </w:r>
      <w:r w:rsidR="00396C6C" w:rsidRPr="0029748B">
        <w:rPr>
          <w:sz w:val="26"/>
          <w:szCs w:val="26"/>
        </w:rPr>
        <w:t>’</w:t>
      </w:r>
      <w:r w:rsidR="004452B6" w:rsidRPr="0029748B">
        <w:rPr>
          <w:sz w:val="26"/>
          <w:szCs w:val="26"/>
        </w:rPr>
        <w:t xml:space="preserve"> Short Form </w:t>
      </w:r>
      <w:r w:rsidR="00A92BE1" w:rsidRPr="0029748B">
        <w:rPr>
          <w:sz w:val="26"/>
          <w:szCs w:val="26"/>
        </w:rPr>
        <w:t>F</w:t>
      </w:r>
      <w:r w:rsidR="004452B6" w:rsidRPr="0029748B">
        <w:rPr>
          <w:sz w:val="26"/>
          <w:szCs w:val="26"/>
        </w:rPr>
        <w:t>iling Exhibit</w:t>
      </w:r>
      <w:r w:rsidR="00E90DE4" w:rsidRPr="0029748B">
        <w:rPr>
          <w:sz w:val="26"/>
          <w:szCs w:val="26"/>
        </w:rPr>
        <w:t> </w:t>
      </w:r>
      <w:r w:rsidR="004452B6" w:rsidRPr="0029748B">
        <w:rPr>
          <w:sz w:val="26"/>
          <w:szCs w:val="26"/>
        </w:rPr>
        <w:t>E</w:t>
      </w:r>
      <w:r w:rsidR="00CC2010" w:rsidRPr="0029748B">
        <w:rPr>
          <w:sz w:val="26"/>
          <w:szCs w:val="26"/>
        </w:rPr>
        <w:t>)</w:t>
      </w:r>
      <w:r w:rsidR="00D86641" w:rsidRPr="0029748B">
        <w:rPr>
          <w:sz w:val="26"/>
          <w:szCs w:val="26"/>
        </w:rPr>
        <w:t>.</w:t>
      </w:r>
    </w:p>
    <w:p w14:paraId="2DD9AB01" w14:textId="77777777" w:rsidR="00D86641" w:rsidRPr="0029748B" w:rsidRDefault="00D86641" w:rsidP="0029748B">
      <w:pPr>
        <w:pStyle w:val="ListParagraph"/>
        <w:widowControl/>
        <w:tabs>
          <w:tab w:val="left" w:pos="1512"/>
        </w:tabs>
        <w:spacing w:line="360" w:lineRule="auto"/>
        <w:ind w:left="1872" w:right="72"/>
        <w:textAlignment w:val="baseline"/>
        <w:rPr>
          <w:b/>
          <w:bCs/>
          <w:color w:val="000000"/>
          <w:sz w:val="26"/>
          <w:szCs w:val="26"/>
        </w:rPr>
      </w:pPr>
    </w:p>
    <w:p w14:paraId="12820B80" w14:textId="77777777" w:rsidR="007128E3" w:rsidRPr="00B26FB1" w:rsidRDefault="007128E3" w:rsidP="00790F24">
      <w:pPr>
        <w:pStyle w:val="ListParagraph"/>
        <w:widowControl/>
        <w:numPr>
          <w:ilvl w:val="0"/>
          <w:numId w:val="22"/>
        </w:numPr>
        <w:spacing w:line="360" w:lineRule="auto"/>
        <w:ind w:left="2160" w:right="72" w:hanging="720"/>
        <w:textAlignment w:val="baseline"/>
        <w:rPr>
          <w:b/>
          <w:bCs/>
          <w:color w:val="000000"/>
          <w:sz w:val="26"/>
          <w:szCs w:val="26"/>
        </w:rPr>
      </w:pPr>
      <w:r w:rsidRPr="00B26FB1">
        <w:rPr>
          <w:b/>
          <w:bCs/>
          <w:color w:val="000000"/>
          <w:sz w:val="26"/>
          <w:szCs w:val="26"/>
        </w:rPr>
        <w:t>Depreciation Reserve</w:t>
      </w:r>
    </w:p>
    <w:p w14:paraId="21FFE194" w14:textId="77777777" w:rsidR="00F00915" w:rsidRPr="0029748B" w:rsidRDefault="00F00915" w:rsidP="0029748B">
      <w:pPr>
        <w:pStyle w:val="ListParagraph"/>
        <w:widowControl/>
        <w:tabs>
          <w:tab w:val="left" w:pos="1512"/>
        </w:tabs>
        <w:spacing w:line="360" w:lineRule="auto"/>
        <w:ind w:left="1872" w:right="72"/>
        <w:textAlignment w:val="baseline"/>
        <w:rPr>
          <w:b/>
          <w:bCs/>
          <w:color w:val="000000"/>
          <w:sz w:val="26"/>
          <w:szCs w:val="26"/>
        </w:rPr>
      </w:pPr>
    </w:p>
    <w:p w14:paraId="707DA774" w14:textId="77777777" w:rsidR="004452B6" w:rsidRDefault="004452B6" w:rsidP="0029748B">
      <w:pPr>
        <w:widowControl/>
        <w:spacing w:line="360" w:lineRule="auto"/>
        <w:ind w:firstLine="1440"/>
        <w:rPr>
          <w:sz w:val="26"/>
          <w:szCs w:val="26"/>
        </w:rPr>
      </w:pPr>
      <w:r w:rsidRPr="0029748B">
        <w:rPr>
          <w:sz w:val="26"/>
          <w:szCs w:val="26"/>
        </w:rPr>
        <w:t xml:space="preserve">With respect to Depreciation Reserve, the ALJ accepted </w:t>
      </w:r>
      <w:r w:rsidR="00F00915" w:rsidRPr="0029748B">
        <w:rPr>
          <w:sz w:val="26"/>
          <w:szCs w:val="26"/>
        </w:rPr>
        <w:t>Twin Lakes</w:t>
      </w:r>
      <w:r w:rsidR="00396C6C" w:rsidRPr="0029748B">
        <w:rPr>
          <w:sz w:val="26"/>
          <w:szCs w:val="26"/>
        </w:rPr>
        <w:t>’</w:t>
      </w:r>
      <w:r w:rsidR="00F00915" w:rsidRPr="0029748B">
        <w:rPr>
          <w:sz w:val="26"/>
          <w:szCs w:val="26"/>
        </w:rPr>
        <w:t xml:space="preserve"> claim for $219,884, based upon no opposition to the claim raised by either I&amp;E or the OCA</w:t>
      </w:r>
      <w:r w:rsidRPr="0029748B">
        <w:rPr>
          <w:sz w:val="26"/>
          <w:szCs w:val="26"/>
        </w:rPr>
        <w:t>.  The ALJ noted that neither I&amp;E nor the OCA had proposed a depreciation reserve adjustment.  Therefore, the ALJ recommend</w:t>
      </w:r>
      <w:r w:rsidR="006E37DF" w:rsidRPr="0029748B">
        <w:rPr>
          <w:sz w:val="26"/>
          <w:szCs w:val="26"/>
        </w:rPr>
        <w:t>ed</w:t>
      </w:r>
      <w:r w:rsidR="00F00915" w:rsidRPr="0029748B">
        <w:rPr>
          <w:sz w:val="26"/>
          <w:szCs w:val="26"/>
        </w:rPr>
        <w:t xml:space="preserve"> adoption of the </w:t>
      </w:r>
      <w:r w:rsidRPr="0029748B">
        <w:rPr>
          <w:sz w:val="26"/>
          <w:szCs w:val="26"/>
        </w:rPr>
        <w:t xml:space="preserve">Company’s claim for depreciation reserve as reasonable and in the public interest. </w:t>
      </w:r>
      <w:r w:rsidR="00396C6C" w:rsidRPr="0029748B">
        <w:rPr>
          <w:sz w:val="26"/>
          <w:szCs w:val="26"/>
        </w:rPr>
        <w:t xml:space="preserve"> </w:t>
      </w:r>
      <w:r w:rsidRPr="0029748B">
        <w:rPr>
          <w:sz w:val="26"/>
          <w:szCs w:val="26"/>
        </w:rPr>
        <w:t xml:space="preserve">RD at 15 </w:t>
      </w:r>
      <w:r w:rsidR="00F72F5A" w:rsidRPr="0029748B">
        <w:rPr>
          <w:sz w:val="26"/>
          <w:szCs w:val="26"/>
        </w:rPr>
        <w:t>(</w:t>
      </w:r>
      <w:r w:rsidRPr="0029748B">
        <w:rPr>
          <w:sz w:val="26"/>
          <w:szCs w:val="26"/>
        </w:rPr>
        <w:t>citing</w:t>
      </w:r>
      <w:r w:rsidR="00B53B43" w:rsidRPr="0029748B">
        <w:rPr>
          <w:sz w:val="26"/>
          <w:szCs w:val="26"/>
        </w:rPr>
        <w:t xml:space="preserve"> </w:t>
      </w:r>
      <w:r w:rsidRPr="0029748B">
        <w:rPr>
          <w:sz w:val="26"/>
          <w:szCs w:val="26"/>
        </w:rPr>
        <w:t>I&amp;E MB at 6</w:t>
      </w:r>
      <w:r w:rsidR="00B53B43" w:rsidRPr="0029748B">
        <w:rPr>
          <w:sz w:val="26"/>
          <w:szCs w:val="26"/>
        </w:rPr>
        <w:t xml:space="preserve">; </w:t>
      </w:r>
      <w:r w:rsidRPr="0029748B">
        <w:rPr>
          <w:sz w:val="26"/>
          <w:szCs w:val="26"/>
        </w:rPr>
        <w:t>OCA MB at 7</w:t>
      </w:r>
      <w:r w:rsidR="00B53B43" w:rsidRPr="0029748B">
        <w:rPr>
          <w:sz w:val="26"/>
          <w:szCs w:val="26"/>
        </w:rPr>
        <w:t xml:space="preserve">; </w:t>
      </w:r>
      <w:r w:rsidRPr="0029748B">
        <w:rPr>
          <w:sz w:val="26"/>
          <w:szCs w:val="26"/>
        </w:rPr>
        <w:t>Twin Lakes</w:t>
      </w:r>
      <w:r w:rsidR="00396C6C" w:rsidRPr="0029748B">
        <w:rPr>
          <w:sz w:val="26"/>
          <w:szCs w:val="26"/>
        </w:rPr>
        <w:t>’</w:t>
      </w:r>
      <w:r w:rsidRPr="0029748B">
        <w:rPr>
          <w:sz w:val="26"/>
          <w:szCs w:val="26"/>
        </w:rPr>
        <w:t xml:space="preserve"> Short Form </w:t>
      </w:r>
      <w:r w:rsidR="00A5317B" w:rsidRPr="0029748B">
        <w:rPr>
          <w:sz w:val="26"/>
          <w:szCs w:val="26"/>
        </w:rPr>
        <w:t>F</w:t>
      </w:r>
      <w:r w:rsidRPr="0029748B">
        <w:rPr>
          <w:sz w:val="26"/>
          <w:szCs w:val="26"/>
        </w:rPr>
        <w:t>iling Exhibit E</w:t>
      </w:r>
      <w:r w:rsidR="00F72F5A" w:rsidRPr="0029748B">
        <w:rPr>
          <w:sz w:val="26"/>
          <w:szCs w:val="26"/>
        </w:rPr>
        <w:t>)</w:t>
      </w:r>
      <w:r w:rsidRPr="0029748B">
        <w:rPr>
          <w:sz w:val="26"/>
          <w:szCs w:val="26"/>
        </w:rPr>
        <w:t>.</w:t>
      </w:r>
    </w:p>
    <w:p w14:paraId="1F8E124A" w14:textId="77777777" w:rsidR="00F03CE5" w:rsidRPr="0029748B" w:rsidRDefault="00F03CE5" w:rsidP="0029748B">
      <w:pPr>
        <w:widowControl/>
        <w:spacing w:line="360" w:lineRule="auto"/>
        <w:ind w:firstLine="1440"/>
        <w:rPr>
          <w:sz w:val="26"/>
          <w:szCs w:val="26"/>
        </w:rPr>
      </w:pPr>
    </w:p>
    <w:p w14:paraId="2860722F" w14:textId="77777777" w:rsidR="00522969" w:rsidRPr="00F03CE5" w:rsidRDefault="007128E3" w:rsidP="00790F24">
      <w:pPr>
        <w:pStyle w:val="ListParagraph"/>
        <w:widowControl/>
        <w:numPr>
          <w:ilvl w:val="0"/>
          <w:numId w:val="22"/>
        </w:numPr>
        <w:spacing w:line="360" w:lineRule="auto"/>
        <w:ind w:left="2160" w:right="72" w:hanging="720"/>
        <w:textAlignment w:val="baseline"/>
        <w:rPr>
          <w:b/>
          <w:bCs/>
          <w:color w:val="000000"/>
          <w:sz w:val="26"/>
          <w:szCs w:val="26"/>
        </w:rPr>
      </w:pPr>
      <w:r w:rsidRPr="00F03CE5">
        <w:rPr>
          <w:b/>
          <w:bCs/>
          <w:color w:val="000000"/>
          <w:sz w:val="26"/>
          <w:szCs w:val="26"/>
        </w:rPr>
        <w:t>Cash Working Capital</w:t>
      </w:r>
    </w:p>
    <w:p w14:paraId="17092BA0" w14:textId="77777777" w:rsidR="00522969" w:rsidRPr="0029748B" w:rsidRDefault="00522969" w:rsidP="0029748B">
      <w:pPr>
        <w:widowControl/>
        <w:tabs>
          <w:tab w:val="left" w:pos="1512"/>
        </w:tabs>
        <w:spacing w:line="360" w:lineRule="auto"/>
        <w:ind w:right="72"/>
        <w:textAlignment w:val="baseline"/>
        <w:rPr>
          <w:b/>
          <w:bCs/>
          <w:color w:val="000000"/>
          <w:sz w:val="26"/>
          <w:szCs w:val="26"/>
        </w:rPr>
      </w:pPr>
    </w:p>
    <w:p w14:paraId="55DB5597" w14:textId="77777777" w:rsidR="00522969" w:rsidRPr="0029748B" w:rsidRDefault="00522969" w:rsidP="0029748B">
      <w:pPr>
        <w:widowControl/>
        <w:spacing w:line="360" w:lineRule="auto"/>
        <w:ind w:firstLine="1440"/>
        <w:rPr>
          <w:color w:val="000000"/>
          <w:sz w:val="26"/>
          <w:szCs w:val="26"/>
        </w:rPr>
      </w:pPr>
      <w:r w:rsidRPr="0029748B">
        <w:rPr>
          <w:color w:val="000000"/>
          <w:sz w:val="26"/>
          <w:szCs w:val="26"/>
        </w:rPr>
        <w:t xml:space="preserve">The ALJ recommended </w:t>
      </w:r>
      <w:r w:rsidR="006B10F6" w:rsidRPr="0029748B">
        <w:rPr>
          <w:color w:val="000000"/>
          <w:sz w:val="26"/>
          <w:szCs w:val="26"/>
        </w:rPr>
        <w:t xml:space="preserve">that </w:t>
      </w:r>
      <w:r w:rsidRPr="0029748B">
        <w:rPr>
          <w:color w:val="000000"/>
          <w:sz w:val="26"/>
          <w:szCs w:val="26"/>
        </w:rPr>
        <w:t>I&amp;E’s proposed calculation of the claim for Cash Working Capital (CWC) of $12,423, or a reduction of $4,752 to the Company’s claim</w:t>
      </w:r>
      <w:r w:rsidR="006B10F6" w:rsidRPr="0029748B">
        <w:rPr>
          <w:color w:val="000000"/>
          <w:sz w:val="26"/>
          <w:szCs w:val="26"/>
        </w:rPr>
        <w:t xml:space="preserve">, </w:t>
      </w:r>
      <w:r w:rsidRPr="0029748B">
        <w:rPr>
          <w:color w:val="000000"/>
          <w:sz w:val="26"/>
          <w:szCs w:val="26"/>
        </w:rPr>
        <w:t>be adopted in this matter.</w:t>
      </w:r>
    </w:p>
    <w:p w14:paraId="5A6F7219" w14:textId="77777777" w:rsidR="00522969" w:rsidRPr="0029748B" w:rsidRDefault="00522969" w:rsidP="0029748B">
      <w:pPr>
        <w:widowControl/>
        <w:spacing w:line="360" w:lineRule="auto"/>
        <w:ind w:firstLine="1440"/>
        <w:rPr>
          <w:color w:val="000000"/>
          <w:sz w:val="26"/>
          <w:szCs w:val="26"/>
        </w:rPr>
      </w:pPr>
    </w:p>
    <w:p w14:paraId="007906AC" w14:textId="77777777" w:rsidR="00522969" w:rsidRPr="0029748B" w:rsidRDefault="00522969" w:rsidP="0029748B">
      <w:pPr>
        <w:widowControl/>
        <w:spacing w:line="360" w:lineRule="auto"/>
        <w:ind w:firstLine="1440"/>
        <w:rPr>
          <w:color w:val="000000"/>
          <w:sz w:val="26"/>
          <w:szCs w:val="26"/>
        </w:rPr>
      </w:pPr>
      <w:r w:rsidRPr="0029748B">
        <w:rPr>
          <w:color w:val="000000"/>
          <w:sz w:val="26"/>
          <w:szCs w:val="26"/>
        </w:rPr>
        <w:t xml:space="preserve">The ALJ noted that the </w:t>
      </w:r>
      <w:r w:rsidR="0023576F" w:rsidRPr="0029748B">
        <w:rPr>
          <w:color w:val="000000"/>
          <w:sz w:val="26"/>
          <w:szCs w:val="26"/>
        </w:rPr>
        <w:t>P</w:t>
      </w:r>
      <w:r w:rsidRPr="0029748B">
        <w:rPr>
          <w:color w:val="000000"/>
          <w:sz w:val="26"/>
          <w:szCs w:val="26"/>
        </w:rPr>
        <w:t xml:space="preserve">arties agreed that the one-eighth method is the proper method to calculate the CWC.  However, the </w:t>
      </w:r>
      <w:r w:rsidR="0023576F" w:rsidRPr="0029748B">
        <w:rPr>
          <w:color w:val="000000"/>
          <w:sz w:val="26"/>
          <w:szCs w:val="26"/>
        </w:rPr>
        <w:t>P</w:t>
      </w:r>
      <w:r w:rsidRPr="0029748B">
        <w:rPr>
          <w:color w:val="000000"/>
          <w:sz w:val="26"/>
          <w:szCs w:val="26"/>
        </w:rPr>
        <w:t xml:space="preserve">arties disagreed on what should be </w:t>
      </w:r>
      <w:r w:rsidRPr="0029748B">
        <w:rPr>
          <w:color w:val="000000"/>
          <w:sz w:val="26"/>
          <w:szCs w:val="26"/>
        </w:rPr>
        <w:lastRenderedPageBreak/>
        <w:t xml:space="preserve">included in the CWC calculation. </w:t>
      </w:r>
      <w:r w:rsidR="006B10F6" w:rsidRPr="0029748B">
        <w:rPr>
          <w:color w:val="000000"/>
          <w:sz w:val="26"/>
          <w:szCs w:val="26"/>
        </w:rPr>
        <w:t xml:space="preserve"> </w:t>
      </w:r>
      <w:r w:rsidRPr="0029748B">
        <w:rPr>
          <w:color w:val="000000"/>
          <w:sz w:val="26"/>
          <w:szCs w:val="26"/>
        </w:rPr>
        <w:t xml:space="preserve">The ALJ excluded non-cash items, such as depreciation and </w:t>
      </w:r>
      <w:proofErr w:type="spellStart"/>
      <w:r w:rsidRPr="0029748B">
        <w:rPr>
          <w:color w:val="000000"/>
          <w:sz w:val="26"/>
          <w:szCs w:val="26"/>
        </w:rPr>
        <w:t>uncollectibles</w:t>
      </w:r>
      <w:proofErr w:type="spellEnd"/>
      <w:r w:rsidR="006B10F6" w:rsidRPr="0029748B">
        <w:rPr>
          <w:color w:val="000000"/>
          <w:sz w:val="26"/>
          <w:szCs w:val="26"/>
        </w:rPr>
        <w:t xml:space="preserve"> claimed in the amount of $4,752,</w:t>
      </w:r>
      <w:r w:rsidRPr="0029748B">
        <w:rPr>
          <w:color w:val="000000"/>
          <w:sz w:val="26"/>
          <w:szCs w:val="26"/>
        </w:rPr>
        <w:t xml:space="preserve"> as not appropriate in the determination of cash working capital requirements. </w:t>
      </w:r>
      <w:r w:rsidR="00A5317B" w:rsidRPr="0029748B">
        <w:rPr>
          <w:color w:val="000000"/>
          <w:sz w:val="26"/>
          <w:szCs w:val="26"/>
        </w:rPr>
        <w:t xml:space="preserve"> </w:t>
      </w:r>
      <w:r w:rsidR="00CC2010" w:rsidRPr="0029748B">
        <w:rPr>
          <w:color w:val="000000"/>
          <w:sz w:val="26"/>
          <w:szCs w:val="26"/>
        </w:rPr>
        <w:t xml:space="preserve">R.D. at 25 (citing </w:t>
      </w:r>
      <w:r w:rsidRPr="0029748B">
        <w:rPr>
          <w:i/>
          <w:color w:val="000000"/>
          <w:sz w:val="26"/>
          <w:szCs w:val="26"/>
        </w:rPr>
        <w:t>Pa. Pub. Util. Comm’n. v. Philadelphia Suburban Water Co.</w:t>
      </w:r>
      <w:r w:rsidRPr="00A6023F">
        <w:rPr>
          <w:iCs/>
          <w:color w:val="000000"/>
          <w:sz w:val="26"/>
          <w:szCs w:val="26"/>
        </w:rPr>
        <w:t xml:space="preserve">, </w:t>
      </w:r>
      <w:r w:rsidRPr="0029748B">
        <w:rPr>
          <w:color w:val="000000"/>
          <w:sz w:val="26"/>
          <w:szCs w:val="26"/>
        </w:rPr>
        <w:t>58 Pa. P.U.C. 668, 674 (1984)</w:t>
      </w:r>
      <w:r w:rsidR="00CC2010" w:rsidRPr="0029748B">
        <w:rPr>
          <w:color w:val="000000"/>
          <w:sz w:val="26"/>
          <w:szCs w:val="26"/>
        </w:rPr>
        <w:t>)</w:t>
      </w:r>
      <w:r w:rsidR="006B10F6" w:rsidRPr="0029748B">
        <w:rPr>
          <w:color w:val="000000"/>
          <w:sz w:val="26"/>
          <w:szCs w:val="26"/>
        </w:rPr>
        <w:t xml:space="preserve">.  On that basis, the ALJ </w:t>
      </w:r>
      <w:r w:rsidR="006E37DF" w:rsidRPr="0029748B">
        <w:rPr>
          <w:color w:val="000000"/>
          <w:sz w:val="26"/>
          <w:szCs w:val="26"/>
        </w:rPr>
        <w:t xml:space="preserve">recommended </w:t>
      </w:r>
      <w:r w:rsidR="006B10F6" w:rsidRPr="0029748B">
        <w:rPr>
          <w:color w:val="000000"/>
          <w:sz w:val="26"/>
          <w:szCs w:val="26"/>
        </w:rPr>
        <w:t>adopt</w:t>
      </w:r>
      <w:r w:rsidR="006E37DF" w:rsidRPr="0029748B">
        <w:rPr>
          <w:color w:val="000000"/>
          <w:sz w:val="26"/>
          <w:szCs w:val="26"/>
        </w:rPr>
        <w:t xml:space="preserve">ion of </w:t>
      </w:r>
      <w:r w:rsidR="006B10F6" w:rsidRPr="0029748B">
        <w:rPr>
          <w:color w:val="000000"/>
          <w:sz w:val="26"/>
          <w:szCs w:val="26"/>
        </w:rPr>
        <w:t xml:space="preserve">I&amp;E’s calculation of CWC which reduced Twin Lakes’ claimed CWC in the amount of $17,175, by $4,752, for a total claim of CWC in the amount of $12, 423, as reasonable and in the public interest. </w:t>
      </w:r>
      <w:r w:rsidR="00A5317B" w:rsidRPr="0029748B">
        <w:rPr>
          <w:color w:val="000000"/>
          <w:sz w:val="26"/>
          <w:szCs w:val="26"/>
        </w:rPr>
        <w:t xml:space="preserve"> </w:t>
      </w:r>
      <w:r w:rsidR="006B10F6" w:rsidRPr="0029748B">
        <w:rPr>
          <w:color w:val="000000"/>
          <w:sz w:val="26"/>
          <w:szCs w:val="26"/>
        </w:rPr>
        <w:t>R.D. at 25</w:t>
      </w:r>
      <w:r w:rsidR="00CC2010" w:rsidRPr="0029748B">
        <w:rPr>
          <w:color w:val="000000"/>
          <w:sz w:val="26"/>
          <w:szCs w:val="26"/>
        </w:rPr>
        <w:t xml:space="preserve"> (</w:t>
      </w:r>
      <w:r w:rsidR="006B10F6" w:rsidRPr="0029748B">
        <w:rPr>
          <w:color w:val="000000"/>
          <w:sz w:val="26"/>
          <w:szCs w:val="26"/>
        </w:rPr>
        <w:t>citing I&amp;E MB</w:t>
      </w:r>
      <w:r w:rsidR="00B53B43" w:rsidRPr="0029748B">
        <w:rPr>
          <w:color w:val="000000"/>
          <w:sz w:val="26"/>
          <w:szCs w:val="26"/>
        </w:rPr>
        <w:t xml:space="preserve"> at 40 and OCA MB at 9</w:t>
      </w:r>
      <w:r w:rsidR="00A5317B" w:rsidRPr="0029748B">
        <w:rPr>
          <w:color w:val="000000"/>
          <w:sz w:val="26"/>
          <w:szCs w:val="26"/>
        </w:rPr>
        <w:t>)</w:t>
      </w:r>
      <w:r w:rsidR="00B53B43" w:rsidRPr="0029748B">
        <w:rPr>
          <w:color w:val="000000"/>
          <w:sz w:val="26"/>
          <w:szCs w:val="26"/>
        </w:rPr>
        <w:t xml:space="preserve">. </w:t>
      </w:r>
    </w:p>
    <w:p w14:paraId="3E01A2F1" w14:textId="77777777" w:rsidR="00D3034C" w:rsidRPr="0029748B" w:rsidRDefault="00D3034C" w:rsidP="0029748B">
      <w:pPr>
        <w:widowControl/>
        <w:tabs>
          <w:tab w:val="left" w:pos="1512"/>
        </w:tabs>
        <w:spacing w:line="360" w:lineRule="auto"/>
        <w:ind w:left="792" w:right="72"/>
        <w:contextualSpacing/>
        <w:textAlignment w:val="baseline"/>
        <w:rPr>
          <w:color w:val="000000"/>
          <w:sz w:val="26"/>
          <w:szCs w:val="26"/>
        </w:rPr>
      </w:pPr>
    </w:p>
    <w:p w14:paraId="5FD4C2B4" w14:textId="77777777" w:rsidR="00D3034C" w:rsidRPr="0029748B" w:rsidRDefault="007128E3" w:rsidP="0029748B">
      <w:pPr>
        <w:pStyle w:val="ListParagraph"/>
        <w:widowControl/>
        <w:numPr>
          <w:ilvl w:val="0"/>
          <w:numId w:val="3"/>
        </w:numPr>
        <w:ind w:left="720" w:hanging="720"/>
        <w:textAlignment w:val="baseline"/>
        <w:outlineLvl w:val="1"/>
        <w:rPr>
          <w:b/>
          <w:color w:val="000000"/>
          <w:sz w:val="26"/>
          <w:szCs w:val="26"/>
        </w:rPr>
      </w:pPr>
      <w:bookmarkStart w:id="16" w:name="_Toc35324688"/>
      <w:bookmarkStart w:id="17" w:name="_Toc35328842"/>
      <w:r w:rsidRPr="0029748B">
        <w:rPr>
          <w:b/>
          <w:color w:val="000000"/>
          <w:sz w:val="26"/>
          <w:szCs w:val="26"/>
        </w:rPr>
        <w:t>Expenses</w:t>
      </w:r>
      <w:r w:rsidR="00046BA0" w:rsidRPr="0029748B">
        <w:rPr>
          <w:b/>
          <w:color w:val="000000"/>
          <w:sz w:val="26"/>
          <w:szCs w:val="26"/>
        </w:rPr>
        <w:t>: 1) Rate Case Expense; 2) Maintenance Supplies; 3) Purchased Power and Chemical Expenses; 4) Bad Debt Expense</w:t>
      </w:r>
      <w:bookmarkEnd w:id="16"/>
      <w:bookmarkEnd w:id="17"/>
    </w:p>
    <w:p w14:paraId="003E5FD1" w14:textId="77777777" w:rsidR="00D3034C" w:rsidRPr="0029748B" w:rsidRDefault="00D3034C" w:rsidP="00790F24">
      <w:pPr>
        <w:widowControl/>
        <w:tabs>
          <w:tab w:val="left" w:pos="1512"/>
        </w:tabs>
        <w:spacing w:line="480" w:lineRule="auto"/>
        <w:ind w:left="1512" w:right="72"/>
        <w:contextualSpacing/>
        <w:textAlignment w:val="baseline"/>
        <w:rPr>
          <w:color w:val="000000"/>
          <w:sz w:val="26"/>
          <w:szCs w:val="26"/>
        </w:rPr>
      </w:pPr>
    </w:p>
    <w:p w14:paraId="73EE8208" w14:textId="77777777" w:rsidR="00046BA0" w:rsidRPr="0029748B" w:rsidRDefault="00046BA0" w:rsidP="0029748B">
      <w:pPr>
        <w:pStyle w:val="ListParagraph"/>
        <w:widowControl/>
        <w:numPr>
          <w:ilvl w:val="0"/>
          <w:numId w:val="10"/>
        </w:numPr>
        <w:spacing w:line="360" w:lineRule="auto"/>
        <w:ind w:left="1440" w:right="72" w:hanging="720"/>
        <w:textAlignment w:val="baseline"/>
        <w:rPr>
          <w:b/>
          <w:bCs/>
          <w:color w:val="000000"/>
          <w:sz w:val="26"/>
          <w:szCs w:val="26"/>
        </w:rPr>
      </w:pPr>
      <w:r w:rsidRPr="0029748B">
        <w:rPr>
          <w:b/>
          <w:bCs/>
          <w:color w:val="000000"/>
          <w:sz w:val="26"/>
          <w:szCs w:val="26"/>
        </w:rPr>
        <w:t>Rate Case Expense</w:t>
      </w:r>
    </w:p>
    <w:p w14:paraId="1FFF5416" w14:textId="77777777" w:rsidR="006B74DB" w:rsidRPr="0029748B" w:rsidRDefault="006B74DB" w:rsidP="0029748B">
      <w:pPr>
        <w:pStyle w:val="ListParagraph"/>
        <w:widowControl/>
        <w:spacing w:line="360" w:lineRule="auto"/>
        <w:ind w:left="1440" w:right="72" w:hanging="720"/>
        <w:textAlignment w:val="baseline"/>
        <w:rPr>
          <w:color w:val="000000"/>
          <w:sz w:val="26"/>
          <w:szCs w:val="26"/>
        </w:rPr>
      </w:pPr>
    </w:p>
    <w:p w14:paraId="21499680" w14:textId="77777777" w:rsidR="006B74DB" w:rsidRPr="0029748B" w:rsidRDefault="006B74DB" w:rsidP="0029748B">
      <w:pPr>
        <w:pStyle w:val="ListParagraph"/>
        <w:widowControl/>
        <w:spacing w:line="360" w:lineRule="auto"/>
        <w:ind w:left="0" w:firstLine="1440"/>
        <w:textAlignment w:val="baseline"/>
        <w:rPr>
          <w:color w:val="000000"/>
          <w:sz w:val="26"/>
          <w:szCs w:val="26"/>
        </w:rPr>
      </w:pPr>
      <w:r w:rsidRPr="0029748B">
        <w:rPr>
          <w:color w:val="000000"/>
          <w:sz w:val="26"/>
          <w:szCs w:val="26"/>
        </w:rPr>
        <w:t xml:space="preserve">The ALJ recommended that the Company’s reasonable rate case expense in the present proceeding was $26,462, to be normalized over a period of 39 months, reflecting a reduction of $30,871, from the Company’s claimed </w:t>
      </w:r>
      <w:r w:rsidR="00F24A47" w:rsidRPr="0029748B">
        <w:rPr>
          <w:color w:val="000000"/>
          <w:sz w:val="26"/>
          <w:szCs w:val="26"/>
        </w:rPr>
        <w:t xml:space="preserve">annual </w:t>
      </w:r>
      <w:r w:rsidRPr="0029748B">
        <w:rPr>
          <w:color w:val="000000"/>
          <w:sz w:val="26"/>
          <w:szCs w:val="26"/>
        </w:rPr>
        <w:t xml:space="preserve">rate case expense </w:t>
      </w:r>
      <w:r w:rsidR="00F24A47" w:rsidRPr="0029748B">
        <w:rPr>
          <w:color w:val="000000"/>
          <w:sz w:val="26"/>
          <w:szCs w:val="26"/>
        </w:rPr>
        <w:t xml:space="preserve">calculated to be $57,333, based on </w:t>
      </w:r>
      <w:r w:rsidRPr="0029748B">
        <w:rPr>
          <w:color w:val="000000"/>
          <w:sz w:val="26"/>
          <w:szCs w:val="26"/>
        </w:rPr>
        <w:t xml:space="preserve">estimated </w:t>
      </w:r>
      <w:r w:rsidR="00F24A47" w:rsidRPr="0029748B">
        <w:rPr>
          <w:color w:val="000000"/>
          <w:sz w:val="26"/>
          <w:szCs w:val="26"/>
        </w:rPr>
        <w:t xml:space="preserve">costs of </w:t>
      </w:r>
      <w:r w:rsidRPr="0029748B">
        <w:rPr>
          <w:color w:val="000000"/>
          <w:sz w:val="26"/>
          <w:szCs w:val="26"/>
        </w:rPr>
        <w:t>$86,000</w:t>
      </w:r>
      <w:r w:rsidR="00F24A47" w:rsidRPr="0029748B">
        <w:rPr>
          <w:color w:val="000000"/>
          <w:sz w:val="26"/>
          <w:szCs w:val="26"/>
        </w:rPr>
        <w:t xml:space="preserve"> amortized over 18 months. </w:t>
      </w:r>
    </w:p>
    <w:p w14:paraId="1F1F836B" w14:textId="77777777" w:rsidR="00F24A47" w:rsidRPr="0029748B" w:rsidRDefault="00F24A47" w:rsidP="0029748B">
      <w:pPr>
        <w:pStyle w:val="ListParagraph"/>
        <w:widowControl/>
        <w:spacing w:line="360" w:lineRule="auto"/>
        <w:ind w:left="0" w:firstLine="1440"/>
        <w:textAlignment w:val="baseline"/>
        <w:rPr>
          <w:color w:val="000000"/>
          <w:sz w:val="26"/>
          <w:szCs w:val="26"/>
        </w:rPr>
      </w:pPr>
    </w:p>
    <w:p w14:paraId="17016E53" w14:textId="77777777" w:rsidR="006E37DF" w:rsidRPr="0029748B" w:rsidRDefault="006B74DB" w:rsidP="0029748B">
      <w:pPr>
        <w:pStyle w:val="ListParagraph"/>
        <w:widowControl/>
        <w:spacing w:line="360" w:lineRule="auto"/>
        <w:ind w:left="0" w:firstLine="1440"/>
        <w:textAlignment w:val="baseline"/>
        <w:rPr>
          <w:color w:val="000000"/>
          <w:sz w:val="26"/>
          <w:szCs w:val="26"/>
        </w:rPr>
      </w:pPr>
      <w:r w:rsidRPr="0029748B">
        <w:rPr>
          <w:color w:val="000000"/>
          <w:sz w:val="26"/>
          <w:szCs w:val="26"/>
        </w:rPr>
        <w:t xml:space="preserve">The ALJ rejected the Company’s claimed rate case expense amount, as well as the Company’s proposed </w:t>
      </w:r>
      <w:r w:rsidR="00F24A47" w:rsidRPr="0029748B">
        <w:rPr>
          <w:color w:val="000000"/>
          <w:sz w:val="26"/>
          <w:szCs w:val="26"/>
        </w:rPr>
        <w:t>amortization of 18 months</w:t>
      </w:r>
      <w:r w:rsidRPr="0029748B">
        <w:rPr>
          <w:color w:val="000000"/>
          <w:sz w:val="26"/>
          <w:szCs w:val="26"/>
        </w:rPr>
        <w:t xml:space="preserve">.  In considering the </w:t>
      </w:r>
      <w:r w:rsidR="00F8030C" w:rsidRPr="0029748B">
        <w:rPr>
          <w:color w:val="000000"/>
          <w:sz w:val="26"/>
          <w:szCs w:val="26"/>
        </w:rPr>
        <w:t xml:space="preserve">OCA’s and I&amp;E’s positions on the issue, the ALJ applied the rule that normalization, as opposed to amortization, is the appropriate means by which to allow recovery of the rate case expense, because normalization specifically addresses the prospective recovery of an ongoing expense that recurs sporadically.  The ALJ also considered that the recovery of the rate case expense through normalization is not exact.  </w:t>
      </w:r>
    </w:p>
    <w:p w14:paraId="2CF22073" w14:textId="77777777" w:rsidR="006E37DF" w:rsidRPr="0029748B" w:rsidRDefault="006E37DF" w:rsidP="0029748B">
      <w:pPr>
        <w:pStyle w:val="ListParagraph"/>
        <w:widowControl/>
        <w:spacing w:line="360" w:lineRule="auto"/>
        <w:ind w:left="0" w:firstLine="1440"/>
        <w:textAlignment w:val="baseline"/>
        <w:rPr>
          <w:color w:val="000000"/>
          <w:sz w:val="26"/>
          <w:szCs w:val="26"/>
        </w:rPr>
      </w:pPr>
    </w:p>
    <w:p w14:paraId="5FD39B64" w14:textId="77777777" w:rsidR="00F24A47" w:rsidRPr="0029748B" w:rsidRDefault="00F8030C" w:rsidP="0029748B">
      <w:pPr>
        <w:pStyle w:val="ListParagraph"/>
        <w:widowControl/>
        <w:spacing w:line="360" w:lineRule="auto"/>
        <w:ind w:left="0" w:firstLine="1440"/>
        <w:textAlignment w:val="baseline"/>
        <w:rPr>
          <w:color w:val="000000"/>
          <w:sz w:val="26"/>
          <w:szCs w:val="26"/>
        </w:rPr>
      </w:pPr>
      <w:r w:rsidRPr="0029748B">
        <w:rPr>
          <w:color w:val="000000"/>
          <w:sz w:val="26"/>
          <w:szCs w:val="26"/>
        </w:rPr>
        <w:t xml:space="preserve">Therefore, </w:t>
      </w:r>
      <w:r w:rsidR="006E37DF" w:rsidRPr="0029748B">
        <w:rPr>
          <w:color w:val="000000"/>
          <w:sz w:val="26"/>
          <w:szCs w:val="26"/>
        </w:rPr>
        <w:t xml:space="preserve">the ALJ reasoned that </w:t>
      </w:r>
      <w:r w:rsidRPr="0029748B">
        <w:rPr>
          <w:color w:val="000000"/>
          <w:sz w:val="26"/>
          <w:szCs w:val="26"/>
        </w:rPr>
        <w:t>the normalization of the expense should be for a fixed period which is neither too short (</w:t>
      </w:r>
      <w:r w:rsidR="00323609" w:rsidRPr="0029748B">
        <w:rPr>
          <w:i/>
          <w:iCs/>
          <w:color w:val="000000"/>
          <w:sz w:val="26"/>
          <w:szCs w:val="26"/>
        </w:rPr>
        <w:t>i.e.</w:t>
      </w:r>
      <w:r w:rsidRPr="0029748B">
        <w:rPr>
          <w:color w:val="000000"/>
          <w:sz w:val="26"/>
          <w:szCs w:val="26"/>
        </w:rPr>
        <w:t xml:space="preserve">, to preclude the Company from over </w:t>
      </w:r>
      <w:r w:rsidRPr="0029748B">
        <w:rPr>
          <w:color w:val="000000"/>
          <w:sz w:val="26"/>
          <w:szCs w:val="26"/>
        </w:rPr>
        <w:lastRenderedPageBreak/>
        <w:t>recovery) nor too long (</w:t>
      </w:r>
      <w:r w:rsidR="00323609" w:rsidRPr="0029748B">
        <w:rPr>
          <w:i/>
          <w:iCs/>
          <w:color w:val="000000"/>
          <w:sz w:val="26"/>
          <w:szCs w:val="26"/>
        </w:rPr>
        <w:t>i.e.</w:t>
      </w:r>
      <w:r w:rsidRPr="0029748B">
        <w:rPr>
          <w:color w:val="000000"/>
          <w:sz w:val="26"/>
          <w:szCs w:val="26"/>
        </w:rPr>
        <w:t xml:space="preserve">, to ensure the Company does not under recover).  </w:t>
      </w:r>
      <w:r w:rsidR="00F24A47" w:rsidRPr="0029748B">
        <w:rPr>
          <w:color w:val="000000"/>
          <w:sz w:val="26"/>
          <w:szCs w:val="26"/>
        </w:rPr>
        <w:t xml:space="preserve">On that basis, the ALJ determined </w:t>
      </w:r>
      <w:r w:rsidR="00701C1B" w:rsidRPr="0029748B">
        <w:rPr>
          <w:color w:val="000000"/>
          <w:sz w:val="26"/>
          <w:szCs w:val="26"/>
        </w:rPr>
        <w:t>the</w:t>
      </w:r>
      <w:r w:rsidR="00F24A47" w:rsidRPr="0029748B">
        <w:rPr>
          <w:color w:val="000000"/>
          <w:sz w:val="26"/>
          <w:szCs w:val="26"/>
        </w:rPr>
        <w:t xml:space="preserve"> OCA’s proposed normalization period of 48 months as too long, </w:t>
      </w:r>
      <w:r w:rsidR="00701C1B" w:rsidRPr="0029748B">
        <w:rPr>
          <w:color w:val="000000"/>
          <w:sz w:val="26"/>
          <w:szCs w:val="26"/>
        </w:rPr>
        <w:t>and</w:t>
      </w:r>
      <w:r w:rsidR="00F24A47" w:rsidRPr="0029748B">
        <w:rPr>
          <w:color w:val="000000"/>
          <w:sz w:val="26"/>
          <w:szCs w:val="26"/>
        </w:rPr>
        <w:t xml:space="preserve"> unreasonably increasing the risk of under recovery. </w:t>
      </w:r>
      <w:r w:rsidR="00F70866" w:rsidRPr="0029748B">
        <w:rPr>
          <w:color w:val="000000"/>
          <w:sz w:val="26"/>
          <w:szCs w:val="26"/>
        </w:rPr>
        <w:t xml:space="preserve"> </w:t>
      </w:r>
      <w:r w:rsidR="00F24A47" w:rsidRPr="0029748B">
        <w:rPr>
          <w:color w:val="000000"/>
          <w:sz w:val="26"/>
          <w:szCs w:val="26"/>
        </w:rPr>
        <w:t>Conversely, the Company’s proposed recover</w:t>
      </w:r>
      <w:r w:rsidR="001A1F3F" w:rsidRPr="0029748B">
        <w:rPr>
          <w:color w:val="000000"/>
          <w:sz w:val="26"/>
          <w:szCs w:val="26"/>
        </w:rPr>
        <w:t>y</w:t>
      </w:r>
      <w:r w:rsidR="00F24A47" w:rsidRPr="0029748B">
        <w:rPr>
          <w:color w:val="000000"/>
          <w:sz w:val="26"/>
          <w:szCs w:val="26"/>
        </w:rPr>
        <w:t xml:space="preserve"> period of 18 months was too short, as it would result in an over</w:t>
      </w:r>
      <w:r w:rsidR="00A415D5" w:rsidRPr="0029748B">
        <w:rPr>
          <w:color w:val="000000"/>
          <w:sz w:val="26"/>
          <w:szCs w:val="26"/>
        </w:rPr>
        <w:t xml:space="preserve"> </w:t>
      </w:r>
      <w:r w:rsidR="00F24A47" w:rsidRPr="0029748B">
        <w:rPr>
          <w:color w:val="000000"/>
          <w:sz w:val="26"/>
          <w:szCs w:val="26"/>
        </w:rPr>
        <w:t xml:space="preserve">recovery. </w:t>
      </w:r>
      <w:r w:rsidR="001A1F3F" w:rsidRPr="0029748B">
        <w:rPr>
          <w:color w:val="000000"/>
          <w:sz w:val="26"/>
          <w:szCs w:val="26"/>
        </w:rPr>
        <w:t xml:space="preserve"> </w:t>
      </w:r>
      <w:r w:rsidR="00F24A47" w:rsidRPr="0029748B">
        <w:rPr>
          <w:color w:val="000000"/>
          <w:sz w:val="26"/>
          <w:szCs w:val="26"/>
        </w:rPr>
        <w:t xml:space="preserve">R.D. 27-31. </w:t>
      </w:r>
    </w:p>
    <w:p w14:paraId="53FD2D55" w14:textId="77777777" w:rsidR="00F8030C" w:rsidRPr="0029748B" w:rsidRDefault="00F24A47" w:rsidP="0029748B">
      <w:pPr>
        <w:pStyle w:val="ListParagraph"/>
        <w:widowControl/>
        <w:spacing w:line="360" w:lineRule="auto"/>
        <w:ind w:left="0" w:firstLine="1440"/>
        <w:textAlignment w:val="baseline"/>
        <w:rPr>
          <w:color w:val="000000"/>
          <w:sz w:val="26"/>
          <w:szCs w:val="26"/>
        </w:rPr>
      </w:pPr>
      <w:r w:rsidRPr="0029748B">
        <w:rPr>
          <w:color w:val="000000"/>
          <w:sz w:val="26"/>
          <w:szCs w:val="26"/>
        </w:rPr>
        <w:t xml:space="preserve"> </w:t>
      </w:r>
    </w:p>
    <w:p w14:paraId="32C10633" w14:textId="77777777" w:rsidR="00046BA0" w:rsidRPr="0029748B" w:rsidRDefault="00F8030C" w:rsidP="0029748B">
      <w:pPr>
        <w:pStyle w:val="ListParagraph"/>
        <w:widowControl/>
        <w:spacing w:line="360" w:lineRule="auto"/>
        <w:ind w:left="0" w:firstLine="1440"/>
        <w:textAlignment w:val="baseline"/>
        <w:rPr>
          <w:color w:val="000000"/>
          <w:sz w:val="26"/>
          <w:szCs w:val="26"/>
        </w:rPr>
      </w:pPr>
      <w:r w:rsidRPr="0029748B">
        <w:rPr>
          <w:color w:val="000000"/>
          <w:sz w:val="26"/>
          <w:szCs w:val="26"/>
        </w:rPr>
        <w:t xml:space="preserve">The ALJ </w:t>
      </w:r>
      <w:r w:rsidR="00F24A47" w:rsidRPr="0029748B">
        <w:rPr>
          <w:color w:val="000000"/>
          <w:sz w:val="26"/>
          <w:szCs w:val="26"/>
        </w:rPr>
        <w:t>recommended that</w:t>
      </w:r>
      <w:r w:rsidRPr="0029748B">
        <w:rPr>
          <w:color w:val="000000"/>
          <w:sz w:val="26"/>
          <w:szCs w:val="26"/>
        </w:rPr>
        <w:t>, in th</w:t>
      </w:r>
      <w:r w:rsidR="005B05F0" w:rsidRPr="0029748B">
        <w:rPr>
          <w:color w:val="000000"/>
          <w:sz w:val="26"/>
          <w:szCs w:val="26"/>
        </w:rPr>
        <w:t>is</w:t>
      </w:r>
      <w:r w:rsidRPr="0029748B">
        <w:rPr>
          <w:color w:val="000000"/>
          <w:sz w:val="26"/>
          <w:szCs w:val="26"/>
        </w:rPr>
        <w:t xml:space="preserve"> circumstance, I&amp;E’s calculation of the rate case expense, normalized over a period of 39 months, </w:t>
      </w:r>
      <w:r w:rsidR="00EC20B2" w:rsidRPr="0029748B">
        <w:rPr>
          <w:color w:val="000000"/>
          <w:sz w:val="26"/>
          <w:szCs w:val="26"/>
        </w:rPr>
        <w:t xml:space="preserve">which results in a rate case expense of $26,462, thereby reducing the Company’s claim by $30,871, </w:t>
      </w:r>
      <w:r w:rsidRPr="0029748B">
        <w:rPr>
          <w:color w:val="000000"/>
          <w:sz w:val="26"/>
          <w:szCs w:val="26"/>
        </w:rPr>
        <w:t>was the most reasonable calcu</w:t>
      </w:r>
      <w:r w:rsidR="00F24A47" w:rsidRPr="0029748B">
        <w:rPr>
          <w:color w:val="000000"/>
          <w:sz w:val="26"/>
          <w:szCs w:val="26"/>
        </w:rPr>
        <w:t xml:space="preserve">lation of the allowable rate case expense, </w:t>
      </w:r>
      <w:r w:rsidR="00701C1B" w:rsidRPr="0029748B">
        <w:rPr>
          <w:color w:val="000000"/>
          <w:sz w:val="26"/>
          <w:szCs w:val="26"/>
        </w:rPr>
        <w:t>and is</w:t>
      </w:r>
      <w:r w:rsidR="00CD165A" w:rsidRPr="0029748B">
        <w:rPr>
          <w:color w:val="000000"/>
          <w:sz w:val="26"/>
          <w:szCs w:val="26"/>
        </w:rPr>
        <w:t xml:space="preserve">  </w:t>
      </w:r>
      <w:r w:rsidR="00F24A47" w:rsidRPr="0029748B">
        <w:rPr>
          <w:color w:val="000000"/>
          <w:sz w:val="26"/>
          <w:szCs w:val="26"/>
        </w:rPr>
        <w:t>in the public interest.</w:t>
      </w:r>
      <w:r w:rsidR="000B119E" w:rsidRPr="0029748B">
        <w:rPr>
          <w:color w:val="000000"/>
          <w:sz w:val="26"/>
          <w:szCs w:val="26"/>
        </w:rPr>
        <w:t xml:space="preserve"> </w:t>
      </w:r>
      <w:r w:rsidR="00F24A47" w:rsidRPr="0029748B">
        <w:rPr>
          <w:color w:val="000000"/>
          <w:sz w:val="26"/>
          <w:szCs w:val="26"/>
        </w:rPr>
        <w:t xml:space="preserve"> R.D. at </w:t>
      </w:r>
      <w:r w:rsidR="00EC20B2" w:rsidRPr="0029748B">
        <w:rPr>
          <w:color w:val="000000"/>
          <w:sz w:val="26"/>
          <w:szCs w:val="26"/>
        </w:rPr>
        <w:t>31.</w:t>
      </w:r>
      <w:r w:rsidR="006B74DB" w:rsidRPr="0029748B">
        <w:rPr>
          <w:color w:val="000000"/>
          <w:sz w:val="26"/>
          <w:szCs w:val="26"/>
        </w:rPr>
        <w:t xml:space="preserve"> </w:t>
      </w:r>
    </w:p>
    <w:p w14:paraId="321790B8" w14:textId="77777777" w:rsidR="006B74DB" w:rsidRPr="0029748B" w:rsidRDefault="006B74DB" w:rsidP="0029748B">
      <w:pPr>
        <w:pStyle w:val="ListParagraph"/>
        <w:widowControl/>
        <w:spacing w:line="360" w:lineRule="auto"/>
        <w:ind w:left="1440" w:right="72" w:hanging="720"/>
        <w:textAlignment w:val="baseline"/>
        <w:rPr>
          <w:color w:val="000000"/>
          <w:sz w:val="26"/>
          <w:szCs w:val="26"/>
        </w:rPr>
      </w:pPr>
    </w:p>
    <w:p w14:paraId="4D17B38B" w14:textId="77777777" w:rsidR="00046BA0" w:rsidRPr="0029748B" w:rsidRDefault="00046BA0" w:rsidP="0029748B">
      <w:pPr>
        <w:pStyle w:val="ListParagraph"/>
        <w:widowControl/>
        <w:numPr>
          <w:ilvl w:val="0"/>
          <w:numId w:val="10"/>
        </w:numPr>
        <w:spacing w:line="360" w:lineRule="auto"/>
        <w:ind w:left="1440" w:right="72" w:hanging="720"/>
        <w:textAlignment w:val="baseline"/>
        <w:rPr>
          <w:b/>
          <w:bCs/>
          <w:color w:val="000000"/>
          <w:sz w:val="26"/>
          <w:szCs w:val="26"/>
        </w:rPr>
      </w:pPr>
      <w:r w:rsidRPr="0029748B">
        <w:rPr>
          <w:b/>
          <w:bCs/>
          <w:color w:val="000000"/>
          <w:sz w:val="26"/>
          <w:szCs w:val="26"/>
        </w:rPr>
        <w:t>Maintenance Supplies</w:t>
      </w:r>
    </w:p>
    <w:p w14:paraId="214FA707" w14:textId="77777777" w:rsidR="00046BA0" w:rsidRPr="0029748B" w:rsidRDefault="00046BA0" w:rsidP="0029748B">
      <w:pPr>
        <w:pStyle w:val="ListParagraph"/>
        <w:widowControl/>
        <w:spacing w:line="360" w:lineRule="auto"/>
        <w:ind w:left="1440" w:right="72" w:hanging="720"/>
        <w:textAlignment w:val="baseline"/>
        <w:rPr>
          <w:color w:val="000000"/>
          <w:sz w:val="26"/>
          <w:szCs w:val="26"/>
        </w:rPr>
      </w:pPr>
    </w:p>
    <w:p w14:paraId="07C76E9E" w14:textId="77777777" w:rsidR="00DC2C5E" w:rsidRPr="0029748B" w:rsidRDefault="00EC20B2" w:rsidP="0029748B">
      <w:pPr>
        <w:pStyle w:val="ListParagraph"/>
        <w:widowControl/>
        <w:spacing w:line="360" w:lineRule="auto"/>
        <w:ind w:left="0" w:firstLine="1440"/>
        <w:textAlignment w:val="baseline"/>
        <w:rPr>
          <w:color w:val="000000"/>
          <w:sz w:val="26"/>
          <w:szCs w:val="26"/>
        </w:rPr>
      </w:pPr>
      <w:r w:rsidRPr="0029748B">
        <w:rPr>
          <w:color w:val="000000"/>
          <w:sz w:val="26"/>
          <w:szCs w:val="26"/>
        </w:rPr>
        <w:t>The ALJ recommended an allowance of $4,499 in the Company’s claimed maintenance supplies</w:t>
      </w:r>
      <w:r w:rsidR="00DC2C5E" w:rsidRPr="0029748B">
        <w:rPr>
          <w:color w:val="000000"/>
          <w:sz w:val="26"/>
          <w:szCs w:val="26"/>
        </w:rPr>
        <w:t>, reducing the Company’s claim of $9,509 by $5,010.</w:t>
      </w:r>
    </w:p>
    <w:p w14:paraId="08EB6A49" w14:textId="77777777" w:rsidR="00DC2C5E" w:rsidRPr="0029748B" w:rsidRDefault="00DC2C5E" w:rsidP="0029748B">
      <w:pPr>
        <w:pStyle w:val="ListParagraph"/>
        <w:widowControl/>
        <w:spacing w:line="360" w:lineRule="auto"/>
        <w:ind w:left="0" w:firstLine="1440"/>
        <w:textAlignment w:val="baseline"/>
        <w:rPr>
          <w:color w:val="000000"/>
          <w:sz w:val="26"/>
          <w:szCs w:val="26"/>
        </w:rPr>
      </w:pPr>
    </w:p>
    <w:p w14:paraId="4A591F8D" w14:textId="77777777" w:rsidR="00EC20B2" w:rsidRPr="0029748B" w:rsidRDefault="00DC2C5E" w:rsidP="0029748B">
      <w:pPr>
        <w:pStyle w:val="ListParagraph"/>
        <w:widowControl/>
        <w:spacing w:line="360" w:lineRule="auto"/>
        <w:ind w:left="0" w:firstLine="1440"/>
        <w:textAlignment w:val="baseline"/>
        <w:rPr>
          <w:color w:val="000000"/>
          <w:sz w:val="26"/>
          <w:szCs w:val="26"/>
        </w:rPr>
      </w:pPr>
      <w:r w:rsidRPr="0029748B">
        <w:rPr>
          <w:color w:val="000000"/>
          <w:sz w:val="26"/>
          <w:szCs w:val="26"/>
        </w:rPr>
        <w:t xml:space="preserve">The ALJ accepted I&amp;E’s position that it was not reasonable to calculate the expense based on the Company’s HTY, since the Company </w:t>
      </w:r>
      <w:r w:rsidR="00A415D5" w:rsidRPr="0029748B">
        <w:rPr>
          <w:color w:val="000000"/>
          <w:sz w:val="26"/>
          <w:szCs w:val="26"/>
        </w:rPr>
        <w:t xml:space="preserve">had </w:t>
      </w:r>
      <w:r w:rsidRPr="0029748B">
        <w:rPr>
          <w:color w:val="000000"/>
          <w:sz w:val="26"/>
          <w:szCs w:val="26"/>
        </w:rPr>
        <w:t>experienced two water mains breaks</w:t>
      </w:r>
      <w:r w:rsidR="00A415D5" w:rsidRPr="0029748B">
        <w:rPr>
          <w:color w:val="000000"/>
          <w:sz w:val="26"/>
          <w:szCs w:val="26"/>
        </w:rPr>
        <w:t xml:space="preserve"> during the HTY</w:t>
      </w:r>
      <w:r w:rsidRPr="0029748B">
        <w:rPr>
          <w:color w:val="000000"/>
          <w:sz w:val="26"/>
          <w:szCs w:val="26"/>
        </w:rPr>
        <w:t xml:space="preserve">.  I&amp;E argued </w:t>
      </w:r>
      <w:r w:rsidR="008B341A" w:rsidRPr="0029748B">
        <w:rPr>
          <w:color w:val="000000"/>
          <w:sz w:val="26"/>
          <w:szCs w:val="26"/>
        </w:rPr>
        <w:t>that a calculation based on a year in which the Company incurred e</w:t>
      </w:r>
      <w:r w:rsidRPr="0029748B">
        <w:rPr>
          <w:color w:val="000000"/>
          <w:sz w:val="26"/>
          <w:szCs w:val="26"/>
        </w:rPr>
        <w:t xml:space="preserve">xtraordinary </w:t>
      </w:r>
      <w:r w:rsidR="008B341A" w:rsidRPr="0029748B">
        <w:rPr>
          <w:color w:val="000000"/>
          <w:sz w:val="26"/>
          <w:szCs w:val="26"/>
        </w:rPr>
        <w:t xml:space="preserve">expenses would not result in an accurate projected expense. </w:t>
      </w:r>
      <w:r w:rsidRPr="0029748B">
        <w:rPr>
          <w:color w:val="000000"/>
          <w:sz w:val="26"/>
          <w:szCs w:val="26"/>
        </w:rPr>
        <w:t xml:space="preserve"> I&amp;E </w:t>
      </w:r>
      <w:r w:rsidR="00A415D5" w:rsidRPr="0029748B">
        <w:rPr>
          <w:color w:val="000000"/>
          <w:sz w:val="26"/>
          <w:szCs w:val="26"/>
        </w:rPr>
        <w:t xml:space="preserve">asserted </w:t>
      </w:r>
      <w:r w:rsidRPr="0029748B">
        <w:rPr>
          <w:color w:val="000000"/>
          <w:sz w:val="26"/>
          <w:szCs w:val="26"/>
        </w:rPr>
        <w:t>that</w:t>
      </w:r>
      <w:r w:rsidR="00A415D5" w:rsidRPr="0029748B">
        <w:rPr>
          <w:color w:val="000000"/>
          <w:sz w:val="26"/>
          <w:szCs w:val="26"/>
        </w:rPr>
        <w:t>,</w:t>
      </w:r>
      <w:r w:rsidRPr="0029748B">
        <w:rPr>
          <w:color w:val="000000"/>
          <w:sz w:val="26"/>
          <w:szCs w:val="26"/>
        </w:rPr>
        <w:t xml:space="preserve"> in order to calculate the expense to reflect a reliable estimate of future projected expense, the expense should be based on a three-year historic average.</w:t>
      </w:r>
      <w:r w:rsidR="00EC20B2" w:rsidRPr="0029748B">
        <w:rPr>
          <w:color w:val="000000"/>
          <w:sz w:val="26"/>
          <w:szCs w:val="26"/>
        </w:rPr>
        <w:t xml:space="preserve">  </w:t>
      </w:r>
      <w:r w:rsidRPr="0029748B">
        <w:rPr>
          <w:color w:val="000000"/>
          <w:sz w:val="26"/>
          <w:szCs w:val="26"/>
        </w:rPr>
        <w:t xml:space="preserve">The ALJ agreed, noting that I&amp;E’s calculation would normalize any extraordinary expense incurred during the HTY, therefore </w:t>
      </w:r>
      <w:r w:rsidR="00A415D5" w:rsidRPr="0029748B">
        <w:rPr>
          <w:color w:val="000000"/>
          <w:sz w:val="26"/>
          <w:szCs w:val="26"/>
        </w:rPr>
        <w:t xml:space="preserve">reflecting </w:t>
      </w:r>
      <w:r w:rsidRPr="0029748B">
        <w:rPr>
          <w:color w:val="000000"/>
          <w:sz w:val="26"/>
          <w:szCs w:val="26"/>
        </w:rPr>
        <w:t xml:space="preserve">a more accurate projection of normal expenses. </w:t>
      </w:r>
    </w:p>
    <w:p w14:paraId="581C446E" w14:textId="77777777" w:rsidR="00DC2C5E" w:rsidRPr="0029748B" w:rsidRDefault="00DC2C5E" w:rsidP="0029748B">
      <w:pPr>
        <w:pStyle w:val="ListParagraph"/>
        <w:widowControl/>
        <w:spacing w:line="360" w:lineRule="auto"/>
        <w:ind w:left="0" w:firstLine="1440"/>
        <w:textAlignment w:val="baseline"/>
        <w:rPr>
          <w:color w:val="000000"/>
          <w:sz w:val="26"/>
          <w:szCs w:val="26"/>
        </w:rPr>
      </w:pPr>
    </w:p>
    <w:p w14:paraId="4F7A127E" w14:textId="77777777" w:rsidR="00EC20B2" w:rsidRPr="0029748B" w:rsidRDefault="008B341A" w:rsidP="0029748B">
      <w:pPr>
        <w:pStyle w:val="ListParagraph"/>
        <w:widowControl/>
        <w:spacing w:line="360" w:lineRule="auto"/>
        <w:ind w:left="0" w:firstLine="1440"/>
        <w:textAlignment w:val="baseline"/>
        <w:rPr>
          <w:color w:val="000000"/>
          <w:sz w:val="26"/>
          <w:szCs w:val="26"/>
        </w:rPr>
      </w:pPr>
      <w:r w:rsidRPr="0029748B">
        <w:rPr>
          <w:color w:val="000000"/>
          <w:sz w:val="26"/>
          <w:szCs w:val="26"/>
        </w:rPr>
        <w:lastRenderedPageBreak/>
        <w:t>Therefore, t</w:t>
      </w:r>
      <w:r w:rsidR="00DC2C5E" w:rsidRPr="0029748B">
        <w:rPr>
          <w:color w:val="000000"/>
          <w:sz w:val="26"/>
          <w:szCs w:val="26"/>
        </w:rPr>
        <w:t xml:space="preserve">he ALJ recommended adoption of I&amp;E’s calculation of maintenance supplies for an allowance of $4,499, or a reduction of </w:t>
      </w:r>
      <w:r w:rsidRPr="0029748B">
        <w:rPr>
          <w:color w:val="000000"/>
          <w:sz w:val="26"/>
          <w:szCs w:val="26"/>
        </w:rPr>
        <w:t>$5,010, from the Company’s original claim of $9,</w:t>
      </w:r>
      <w:r w:rsidR="00F70866" w:rsidRPr="0029748B">
        <w:rPr>
          <w:color w:val="000000"/>
          <w:sz w:val="26"/>
          <w:szCs w:val="26"/>
        </w:rPr>
        <w:t>5</w:t>
      </w:r>
      <w:r w:rsidRPr="0029748B">
        <w:rPr>
          <w:color w:val="000000"/>
          <w:sz w:val="26"/>
          <w:szCs w:val="26"/>
        </w:rPr>
        <w:t xml:space="preserve">09 as </w:t>
      </w:r>
      <w:r w:rsidR="00CD165A" w:rsidRPr="0029748B">
        <w:rPr>
          <w:color w:val="000000"/>
          <w:sz w:val="26"/>
          <w:szCs w:val="26"/>
        </w:rPr>
        <w:t xml:space="preserve">reasonable and </w:t>
      </w:r>
      <w:r w:rsidRPr="0029748B">
        <w:rPr>
          <w:color w:val="000000"/>
          <w:sz w:val="26"/>
          <w:szCs w:val="26"/>
        </w:rPr>
        <w:t xml:space="preserve">in the public interest. </w:t>
      </w:r>
    </w:p>
    <w:p w14:paraId="19244025" w14:textId="77777777" w:rsidR="008B341A" w:rsidRPr="0029748B" w:rsidRDefault="008B341A" w:rsidP="0029748B">
      <w:pPr>
        <w:pStyle w:val="ListParagraph"/>
        <w:widowControl/>
        <w:spacing w:line="360" w:lineRule="auto"/>
        <w:ind w:left="0" w:firstLine="1440"/>
        <w:textAlignment w:val="baseline"/>
        <w:rPr>
          <w:color w:val="000000"/>
          <w:sz w:val="26"/>
          <w:szCs w:val="26"/>
        </w:rPr>
      </w:pPr>
    </w:p>
    <w:p w14:paraId="1EBD9326" w14:textId="77777777" w:rsidR="00046BA0" w:rsidRPr="0029748B" w:rsidRDefault="00046BA0" w:rsidP="0029748B">
      <w:pPr>
        <w:pStyle w:val="ListParagraph"/>
        <w:widowControl/>
        <w:numPr>
          <w:ilvl w:val="0"/>
          <w:numId w:val="10"/>
        </w:numPr>
        <w:spacing w:line="360" w:lineRule="auto"/>
        <w:ind w:left="1440" w:right="72" w:hanging="720"/>
        <w:textAlignment w:val="baseline"/>
        <w:rPr>
          <w:b/>
          <w:bCs/>
          <w:color w:val="000000"/>
          <w:sz w:val="26"/>
          <w:szCs w:val="26"/>
        </w:rPr>
      </w:pPr>
      <w:r w:rsidRPr="0029748B">
        <w:rPr>
          <w:b/>
          <w:bCs/>
          <w:color w:val="000000"/>
          <w:sz w:val="26"/>
          <w:szCs w:val="26"/>
        </w:rPr>
        <w:t xml:space="preserve">Purchased Power and Chemical Expense </w:t>
      </w:r>
    </w:p>
    <w:p w14:paraId="69C2EC1F" w14:textId="77777777" w:rsidR="00046BA0" w:rsidRPr="0029748B" w:rsidRDefault="00046BA0" w:rsidP="0029748B">
      <w:pPr>
        <w:pStyle w:val="ListParagraph"/>
        <w:widowControl/>
        <w:spacing w:line="360" w:lineRule="auto"/>
        <w:ind w:left="1440" w:right="72" w:hanging="720"/>
        <w:textAlignment w:val="baseline"/>
        <w:rPr>
          <w:color w:val="000000"/>
          <w:sz w:val="26"/>
          <w:szCs w:val="26"/>
        </w:rPr>
      </w:pPr>
    </w:p>
    <w:p w14:paraId="75E960DD" w14:textId="77777777" w:rsidR="008B341A" w:rsidRPr="0029748B" w:rsidRDefault="008B341A" w:rsidP="0029748B">
      <w:pPr>
        <w:pStyle w:val="ListParagraph"/>
        <w:widowControl/>
        <w:spacing w:line="360" w:lineRule="auto"/>
        <w:ind w:left="0" w:firstLine="1440"/>
        <w:textAlignment w:val="baseline"/>
        <w:rPr>
          <w:color w:val="000000"/>
          <w:sz w:val="26"/>
          <w:szCs w:val="26"/>
        </w:rPr>
      </w:pPr>
      <w:r w:rsidRPr="0029748B">
        <w:rPr>
          <w:color w:val="000000"/>
          <w:sz w:val="26"/>
          <w:szCs w:val="26"/>
        </w:rPr>
        <w:t xml:space="preserve">The ALJ recommended that Twin Lakes’ claimed Purchased </w:t>
      </w:r>
      <w:r w:rsidR="00A415D5" w:rsidRPr="0029748B">
        <w:rPr>
          <w:color w:val="000000"/>
          <w:sz w:val="26"/>
          <w:szCs w:val="26"/>
        </w:rPr>
        <w:t>P</w:t>
      </w:r>
      <w:r w:rsidRPr="0029748B">
        <w:rPr>
          <w:color w:val="000000"/>
          <w:sz w:val="26"/>
          <w:szCs w:val="26"/>
        </w:rPr>
        <w:t xml:space="preserve">ower and </w:t>
      </w:r>
      <w:r w:rsidR="00A415D5" w:rsidRPr="0029748B">
        <w:rPr>
          <w:color w:val="000000"/>
          <w:sz w:val="26"/>
          <w:szCs w:val="26"/>
        </w:rPr>
        <w:t>C</w:t>
      </w:r>
      <w:r w:rsidRPr="0029748B">
        <w:rPr>
          <w:color w:val="000000"/>
          <w:sz w:val="26"/>
          <w:szCs w:val="26"/>
        </w:rPr>
        <w:t xml:space="preserve">hemical </w:t>
      </w:r>
      <w:r w:rsidR="00A415D5" w:rsidRPr="0029748B">
        <w:rPr>
          <w:color w:val="000000"/>
          <w:sz w:val="26"/>
          <w:szCs w:val="26"/>
        </w:rPr>
        <w:t>E</w:t>
      </w:r>
      <w:r w:rsidRPr="0029748B">
        <w:rPr>
          <w:color w:val="000000"/>
          <w:sz w:val="26"/>
          <w:szCs w:val="26"/>
        </w:rPr>
        <w:t>xpense of $13,527</w:t>
      </w:r>
      <w:r w:rsidR="00A415D5" w:rsidRPr="0029748B">
        <w:rPr>
          <w:color w:val="000000"/>
          <w:sz w:val="26"/>
          <w:szCs w:val="26"/>
        </w:rPr>
        <w:t>,</w:t>
      </w:r>
      <w:r w:rsidRPr="0029748B">
        <w:rPr>
          <w:color w:val="000000"/>
          <w:sz w:val="26"/>
          <w:szCs w:val="26"/>
        </w:rPr>
        <w:t xml:space="preserve"> be reduced by $9,392, for an allowable claim of $4,135.</w:t>
      </w:r>
      <w:r w:rsidR="00DD6636" w:rsidRPr="0029748B">
        <w:rPr>
          <w:color w:val="000000"/>
          <w:sz w:val="26"/>
          <w:szCs w:val="26"/>
        </w:rPr>
        <w:t xml:space="preserve">  R.D. at 42.</w:t>
      </w:r>
    </w:p>
    <w:p w14:paraId="1535E4F1" w14:textId="77777777" w:rsidR="008B341A" w:rsidRPr="0029748B" w:rsidRDefault="008B341A" w:rsidP="0029748B">
      <w:pPr>
        <w:pStyle w:val="ListParagraph"/>
        <w:widowControl/>
        <w:spacing w:line="360" w:lineRule="auto"/>
        <w:ind w:left="0" w:firstLine="1440"/>
        <w:textAlignment w:val="baseline"/>
        <w:rPr>
          <w:color w:val="000000"/>
          <w:sz w:val="26"/>
          <w:szCs w:val="26"/>
        </w:rPr>
      </w:pPr>
    </w:p>
    <w:p w14:paraId="4F9C9F55" w14:textId="77777777" w:rsidR="00A21BE7" w:rsidRPr="0029748B" w:rsidRDefault="008B341A" w:rsidP="0029748B">
      <w:pPr>
        <w:pStyle w:val="ListParagraph"/>
        <w:widowControl/>
        <w:spacing w:line="360" w:lineRule="auto"/>
        <w:ind w:left="0" w:firstLine="1440"/>
        <w:textAlignment w:val="baseline"/>
        <w:rPr>
          <w:color w:val="000000"/>
          <w:sz w:val="26"/>
          <w:szCs w:val="26"/>
        </w:rPr>
      </w:pPr>
      <w:r w:rsidRPr="0029748B">
        <w:rPr>
          <w:color w:val="000000"/>
          <w:sz w:val="26"/>
          <w:szCs w:val="26"/>
        </w:rPr>
        <w:t xml:space="preserve">The ALJ’s analysis turned on the rule that, while a Company </w:t>
      </w:r>
      <w:r w:rsidR="00A21BE7" w:rsidRPr="0029748B">
        <w:rPr>
          <w:color w:val="000000"/>
          <w:sz w:val="26"/>
          <w:szCs w:val="26"/>
        </w:rPr>
        <w:t>is entitled to recover all reasonable and normal operating expenses, it is not entitled to recover expenses that are not incurred, imprudently incurred</w:t>
      </w:r>
      <w:r w:rsidR="00F70866" w:rsidRPr="0029748B">
        <w:rPr>
          <w:color w:val="000000"/>
          <w:sz w:val="26"/>
          <w:szCs w:val="26"/>
        </w:rPr>
        <w:t>,</w:t>
      </w:r>
      <w:r w:rsidR="00A21BE7" w:rsidRPr="0029748B">
        <w:rPr>
          <w:color w:val="000000"/>
          <w:sz w:val="26"/>
          <w:szCs w:val="26"/>
        </w:rPr>
        <w:t xml:space="preserve"> or abnormally overstated.  To the extent a Company’s claimed expenses are found to be imprudent, or abnormally overstated, the expenses should be disallowed.</w:t>
      </w:r>
      <w:r w:rsidR="00DD6636" w:rsidRPr="0029748B">
        <w:rPr>
          <w:color w:val="000000"/>
          <w:sz w:val="26"/>
          <w:szCs w:val="26"/>
        </w:rPr>
        <w:t xml:space="preserve">  R.D. at 41.</w:t>
      </w:r>
    </w:p>
    <w:p w14:paraId="4699590B" w14:textId="77777777" w:rsidR="00A21BE7" w:rsidRPr="0029748B" w:rsidRDefault="00A21BE7" w:rsidP="0029748B">
      <w:pPr>
        <w:pStyle w:val="ListParagraph"/>
        <w:widowControl/>
        <w:spacing w:line="360" w:lineRule="auto"/>
        <w:ind w:left="0" w:firstLine="1440"/>
        <w:textAlignment w:val="baseline"/>
        <w:rPr>
          <w:color w:val="000000"/>
          <w:sz w:val="26"/>
          <w:szCs w:val="26"/>
        </w:rPr>
      </w:pPr>
    </w:p>
    <w:p w14:paraId="03F9DAAF" w14:textId="77777777" w:rsidR="008B341A" w:rsidRPr="0029748B" w:rsidRDefault="00A21BE7" w:rsidP="0029748B">
      <w:pPr>
        <w:pStyle w:val="ListParagraph"/>
        <w:widowControl/>
        <w:spacing w:line="360" w:lineRule="auto"/>
        <w:ind w:left="0" w:firstLine="1440"/>
        <w:textAlignment w:val="baseline"/>
        <w:rPr>
          <w:color w:val="000000"/>
          <w:sz w:val="26"/>
          <w:szCs w:val="26"/>
        </w:rPr>
      </w:pPr>
      <w:r w:rsidRPr="0029748B">
        <w:rPr>
          <w:color w:val="000000"/>
          <w:sz w:val="26"/>
          <w:szCs w:val="26"/>
        </w:rPr>
        <w:t>The ALJ agreed with I&amp;E’s position that certain expenses should be disallowed</w:t>
      </w:r>
      <w:r w:rsidR="00A415D5" w:rsidRPr="0029748B">
        <w:rPr>
          <w:color w:val="000000"/>
          <w:sz w:val="26"/>
          <w:szCs w:val="26"/>
        </w:rPr>
        <w:t xml:space="preserve">, </w:t>
      </w:r>
      <w:r w:rsidRPr="0029748B">
        <w:rPr>
          <w:color w:val="000000"/>
          <w:sz w:val="26"/>
          <w:szCs w:val="26"/>
        </w:rPr>
        <w:t>as they were incurred by the Company’s own imprudent conduct.  Specifically, to the extent the Company claimed expenses for purchased power</w:t>
      </w:r>
      <w:r w:rsidR="00AC5BBD" w:rsidRPr="0029748B">
        <w:rPr>
          <w:color w:val="000000"/>
          <w:sz w:val="26"/>
          <w:szCs w:val="26"/>
        </w:rPr>
        <w:t xml:space="preserve"> and unaccounted</w:t>
      </w:r>
      <w:r w:rsidR="006A1F2E" w:rsidRPr="0029748B">
        <w:rPr>
          <w:color w:val="000000"/>
          <w:sz w:val="26"/>
          <w:szCs w:val="26"/>
        </w:rPr>
        <w:t>-</w:t>
      </w:r>
      <w:r w:rsidR="00AC5BBD" w:rsidRPr="0029748B">
        <w:rPr>
          <w:color w:val="000000"/>
          <w:sz w:val="26"/>
          <w:szCs w:val="26"/>
        </w:rPr>
        <w:t xml:space="preserve"> for </w:t>
      </w:r>
      <w:r w:rsidR="006A1F2E" w:rsidRPr="0029748B">
        <w:rPr>
          <w:color w:val="000000"/>
          <w:sz w:val="26"/>
          <w:szCs w:val="26"/>
        </w:rPr>
        <w:t>-</w:t>
      </w:r>
      <w:r w:rsidR="00AC5BBD" w:rsidRPr="0029748B">
        <w:rPr>
          <w:color w:val="000000"/>
          <w:sz w:val="26"/>
          <w:szCs w:val="26"/>
        </w:rPr>
        <w:t>water</w:t>
      </w:r>
      <w:r w:rsidR="006A1F2E" w:rsidRPr="0029748B">
        <w:rPr>
          <w:color w:val="000000"/>
          <w:sz w:val="26"/>
          <w:szCs w:val="26"/>
        </w:rPr>
        <w:t xml:space="preserve"> or UFW</w:t>
      </w:r>
      <w:r w:rsidRPr="0029748B">
        <w:rPr>
          <w:color w:val="000000"/>
          <w:sz w:val="26"/>
          <w:szCs w:val="26"/>
        </w:rPr>
        <w:t>, I&amp;E maintained that the Company</w:t>
      </w:r>
      <w:r w:rsidR="00A415D5" w:rsidRPr="0029748B">
        <w:rPr>
          <w:color w:val="000000"/>
          <w:sz w:val="26"/>
          <w:szCs w:val="26"/>
        </w:rPr>
        <w:t xml:space="preserve">’s </w:t>
      </w:r>
      <w:r w:rsidRPr="0029748B">
        <w:rPr>
          <w:color w:val="000000"/>
          <w:sz w:val="26"/>
          <w:szCs w:val="26"/>
        </w:rPr>
        <w:t xml:space="preserve">claim </w:t>
      </w:r>
      <w:r w:rsidR="00A415D5" w:rsidRPr="0029748B">
        <w:rPr>
          <w:color w:val="000000"/>
          <w:sz w:val="26"/>
          <w:szCs w:val="26"/>
        </w:rPr>
        <w:t>sh</w:t>
      </w:r>
      <w:r w:rsidR="00F70866" w:rsidRPr="0029748B">
        <w:rPr>
          <w:color w:val="000000"/>
          <w:sz w:val="26"/>
          <w:szCs w:val="26"/>
        </w:rPr>
        <w:t>ould</w:t>
      </w:r>
      <w:r w:rsidR="00A415D5" w:rsidRPr="0029748B">
        <w:rPr>
          <w:color w:val="000000"/>
          <w:sz w:val="26"/>
          <w:szCs w:val="26"/>
        </w:rPr>
        <w:t xml:space="preserve"> be reduced, as un</w:t>
      </w:r>
      <w:r w:rsidRPr="0029748B">
        <w:rPr>
          <w:color w:val="000000"/>
          <w:sz w:val="26"/>
          <w:szCs w:val="26"/>
        </w:rPr>
        <w:t>reasonable</w:t>
      </w:r>
      <w:r w:rsidR="00AC5BBD" w:rsidRPr="0029748B">
        <w:rPr>
          <w:color w:val="000000"/>
          <w:sz w:val="26"/>
          <w:szCs w:val="26"/>
        </w:rPr>
        <w:t xml:space="preserve">.  I&amp;E noted that the </w:t>
      </w:r>
      <w:r w:rsidRPr="0029748B">
        <w:rPr>
          <w:color w:val="000000"/>
          <w:sz w:val="26"/>
          <w:szCs w:val="26"/>
        </w:rPr>
        <w:t>Company’s</w:t>
      </w:r>
      <w:r w:rsidR="00AC5BBD" w:rsidRPr="0029748B">
        <w:rPr>
          <w:color w:val="000000"/>
          <w:sz w:val="26"/>
          <w:szCs w:val="26"/>
        </w:rPr>
        <w:t xml:space="preserve"> </w:t>
      </w:r>
      <w:r w:rsidR="00A415D5" w:rsidRPr="0029748B">
        <w:rPr>
          <w:color w:val="000000"/>
          <w:sz w:val="26"/>
          <w:szCs w:val="26"/>
        </w:rPr>
        <w:t xml:space="preserve">electric </w:t>
      </w:r>
      <w:r w:rsidR="00AC5BBD" w:rsidRPr="0029748B">
        <w:rPr>
          <w:color w:val="000000"/>
          <w:sz w:val="26"/>
          <w:szCs w:val="26"/>
        </w:rPr>
        <w:t xml:space="preserve">generation and </w:t>
      </w:r>
      <w:r w:rsidRPr="0029748B">
        <w:rPr>
          <w:color w:val="000000"/>
          <w:sz w:val="26"/>
          <w:szCs w:val="26"/>
        </w:rPr>
        <w:t xml:space="preserve">transmission expenses </w:t>
      </w:r>
      <w:r w:rsidR="00A415D5" w:rsidRPr="0029748B">
        <w:rPr>
          <w:color w:val="000000"/>
          <w:sz w:val="26"/>
          <w:szCs w:val="26"/>
        </w:rPr>
        <w:t>were</w:t>
      </w:r>
      <w:r w:rsidRPr="0029748B">
        <w:rPr>
          <w:color w:val="000000"/>
          <w:sz w:val="26"/>
          <w:szCs w:val="26"/>
        </w:rPr>
        <w:t xml:space="preserve"> inflated by $</w:t>
      </w:r>
      <w:r w:rsidR="00AC5BBD" w:rsidRPr="0029748B">
        <w:rPr>
          <w:color w:val="000000"/>
          <w:sz w:val="26"/>
          <w:szCs w:val="26"/>
        </w:rPr>
        <w:t xml:space="preserve">3,000 over a </w:t>
      </w:r>
      <w:r w:rsidR="00CD165A" w:rsidRPr="0029748B">
        <w:rPr>
          <w:color w:val="000000"/>
          <w:sz w:val="26"/>
          <w:szCs w:val="26"/>
        </w:rPr>
        <w:t>39-month</w:t>
      </w:r>
      <w:r w:rsidR="00AC5BBD" w:rsidRPr="0029748B">
        <w:rPr>
          <w:color w:val="000000"/>
          <w:sz w:val="26"/>
          <w:szCs w:val="26"/>
        </w:rPr>
        <w:t xml:space="preserve"> period due to the Company paying more than the electric supplier’s applicable Price to Compare.  Clearly, if a lower electric rate is </w:t>
      </w:r>
      <w:r w:rsidR="00A415D5" w:rsidRPr="0029748B">
        <w:rPr>
          <w:color w:val="000000"/>
          <w:sz w:val="26"/>
          <w:szCs w:val="26"/>
        </w:rPr>
        <w:t xml:space="preserve">readily </w:t>
      </w:r>
      <w:r w:rsidR="00AC5BBD" w:rsidRPr="0029748B">
        <w:rPr>
          <w:color w:val="000000"/>
          <w:sz w:val="26"/>
          <w:szCs w:val="26"/>
        </w:rPr>
        <w:t xml:space="preserve">available, </w:t>
      </w:r>
      <w:r w:rsidR="00F70866" w:rsidRPr="0029748B">
        <w:rPr>
          <w:color w:val="000000"/>
          <w:sz w:val="26"/>
          <w:szCs w:val="26"/>
        </w:rPr>
        <w:t xml:space="preserve">I&amp;E argued </w:t>
      </w:r>
      <w:r w:rsidR="00AC5BBD" w:rsidRPr="0029748B">
        <w:rPr>
          <w:color w:val="000000"/>
          <w:sz w:val="26"/>
          <w:szCs w:val="26"/>
        </w:rPr>
        <w:t xml:space="preserve">it </w:t>
      </w:r>
      <w:r w:rsidR="00F70866" w:rsidRPr="0029748B">
        <w:rPr>
          <w:color w:val="000000"/>
          <w:sz w:val="26"/>
          <w:szCs w:val="26"/>
        </w:rPr>
        <w:t xml:space="preserve">is </w:t>
      </w:r>
      <w:r w:rsidR="00AC5BBD" w:rsidRPr="0029748B">
        <w:rPr>
          <w:color w:val="000000"/>
          <w:sz w:val="26"/>
          <w:szCs w:val="26"/>
        </w:rPr>
        <w:t>imprudent for the Company to pay the higher rate.  Similarly, to the extent the Company claimed expenses associated with unaccounted</w:t>
      </w:r>
      <w:r w:rsidR="006A1F2E" w:rsidRPr="0029748B">
        <w:rPr>
          <w:color w:val="000000"/>
          <w:sz w:val="26"/>
          <w:szCs w:val="26"/>
        </w:rPr>
        <w:t>-</w:t>
      </w:r>
      <w:r w:rsidR="00AC5BBD" w:rsidRPr="0029748B">
        <w:rPr>
          <w:color w:val="000000"/>
          <w:sz w:val="26"/>
          <w:szCs w:val="26"/>
        </w:rPr>
        <w:t xml:space="preserve"> for </w:t>
      </w:r>
      <w:r w:rsidR="006A1F2E" w:rsidRPr="0029748B">
        <w:rPr>
          <w:color w:val="000000"/>
          <w:sz w:val="26"/>
          <w:szCs w:val="26"/>
        </w:rPr>
        <w:t>-</w:t>
      </w:r>
      <w:r w:rsidR="00AC5BBD" w:rsidRPr="0029748B">
        <w:rPr>
          <w:color w:val="000000"/>
          <w:sz w:val="26"/>
          <w:szCs w:val="26"/>
        </w:rPr>
        <w:t>water, I&amp;E argued that the Company was solely responsible for the excessive levels of unaccounted for water</w:t>
      </w:r>
      <w:r w:rsidR="00CD165A" w:rsidRPr="0029748B">
        <w:rPr>
          <w:color w:val="000000"/>
          <w:sz w:val="26"/>
          <w:szCs w:val="26"/>
        </w:rPr>
        <w:t xml:space="preserve"> </w:t>
      </w:r>
      <w:r w:rsidR="00AC5BBD" w:rsidRPr="0029748B">
        <w:rPr>
          <w:color w:val="000000"/>
          <w:sz w:val="26"/>
          <w:szCs w:val="26"/>
        </w:rPr>
        <w:t>and</w:t>
      </w:r>
      <w:r w:rsidR="00CD165A" w:rsidRPr="0029748B">
        <w:rPr>
          <w:color w:val="000000"/>
          <w:sz w:val="26"/>
          <w:szCs w:val="26"/>
        </w:rPr>
        <w:t xml:space="preserve"> therefore</w:t>
      </w:r>
      <w:r w:rsidR="000B119E" w:rsidRPr="0029748B">
        <w:rPr>
          <w:color w:val="000000"/>
          <w:sz w:val="26"/>
          <w:szCs w:val="26"/>
        </w:rPr>
        <w:t>,</w:t>
      </w:r>
      <w:r w:rsidR="00AC5BBD" w:rsidRPr="0029748B">
        <w:rPr>
          <w:color w:val="000000"/>
          <w:sz w:val="26"/>
          <w:szCs w:val="26"/>
        </w:rPr>
        <w:t xml:space="preserve"> should not be allowed </w:t>
      </w:r>
      <w:r w:rsidR="00A415D5" w:rsidRPr="0029748B">
        <w:rPr>
          <w:color w:val="000000"/>
          <w:sz w:val="26"/>
          <w:szCs w:val="26"/>
        </w:rPr>
        <w:t xml:space="preserve">to claim </w:t>
      </w:r>
      <w:r w:rsidR="00CD165A" w:rsidRPr="0029748B">
        <w:rPr>
          <w:color w:val="000000"/>
          <w:sz w:val="26"/>
          <w:szCs w:val="26"/>
        </w:rPr>
        <w:t xml:space="preserve">associated </w:t>
      </w:r>
      <w:r w:rsidR="00AC5BBD" w:rsidRPr="0029748B">
        <w:rPr>
          <w:color w:val="000000"/>
          <w:sz w:val="26"/>
          <w:szCs w:val="26"/>
        </w:rPr>
        <w:t xml:space="preserve">expenses which were unreasonable. </w:t>
      </w:r>
      <w:r w:rsidR="000B119E" w:rsidRPr="0029748B">
        <w:rPr>
          <w:color w:val="000000"/>
          <w:sz w:val="26"/>
          <w:szCs w:val="26"/>
        </w:rPr>
        <w:t xml:space="preserve"> </w:t>
      </w:r>
      <w:r w:rsidR="00CD165A" w:rsidRPr="0029748B">
        <w:rPr>
          <w:color w:val="000000"/>
          <w:sz w:val="26"/>
          <w:szCs w:val="26"/>
        </w:rPr>
        <w:t>R.D. at 33-42.</w:t>
      </w:r>
    </w:p>
    <w:p w14:paraId="23471D54" w14:textId="77777777" w:rsidR="00AC5BBD" w:rsidRPr="0029748B" w:rsidRDefault="00AC5BBD" w:rsidP="0029748B">
      <w:pPr>
        <w:pStyle w:val="ListParagraph"/>
        <w:widowControl/>
        <w:spacing w:line="360" w:lineRule="auto"/>
        <w:ind w:left="0" w:firstLine="1440"/>
        <w:textAlignment w:val="baseline"/>
        <w:rPr>
          <w:color w:val="000000"/>
          <w:sz w:val="26"/>
          <w:szCs w:val="26"/>
        </w:rPr>
      </w:pPr>
    </w:p>
    <w:p w14:paraId="7A3CEA5E" w14:textId="77777777" w:rsidR="00AC5BBD" w:rsidRPr="0029748B" w:rsidRDefault="00AC5BBD" w:rsidP="0029748B">
      <w:pPr>
        <w:pStyle w:val="ListParagraph"/>
        <w:widowControl/>
        <w:spacing w:line="360" w:lineRule="auto"/>
        <w:ind w:left="0" w:firstLine="1440"/>
        <w:textAlignment w:val="baseline"/>
        <w:rPr>
          <w:color w:val="000000"/>
          <w:sz w:val="26"/>
          <w:szCs w:val="26"/>
        </w:rPr>
      </w:pPr>
      <w:r w:rsidRPr="0029748B">
        <w:rPr>
          <w:color w:val="000000"/>
          <w:sz w:val="26"/>
          <w:szCs w:val="26"/>
        </w:rPr>
        <w:lastRenderedPageBreak/>
        <w:t xml:space="preserve">The ALJ accepted I&amp;E’s position that the Company’s claim for purchased power and chemical expenses should </w:t>
      </w:r>
      <w:r w:rsidR="00CD165A" w:rsidRPr="0029748B">
        <w:rPr>
          <w:color w:val="000000"/>
          <w:sz w:val="26"/>
          <w:szCs w:val="26"/>
        </w:rPr>
        <w:t>be reduced by $9,39</w:t>
      </w:r>
      <w:r w:rsidR="00F70866" w:rsidRPr="0029748B">
        <w:rPr>
          <w:color w:val="000000"/>
          <w:sz w:val="26"/>
          <w:szCs w:val="26"/>
        </w:rPr>
        <w:t>2</w:t>
      </w:r>
      <w:r w:rsidR="00CD165A" w:rsidRPr="0029748B">
        <w:rPr>
          <w:color w:val="000000"/>
          <w:sz w:val="26"/>
          <w:szCs w:val="26"/>
        </w:rPr>
        <w:t xml:space="preserve"> to reflect the </w:t>
      </w:r>
      <w:r w:rsidRPr="0029748B">
        <w:rPr>
          <w:color w:val="000000"/>
          <w:sz w:val="26"/>
          <w:szCs w:val="26"/>
        </w:rPr>
        <w:t xml:space="preserve">extent </w:t>
      </w:r>
      <w:r w:rsidR="00CD165A" w:rsidRPr="0029748B">
        <w:rPr>
          <w:color w:val="000000"/>
          <w:sz w:val="26"/>
          <w:szCs w:val="26"/>
        </w:rPr>
        <w:t xml:space="preserve">to which </w:t>
      </w:r>
      <w:r w:rsidRPr="0029748B">
        <w:rPr>
          <w:color w:val="000000"/>
          <w:sz w:val="26"/>
          <w:szCs w:val="26"/>
        </w:rPr>
        <w:t>the expense</w:t>
      </w:r>
      <w:r w:rsidR="00CD165A" w:rsidRPr="0029748B">
        <w:rPr>
          <w:color w:val="000000"/>
          <w:sz w:val="26"/>
          <w:szCs w:val="26"/>
        </w:rPr>
        <w:t>s</w:t>
      </w:r>
      <w:r w:rsidRPr="0029748B">
        <w:rPr>
          <w:color w:val="000000"/>
          <w:sz w:val="26"/>
          <w:szCs w:val="26"/>
        </w:rPr>
        <w:t xml:space="preserve"> were attributable to the Company’s imprudent conduct</w:t>
      </w:r>
      <w:r w:rsidR="00CD165A" w:rsidRPr="0029748B">
        <w:rPr>
          <w:color w:val="000000"/>
          <w:sz w:val="26"/>
          <w:szCs w:val="26"/>
        </w:rPr>
        <w:t>.  Therefore, the ALJ recommended a reduction of $9,39</w:t>
      </w:r>
      <w:r w:rsidR="00F70866" w:rsidRPr="0029748B">
        <w:rPr>
          <w:color w:val="000000"/>
          <w:sz w:val="26"/>
          <w:szCs w:val="26"/>
        </w:rPr>
        <w:t>2</w:t>
      </w:r>
      <w:r w:rsidR="00A415D5" w:rsidRPr="0029748B">
        <w:rPr>
          <w:color w:val="000000"/>
          <w:sz w:val="26"/>
          <w:szCs w:val="26"/>
        </w:rPr>
        <w:t xml:space="preserve"> from </w:t>
      </w:r>
      <w:r w:rsidR="00CD165A" w:rsidRPr="0029748B">
        <w:rPr>
          <w:color w:val="000000"/>
          <w:sz w:val="26"/>
          <w:szCs w:val="26"/>
        </w:rPr>
        <w:t xml:space="preserve">the Company’s </w:t>
      </w:r>
      <w:r w:rsidR="00A415D5" w:rsidRPr="0029748B">
        <w:rPr>
          <w:color w:val="000000"/>
          <w:sz w:val="26"/>
          <w:szCs w:val="26"/>
        </w:rPr>
        <w:t>c</w:t>
      </w:r>
      <w:r w:rsidR="00CD165A" w:rsidRPr="0029748B">
        <w:rPr>
          <w:color w:val="000000"/>
          <w:sz w:val="26"/>
          <w:szCs w:val="26"/>
        </w:rPr>
        <w:t>laim, resulting in a</w:t>
      </w:r>
      <w:r w:rsidR="00A415D5" w:rsidRPr="0029748B">
        <w:rPr>
          <w:color w:val="000000"/>
          <w:sz w:val="26"/>
          <w:szCs w:val="26"/>
        </w:rPr>
        <w:t>n allowable</w:t>
      </w:r>
      <w:r w:rsidR="00CD165A" w:rsidRPr="0029748B">
        <w:rPr>
          <w:color w:val="000000"/>
          <w:sz w:val="26"/>
          <w:szCs w:val="26"/>
        </w:rPr>
        <w:t xml:space="preserve"> claim of $4,135, as reasonable and in the public interest.</w:t>
      </w:r>
      <w:r w:rsidR="000B119E" w:rsidRPr="0029748B">
        <w:rPr>
          <w:color w:val="000000"/>
          <w:sz w:val="26"/>
          <w:szCs w:val="26"/>
        </w:rPr>
        <w:t xml:space="preserve"> </w:t>
      </w:r>
      <w:r w:rsidR="00CD165A" w:rsidRPr="0029748B">
        <w:rPr>
          <w:color w:val="000000"/>
          <w:sz w:val="26"/>
          <w:szCs w:val="26"/>
        </w:rPr>
        <w:t xml:space="preserve"> R.D. at 42.</w:t>
      </w:r>
    </w:p>
    <w:p w14:paraId="0DF80399" w14:textId="77777777" w:rsidR="008B341A" w:rsidRPr="0029748B" w:rsidRDefault="008B341A" w:rsidP="0029748B">
      <w:pPr>
        <w:pStyle w:val="ListParagraph"/>
        <w:widowControl/>
        <w:spacing w:line="360" w:lineRule="auto"/>
        <w:ind w:left="1440" w:right="72" w:hanging="720"/>
        <w:textAlignment w:val="baseline"/>
        <w:rPr>
          <w:color w:val="000000"/>
          <w:sz w:val="26"/>
          <w:szCs w:val="26"/>
        </w:rPr>
      </w:pPr>
    </w:p>
    <w:p w14:paraId="7EAECA56" w14:textId="77777777" w:rsidR="00046BA0" w:rsidRPr="0029748B" w:rsidRDefault="00046BA0" w:rsidP="0029748B">
      <w:pPr>
        <w:pStyle w:val="ListParagraph"/>
        <w:widowControl/>
        <w:numPr>
          <w:ilvl w:val="0"/>
          <w:numId w:val="10"/>
        </w:numPr>
        <w:spacing w:line="360" w:lineRule="auto"/>
        <w:ind w:left="1440" w:right="72" w:hanging="720"/>
        <w:textAlignment w:val="baseline"/>
        <w:rPr>
          <w:b/>
          <w:bCs/>
          <w:color w:val="000000"/>
          <w:sz w:val="26"/>
          <w:szCs w:val="26"/>
        </w:rPr>
      </w:pPr>
      <w:r w:rsidRPr="0029748B">
        <w:rPr>
          <w:b/>
          <w:bCs/>
          <w:color w:val="000000"/>
          <w:sz w:val="26"/>
          <w:szCs w:val="26"/>
        </w:rPr>
        <w:t>Bad Debt Expense</w:t>
      </w:r>
    </w:p>
    <w:p w14:paraId="12954992" w14:textId="77777777" w:rsidR="00046BA0" w:rsidRPr="0029748B" w:rsidRDefault="00046BA0" w:rsidP="0029748B">
      <w:pPr>
        <w:widowControl/>
        <w:tabs>
          <w:tab w:val="left" w:pos="1512"/>
        </w:tabs>
        <w:spacing w:line="360" w:lineRule="auto"/>
        <w:ind w:right="72"/>
        <w:textAlignment w:val="baseline"/>
        <w:rPr>
          <w:color w:val="000000"/>
          <w:sz w:val="26"/>
          <w:szCs w:val="26"/>
        </w:rPr>
      </w:pPr>
    </w:p>
    <w:p w14:paraId="04341120" w14:textId="77777777" w:rsidR="00B53B43" w:rsidRPr="0029748B" w:rsidRDefault="00B53B43" w:rsidP="0029748B">
      <w:pPr>
        <w:widowControl/>
        <w:spacing w:line="360" w:lineRule="auto"/>
        <w:ind w:firstLine="1440"/>
        <w:rPr>
          <w:color w:val="000000"/>
          <w:sz w:val="26"/>
          <w:szCs w:val="26"/>
        </w:rPr>
      </w:pPr>
      <w:r w:rsidRPr="0029748B">
        <w:rPr>
          <w:color w:val="000000"/>
          <w:sz w:val="26"/>
          <w:szCs w:val="26"/>
        </w:rPr>
        <w:t xml:space="preserve">The ALJ recommended adoption of I&amp;E’s proposed calculation of the claim for </w:t>
      </w:r>
      <w:r w:rsidR="00A415D5" w:rsidRPr="0029748B">
        <w:rPr>
          <w:color w:val="000000"/>
          <w:sz w:val="26"/>
          <w:szCs w:val="26"/>
        </w:rPr>
        <w:t xml:space="preserve">Bad Debt </w:t>
      </w:r>
      <w:r w:rsidRPr="0029748B">
        <w:rPr>
          <w:color w:val="000000"/>
          <w:sz w:val="26"/>
          <w:szCs w:val="26"/>
        </w:rPr>
        <w:t>Expenses of $3,062</w:t>
      </w:r>
      <w:r w:rsidR="00A415D5" w:rsidRPr="0029748B">
        <w:rPr>
          <w:color w:val="000000"/>
          <w:sz w:val="26"/>
          <w:szCs w:val="26"/>
        </w:rPr>
        <w:t xml:space="preserve">, </w:t>
      </w:r>
      <w:r w:rsidRPr="0029748B">
        <w:rPr>
          <w:color w:val="000000"/>
          <w:sz w:val="26"/>
          <w:szCs w:val="26"/>
        </w:rPr>
        <w:t>or a reduction of $16,033</w:t>
      </w:r>
      <w:r w:rsidR="00A415D5" w:rsidRPr="0029748B">
        <w:rPr>
          <w:color w:val="000000"/>
          <w:sz w:val="26"/>
          <w:szCs w:val="26"/>
        </w:rPr>
        <w:t>,</w:t>
      </w:r>
      <w:r w:rsidRPr="0029748B">
        <w:rPr>
          <w:color w:val="000000"/>
          <w:sz w:val="26"/>
          <w:szCs w:val="26"/>
        </w:rPr>
        <w:t xml:space="preserve"> </w:t>
      </w:r>
      <w:r w:rsidR="00A415D5" w:rsidRPr="0029748B">
        <w:rPr>
          <w:color w:val="000000"/>
          <w:sz w:val="26"/>
          <w:szCs w:val="26"/>
        </w:rPr>
        <w:t>from</w:t>
      </w:r>
      <w:r w:rsidRPr="0029748B">
        <w:rPr>
          <w:color w:val="000000"/>
          <w:sz w:val="26"/>
          <w:szCs w:val="26"/>
        </w:rPr>
        <w:t xml:space="preserve"> the Company’s claim of </w:t>
      </w:r>
      <w:r w:rsidR="00A415D5" w:rsidRPr="0029748B">
        <w:rPr>
          <w:color w:val="000000"/>
          <w:sz w:val="26"/>
          <w:szCs w:val="26"/>
        </w:rPr>
        <w:t xml:space="preserve">Bad Debt </w:t>
      </w:r>
      <w:r w:rsidRPr="0029748B">
        <w:rPr>
          <w:color w:val="000000"/>
          <w:sz w:val="26"/>
          <w:szCs w:val="26"/>
        </w:rPr>
        <w:t>Expenses in the amount of $19,095.</w:t>
      </w:r>
      <w:r w:rsidR="00162DC2" w:rsidRPr="0029748B">
        <w:rPr>
          <w:color w:val="000000"/>
          <w:sz w:val="26"/>
          <w:szCs w:val="26"/>
        </w:rPr>
        <w:t xml:space="preserve">  R.D. at 45.</w:t>
      </w:r>
    </w:p>
    <w:p w14:paraId="5C81BD1C" w14:textId="77777777" w:rsidR="00B53B43" w:rsidRPr="0029748B" w:rsidRDefault="00B53B43" w:rsidP="0029748B">
      <w:pPr>
        <w:widowControl/>
        <w:spacing w:line="360" w:lineRule="auto"/>
        <w:ind w:firstLine="1440"/>
        <w:rPr>
          <w:color w:val="000000"/>
          <w:sz w:val="26"/>
          <w:szCs w:val="26"/>
        </w:rPr>
      </w:pPr>
    </w:p>
    <w:p w14:paraId="7840B5C2" w14:textId="77777777" w:rsidR="00BE0B30" w:rsidRPr="0029748B" w:rsidRDefault="00B53B43" w:rsidP="0029748B">
      <w:pPr>
        <w:widowControl/>
        <w:spacing w:line="360" w:lineRule="auto"/>
        <w:ind w:firstLine="1440"/>
        <w:rPr>
          <w:color w:val="000000"/>
          <w:sz w:val="26"/>
          <w:szCs w:val="26"/>
        </w:rPr>
      </w:pPr>
      <w:r w:rsidRPr="0029748B">
        <w:rPr>
          <w:color w:val="000000"/>
          <w:sz w:val="26"/>
          <w:szCs w:val="26"/>
        </w:rPr>
        <w:t>The ALJ noted that the Company’s calculation</w:t>
      </w:r>
      <w:r w:rsidR="00A54783" w:rsidRPr="0029748B">
        <w:rPr>
          <w:color w:val="000000"/>
          <w:sz w:val="26"/>
          <w:szCs w:val="26"/>
        </w:rPr>
        <w:t xml:space="preserve"> is based on its amount of bad debt expense for the twelve months end</w:t>
      </w:r>
      <w:r w:rsidR="00A415D5" w:rsidRPr="0029748B">
        <w:rPr>
          <w:color w:val="000000"/>
          <w:sz w:val="26"/>
          <w:szCs w:val="26"/>
        </w:rPr>
        <w:t xml:space="preserve">ing </w:t>
      </w:r>
      <w:r w:rsidR="00A54783" w:rsidRPr="0029748B">
        <w:rPr>
          <w:color w:val="000000"/>
          <w:sz w:val="26"/>
          <w:szCs w:val="26"/>
        </w:rPr>
        <w:t>March 31, 2019</w:t>
      </w:r>
      <w:r w:rsidR="00A415D5" w:rsidRPr="0029748B">
        <w:rPr>
          <w:color w:val="000000"/>
          <w:sz w:val="26"/>
          <w:szCs w:val="26"/>
        </w:rPr>
        <w:t>,</w:t>
      </w:r>
      <w:r w:rsidR="00A54783" w:rsidRPr="0029748B">
        <w:rPr>
          <w:color w:val="000000"/>
          <w:sz w:val="26"/>
          <w:szCs w:val="26"/>
        </w:rPr>
        <w:t xml:space="preserve"> of $7,384, increased by the proposed rate increase of 158.6% (</w:t>
      </w:r>
      <w:r w:rsidR="00A54783" w:rsidRPr="0029748B">
        <w:rPr>
          <w:i/>
          <w:iCs/>
          <w:color w:val="000000"/>
          <w:sz w:val="26"/>
          <w:szCs w:val="26"/>
        </w:rPr>
        <w:t>i.e</w:t>
      </w:r>
      <w:r w:rsidR="00A54783" w:rsidRPr="0029748B">
        <w:rPr>
          <w:color w:val="000000"/>
          <w:sz w:val="26"/>
          <w:szCs w:val="26"/>
        </w:rPr>
        <w:t>., $7,384 x [1 + 1.586] = $19,095).</w:t>
      </w:r>
      <w:r w:rsidRPr="0029748B">
        <w:rPr>
          <w:color w:val="000000"/>
          <w:sz w:val="26"/>
          <w:szCs w:val="26"/>
        </w:rPr>
        <w:t xml:space="preserve">  </w:t>
      </w:r>
      <w:r w:rsidR="00A415D5" w:rsidRPr="0029748B">
        <w:rPr>
          <w:color w:val="000000"/>
          <w:sz w:val="26"/>
          <w:szCs w:val="26"/>
        </w:rPr>
        <w:t>T</w:t>
      </w:r>
      <w:r w:rsidRPr="0029748B">
        <w:rPr>
          <w:color w:val="000000"/>
          <w:sz w:val="26"/>
          <w:szCs w:val="26"/>
        </w:rPr>
        <w:t xml:space="preserve">he ALJ </w:t>
      </w:r>
      <w:r w:rsidR="00A415D5" w:rsidRPr="0029748B">
        <w:rPr>
          <w:color w:val="000000"/>
          <w:sz w:val="26"/>
          <w:szCs w:val="26"/>
        </w:rPr>
        <w:t xml:space="preserve">noted that the </w:t>
      </w:r>
      <w:r w:rsidR="00A54783" w:rsidRPr="0029748B">
        <w:rPr>
          <w:color w:val="000000"/>
          <w:sz w:val="26"/>
          <w:szCs w:val="26"/>
        </w:rPr>
        <w:t xml:space="preserve">Company’s </w:t>
      </w:r>
      <w:r w:rsidR="00A415D5" w:rsidRPr="0029748B">
        <w:rPr>
          <w:color w:val="000000"/>
          <w:sz w:val="26"/>
          <w:szCs w:val="26"/>
        </w:rPr>
        <w:t xml:space="preserve">calculation </w:t>
      </w:r>
      <w:r w:rsidR="00BE0B30" w:rsidRPr="0029748B">
        <w:rPr>
          <w:color w:val="000000"/>
          <w:sz w:val="26"/>
          <w:szCs w:val="26"/>
        </w:rPr>
        <w:t xml:space="preserve">factored in the </w:t>
      </w:r>
      <w:r w:rsidR="00A54783" w:rsidRPr="0029748B">
        <w:rPr>
          <w:color w:val="000000"/>
          <w:sz w:val="26"/>
          <w:szCs w:val="26"/>
        </w:rPr>
        <w:t>assumption that bad debt will increase due to the proposed rate increase</w:t>
      </w:r>
      <w:r w:rsidR="00BE0B30" w:rsidRPr="0029748B">
        <w:rPr>
          <w:color w:val="000000"/>
          <w:sz w:val="26"/>
          <w:szCs w:val="26"/>
        </w:rPr>
        <w:t>.</w:t>
      </w:r>
      <w:r w:rsidR="00A54783" w:rsidRPr="0029748B">
        <w:rPr>
          <w:color w:val="000000"/>
          <w:sz w:val="26"/>
          <w:szCs w:val="26"/>
        </w:rPr>
        <w:t xml:space="preserve">  </w:t>
      </w:r>
      <w:r w:rsidR="00A415D5" w:rsidRPr="0029748B">
        <w:rPr>
          <w:color w:val="000000"/>
          <w:sz w:val="26"/>
          <w:szCs w:val="26"/>
        </w:rPr>
        <w:t xml:space="preserve">The ALJ </w:t>
      </w:r>
      <w:r w:rsidR="00BE0B30" w:rsidRPr="0029748B">
        <w:rPr>
          <w:color w:val="000000"/>
          <w:sz w:val="26"/>
          <w:szCs w:val="26"/>
        </w:rPr>
        <w:t xml:space="preserve">rejected </w:t>
      </w:r>
      <w:r w:rsidR="001534B5" w:rsidRPr="0029748B">
        <w:rPr>
          <w:color w:val="000000"/>
          <w:sz w:val="26"/>
          <w:szCs w:val="26"/>
        </w:rPr>
        <w:t>the</w:t>
      </w:r>
      <w:r w:rsidR="00BE0B30" w:rsidRPr="0029748B">
        <w:rPr>
          <w:color w:val="000000"/>
          <w:sz w:val="26"/>
          <w:szCs w:val="26"/>
        </w:rPr>
        <w:t xml:space="preserve"> </w:t>
      </w:r>
      <w:r w:rsidR="00A54783" w:rsidRPr="0029748B">
        <w:rPr>
          <w:color w:val="000000"/>
          <w:sz w:val="26"/>
          <w:szCs w:val="26"/>
        </w:rPr>
        <w:t>Company’s calculat</w:t>
      </w:r>
      <w:r w:rsidR="004F239F" w:rsidRPr="0029748B">
        <w:rPr>
          <w:color w:val="000000"/>
          <w:sz w:val="26"/>
          <w:szCs w:val="26"/>
        </w:rPr>
        <w:t>ion</w:t>
      </w:r>
      <w:r w:rsidR="00BE0B30" w:rsidRPr="0029748B">
        <w:rPr>
          <w:color w:val="000000"/>
          <w:sz w:val="26"/>
          <w:szCs w:val="26"/>
        </w:rPr>
        <w:t xml:space="preserve"> on the basis of the </w:t>
      </w:r>
      <w:r w:rsidR="004F239F" w:rsidRPr="0029748B">
        <w:rPr>
          <w:color w:val="000000"/>
          <w:sz w:val="26"/>
          <w:szCs w:val="26"/>
        </w:rPr>
        <w:t>assumption of</w:t>
      </w:r>
      <w:r w:rsidR="00A63D51" w:rsidRPr="0029748B">
        <w:rPr>
          <w:color w:val="000000"/>
          <w:sz w:val="26"/>
          <w:szCs w:val="26"/>
        </w:rPr>
        <w:t xml:space="preserve"> a projected </w:t>
      </w:r>
      <w:r w:rsidR="004F239F" w:rsidRPr="0029748B">
        <w:rPr>
          <w:color w:val="000000"/>
          <w:sz w:val="26"/>
          <w:szCs w:val="26"/>
        </w:rPr>
        <w:t>abnormal rise in bad debt</w:t>
      </w:r>
      <w:r w:rsidR="00BE0B30" w:rsidRPr="0029748B">
        <w:rPr>
          <w:color w:val="000000"/>
          <w:sz w:val="26"/>
          <w:szCs w:val="26"/>
        </w:rPr>
        <w:t>.</w:t>
      </w:r>
      <w:r w:rsidR="00B9620A" w:rsidRPr="0029748B">
        <w:rPr>
          <w:color w:val="000000"/>
          <w:sz w:val="26"/>
          <w:szCs w:val="26"/>
        </w:rPr>
        <w:t xml:space="preserve">  </w:t>
      </w:r>
      <w:r w:rsidR="001534B5" w:rsidRPr="0029748B">
        <w:rPr>
          <w:i/>
          <w:iCs/>
          <w:color w:val="000000"/>
          <w:sz w:val="26"/>
          <w:szCs w:val="26"/>
        </w:rPr>
        <w:t>Id.</w:t>
      </w:r>
      <w:r w:rsidR="001534B5" w:rsidRPr="0029748B">
        <w:rPr>
          <w:color w:val="000000"/>
          <w:sz w:val="26"/>
          <w:szCs w:val="26"/>
        </w:rPr>
        <w:t xml:space="preserve"> </w:t>
      </w:r>
    </w:p>
    <w:p w14:paraId="6589C477" w14:textId="77777777" w:rsidR="00BE0B30" w:rsidRPr="0029748B" w:rsidRDefault="00BE0B30" w:rsidP="0029748B">
      <w:pPr>
        <w:widowControl/>
        <w:spacing w:line="360" w:lineRule="auto"/>
        <w:ind w:firstLine="1440"/>
        <w:rPr>
          <w:color w:val="000000"/>
          <w:sz w:val="26"/>
          <w:szCs w:val="26"/>
        </w:rPr>
      </w:pPr>
    </w:p>
    <w:p w14:paraId="71430622" w14:textId="77777777" w:rsidR="004F239F" w:rsidRPr="0029748B" w:rsidRDefault="00BE0B30" w:rsidP="0029748B">
      <w:pPr>
        <w:widowControl/>
        <w:spacing w:line="360" w:lineRule="auto"/>
        <w:ind w:firstLine="1440"/>
        <w:rPr>
          <w:color w:val="000000"/>
          <w:sz w:val="26"/>
          <w:szCs w:val="26"/>
        </w:rPr>
      </w:pPr>
      <w:r w:rsidRPr="0029748B">
        <w:rPr>
          <w:color w:val="000000"/>
          <w:sz w:val="26"/>
          <w:szCs w:val="26"/>
        </w:rPr>
        <w:t>The</w:t>
      </w:r>
      <w:r w:rsidR="00A54783" w:rsidRPr="0029748B">
        <w:rPr>
          <w:color w:val="000000"/>
          <w:sz w:val="26"/>
          <w:szCs w:val="26"/>
        </w:rPr>
        <w:t xml:space="preserve"> ALJ concluded that I&amp;E’s calculation, based on an average percentage of the net write-offs to gross revenues for the three historic twelve-month periods</w:t>
      </w:r>
      <w:r w:rsidR="00A63D51" w:rsidRPr="0029748B">
        <w:rPr>
          <w:color w:val="000000"/>
          <w:sz w:val="26"/>
          <w:szCs w:val="26"/>
        </w:rPr>
        <w:t xml:space="preserve"> (</w:t>
      </w:r>
      <w:r w:rsidR="00A54783" w:rsidRPr="0029748B">
        <w:rPr>
          <w:color w:val="000000"/>
          <w:sz w:val="26"/>
          <w:szCs w:val="26"/>
        </w:rPr>
        <w:t>end</w:t>
      </w:r>
      <w:r w:rsidR="004F239F" w:rsidRPr="0029748B">
        <w:rPr>
          <w:color w:val="000000"/>
          <w:sz w:val="26"/>
          <w:szCs w:val="26"/>
        </w:rPr>
        <w:t>ing</w:t>
      </w:r>
      <w:r w:rsidR="00A54783" w:rsidRPr="0029748B">
        <w:rPr>
          <w:color w:val="000000"/>
          <w:sz w:val="26"/>
          <w:szCs w:val="26"/>
        </w:rPr>
        <w:t xml:space="preserve"> March 31, 2017, 2018, and 2019</w:t>
      </w:r>
      <w:r w:rsidR="00A63D51" w:rsidRPr="0029748B">
        <w:rPr>
          <w:color w:val="000000"/>
          <w:sz w:val="26"/>
          <w:szCs w:val="26"/>
        </w:rPr>
        <w:t xml:space="preserve">) </w:t>
      </w:r>
      <w:r w:rsidR="00A54783" w:rsidRPr="0029748B">
        <w:rPr>
          <w:color w:val="000000"/>
          <w:sz w:val="26"/>
          <w:szCs w:val="26"/>
        </w:rPr>
        <w:t>of increased bad debt, w</w:t>
      </w:r>
      <w:r w:rsidR="004F239F" w:rsidRPr="0029748B">
        <w:rPr>
          <w:color w:val="000000"/>
          <w:sz w:val="26"/>
          <w:szCs w:val="26"/>
        </w:rPr>
        <w:t>as</w:t>
      </w:r>
      <w:r w:rsidR="00A54783" w:rsidRPr="0029748B">
        <w:rPr>
          <w:color w:val="000000"/>
          <w:sz w:val="26"/>
          <w:szCs w:val="26"/>
        </w:rPr>
        <w:t xml:space="preserve"> a more reasonable basis </w:t>
      </w:r>
      <w:r w:rsidR="004F239F" w:rsidRPr="0029748B">
        <w:rPr>
          <w:color w:val="000000"/>
          <w:sz w:val="26"/>
          <w:szCs w:val="26"/>
        </w:rPr>
        <w:t xml:space="preserve">to calculate the bad debt expense.  The ALJ noted that I&amp;E’s calculation was more reasonable, as it relied upon </w:t>
      </w:r>
      <w:r w:rsidR="00A63D51" w:rsidRPr="0029748B">
        <w:rPr>
          <w:color w:val="000000"/>
          <w:sz w:val="26"/>
          <w:szCs w:val="26"/>
        </w:rPr>
        <w:t xml:space="preserve">the Company’s </w:t>
      </w:r>
      <w:r w:rsidR="004F239F" w:rsidRPr="0029748B">
        <w:rPr>
          <w:color w:val="000000"/>
          <w:sz w:val="26"/>
          <w:szCs w:val="26"/>
        </w:rPr>
        <w:t xml:space="preserve">actual historic experience of bad debt write-offs, rather than </w:t>
      </w:r>
      <w:r w:rsidR="00A63D51" w:rsidRPr="0029748B">
        <w:rPr>
          <w:color w:val="000000"/>
          <w:sz w:val="26"/>
          <w:szCs w:val="26"/>
        </w:rPr>
        <w:t xml:space="preserve">the hypothetical and abnormal future projection relied upon by the </w:t>
      </w:r>
      <w:r w:rsidR="004F239F" w:rsidRPr="0029748B">
        <w:rPr>
          <w:color w:val="000000"/>
          <w:sz w:val="26"/>
          <w:szCs w:val="26"/>
        </w:rPr>
        <w:t>Company</w:t>
      </w:r>
      <w:r w:rsidR="00A63D51" w:rsidRPr="0029748B">
        <w:rPr>
          <w:color w:val="000000"/>
          <w:sz w:val="26"/>
          <w:szCs w:val="26"/>
        </w:rPr>
        <w:t xml:space="preserve">. </w:t>
      </w:r>
      <w:r w:rsidR="006575D6" w:rsidRPr="0029748B">
        <w:rPr>
          <w:color w:val="000000"/>
          <w:sz w:val="26"/>
          <w:szCs w:val="26"/>
        </w:rPr>
        <w:t xml:space="preserve"> </w:t>
      </w:r>
      <w:r w:rsidR="001534B5" w:rsidRPr="0029748B">
        <w:rPr>
          <w:i/>
          <w:iCs/>
          <w:color w:val="000000"/>
          <w:sz w:val="26"/>
          <w:szCs w:val="26"/>
        </w:rPr>
        <w:t xml:space="preserve"> Id.</w:t>
      </w:r>
    </w:p>
    <w:p w14:paraId="334F3EB0" w14:textId="77777777" w:rsidR="004F239F" w:rsidRPr="0029748B" w:rsidRDefault="004F239F" w:rsidP="0029748B">
      <w:pPr>
        <w:widowControl/>
        <w:spacing w:line="360" w:lineRule="auto"/>
        <w:ind w:firstLine="1440"/>
        <w:rPr>
          <w:color w:val="000000"/>
          <w:sz w:val="26"/>
          <w:szCs w:val="26"/>
        </w:rPr>
      </w:pPr>
    </w:p>
    <w:p w14:paraId="0224B4FE" w14:textId="77777777" w:rsidR="00B53B43" w:rsidRPr="0029748B" w:rsidRDefault="00B53B43" w:rsidP="0029748B">
      <w:pPr>
        <w:widowControl/>
        <w:spacing w:line="360" w:lineRule="auto"/>
        <w:ind w:firstLine="1440"/>
        <w:rPr>
          <w:color w:val="000000"/>
          <w:sz w:val="26"/>
          <w:szCs w:val="26"/>
        </w:rPr>
      </w:pPr>
      <w:r w:rsidRPr="0029748B">
        <w:rPr>
          <w:color w:val="000000"/>
          <w:sz w:val="26"/>
          <w:szCs w:val="26"/>
        </w:rPr>
        <w:t xml:space="preserve">On that basis, the ALJ </w:t>
      </w:r>
      <w:r w:rsidR="00BE0B30" w:rsidRPr="0029748B">
        <w:rPr>
          <w:color w:val="000000"/>
          <w:sz w:val="26"/>
          <w:szCs w:val="26"/>
        </w:rPr>
        <w:t xml:space="preserve">recommended </w:t>
      </w:r>
      <w:r w:rsidRPr="0029748B">
        <w:rPr>
          <w:color w:val="000000"/>
          <w:sz w:val="26"/>
          <w:szCs w:val="26"/>
        </w:rPr>
        <w:t>adopt</w:t>
      </w:r>
      <w:r w:rsidR="00BE0B30" w:rsidRPr="0029748B">
        <w:rPr>
          <w:color w:val="000000"/>
          <w:sz w:val="26"/>
          <w:szCs w:val="26"/>
        </w:rPr>
        <w:t xml:space="preserve">ion of </w:t>
      </w:r>
      <w:r w:rsidRPr="0029748B">
        <w:rPr>
          <w:color w:val="000000"/>
          <w:sz w:val="26"/>
          <w:szCs w:val="26"/>
        </w:rPr>
        <w:t xml:space="preserve">I&amp;E’s calculation of </w:t>
      </w:r>
      <w:r w:rsidR="004F239F" w:rsidRPr="0029748B">
        <w:rPr>
          <w:color w:val="000000"/>
          <w:sz w:val="26"/>
          <w:szCs w:val="26"/>
        </w:rPr>
        <w:t xml:space="preserve">bad debt expense </w:t>
      </w:r>
      <w:r w:rsidRPr="0029748B">
        <w:rPr>
          <w:color w:val="000000"/>
          <w:sz w:val="26"/>
          <w:szCs w:val="26"/>
        </w:rPr>
        <w:t xml:space="preserve">which reduced Twin Lakes’ claimed </w:t>
      </w:r>
      <w:r w:rsidR="004F239F" w:rsidRPr="0029748B">
        <w:rPr>
          <w:color w:val="000000"/>
          <w:sz w:val="26"/>
          <w:szCs w:val="26"/>
        </w:rPr>
        <w:t>expenses in the amount of</w:t>
      </w:r>
      <w:r w:rsidRPr="0029748B">
        <w:rPr>
          <w:color w:val="000000"/>
          <w:sz w:val="26"/>
          <w:szCs w:val="26"/>
        </w:rPr>
        <w:t xml:space="preserve"> $1</w:t>
      </w:r>
      <w:r w:rsidR="004F239F" w:rsidRPr="0029748B">
        <w:rPr>
          <w:color w:val="000000"/>
          <w:sz w:val="26"/>
          <w:szCs w:val="26"/>
        </w:rPr>
        <w:t>9</w:t>
      </w:r>
      <w:r w:rsidRPr="0029748B">
        <w:rPr>
          <w:color w:val="000000"/>
          <w:sz w:val="26"/>
          <w:szCs w:val="26"/>
        </w:rPr>
        <w:t>,</w:t>
      </w:r>
      <w:r w:rsidR="004F239F" w:rsidRPr="0029748B">
        <w:rPr>
          <w:color w:val="000000"/>
          <w:sz w:val="26"/>
          <w:szCs w:val="26"/>
        </w:rPr>
        <w:t>095</w:t>
      </w:r>
      <w:r w:rsidRPr="0029748B">
        <w:rPr>
          <w:color w:val="000000"/>
          <w:sz w:val="26"/>
          <w:szCs w:val="26"/>
        </w:rPr>
        <w:t xml:space="preserve">, by </w:t>
      </w:r>
      <w:r w:rsidRPr="0029748B">
        <w:rPr>
          <w:color w:val="000000"/>
          <w:sz w:val="26"/>
          <w:szCs w:val="26"/>
        </w:rPr>
        <w:lastRenderedPageBreak/>
        <w:t>$</w:t>
      </w:r>
      <w:r w:rsidR="004F239F" w:rsidRPr="0029748B">
        <w:rPr>
          <w:color w:val="000000"/>
          <w:sz w:val="26"/>
          <w:szCs w:val="26"/>
        </w:rPr>
        <w:t>16,033</w:t>
      </w:r>
      <w:r w:rsidRPr="0029748B">
        <w:rPr>
          <w:color w:val="000000"/>
          <w:sz w:val="26"/>
          <w:szCs w:val="26"/>
        </w:rPr>
        <w:t xml:space="preserve">, for a total claim of </w:t>
      </w:r>
      <w:r w:rsidR="004F239F" w:rsidRPr="0029748B">
        <w:rPr>
          <w:color w:val="000000"/>
          <w:sz w:val="26"/>
          <w:szCs w:val="26"/>
        </w:rPr>
        <w:t xml:space="preserve">expenses </w:t>
      </w:r>
      <w:r w:rsidRPr="0029748B">
        <w:rPr>
          <w:color w:val="000000"/>
          <w:sz w:val="26"/>
          <w:szCs w:val="26"/>
        </w:rPr>
        <w:t>in the amount of $</w:t>
      </w:r>
      <w:r w:rsidR="004F239F" w:rsidRPr="0029748B">
        <w:rPr>
          <w:color w:val="000000"/>
          <w:sz w:val="26"/>
          <w:szCs w:val="26"/>
        </w:rPr>
        <w:t>3</w:t>
      </w:r>
      <w:r w:rsidRPr="0029748B">
        <w:rPr>
          <w:color w:val="000000"/>
          <w:sz w:val="26"/>
          <w:szCs w:val="26"/>
        </w:rPr>
        <w:t>,</w:t>
      </w:r>
      <w:r w:rsidR="004F239F" w:rsidRPr="0029748B">
        <w:rPr>
          <w:color w:val="000000"/>
          <w:sz w:val="26"/>
          <w:szCs w:val="26"/>
        </w:rPr>
        <w:t>062</w:t>
      </w:r>
      <w:r w:rsidRPr="0029748B">
        <w:rPr>
          <w:color w:val="000000"/>
          <w:sz w:val="26"/>
          <w:szCs w:val="26"/>
        </w:rPr>
        <w:t xml:space="preserve">, as reasonable and in the public interest. </w:t>
      </w:r>
      <w:r w:rsidR="006575D6" w:rsidRPr="0029748B">
        <w:rPr>
          <w:color w:val="000000"/>
          <w:sz w:val="26"/>
          <w:szCs w:val="26"/>
        </w:rPr>
        <w:t xml:space="preserve"> </w:t>
      </w:r>
      <w:r w:rsidRPr="0029748B">
        <w:rPr>
          <w:color w:val="000000"/>
          <w:sz w:val="26"/>
          <w:szCs w:val="26"/>
        </w:rPr>
        <w:t xml:space="preserve">R.D. at </w:t>
      </w:r>
      <w:r w:rsidR="004F239F" w:rsidRPr="0029748B">
        <w:rPr>
          <w:color w:val="000000"/>
          <w:sz w:val="26"/>
          <w:szCs w:val="26"/>
        </w:rPr>
        <w:t>42-45</w:t>
      </w:r>
      <w:r w:rsidR="00A75664" w:rsidRPr="0029748B">
        <w:rPr>
          <w:color w:val="000000"/>
          <w:sz w:val="26"/>
          <w:szCs w:val="26"/>
        </w:rPr>
        <w:t xml:space="preserve"> (</w:t>
      </w:r>
      <w:r w:rsidRPr="0029748B">
        <w:rPr>
          <w:color w:val="000000"/>
          <w:sz w:val="26"/>
          <w:szCs w:val="26"/>
        </w:rPr>
        <w:t>citing</w:t>
      </w:r>
      <w:r w:rsidR="00A75664" w:rsidRPr="0029748B">
        <w:rPr>
          <w:color w:val="000000"/>
          <w:sz w:val="26"/>
          <w:szCs w:val="26"/>
        </w:rPr>
        <w:t xml:space="preserve"> </w:t>
      </w:r>
      <w:r w:rsidRPr="0029748B">
        <w:rPr>
          <w:color w:val="000000"/>
          <w:sz w:val="26"/>
          <w:szCs w:val="26"/>
        </w:rPr>
        <w:t>I&amp;E M</w:t>
      </w:r>
      <w:r w:rsidR="00A75664" w:rsidRPr="0029748B">
        <w:rPr>
          <w:color w:val="000000"/>
          <w:sz w:val="26"/>
          <w:szCs w:val="26"/>
        </w:rPr>
        <w:t>.</w:t>
      </w:r>
      <w:r w:rsidRPr="0029748B">
        <w:rPr>
          <w:color w:val="000000"/>
          <w:sz w:val="26"/>
          <w:szCs w:val="26"/>
        </w:rPr>
        <w:t>B</w:t>
      </w:r>
      <w:r w:rsidR="00A75664" w:rsidRPr="0029748B">
        <w:rPr>
          <w:color w:val="000000"/>
          <w:sz w:val="26"/>
          <w:szCs w:val="26"/>
        </w:rPr>
        <w:t>.</w:t>
      </w:r>
      <w:r w:rsidRPr="0029748B">
        <w:rPr>
          <w:color w:val="000000"/>
          <w:sz w:val="26"/>
          <w:szCs w:val="26"/>
        </w:rPr>
        <w:t xml:space="preserve"> at </w:t>
      </w:r>
      <w:r w:rsidR="004F239F" w:rsidRPr="0029748B">
        <w:rPr>
          <w:color w:val="000000"/>
          <w:sz w:val="26"/>
          <w:szCs w:val="26"/>
        </w:rPr>
        <w:t>29-3;</w:t>
      </w:r>
      <w:r w:rsidRPr="0029748B">
        <w:rPr>
          <w:color w:val="000000"/>
          <w:sz w:val="26"/>
          <w:szCs w:val="26"/>
        </w:rPr>
        <w:t xml:space="preserve"> OCA M</w:t>
      </w:r>
      <w:r w:rsidR="00A75664" w:rsidRPr="0029748B">
        <w:rPr>
          <w:color w:val="000000"/>
          <w:sz w:val="26"/>
          <w:szCs w:val="26"/>
        </w:rPr>
        <w:t>.</w:t>
      </w:r>
      <w:r w:rsidRPr="0029748B">
        <w:rPr>
          <w:color w:val="000000"/>
          <w:sz w:val="26"/>
          <w:szCs w:val="26"/>
        </w:rPr>
        <w:t>B</w:t>
      </w:r>
      <w:r w:rsidR="00A75664" w:rsidRPr="0029748B">
        <w:rPr>
          <w:color w:val="000000"/>
          <w:sz w:val="26"/>
          <w:szCs w:val="26"/>
        </w:rPr>
        <w:t>.</w:t>
      </w:r>
      <w:r w:rsidRPr="0029748B">
        <w:rPr>
          <w:color w:val="000000"/>
          <w:sz w:val="26"/>
          <w:szCs w:val="26"/>
        </w:rPr>
        <w:t xml:space="preserve"> at </w:t>
      </w:r>
      <w:r w:rsidR="004F239F" w:rsidRPr="0029748B">
        <w:rPr>
          <w:color w:val="000000"/>
          <w:sz w:val="26"/>
          <w:szCs w:val="26"/>
        </w:rPr>
        <w:t>15-17</w:t>
      </w:r>
      <w:r w:rsidR="00A75664" w:rsidRPr="0029748B">
        <w:rPr>
          <w:color w:val="000000"/>
          <w:sz w:val="26"/>
          <w:szCs w:val="26"/>
        </w:rPr>
        <w:t>)</w:t>
      </w:r>
      <w:r w:rsidRPr="0029748B">
        <w:rPr>
          <w:color w:val="000000"/>
          <w:sz w:val="26"/>
          <w:szCs w:val="26"/>
        </w:rPr>
        <w:t xml:space="preserve">. </w:t>
      </w:r>
    </w:p>
    <w:p w14:paraId="55401996" w14:textId="77777777" w:rsidR="00B53B43" w:rsidRPr="0029748B" w:rsidRDefault="00B53B43" w:rsidP="0029748B">
      <w:pPr>
        <w:widowControl/>
        <w:tabs>
          <w:tab w:val="left" w:pos="1512"/>
        </w:tabs>
        <w:spacing w:line="360" w:lineRule="auto"/>
        <w:ind w:left="1512" w:right="72"/>
        <w:contextualSpacing/>
        <w:textAlignment w:val="baseline"/>
        <w:rPr>
          <w:color w:val="000000"/>
          <w:sz w:val="26"/>
          <w:szCs w:val="26"/>
        </w:rPr>
      </w:pPr>
    </w:p>
    <w:p w14:paraId="17227ADF" w14:textId="77777777" w:rsidR="00815418" w:rsidRPr="0029748B" w:rsidRDefault="004E4396" w:rsidP="0029748B">
      <w:pPr>
        <w:pStyle w:val="ListParagraph"/>
        <w:widowControl/>
        <w:numPr>
          <w:ilvl w:val="0"/>
          <w:numId w:val="3"/>
        </w:numPr>
        <w:spacing w:line="360" w:lineRule="auto"/>
        <w:ind w:left="720" w:hanging="720"/>
        <w:textAlignment w:val="baseline"/>
        <w:outlineLvl w:val="1"/>
        <w:rPr>
          <w:b/>
          <w:color w:val="000000"/>
          <w:sz w:val="26"/>
          <w:szCs w:val="26"/>
        </w:rPr>
      </w:pPr>
      <w:bookmarkStart w:id="18" w:name="_Toc34999594"/>
      <w:r w:rsidRPr="0029748B">
        <w:rPr>
          <w:b/>
          <w:color w:val="000000"/>
          <w:sz w:val="26"/>
          <w:szCs w:val="26"/>
        </w:rPr>
        <w:t xml:space="preserve"> </w:t>
      </w:r>
      <w:bookmarkStart w:id="19" w:name="_Toc35324689"/>
      <w:bookmarkStart w:id="20" w:name="_Toc35328843"/>
      <w:r w:rsidR="007128E3" w:rsidRPr="0029748B">
        <w:rPr>
          <w:b/>
          <w:color w:val="000000"/>
          <w:sz w:val="26"/>
          <w:szCs w:val="26"/>
        </w:rPr>
        <w:t>Capital Structure</w:t>
      </w:r>
      <w:bookmarkEnd w:id="18"/>
      <w:bookmarkEnd w:id="19"/>
      <w:bookmarkEnd w:id="20"/>
    </w:p>
    <w:p w14:paraId="20D06C4B" w14:textId="77777777" w:rsidR="00815418" w:rsidRPr="0029748B" w:rsidRDefault="00815418" w:rsidP="0029748B">
      <w:pPr>
        <w:pStyle w:val="ListParagraph"/>
        <w:widowControl/>
        <w:spacing w:line="360" w:lineRule="auto"/>
        <w:ind w:left="1152" w:right="72"/>
        <w:textAlignment w:val="baseline"/>
        <w:outlineLvl w:val="1"/>
        <w:rPr>
          <w:b/>
          <w:color w:val="000000"/>
          <w:sz w:val="26"/>
          <w:szCs w:val="26"/>
        </w:rPr>
      </w:pPr>
    </w:p>
    <w:p w14:paraId="76D74452" w14:textId="77777777" w:rsidR="00EC6C06" w:rsidRPr="0029748B" w:rsidRDefault="00EC6C06" w:rsidP="0029748B">
      <w:pPr>
        <w:widowControl/>
        <w:spacing w:line="360" w:lineRule="auto"/>
        <w:ind w:firstLine="1440"/>
        <w:rPr>
          <w:color w:val="000000"/>
          <w:sz w:val="26"/>
          <w:szCs w:val="26"/>
        </w:rPr>
      </w:pPr>
      <w:r w:rsidRPr="0029748B">
        <w:rPr>
          <w:color w:val="000000"/>
          <w:sz w:val="26"/>
          <w:szCs w:val="26"/>
        </w:rPr>
        <w:t xml:space="preserve">The ALJ recommended adoption of the </w:t>
      </w:r>
      <w:r w:rsidR="006575D6" w:rsidRPr="0029748B">
        <w:rPr>
          <w:color w:val="000000"/>
          <w:sz w:val="26"/>
          <w:szCs w:val="26"/>
        </w:rPr>
        <w:t>P</w:t>
      </w:r>
      <w:r w:rsidRPr="0029748B">
        <w:rPr>
          <w:color w:val="000000"/>
          <w:sz w:val="26"/>
          <w:szCs w:val="26"/>
        </w:rPr>
        <w:t xml:space="preserve">arties’ position that </w:t>
      </w:r>
      <w:r w:rsidR="002D658B" w:rsidRPr="0029748B">
        <w:rPr>
          <w:color w:val="000000"/>
          <w:sz w:val="26"/>
          <w:szCs w:val="26"/>
        </w:rPr>
        <w:t xml:space="preserve">Twin Lakes’ proposed </w:t>
      </w:r>
      <w:r w:rsidRPr="0029748B">
        <w:rPr>
          <w:color w:val="000000"/>
          <w:sz w:val="26"/>
          <w:szCs w:val="26"/>
        </w:rPr>
        <w:t xml:space="preserve">Capital Structure based on 50% debt and 50% equity </w:t>
      </w:r>
      <w:r w:rsidR="002D658B" w:rsidRPr="0029748B">
        <w:rPr>
          <w:color w:val="000000"/>
          <w:sz w:val="26"/>
          <w:szCs w:val="26"/>
        </w:rPr>
        <w:t>is appropriate.  The ALJ further recommend</w:t>
      </w:r>
      <w:r w:rsidR="00BE0B30" w:rsidRPr="0029748B">
        <w:rPr>
          <w:color w:val="000000"/>
          <w:sz w:val="26"/>
          <w:szCs w:val="26"/>
        </w:rPr>
        <w:t>ed</w:t>
      </w:r>
      <w:r w:rsidR="002D658B" w:rsidRPr="0029748B">
        <w:rPr>
          <w:color w:val="000000"/>
          <w:sz w:val="26"/>
          <w:szCs w:val="26"/>
        </w:rPr>
        <w:t xml:space="preserve"> </w:t>
      </w:r>
      <w:r w:rsidR="0035671A" w:rsidRPr="0029748B">
        <w:rPr>
          <w:color w:val="000000"/>
          <w:sz w:val="26"/>
          <w:szCs w:val="26"/>
        </w:rPr>
        <w:t xml:space="preserve">that the </w:t>
      </w:r>
      <w:r w:rsidRPr="0029748B">
        <w:rPr>
          <w:color w:val="000000"/>
          <w:sz w:val="26"/>
          <w:szCs w:val="26"/>
        </w:rPr>
        <w:t xml:space="preserve">cost of debt </w:t>
      </w:r>
      <w:r w:rsidR="002D658B" w:rsidRPr="0029748B">
        <w:rPr>
          <w:color w:val="000000"/>
          <w:sz w:val="26"/>
          <w:szCs w:val="26"/>
        </w:rPr>
        <w:t xml:space="preserve">be fixed at </w:t>
      </w:r>
      <w:r w:rsidRPr="0029748B">
        <w:rPr>
          <w:color w:val="000000"/>
          <w:sz w:val="26"/>
          <w:szCs w:val="26"/>
        </w:rPr>
        <w:t xml:space="preserve">7.0% </w:t>
      </w:r>
      <w:r w:rsidR="002D658B" w:rsidRPr="0029748B">
        <w:rPr>
          <w:color w:val="000000"/>
          <w:sz w:val="26"/>
          <w:szCs w:val="26"/>
        </w:rPr>
        <w:t xml:space="preserve">in recognition of </w:t>
      </w:r>
      <w:r w:rsidRPr="0029748B">
        <w:rPr>
          <w:color w:val="000000"/>
          <w:sz w:val="26"/>
          <w:szCs w:val="26"/>
        </w:rPr>
        <w:t>the Company’s inability to obtain credit as a stand-alone entity</w:t>
      </w:r>
      <w:r w:rsidR="0035671A" w:rsidRPr="0029748B">
        <w:rPr>
          <w:color w:val="000000"/>
          <w:sz w:val="26"/>
          <w:szCs w:val="26"/>
        </w:rPr>
        <w:t xml:space="preserve">. </w:t>
      </w:r>
      <w:r w:rsidR="00CC3AB9" w:rsidRPr="0029748B">
        <w:rPr>
          <w:color w:val="000000"/>
          <w:sz w:val="26"/>
          <w:szCs w:val="26"/>
        </w:rPr>
        <w:t xml:space="preserve"> R.D. at 76-77.</w:t>
      </w:r>
    </w:p>
    <w:p w14:paraId="3B64FE24" w14:textId="77777777" w:rsidR="00EC6C06" w:rsidRPr="0029748B" w:rsidRDefault="00EC6C06" w:rsidP="0029748B">
      <w:pPr>
        <w:widowControl/>
        <w:spacing w:line="360" w:lineRule="auto"/>
        <w:ind w:firstLine="1440"/>
        <w:rPr>
          <w:color w:val="000000"/>
          <w:sz w:val="26"/>
          <w:szCs w:val="26"/>
        </w:rPr>
      </w:pPr>
    </w:p>
    <w:p w14:paraId="2C768AC3" w14:textId="77777777" w:rsidR="0047316B" w:rsidRPr="0029748B" w:rsidRDefault="00EC6C06" w:rsidP="0029748B">
      <w:pPr>
        <w:widowControl/>
        <w:spacing w:line="360" w:lineRule="auto"/>
        <w:ind w:firstLine="1440"/>
        <w:rPr>
          <w:color w:val="000000"/>
          <w:sz w:val="26"/>
          <w:szCs w:val="26"/>
        </w:rPr>
      </w:pPr>
      <w:r w:rsidRPr="0029748B">
        <w:rPr>
          <w:color w:val="000000"/>
          <w:sz w:val="26"/>
          <w:szCs w:val="26"/>
        </w:rPr>
        <w:t xml:space="preserve">The ALJ </w:t>
      </w:r>
      <w:r w:rsidR="0035671A" w:rsidRPr="0029748B">
        <w:rPr>
          <w:color w:val="000000"/>
          <w:sz w:val="26"/>
          <w:szCs w:val="26"/>
        </w:rPr>
        <w:t xml:space="preserve">considered </w:t>
      </w:r>
      <w:r w:rsidR="00A75664" w:rsidRPr="0029748B">
        <w:rPr>
          <w:color w:val="000000"/>
          <w:sz w:val="26"/>
          <w:szCs w:val="26"/>
        </w:rPr>
        <w:t xml:space="preserve">that </w:t>
      </w:r>
      <w:r w:rsidRPr="0029748B">
        <w:rPr>
          <w:color w:val="000000"/>
          <w:sz w:val="26"/>
          <w:szCs w:val="26"/>
        </w:rPr>
        <w:t>the Company</w:t>
      </w:r>
      <w:r w:rsidR="00A75664" w:rsidRPr="0029748B">
        <w:rPr>
          <w:color w:val="000000"/>
          <w:sz w:val="26"/>
          <w:szCs w:val="26"/>
        </w:rPr>
        <w:t xml:space="preserve"> </w:t>
      </w:r>
      <w:r w:rsidR="002D658B" w:rsidRPr="0029748B">
        <w:rPr>
          <w:color w:val="000000"/>
          <w:sz w:val="26"/>
          <w:szCs w:val="26"/>
        </w:rPr>
        <w:t>propose</w:t>
      </w:r>
      <w:r w:rsidR="00A75664" w:rsidRPr="0029748B">
        <w:rPr>
          <w:color w:val="000000"/>
          <w:sz w:val="26"/>
          <w:szCs w:val="26"/>
        </w:rPr>
        <w:t>d</w:t>
      </w:r>
      <w:r w:rsidR="002D658B" w:rsidRPr="0029748B">
        <w:rPr>
          <w:color w:val="000000"/>
          <w:sz w:val="26"/>
          <w:szCs w:val="26"/>
        </w:rPr>
        <w:t xml:space="preserve"> </w:t>
      </w:r>
      <w:r w:rsidR="00A75664" w:rsidRPr="0029748B">
        <w:rPr>
          <w:color w:val="000000"/>
          <w:sz w:val="26"/>
          <w:szCs w:val="26"/>
        </w:rPr>
        <w:t xml:space="preserve">a </w:t>
      </w:r>
      <w:r w:rsidR="002D658B" w:rsidRPr="0029748B">
        <w:rPr>
          <w:color w:val="000000"/>
          <w:sz w:val="26"/>
          <w:szCs w:val="26"/>
        </w:rPr>
        <w:t xml:space="preserve">capital structure of 50% long term debt and 50% common equity based </w:t>
      </w:r>
      <w:r w:rsidR="0035671A" w:rsidRPr="0029748B">
        <w:rPr>
          <w:color w:val="000000"/>
          <w:sz w:val="26"/>
          <w:szCs w:val="26"/>
        </w:rPr>
        <w:t xml:space="preserve">on the assertion that it is the </w:t>
      </w:r>
      <w:r w:rsidR="002D658B" w:rsidRPr="0029748B">
        <w:rPr>
          <w:color w:val="000000"/>
          <w:sz w:val="26"/>
          <w:szCs w:val="26"/>
        </w:rPr>
        <w:t>current commonly accepted water industry practice.  Twin Lakes</w:t>
      </w:r>
      <w:r w:rsidR="00BE0B30" w:rsidRPr="0029748B">
        <w:rPr>
          <w:color w:val="000000"/>
          <w:sz w:val="26"/>
          <w:szCs w:val="26"/>
        </w:rPr>
        <w:t>’</w:t>
      </w:r>
      <w:r w:rsidR="002D658B" w:rsidRPr="0029748B">
        <w:rPr>
          <w:color w:val="000000"/>
          <w:sz w:val="26"/>
          <w:szCs w:val="26"/>
        </w:rPr>
        <w:t xml:space="preserve"> proposal to use an embedded long</w:t>
      </w:r>
      <w:r w:rsidR="0047316B" w:rsidRPr="0029748B">
        <w:rPr>
          <w:color w:val="000000"/>
          <w:sz w:val="26"/>
          <w:szCs w:val="26"/>
        </w:rPr>
        <w:t>-</w:t>
      </w:r>
      <w:r w:rsidR="002D658B" w:rsidRPr="0029748B">
        <w:rPr>
          <w:color w:val="000000"/>
          <w:sz w:val="26"/>
          <w:szCs w:val="26"/>
        </w:rPr>
        <w:t>term debt cost rate of 7.0% at March 31, 2019, is based on the Company’s inability to obtain</w:t>
      </w:r>
      <w:r w:rsidR="0047316B" w:rsidRPr="0029748B">
        <w:rPr>
          <w:color w:val="000000"/>
          <w:sz w:val="26"/>
          <w:szCs w:val="26"/>
        </w:rPr>
        <w:t xml:space="preserve"> long term credi</w:t>
      </w:r>
      <w:r w:rsidR="0035671A" w:rsidRPr="0029748B">
        <w:rPr>
          <w:color w:val="000000"/>
          <w:sz w:val="26"/>
          <w:szCs w:val="26"/>
        </w:rPr>
        <w:t>t as a stand-alone entity, apart from its parent entity, Middlesex</w:t>
      </w:r>
      <w:r w:rsidR="006575D6" w:rsidRPr="0029748B">
        <w:rPr>
          <w:color w:val="000000"/>
          <w:sz w:val="26"/>
          <w:szCs w:val="26"/>
        </w:rPr>
        <w:t xml:space="preserve"> </w:t>
      </w:r>
      <w:r w:rsidR="001451B8" w:rsidRPr="0029748B">
        <w:rPr>
          <w:color w:val="000000"/>
          <w:sz w:val="26"/>
          <w:szCs w:val="26"/>
        </w:rPr>
        <w:t>Water Company (Middlesex)</w:t>
      </w:r>
      <w:r w:rsidR="0047316B" w:rsidRPr="0029748B">
        <w:rPr>
          <w:color w:val="000000"/>
          <w:sz w:val="26"/>
          <w:szCs w:val="26"/>
        </w:rPr>
        <w:t xml:space="preserve">. </w:t>
      </w:r>
      <w:r w:rsidR="002D658B" w:rsidRPr="0029748B">
        <w:rPr>
          <w:color w:val="000000"/>
          <w:sz w:val="26"/>
          <w:szCs w:val="26"/>
        </w:rPr>
        <w:t xml:space="preserve"> </w:t>
      </w:r>
      <w:r w:rsidR="0047316B" w:rsidRPr="0029748B">
        <w:rPr>
          <w:color w:val="000000"/>
          <w:sz w:val="26"/>
          <w:szCs w:val="26"/>
        </w:rPr>
        <w:t xml:space="preserve">R.D. at </w:t>
      </w:r>
      <w:r w:rsidR="0035671A" w:rsidRPr="0029748B">
        <w:rPr>
          <w:color w:val="000000"/>
          <w:sz w:val="26"/>
          <w:szCs w:val="26"/>
        </w:rPr>
        <w:t>75</w:t>
      </w:r>
      <w:r w:rsidR="00A75664" w:rsidRPr="0029748B">
        <w:rPr>
          <w:color w:val="000000"/>
          <w:sz w:val="26"/>
          <w:szCs w:val="26"/>
        </w:rPr>
        <w:t xml:space="preserve"> (</w:t>
      </w:r>
      <w:r w:rsidR="0047316B" w:rsidRPr="0029748B">
        <w:rPr>
          <w:color w:val="000000"/>
          <w:sz w:val="26"/>
          <w:szCs w:val="26"/>
        </w:rPr>
        <w:t>citing</w:t>
      </w:r>
      <w:r w:rsidR="00A75664" w:rsidRPr="0029748B">
        <w:rPr>
          <w:color w:val="000000"/>
          <w:sz w:val="26"/>
          <w:szCs w:val="26"/>
        </w:rPr>
        <w:t xml:space="preserve"> </w:t>
      </w:r>
      <w:r w:rsidR="0035671A" w:rsidRPr="0029748B">
        <w:rPr>
          <w:color w:val="000000"/>
          <w:sz w:val="26"/>
          <w:szCs w:val="26"/>
        </w:rPr>
        <w:t>TLU M</w:t>
      </w:r>
      <w:r w:rsidR="00A75664" w:rsidRPr="0029748B">
        <w:rPr>
          <w:color w:val="000000"/>
          <w:sz w:val="26"/>
          <w:szCs w:val="26"/>
        </w:rPr>
        <w:t>.</w:t>
      </w:r>
      <w:r w:rsidR="0035671A" w:rsidRPr="0029748B">
        <w:rPr>
          <w:color w:val="000000"/>
          <w:sz w:val="26"/>
          <w:szCs w:val="26"/>
        </w:rPr>
        <w:t>B</w:t>
      </w:r>
      <w:r w:rsidR="00A75664" w:rsidRPr="0029748B">
        <w:rPr>
          <w:color w:val="000000"/>
          <w:sz w:val="26"/>
          <w:szCs w:val="26"/>
        </w:rPr>
        <w:t>.</w:t>
      </w:r>
      <w:r w:rsidR="0035671A" w:rsidRPr="0029748B">
        <w:rPr>
          <w:color w:val="000000"/>
          <w:sz w:val="26"/>
          <w:szCs w:val="26"/>
        </w:rPr>
        <w:t xml:space="preserve"> 11-12</w:t>
      </w:r>
      <w:r w:rsidR="00A75664" w:rsidRPr="0029748B">
        <w:rPr>
          <w:color w:val="000000"/>
          <w:sz w:val="26"/>
          <w:szCs w:val="26"/>
        </w:rPr>
        <w:t>)</w:t>
      </w:r>
      <w:r w:rsidR="0035671A" w:rsidRPr="0029748B">
        <w:rPr>
          <w:color w:val="000000"/>
          <w:sz w:val="26"/>
          <w:szCs w:val="26"/>
        </w:rPr>
        <w:t>.</w:t>
      </w:r>
    </w:p>
    <w:p w14:paraId="5AB632F4" w14:textId="77777777" w:rsidR="00EC6C06" w:rsidRPr="0029748B" w:rsidRDefault="00EC6C06" w:rsidP="0029748B">
      <w:pPr>
        <w:widowControl/>
        <w:spacing w:line="360" w:lineRule="auto"/>
        <w:ind w:firstLine="1440"/>
        <w:rPr>
          <w:color w:val="000000"/>
          <w:sz w:val="26"/>
          <w:szCs w:val="26"/>
        </w:rPr>
      </w:pPr>
    </w:p>
    <w:p w14:paraId="1ACDABDC" w14:textId="77777777" w:rsidR="0035671A" w:rsidRPr="0029748B" w:rsidRDefault="0047316B" w:rsidP="0029748B">
      <w:pPr>
        <w:widowControl/>
        <w:spacing w:line="360" w:lineRule="auto"/>
        <w:ind w:firstLine="1440"/>
        <w:rPr>
          <w:color w:val="000000"/>
          <w:sz w:val="26"/>
          <w:szCs w:val="26"/>
        </w:rPr>
      </w:pPr>
      <w:r w:rsidRPr="0029748B">
        <w:rPr>
          <w:color w:val="000000"/>
          <w:sz w:val="26"/>
          <w:szCs w:val="26"/>
        </w:rPr>
        <w:t>The ALJ noted that I&amp;E and the OCA agree</w:t>
      </w:r>
      <w:r w:rsidR="00A75664" w:rsidRPr="0029748B">
        <w:rPr>
          <w:color w:val="000000"/>
          <w:sz w:val="26"/>
          <w:szCs w:val="26"/>
        </w:rPr>
        <w:t>d</w:t>
      </w:r>
      <w:r w:rsidRPr="0029748B">
        <w:rPr>
          <w:color w:val="000000"/>
          <w:sz w:val="26"/>
          <w:szCs w:val="26"/>
        </w:rPr>
        <w:t xml:space="preserve"> that the Company’s proposed capital structure is reasonable.  I&amp;E agree</w:t>
      </w:r>
      <w:r w:rsidR="00A75664" w:rsidRPr="0029748B">
        <w:rPr>
          <w:color w:val="000000"/>
          <w:sz w:val="26"/>
          <w:szCs w:val="26"/>
        </w:rPr>
        <w:t>d</w:t>
      </w:r>
      <w:r w:rsidRPr="0029748B">
        <w:rPr>
          <w:color w:val="000000"/>
          <w:sz w:val="26"/>
          <w:szCs w:val="26"/>
        </w:rPr>
        <w:t xml:space="preserve"> based on I&amp;E’s expert’s comparison of the range of </w:t>
      </w:r>
      <w:r w:rsidR="006575D6" w:rsidRPr="0029748B">
        <w:rPr>
          <w:color w:val="000000"/>
          <w:sz w:val="26"/>
          <w:szCs w:val="26"/>
        </w:rPr>
        <w:t>c</w:t>
      </w:r>
      <w:r w:rsidRPr="0029748B">
        <w:rPr>
          <w:color w:val="000000"/>
          <w:sz w:val="26"/>
          <w:szCs w:val="26"/>
        </w:rPr>
        <w:t xml:space="preserve">apital </w:t>
      </w:r>
      <w:r w:rsidR="006575D6" w:rsidRPr="0029748B">
        <w:rPr>
          <w:color w:val="000000"/>
          <w:sz w:val="26"/>
          <w:szCs w:val="26"/>
        </w:rPr>
        <w:t>s</w:t>
      </w:r>
      <w:r w:rsidRPr="0029748B">
        <w:rPr>
          <w:color w:val="000000"/>
          <w:sz w:val="26"/>
          <w:szCs w:val="26"/>
        </w:rPr>
        <w:t xml:space="preserve">tructure employed by </w:t>
      </w:r>
      <w:r w:rsidR="00E679BE" w:rsidRPr="0029748B">
        <w:rPr>
          <w:color w:val="000000"/>
          <w:sz w:val="26"/>
          <w:szCs w:val="26"/>
        </w:rPr>
        <w:t>the</w:t>
      </w:r>
      <w:r w:rsidR="00B9620A" w:rsidRPr="0029748B">
        <w:rPr>
          <w:color w:val="000000"/>
          <w:sz w:val="26"/>
          <w:szCs w:val="26"/>
        </w:rPr>
        <w:t xml:space="preserve"> </w:t>
      </w:r>
      <w:r w:rsidRPr="0029748B">
        <w:rPr>
          <w:color w:val="000000"/>
          <w:sz w:val="26"/>
          <w:szCs w:val="26"/>
        </w:rPr>
        <w:t>proxy group of similarly situated water utilities</w:t>
      </w:r>
      <w:r w:rsidR="00BE0B30" w:rsidRPr="0029748B">
        <w:rPr>
          <w:color w:val="000000"/>
          <w:sz w:val="26"/>
          <w:szCs w:val="26"/>
        </w:rPr>
        <w:t xml:space="preserve">. I&amp;E noted that </w:t>
      </w:r>
      <w:r w:rsidRPr="0029748B">
        <w:rPr>
          <w:color w:val="000000"/>
          <w:sz w:val="26"/>
          <w:szCs w:val="26"/>
        </w:rPr>
        <w:t xml:space="preserve">the use of data exclusively from one company may be less reliable than using data from a </w:t>
      </w:r>
      <w:r w:rsidR="00BE0B30" w:rsidRPr="0029748B">
        <w:rPr>
          <w:color w:val="000000"/>
          <w:sz w:val="26"/>
          <w:szCs w:val="26"/>
        </w:rPr>
        <w:t xml:space="preserve">proxy </w:t>
      </w:r>
      <w:r w:rsidRPr="0029748B">
        <w:rPr>
          <w:color w:val="000000"/>
          <w:sz w:val="26"/>
          <w:szCs w:val="26"/>
        </w:rPr>
        <w:t xml:space="preserve">group of companies.  </w:t>
      </w:r>
      <w:r w:rsidR="007A2949" w:rsidRPr="0029748B">
        <w:rPr>
          <w:color w:val="000000"/>
          <w:sz w:val="26"/>
          <w:szCs w:val="26"/>
        </w:rPr>
        <w:t xml:space="preserve">The </w:t>
      </w:r>
      <w:r w:rsidRPr="0029748B">
        <w:rPr>
          <w:color w:val="000000"/>
          <w:sz w:val="26"/>
          <w:szCs w:val="26"/>
        </w:rPr>
        <w:t>OCA agree</w:t>
      </w:r>
      <w:r w:rsidR="00BE0B30" w:rsidRPr="0029748B">
        <w:rPr>
          <w:color w:val="000000"/>
          <w:sz w:val="26"/>
          <w:szCs w:val="26"/>
        </w:rPr>
        <w:t>d</w:t>
      </w:r>
      <w:r w:rsidRPr="0029748B">
        <w:rPr>
          <w:color w:val="000000"/>
          <w:sz w:val="26"/>
          <w:szCs w:val="26"/>
        </w:rPr>
        <w:t xml:space="preserve"> that the proposed capital structure is reasonable based on an analysis of </w:t>
      </w:r>
      <w:r w:rsidR="0035671A" w:rsidRPr="0029748B">
        <w:rPr>
          <w:color w:val="000000"/>
          <w:sz w:val="26"/>
          <w:szCs w:val="26"/>
        </w:rPr>
        <w:t xml:space="preserve">the </w:t>
      </w:r>
      <w:r w:rsidRPr="0029748B">
        <w:rPr>
          <w:color w:val="000000"/>
          <w:sz w:val="26"/>
          <w:szCs w:val="26"/>
        </w:rPr>
        <w:t xml:space="preserve">proxy group, </w:t>
      </w:r>
      <w:r w:rsidR="00BE0B30" w:rsidRPr="0029748B">
        <w:rPr>
          <w:color w:val="000000"/>
          <w:sz w:val="26"/>
          <w:szCs w:val="26"/>
        </w:rPr>
        <w:t xml:space="preserve">and </w:t>
      </w:r>
      <w:r w:rsidRPr="0029748B">
        <w:rPr>
          <w:color w:val="000000"/>
          <w:sz w:val="26"/>
          <w:szCs w:val="26"/>
        </w:rPr>
        <w:t xml:space="preserve">further concurred on the basis that it is </w:t>
      </w:r>
      <w:r w:rsidR="00216A06" w:rsidRPr="0029748B">
        <w:rPr>
          <w:color w:val="000000"/>
          <w:sz w:val="26"/>
          <w:szCs w:val="26"/>
        </w:rPr>
        <w:t xml:space="preserve">consistent with </w:t>
      </w:r>
      <w:r w:rsidRPr="0029748B">
        <w:rPr>
          <w:color w:val="000000"/>
          <w:sz w:val="26"/>
          <w:szCs w:val="26"/>
        </w:rPr>
        <w:t xml:space="preserve">the capital structure ratios used by </w:t>
      </w:r>
      <w:r w:rsidR="0035671A" w:rsidRPr="0029748B">
        <w:rPr>
          <w:color w:val="000000"/>
          <w:sz w:val="26"/>
          <w:szCs w:val="26"/>
        </w:rPr>
        <w:t xml:space="preserve">the Company’s </w:t>
      </w:r>
      <w:r w:rsidRPr="0029748B">
        <w:rPr>
          <w:color w:val="000000"/>
          <w:sz w:val="26"/>
          <w:szCs w:val="26"/>
        </w:rPr>
        <w:t>parent, Middlesex.</w:t>
      </w:r>
      <w:r w:rsidR="006575D6" w:rsidRPr="0029748B">
        <w:rPr>
          <w:color w:val="000000"/>
          <w:sz w:val="26"/>
          <w:szCs w:val="26"/>
        </w:rPr>
        <w:t xml:space="preserve"> </w:t>
      </w:r>
      <w:r w:rsidR="0035671A" w:rsidRPr="0029748B">
        <w:rPr>
          <w:color w:val="000000"/>
          <w:sz w:val="26"/>
          <w:szCs w:val="26"/>
        </w:rPr>
        <w:t xml:space="preserve"> R.D. at 75</w:t>
      </w:r>
      <w:r w:rsidR="00A75664" w:rsidRPr="0029748B">
        <w:rPr>
          <w:color w:val="000000"/>
          <w:sz w:val="26"/>
          <w:szCs w:val="26"/>
        </w:rPr>
        <w:t xml:space="preserve"> (</w:t>
      </w:r>
      <w:r w:rsidR="0035671A" w:rsidRPr="0029748B">
        <w:rPr>
          <w:color w:val="000000"/>
          <w:sz w:val="26"/>
          <w:szCs w:val="26"/>
        </w:rPr>
        <w:t>citing</w:t>
      </w:r>
      <w:r w:rsidR="00A75664" w:rsidRPr="0029748B">
        <w:rPr>
          <w:color w:val="000000"/>
          <w:sz w:val="26"/>
          <w:szCs w:val="26"/>
        </w:rPr>
        <w:t xml:space="preserve"> </w:t>
      </w:r>
      <w:r w:rsidR="0035671A" w:rsidRPr="0029748B">
        <w:rPr>
          <w:color w:val="000000"/>
          <w:sz w:val="26"/>
          <w:szCs w:val="26"/>
        </w:rPr>
        <w:t>I&amp;E M</w:t>
      </w:r>
      <w:r w:rsidR="00A75664" w:rsidRPr="0029748B">
        <w:rPr>
          <w:color w:val="000000"/>
          <w:sz w:val="26"/>
          <w:szCs w:val="26"/>
        </w:rPr>
        <w:t>.</w:t>
      </w:r>
      <w:r w:rsidR="0035671A" w:rsidRPr="0029748B">
        <w:rPr>
          <w:color w:val="000000"/>
          <w:sz w:val="26"/>
          <w:szCs w:val="26"/>
        </w:rPr>
        <w:t>B</w:t>
      </w:r>
      <w:r w:rsidR="00A75664" w:rsidRPr="0029748B">
        <w:rPr>
          <w:color w:val="000000"/>
          <w:sz w:val="26"/>
          <w:szCs w:val="26"/>
        </w:rPr>
        <w:t>.</w:t>
      </w:r>
      <w:r w:rsidR="0035671A" w:rsidRPr="0029748B">
        <w:rPr>
          <w:color w:val="000000"/>
          <w:sz w:val="26"/>
          <w:szCs w:val="26"/>
        </w:rPr>
        <w:t xml:space="preserve"> at </w:t>
      </w:r>
      <w:r w:rsidR="00216A06" w:rsidRPr="0029748B">
        <w:rPr>
          <w:color w:val="000000"/>
          <w:sz w:val="26"/>
          <w:szCs w:val="26"/>
        </w:rPr>
        <w:t>40</w:t>
      </w:r>
      <w:r w:rsidR="0035671A" w:rsidRPr="0029748B">
        <w:rPr>
          <w:color w:val="000000"/>
          <w:sz w:val="26"/>
          <w:szCs w:val="26"/>
        </w:rPr>
        <w:t>; OCA M</w:t>
      </w:r>
      <w:r w:rsidR="00A75664" w:rsidRPr="0029748B">
        <w:rPr>
          <w:color w:val="000000"/>
          <w:sz w:val="26"/>
          <w:szCs w:val="26"/>
        </w:rPr>
        <w:t>.</w:t>
      </w:r>
      <w:r w:rsidR="0035671A" w:rsidRPr="0029748B">
        <w:rPr>
          <w:color w:val="000000"/>
          <w:sz w:val="26"/>
          <w:szCs w:val="26"/>
        </w:rPr>
        <w:t>B</w:t>
      </w:r>
      <w:r w:rsidR="00A75664" w:rsidRPr="0029748B">
        <w:rPr>
          <w:color w:val="000000"/>
          <w:sz w:val="26"/>
          <w:szCs w:val="26"/>
        </w:rPr>
        <w:t>.</w:t>
      </w:r>
      <w:r w:rsidR="0035671A" w:rsidRPr="0029748B">
        <w:rPr>
          <w:color w:val="000000"/>
          <w:sz w:val="26"/>
          <w:szCs w:val="26"/>
        </w:rPr>
        <w:t xml:space="preserve"> at</w:t>
      </w:r>
      <w:r w:rsidR="007F3703">
        <w:rPr>
          <w:color w:val="000000"/>
          <w:sz w:val="26"/>
          <w:szCs w:val="26"/>
        </w:rPr>
        <w:t> </w:t>
      </w:r>
      <w:r w:rsidR="00216A06" w:rsidRPr="0029748B">
        <w:rPr>
          <w:color w:val="000000"/>
          <w:sz w:val="26"/>
          <w:szCs w:val="26"/>
        </w:rPr>
        <w:t>22</w:t>
      </w:r>
      <w:r w:rsidR="007F3703">
        <w:rPr>
          <w:color w:val="000000"/>
          <w:sz w:val="26"/>
          <w:szCs w:val="26"/>
        </w:rPr>
        <w:noBreakHyphen/>
      </w:r>
      <w:r w:rsidR="00216A06" w:rsidRPr="0029748B">
        <w:rPr>
          <w:color w:val="000000"/>
          <w:sz w:val="26"/>
          <w:szCs w:val="26"/>
        </w:rPr>
        <w:t>23</w:t>
      </w:r>
      <w:r w:rsidR="00A75664" w:rsidRPr="0029748B">
        <w:rPr>
          <w:color w:val="000000"/>
          <w:sz w:val="26"/>
          <w:szCs w:val="26"/>
        </w:rPr>
        <w:t>)</w:t>
      </w:r>
      <w:r w:rsidR="0035671A" w:rsidRPr="0029748B">
        <w:rPr>
          <w:color w:val="000000"/>
          <w:sz w:val="26"/>
          <w:szCs w:val="26"/>
        </w:rPr>
        <w:t xml:space="preserve">. </w:t>
      </w:r>
    </w:p>
    <w:p w14:paraId="5F46DC01" w14:textId="77777777" w:rsidR="00EC6C06" w:rsidRPr="0029748B" w:rsidRDefault="00EC6C06" w:rsidP="0029748B">
      <w:pPr>
        <w:widowControl/>
        <w:spacing w:line="360" w:lineRule="auto"/>
        <w:ind w:firstLine="1440"/>
        <w:rPr>
          <w:color w:val="000000"/>
          <w:sz w:val="26"/>
          <w:szCs w:val="26"/>
        </w:rPr>
      </w:pPr>
    </w:p>
    <w:p w14:paraId="3C72FE56" w14:textId="77777777" w:rsidR="00216A06" w:rsidRPr="0029748B" w:rsidRDefault="0035671A" w:rsidP="0029748B">
      <w:pPr>
        <w:widowControl/>
        <w:spacing w:line="360" w:lineRule="auto"/>
        <w:ind w:firstLine="1440"/>
        <w:rPr>
          <w:color w:val="000000"/>
          <w:sz w:val="26"/>
          <w:szCs w:val="26"/>
        </w:rPr>
      </w:pPr>
      <w:r w:rsidRPr="0029748B">
        <w:rPr>
          <w:color w:val="000000"/>
          <w:sz w:val="26"/>
          <w:szCs w:val="26"/>
        </w:rPr>
        <w:t xml:space="preserve">The ALJ considered that both I&amp;E and the OCA disagreed with the Company’s basis for asserting a </w:t>
      </w:r>
      <w:r w:rsidR="00216A06" w:rsidRPr="0029748B">
        <w:rPr>
          <w:color w:val="000000"/>
          <w:sz w:val="26"/>
          <w:szCs w:val="26"/>
        </w:rPr>
        <w:t xml:space="preserve">fixed </w:t>
      </w:r>
      <w:r w:rsidRPr="0029748B">
        <w:rPr>
          <w:color w:val="000000"/>
          <w:sz w:val="26"/>
          <w:szCs w:val="26"/>
        </w:rPr>
        <w:t>cost</w:t>
      </w:r>
      <w:r w:rsidR="00B9620A" w:rsidRPr="0029748B">
        <w:rPr>
          <w:color w:val="000000"/>
          <w:sz w:val="26"/>
          <w:szCs w:val="26"/>
        </w:rPr>
        <w:t xml:space="preserve"> </w:t>
      </w:r>
      <w:r w:rsidRPr="0029748B">
        <w:rPr>
          <w:color w:val="000000"/>
          <w:sz w:val="26"/>
          <w:szCs w:val="26"/>
        </w:rPr>
        <w:t>of debt at 7</w:t>
      </w:r>
      <w:r w:rsidR="00A75664" w:rsidRPr="0029748B">
        <w:rPr>
          <w:color w:val="000000"/>
          <w:sz w:val="26"/>
          <w:szCs w:val="26"/>
        </w:rPr>
        <w:t>.0</w:t>
      </w:r>
      <w:r w:rsidRPr="0029748B">
        <w:rPr>
          <w:color w:val="000000"/>
          <w:sz w:val="26"/>
          <w:szCs w:val="26"/>
        </w:rPr>
        <w:t xml:space="preserve">%.  I&amp;E </w:t>
      </w:r>
      <w:r w:rsidR="00216A06" w:rsidRPr="0029748B">
        <w:rPr>
          <w:color w:val="000000"/>
          <w:sz w:val="26"/>
          <w:szCs w:val="26"/>
        </w:rPr>
        <w:t xml:space="preserve">disagreed on the basis </w:t>
      </w:r>
      <w:r w:rsidR="00216A06" w:rsidRPr="0029748B">
        <w:rPr>
          <w:color w:val="000000"/>
          <w:sz w:val="26"/>
          <w:szCs w:val="26"/>
        </w:rPr>
        <w:lastRenderedPageBreak/>
        <w:t>that the figure of 7.0% exceeds the cost of debt range for the proxy group by 74 basis points.  I&amp;E maintain</w:t>
      </w:r>
      <w:r w:rsidR="00BE0B30" w:rsidRPr="0029748B">
        <w:rPr>
          <w:color w:val="000000"/>
          <w:sz w:val="26"/>
          <w:szCs w:val="26"/>
        </w:rPr>
        <w:t>ed</w:t>
      </w:r>
      <w:r w:rsidR="00216A06" w:rsidRPr="0029748B">
        <w:rPr>
          <w:color w:val="000000"/>
          <w:sz w:val="26"/>
          <w:szCs w:val="26"/>
        </w:rPr>
        <w:t xml:space="preserve"> that the Company should continue to pursue lower-cost debt from other entities including through channels available to the parent entity, Middlesex.  While the OCA did not argue to adjust the Company’s claimed 7.0% cost of debt, the OCA noted its concerns that the cost is too high.</w:t>
      </w:r>
      <w:r w:rsidR="00F72F5A" w:rsidRPr="0029748B">
        <w:rPr>
          <w:color w:val="000000"/>
          <w:sz w:val="26"/>
          <w:szCs w:val="26"/>
        </w:rPr>
        <w:t xml:space="preserve">  R.D. at 75-76</w:t>
      </w:r>
      <w:r w:rsidR="00B72A1A" w:rsidRPr="0029748B">
        <w:rPr>
          <w:color w:val="000000"/>
          <w:sz w:val="26"/>
          <w:szCs w:val="26"/>
        </w:rPr>
        <w:t xml:space="preserve"> (citing I&amp;E M.B. at 40; I&amp;E St. 2 at 11).</w:t>
      </w:r>
    </w:p>
    <w:p w14:paraId="2293F945" w14:textId="77777777" w:rsidR="00216A06" w:rsidRPr="0029748B" w:rsidRDefault="00216A06" w:rsidP="0029748B">
      <w:pPr>
        <w:widowControl/>
        <w:spacing w:line="360" w:lineRule="auto"/>
        <w:ind w:firstLine="1440"/>
        <w:rPr>
          <w:color w:val="000000"/>
          <w:sz w:val="26"/>
          <w:szCs w:val="26"/>
        </w:rPr>
      </w:pPr>
    </w:p>
    <w:p w14:paraId="21CE7F3F" w14:textId="77777777" w:rsidR="00BC079B" w:rsidRPr="0029748B" w:rsidRDefault="00216A06" w:rsidP="0029748B">
      <w:pPr>
        <w:widowControl/>
        <w:spacing w:line="360" w:lineRule="auto"/>
        <w:ind w:firstLine="1440"/>
        <w:rPr>
          <w:color w:val="000000"/>
          <w:sz w:val="26"/>
          <w:szCs w:val="26"/>
        </w:rPr>
      </w:pPr>
      <w:r w:rsidRPr="0029748B">
        <w:rPr>
          <w:color w:val="000000"/>
          <w:sz w:val="26"/>
          <w:szCs w:val="26"/>
        </w:rPr>
        <w:t>Further, the OCA asserted that</w:t>
      </w:r>
      <w:r w:rsidR="00BC079B" w:rsidRPr="0029748B">
        <w:rPr>
          <w:color w:val="000000"/>
          <w:sz w:val="26"/>
          <w:szCs w:val="26"/>
        </w:rPr>
        <w:t xml:space="preserve">, </w:t>
      </w:r>
      <w:r w:rsidRPr="0029748B">
        <w:rPr>
          <w:color w:val="000000"/>
          <w:sz w:val="26"/>
          <w:szCs w:val="26"/>
        </w:rPr>
        <w:t xml:space="preserve">while </w:t>
      </w:r>
      <w:r w:rsidR="00BC079B" w:rsidRPr="0029748B">
        <w:rPr>
          <w:color w:val="000000"/>
          <w:sz w:val="26"/>
          <w:szCs w:val="26"/>
        </w:rPr>
        <w:t xml:space="preserve">the 7.0% cost of debt is </w:t>
      </w:r>
      <w:r w:rsidRPr="0029748B">
        <w:rPr>
          <w:color w:val="000000"/>
          <w:sz w:val="26"/>
          <w:szCs w:val="26"/>
        </w:rPr>
        <w:t xml:space="preserve">presently </w:t>
      </w:r>
      <w:r w:rsidR="00BC079B" w:rsidRPr="0029748B">
        <w:rPr>
          <w:color w:val="000000"/>
          <w:sz w:val="26"/>
          <w:szCs w:val="26"/>
        </w:rPr>
        <w:t xml:space="preserve">justified by the </w:t>
      </w:r>
      <w:r w:rsidRPr="0029748B">
        <w:rPr>
          <w:color w:val="000000"/>
          <w:sz w:val="26"/>
          <w:szCs w:val="26"/>
        </w:rPr>
        <w:t>Company</w:t>
      </w:r>
      <w:r w:rsidR="00BC079B" w:rsidRPr="0029748B">
        <w:rPr>
          <w:color w:val="000000"/>
          <w:sz w:val="26"/>
          <w:szCs w:val="26"/>
        </w:rPr>
        <w:t>’s demonstrated inability to obtain low-cost debt, the Company’s cost of debt should be adjusted in t</w:t>
      </w:r>
      <w:r w:rsidRPr="0029748B">
        <w:rPr>
          <w:color w:val="000000"/>
          <w:sz w:val="26"/>
          <w:szCs w:val="26"/>
        </w:rPr>
        <w:t xml:space="preserve">he future to reflect a </w:t>
      </w:r>
      <w:r w:rsidR="00BC079B" w:rsidRPr="0029748B">
        <w:rPr>
          <w:color w:val="000000"/>
          <w:sz w:val="26"/>
          <w:szCs w:val="26"/>
        </w:rPr>
        <w:t xml:space="preserve">significant </w:t>
      </w:r>
      <w:r w:rsidRPr="0029748B">
        <w:rPr>
          <w:color w:val="000000"/>
          <w:sz w:val="26"/>
          <w:szCs w:val="26"/>
        </w:rPr>
        <w:t xml:space="preserve">change in the Company’s </w:t>
      </w:r>
      <w:r w:rsidR="00BC079B" w:rsidRPr="0029748B">
        <w:rPr>
          <w:color w:val="000000"/>
          <w:sz w:val="26"/>
          <w:szCs w:val="26"/>
        </w:rPr>
        <w:t>ability to obtain low-cost debt.  Specifically, the OCA assert</w:t>
      </w:r>
      <w:r w:rsidR="00BE0B30" w:rsidRPr="0029748B">
        <w:rPr>
          <w:color w:val="000000"/>
          <w:sz w:val="26"/>
          <w:szCs w:val="26"/>
        </w:rPr>
        <w:t>ed</w:t>
      </w:r>
      <w:r w:rsidR="00BC079B" w:rsidRPr="0029748B">
        <w:rPr>
          <w:color w:val="000000"/>
          <w:sz w:val="26"/>
          <w:szCs w:val="26"/>
        </w:rPr>
        <w:t xml:space="preserve"> that because Twin Lakes </w:t>
      </w:r>
      <w:r w:rsidR="00BE0B30" w:rsidRPr="0029748B">
        <w:rPr>
          <w:color w:val="000000"/>
          <w:sz w:val="26"/>
          <w:szCs w:val="26"/>
        </w:rPr>
        <w:t>was</w:t>
      </w:r>
      <w:r w:rsidR="00BC079B" w:rsidRPr="0029748B">
        <w:rPr>
          <w:color w:val="000000"/>
          <w:sz w:val="26"/>
          <w:szCs w:val="26"/>
        </w:rPr>
        <w:t xml:space="preserve"> presently in the process of applying for a </w:t>
      </w:r>
      <w:r w:rsidR="005963F1" w:rsidRPr="0029748B">
        <w:rPr>
          <w:color w:val="000000"/>
          <w:sz w:val="26"/>
          <w:szCs w:val="26"/>
        </w:rPr>
        <w:t>Pennsylvania Infrastructure Investment Authority (</w:t>
      </w:r>
      <w:r w:rsidR="00BC079B" w:rsidRPr="0029748B">
        <w:rPr>
          <w:color w:val="000000"/>
          <w:sz w:val="26"/>
          <w:szCs w:val="26"/>
        </w:rPr>
        <w:t>PENNVEST</w:t>
      </w:r>
      <w:r w:rsidR="005963F1" w:rsidRPr="0029748B">
        <w:rPr>
          <w:color w:val="000000"/>
          <w:sz w:val="26"/>
          <w:szCs w:val="26"/>
        </w:rPr>
        <w:t>)</w:t>
      </w:r>
      <w:r w:rsidR="00BC079B" w:rsidRPr="0029748B">
        <w:rPr>
          <w:color w:val="000000"/>
          <w:sz w:val="26"/>
          <w:szCs w:val="26"/>
        </w:rPr>
        <w:t xml:space="preserve"> loan which is expected to significantly reduce its cost of debt in the future, </w:t>
      </w:r>
      <w:r w:rsidRPr="0029748B">
        <w:rPr>
          <w:color w:val="000000"/>
          <w:sz w:val="26"/>
          <w:szCs w:val="26"/>
        </w:rPr>
        <w:t xml:space="preserve">the Company’s </w:t>
      </w:r>
      <w:r w:rsidR="00BC079B" w:rsidRPr="0029748B">
        <w:rPr>
          <w:color w:val="000000"/>
          <w:sz w:val="26"/>
          <w:szCs w:val="26"/>
        </w:rPr>
        <w:t xml:space="preserve">cost of debt should be adjusted to reflect the change. </w:t>
      </w:r>
      <w:r w:rsidR="006575D6" w:rsidRPr="0029748B">
        <w:rPr>
          <w:color w:val="000000"/>
          <w:sz w:val="26"/>
          <w:szCs w:val="26"/>
        </w:rPr>
        <w:t xml:space="preserve"> </w:t>
      </w:r>
      <w:r w:rsidR="00BC079B" w:rsidRPr="0029748B">
        <w:rPr>
          <w:color w:val="000000"/>
          <w:sz w:val="26"/>
          <w:szCs w:val="26"/>
        </w:rPr>
        <w:t xml:space="preserve">R.D. at 76 </w:t>
      </w:r>
      <w:r w:rsidR="006352E2" w:rsidRPr="0029748B">
        <w:rPr>
          <w:color w:val="000000"/>
          <w:sz w:val="26"/>
          <w:szCs w:val="26"/>
        </w:rPr>
        <w:t>(</w:t>
      </w:r>
      <w:r w:rsidR="00BC079B" w:rsidRPr="0029748B">
        <w:rPr>
          <w:color w:val="000000"/>
          <w:sz w:val="26"/>
          <w:szCs w:val="26"/>
        </w:rPr>
        <w:t>citing OCA MB at 23</w:t>
      </w:r>
      <w:r w:rsidR="006352E2" w:rsidRPr="0029748B">
        <w:rPr>
          <w:color w:val="000000"/>
          <w:sz w:val="26"/>
          <w:szCs w:val="26"/>
        </w:rPr>
        <w:t>)</w:t>
      </w:r>
      <w:r w:rsidR="00BC079B" w:rsidRPr="0029748B">
        <w:rPr>
          <w:color w:val="000000"/>
          <w:sz w:val="26"/>
          <w:szCs w:val="26"/>
        </w:rPr>
        <w:t xml:space="preserve">. </w:t>
      </w:r>
    </w:p>
    <w:p w14:paraId="09F449B0" w14:textId="77777777" w:rsidR="0047316B" w:rsidRPr="0029748B" w:rsidRDefault="00216A06" w:rsidP="0029748B">
      <w:pPr>
        <w:widowControl/>
        <w:spacing w:line="360" w:lineRule="auto"/>
        <w:ind w:firstLine="1440"/>
        <w:rPr>
          <w:color w:val="000000"/>
          <w:sz w:val="26"/>
          <w:szCs w:val="26"/>
        </w:rPr>
      </w:pPr>
      <w:r w:rsidRPr="0029748B">
        <w:rPr>
          <w:color w:val="000000"/>
          <w:sz w:val="26"/>
          <w:szCs w:val="26"/>
        </w:rPr>
        <w:t xml:space="preserve"> </w:t>
      </w:r>
    </w:p>
    <w:p w14:paraId="7BBBA872" w14:textId="1A60A006" w:rsidR="00A142CB" w:rsidRDefault="00BE0B30" w:rsidP="0029748B">
      <w:pPr>
        <w:widowControl/>
        <w:spacing w:line="360" w:lineRule="auto"/>
        <w:ind w:firstLine="1440"/>
        <w:rPr>
          <w:color w:val="000000"/>
          <w:sz w:val="26"/>
          <w:szCs w:val="26"/>
        </w:rPr>
      </w:pPr>
      <w:r w:rsidRPr="0029748B">
        <w:rPr>
          <w:color w:val="000000"/>
          <w:sz w:val="26"/>
          <w:szCs w:val="26"/>
        </w:rPr>
        <w:t>Based on</w:t>
      </w:r>
      <w:r w:rsidR="00BC079B" w:rsidRPr="0029748B">
        <w:rPr>
          <w:color w:val="000000"/>
          <w:sz w:val="26"/>
          <w:szCs w:val="26"/>
        </w:rPr>
        <w:t xml:space="preserve"> the agreement of I&amp;E and </w:t>
      </w:r>
      <w:r w:rsidR="006575D6" w:rsidRPr="0029748B">
        <w:rPr>
          <w:color w:val="000000"/>
          <w:sz w:val="26"/>
          <w:szCs w:val="26"/>
        </w:rPr>
        <w:t xml:space="preserve">the </w:t>
      </w:r>
      <w:r w:rsidR="00BC079B" w:rsidRPr="0029748B">
        <w:rPr>
          <w:color w:val="000000"/>
          <w:sz w:val="26"/>
          <w:szCs w:val="26"/>
        </w:rPr>
        <w:t xml:space="preserve">OCA to the Company’s proposed Capital Structure </w:t>
      </w:r>
      <w:r w:rsidR="009C7F8A" w:rsidRPr="0029748B">
        <w:rPr>
          <w:color w:val="000000"/>
          <w:sz w:val="26"/>
          <w:szCs w:val="26"/>
        </w:rPr>
        <w:t xml:space="preserve">of </w:t>
      </w:r>
      <w:r w:rsidR="00BC079B" w:rsidRPr="0029748B">
        <w:rPr>
          <w:color w:val="000000"/>
          <w:sz w:val="26"/>
          <w:szCs w:val="26"/>
        </w:rPr>
        <w:t>50% debt and 50% equity, the ALJ recommended adoption of the Company’s proposed Capital Structure as reasonable and in the public interest.  With respect to the Company’s pro</w:t>
      </w:r>
      <w:r w:rsidR="009C7F8A" w:rsidRPr="0029748B">
        <w:rPr>
          <w:color w:val="000000"/>
          <w:sz w:val="26"/>
          <w:szCs w:val="26"/>
        </w:rPr>
        <w:t>po</w:t>
      </w:r>
      <w:r w:rsidR="00BC079B" w:rsidRPr="0029748B">
        <w:rPr>
          <w:color w:val="000000"/>
          <w:sz w:val="26"/>
          <w:szCs w:val="26"/>
        </w:rPr>
        <w:t>sed cost of debt at</w:t>
      </w:r>
      <w:r w:rsidRPr="0029748B">
        <w:rPr>
          <w:color w:val="000000"/>
          <w:sz w:val="26"/>
          <w:szCs w:val="26"/>
        </w:rPr>
        <w:t xml:space="preserve"> the rate of </w:t>
      </w:r>
      <w:r w:rsidR="00BC079B" w:rsidRPr="0029748B">
        <w:rPr>
          <w:color w:val="000000"/>
          <w:sz w:val="26"/>
          <w:szCs w:val="26"/>
        </w:rPr>
        <w:t xml:space="preserve">7.0%, the ALJ recommended adoption of the Company’s </w:t>
      </w:r>
      <w:r w:rsidR="00B25A06" w:rsidRPr="0029748B">
        <w:rPr>
          <w:color w:val="000000"/>
          <w:sz w:val="26"/>
          <w:szCs w:val="26"/>
        </w:rPr>
        <w:t xml:space="preserve">proposal, notwithstanding I&amp;E’s and </w:t>
      </w:r>
      <w:r w:rsidR="006575D6" w:rsidRPr="0029748B">
        <w:rPr>
          <w:color w:val="000000"/>
          <w:sz w:val="26"/>
          <w:szCs w:val="26"/>
        </w:rPr>
        <w:t xml:space="preserve">the </w:t>
      </w:r>
      <w:r w:rsidR="00B25A06" w:rsidRPr="0029748B">
        <w:rPr>
          <w:color w:val="000000"/>
          <w:sz w:val="26"/>
          <w:szCs w:val="26"/>
        </w:rPr>
        <w:t>OCA’s qualified opposition, in recognition of the Company’s demonstrated inability to obtain low-cost credit as a stand-alone entity.</w:t>
      </w:r>
      <w:r w:rsidR="00EC6C06" w:rsidRPr="0029748B">
        <w:rPr>
          <w:color w:val="000000"/>
          <w:sz w:val="26"/>
          <w:szCs w:val="26"/>
        </w:rPr>
        <w:t xml:space="preserve"> </w:t>
      </w:r>
      <w:r w:rsidR="006575D6" w:rsidRPr="0029748B">
        <w:rPr>
          <w:color w:val="000000"/>
          <w:sz w:val="26"/>
          <w:szCs w:val="26"/>
        </w:rPr>
        <w:t xml:space="preserve"> </w:t>
      </w:r>
      <w:r w:rsidR="00EC6C06" w:rsidRPr="0029748B">
        <w:rPr>
          <w:color w:val="000000"/>
          <w:sz w:val="26"/>
          <w:szCs w:val="26"/>
        </w:rPr>
        <w:t xml:space="preserve">R.D. at </w:t>
      </w:r>
      <w:r w:rsidR="00B25A06" w:rsidRPr="0029748B">
        <w:rPr>
          <w:color w:val="000000"/>
          <w:sz w:val="26"/>
          <w:szCs w:val="26"/>
        </w:rPr>
        <w:t xml:space="preserve">75-77. </w:t>
      </w:r>
    </w:p>
    <w:p w14:paraId="07E7C520" w14:textId="77777777" w:rsidR="003462DE" w:rsidRPr="0029748B" w:rsidRDefault="003462DE" w:rsidP="0029748B">
      <w:pPr>
        <w:widowControl/>
        <w:spacing w:line="360" w:lineRule="auto"/>
        <w:ind w:firstLine="1440"/>
        <w:rPr>
          <w:color w:val="000000"/>
          <w:sz w:val="26"/>
          <w:szCs w:val="26"/>
        </w:rPr>
      </w:pPr>
    </w:p>
    <w:p w14:paraId="693A1080" w14:textId="77777777" w:rsidR="00046BA0" w:rsidRPr="0029748B" w:rsidRDefault="00046BA0" w:rsidP="00F3284D">
      <w:pPr>
        <w:pStyle w:val="ListParagraph"/>
        <w:keepNext/>
        <w:widowControl/>
        <w:numPr>
          <w:ilvl w:val="0"/>
          <w:numId w:val="3"/>
        </w:numPr>
        <w:spacing w:line="360" w:lineRule="auto"/>
        <w:ind w:left="720" w:hanging="720"/>
        <w:outlineLvl w:val="1"/>
        <w:rPr>
          <w:b/>
          <w:sz w:val="26"/>
          <w:szCs w:val="26"/>
        </w:rPr>
      </w:pPr>
      <w:bookmarkStart w:id="21" w:name="_Toc35324690"/>
      <w:bookmarkStart w:id="22" w:name="_Toc35328844"/>
      <w:bookmarkStart w:id="23" w:name="_Toc527618471"/>
      <w:r w:rsidRPr="0029748B">
        <w:rPr>
          <w:b/>
          <w:sz w:val="26"/>
          <w:szCs w:val="26"/>
        </w:rPr>
        <w:lastRenderedPageBreak/>
        <w:t>Rate Structure and Rate Design</w:t>
      </w:r>
      <w:bookmarkEnd w:id="21"/>
      <w:bookmarkEnd w:id="22"/>
    </w:p>
    <w:p w14:paraId="7397FEB3" w14:textId="77777777" w:rsidR="00CD165A" w:rsidRPr="0029748B" w:rsidRDefault="00CD165A" w:rsidP="0029748B">
      <w:pPr>
        <w:pStyle w:val="ListParagraph"/>
        <w:keepNext/>
        <w:widowControl/>
        <w:spacing w:line="360" w:lineRule="auto"/>
        <w:outlineLvl w:val="1"/>
        <w:rPr>
          <w:b/>
          <w:sz w:val="26"/>
          <w:szCs w:val="26"/>
        </w:rPr>
      </w:pPr>
    </w:p>
    <w:p w14:paraId="29131110" w14:textId="77777777" w:rsidR="00CD165A" w:rsidRPr="0029748B" w:rsidRDefault="00CD165A" w:rsidP="0029748B">
      <w:pPr>
        <w:pStyle w:val="ListParagraph"/>
        <w:keepNext/>
        <w:widowControl/>
        <w:spacing w:line="360" w:lineRule="auto"/>
        <w:ind w:left="0" w:firstLine="1440"/>
        <w:rPr>
          <w:bCs/>
          <w:sz w:val="26"/>
          <w:szCs w:val="26"/>
        </w:rPr>
      </w:pPr>
      <w:r w:rsidRPr="0029748B">
        <w:rPr>
          <w:bCs/>
          <w:sz w:val="26"/>
          <w:szCs w:val="26"/>
        </w:rPr>
        <w:t xml:space="preserve">The ALJ recommended that the rates approved by this proceeding be scaled back proportionally to ensure that the customer charge is not increased disproportionally </w:t>
      </w:r>
      <w:r w:rsidR="000A0F42" w:rsidRPr="0029748B">
        <w:rPr>
          <w:bCs/>
          <w:sz w:val="26"/>
          <w:szCs w:val="26"/>
        </w:rPr>
        <w:t xml:space="preserve">as compared to </w:t>
      </w:r>
      <w:r w:rsidR="00BE0B30" w:rsidRPr="0029748B">
        <w:rPr>
          <w:bCs/>
          <w:sz w:val="26"/>
          <w:szCs w:val="26"/>
        </w:rPr>
        <w:t xml:space="preserve">the </w:t>
      </w:r>
      <w:r w:rsidR="000A0F42" w:rsidRPr="0029748B">
        <w:rPr>
          <w:bCs/>
          <w:sz w:val="26"/>
          <w:szCs w:val="26"/>
        </w:rPr>
        <w:t xml:space="preserve">usage rate. </w:t>
      </w:r>
      <w:r w:rsidR="00811179" w:rsidRPr="0029748B">
        <w:rPr>
          <w:bCs/>
          <w:sz w:val="26"/>
          <w:szCs w:val="26"/>
        </w:rPr>
        <w:t xml:space="preserve"> R.D. at 89.</w:t>
      </w:r>
    </w:p>
    <w:p w14:paraId="5B826C5A" w14:textId="77777777" w:rsidR="000A0F42" w:rsidRPr="0029748B" w:rsidRDefault="000A0F42" w:rsidP="0029748B">
      <w:pPr>
        <w:pStyle w:val="ListParagraph"/>
        <w:widowControl/>
        <w:spacing w:line="360" w:lineRule="auto"/>
        <w:ind w:left="0" w:firstLine="1440"/>
        <w:rPr>
          <w:bCs/>
          <w:sz w:val="26"/>
          <w:szCs w:val="26"/>
        </w:rPr>
      </w:pPr>
    </w:p>
    <w:p w14:paraId="358394DC" w14:textId="77777777" w:rsidR="000A0F42" w:rsidRPr="0029748B" w:rsidRDefault="000A0F42" w:rsidP="0029748B">
      <w:pPr>
        <w:pStyle w:val="ListParagraph"/>
        <w:widowControl/>
        <w:spacing w:line="360" w:lineRule="auto"/>
        <w:ind w:left="0" w:firstLine="1440"/>
        <w:rPr>
          <w:bCs/>
          <w:sz w:val="26"/>
          <w:szCs w:val="26"/>
        </w:rPr>
      </w:pPr>
      <w:r w:rsidRPr="0029748B">
        <w:rPr>
          <w:bCs/>
          <w:sz w:val="26"/>
          <w:szCs w:val="26"/>
        </w:rPr>
        <w:t xml:space="preserve">Because the </w:t>
      </w:r>
      <w:r w:rsidR="00BE0B30" w:rsidRPr="0029748B">
        <w:rPr>
          <w:bCs/>
          <w:sz w:val="26"/>
          <w:szCs w:val="26"/>
        </w:rPr>
        <w:t xml:space="preserve">ALJ’s recommendation for the </w:t>
      </w:r>
      <w:r w:rsidRPr="0029748B">
        <w:rPr>
          <w:bCs/>
          <w:sz w:val="26"/>
          <w:szCs w:val="26"/>
        </w:rPr>
        <w:t xml:space="preserve">approved rate increase is less than the original requested increase, the ALJ adopted I&amp;E’s position that the rate increase should be applied proportionally to the Company’s fixed and volumetric rates, so that each rate receives the same rate increase.  The Company did not oppose I&amp;E’s position, based on </w:t>
      </w:r>
      <w:r w:rsidR="00BE0B30" w:rsidRPr="0029748B">
        <w:rPr>
          <w:bCs/>
          <w:sz w:val="26"/>
          <w:szCs w:val="26"/>
        </w:rPr>
        <w:t xml:space="preserve">a rate </w:t>
      </w:r>
      <w:r w:rsidRPr="0029748B">
        <w:rPr>
          <w:bCs/>
          <w:sz w:val="26"/>
          <w:szCs w:val="26"/>
        </w:rPr>
        <w:t xml:space="preserve">increase less than the Company requested. </w:t>
      </w:r>
      <w:r w:rsidR="006575D6" w:rsidRPr="0029748B">
        <w:rPr>
          <w:bCs/>
          <w:sz w:val="26"/>
          <w:szCs w:val="26"/>
        </w:rPr>
        <w:t xml:space="preserve"> </w:t>
      </w:r>
      <w:r w:rsidRPr="0029748B">
        <w:rPr>
          <w:bCs/>
          <w:sz w:val="26"/>
          <w:szCs w:val="26"/>
        </w:rPr>
        <w:t>R.D. at 88-89.</w:t>
      </w:r>
    </w:p>
    <w:p w14:paraId="13F27F6F" w14:textId="77777777" w:rsidR="000A0F42" w:rsidRPr="0029748B" w:rsidRDefault="000A0F42" w:rsidP="0029748B">
      <w:pPr>
        <w:pStyle w:val="ListParagraph"/>
        <w:widowControl/>
        <w:spacing w:line="360" w:lineRule="auto"/>
        <w:ind w:left="0" w:firstLine="1440"/>
        <w:rPr>
          <w:bCs/>
          <w:sz w:val="26"/>
          <w:szCs w:val="26"/>
        </w:rPr>
      </w:pPr>
    </w:p>
    <w:p w14:paraId="590F920D" w14:textId="77777777" w:rsidR="000A0F42" w:rsidRPr="0029748B" w:rsidRDefault="000A0F42" w:rsidP="0029748B">
      <w:pPr>
        <w:pStyle w:val="ListParagraph"/>
        <w:widowControl/>
        <w:spacing w:line="360" w:lineRule="auto"/>
        <w:ind w:left="0" w:firstLine="1440"/>
        <w:rPr>
          <w:bCs/>
          <w:sz w:val="26"/>
          <w:szCs w:val="26"/>
        </w:rPr>
      </w:pPr>
      <w:r w:rsidRPr="0029748B">
        <w:rPr>
          <w:bCs/>
          <w:sz w:val="26"/>
          <w:szCs w:val="26"/>
        </w:rPr>
        <w:t>Accordingly, the ALJ recommended that the rates should be scaled back proportionally in this matter, as reasonable and in the public interest.</w:t>
      </w:r>
      <w:r w:rsidR="00E562B0" w:rsidRPr="0029748B">
        <w:rPr>
          <w:bCs/>
          <w:sz w:val="26"/>
          <w:szCs w:val="26"/>
        </w:rPr>
        <w:t xml:space="preserve"> </w:t>
      </w:r>
      <w:r w:rsidRPr="0029748B">
        <w:rPr>
          <w:bCs/>
          <w:sz w:val="26"/>
          <w:szCs w:val="26"/>
        </w:rPr>
        <w:t>R.D. at 89.</w:t>
      </w:r>
    </w:p>
    <w:p w14:paraId="7BCE23FB" w14:textId="77777777" w:rsidR="00D0760F" w:rsidRPr="0029748B" w:rsidRDefault="00D0760F" w:rsidP="0029748B">
      <w:pPr>
        <w:pStyle w:val="ListParagraph"/>
        <w:widowControl/>
        <w:spacing w:line="360" w:lineRule="auto"/>
        <w:ind w:hanging="720"/>
        <w:outlineLvl w:val="1"/>
        <w:rPr>
          <w:b/>
          <w:sz w:val="26"/>
          <w:szCs w:val="26"/>
        </w:rPr>
      </w:pPr>
    </w:p>
    <w:p w14:paraId="2E4753F0" w14:textId="77777777" w:rsidR="006727EC" w:rsidRPr="0029748B" w:rsidRDefault="006727EC" w:rsidP="006F67EE">
      <w:pPr>
        <w:pStyle w:val="ListParagraph"/>
        <w:widowControl/>
        <w:numPr>
          <w:ilvl w:val="0"/>
          <w:numId w:val="3"/>
        </w:numPr>
        <w:spacing w:line="360" w:lineRule="auto"/>
        <w:ind w:left="720" w:hanging="720"/>
        <w:outlineLvl w:val="1"/>
        <w:rPr>
          <w:b/>
          <w:sz w:val="26"/>
          <w:szCs w:val="26"/>
        </w:rPr>
      </w:pPr>
      <w:bookmarkStart w:id="24" w:name="_Toc35324692"/>
      <w:bookmarkStart w:id="25" w:name="_Toc35328845"/>
      <w:r w:rsidRPr="0029748B">
        <w:rPr>
          <w:b/>
          <w:sz w:val="26"/>
          <w:szCs w:val="26"/>
        </w:rPr>
        <w:t>Disposition</w:t>
      </w:r>
      <w:bookmarkEnd w:id="23"/>
      <w:bookmarkEnd w:id="24"/>
      <w:bookmarkEnd w:id="25"/>
      <w:r w:rsidR="0066152F" w:rsidRPr="0029748B">
        <w:rPr>
          <w:b/>
          <w:sz w:val="26"/>
          <w:szCs w:val="26"/>
        </w:rPr>
        <w:t xml:space="preserve"> </w:t>
      </w:r>
    </w:p>
    <w:p w14:paraId="016BEC7E" w14:textId="77777777" w:rsidR="006727EC" w:rsidRPr="0029748B" w:rsidRDefault="006727EC" w:rsidP="0029748B">
      <w:pPr>
        <w:widowControl/>
        <w:spacing w:line="360" w:lineRule="auto"/>
        <w:ind w:left="720" w:hanging="720"/>
        <w:contextualSpacing/>
        <w:rPr>
          <w:sz w:val="26"/>
          <w:szCs w:val="26"/>
        </w:rPr>
      </w:pPr>
    </w:p>
    <w:p w14:paraId="245C4A22" w14:textId="77777777" w:rsidR="00D0760F" w:rsidRPr="0029748B" w:rsidRDefault="00D0760F" w:rsidP="0029748B">
      <w:pPr>
        <w:widowControl/>
        <w:spacing w:line="360" w:lineRule="auto"/>
        <w:ind w:firstLine="1440"/>
        <w:contextualSpacing/>
        <w:rPr>
          <w:sz w:val="26"/>
          <w:szCs w:val="26"/>
        </w:rPr>
      </w:pPr>
      <w:r w:rsidRPr="0029748B">
        <w:rPr>
          <w:sz w:val="26"/>
          <w:szCs w:val="26"/>
        </w:rPr>
        <w:t xml:space="preserve">Upon review of the ALJ’s uncontested recommendations, including the </w:t>
      </w:r>
      <w:r w:rsidR="00D91A89" w:rsidRPr="0029748B">
        <w:rPr>
          <w:sz w:val="26"/>
          <w:szCs w:val="26"/>
        </w:rPr>
        <w:t xml:space="preserve">ALJ’s </w:t>
      </w:r>
      <w:r w:rsidRPr="0029748B">
        <w:rPr>
          <w:sz w:val="26"/>
          <w:szCs w:val="26"/>
        </w:rPr>
        <w:t xml:space="preserve">adoption of the </w:t>
      </w:r>
      <w:r w:rsidR="008A1F11" w:rsidRPr="0029748B">
        <w:rPr>
          <w:sz w:val="26"/>
          <w:szCs w:val="26"/>
        </w:rPr>
        <w:t>P</w:t>
      </w:r>
      <w:r w:rsidR="004B707B" w:rsidRPr="0029748B">
        <w:rPr>
          <w:sz w:val="26"/>
          <w:szCs w:val="26"/>
        </w:rPr>
        <w:t xml:space="preserve">arties’ </w:t>
      </w:r>
      <w:r w:rsidRPr="0029748B">
        <w:rPr>
          <w:sz w:val="26"/>
          <w:szCs w:val="26"/>
        </w:rPr>
        <w:t xml:space="preserve">Joint Stipulation, we conclude that the ALJ’s </w:t>
      </w:r>
      <w:r w:rsidR="00D91A89" w:rsidRPr="0029748B">
        <w:rPr>
          <w:sz w:val="26"/>
          <w:szCs w:val="26"/>
        </w:rPr>
        <w:t xml:space="preserve">uncontested recommendations and the underlying </w:t>
      </w:r>
      <w:r w:rsidR="008A1F11" w:rsidRPr="0029748B">
        <w:rPr>
          <w:sz w:val="26"/>
          <w:szCs w:val="26"/>
        </w:rPr>
        <w:t>F</w:t>
      </w:r>
      <w:r w:rsidRPr="0029748B">
        <w:rPr>
          <w:sz w:val="26"/>
          <w:szCs w:val="26"/>
        </w:rPr>
        <w:t xml:space="preserve">indings of </w:t>
      </w:r>
      <w:r w:rsidR="008A1F11" w:rsidRPr="0029748B">
        <w:rPr>
          <w:sz w:val="26"/>
          <w:szCs w:val="26"/>
        </w:rPr>
        <w:t>F</w:t>
      </w:r>
      <w:r w:rsidRPr="0029748B">
        <w:rPr>
          <w:sz w:val="26"/>
          <w:szCs w:val="26"/>
        </w:rPr>
        <w:t xml:space="preserve">act and </w:t>
      </w:r>
      <w:r w:rsidR="008A1F11" w:rsidRPr="0029748B">
        <w:rPr>
          <w:sz w:val="26"/>
          <w:szCs w:val="26"/>
        </w:rPr>
        <w:t>C</w:t>
      </w:r>
      <w:r w:rsidRPr="0029748B">
        <w:rPr>
          <w:sz w:val="26"/>
          <w:szCs w:val="26"/>
        </w:rPr>
        <w:t xml:space="preserve">onclusions of </w:t>
      </w:r>
      <w:r w:rsidR="008A1F11" w:rsidRPr="0029748B">
        <w:rPr>
          <w:sz w:val="26"/>
          <w:szCs w:val="26"/>
        </w:rPr>
        <w:t>L</w:t>
      </w:r>
      <w:r w:rsidRPr="0029748B">
        <w:rPr>
          <w:sz w:val="26"/>
          <w:szCs w:val="26"/>
        </w:rPr>
        <w:t>aw are supported by substantial evidence and in the public interest</w:t>
      </w:r>
      <w:r w:rsidR="00B25A06" w:rsidRPr="0029748B">
        <w:rPr>
          <w:sz w:val="26"/>
          <w:szCs w:val="26"/>
        </w:rPr>
        <w:t>.</w:t>
      </w:r>
      <w:r w:rsidR="00D91A89" w:rsidRPr="0029748B">
        <w:rPr>
          <w:sz w:val="26"/>
          <w:szCs w:val="26"/>
        </w:rPr>
        <w:t xml:space="preserve"> </w:t>
      </w:r>
    </w:p>
    <w:p w14:paraId="0394C237" w14:textId="77777777" w:rsidR="00D0760F" w:rsidRPr="0029748B" w:rsidRDefault="00D0760F" w:rsidP="0029748B">
      <w:pPr>
        <w:widowControl/>
        <w:spacing w:line="360" w:lineRule="auto"/>
        <w:ind w:firstLine="1440"/>
        <w:contextualSpacing/>
        <w:rPr>
          <w:sz w:val="26"/>
          <w:szCs w:val="26"/>
        </w:rPr>
      </w:pPr>
    </w:p>
    <w:p w14:paraId="7CEB5802" w14:textId="77777777" w:rsidR="00D3034C" w:rsidRPr="0029748B" w:rsidRDefault="00D0760F" w:rsidP="0029748B">
      <w:pPr>
        <w:widowControl/>
        <w:spacing w:line="360" w:lineRule="auto"/>
        <w:ind w:firstLine="1440"/>
        <w:contextualSpacing/>
        <w:rPr>
          <w:sz w:val="26"/>
          <w:szCs w:val="26"/>
        </w:rPr>
      </w:pPr>
      <w:r w:rsidRPr="0029748B">
        <w:rPr>
          <w:sz w:val="26"/>
          <w:szCs w:val="26"/>
        </w:rPr>
        <w:t xml:space="preserve">The </w:t>
      </w:r>
      <w:r w:rsidR="005E6915" w:rsidRPr="0029748B">
        <w:rPr>
          <w:sz w:val="26"/>
          <w:szCs w:val="26"/>
        </w:rPr>
        <w:t xml:space="preserve">ALJ’s </w:t>
      </w:r>
      <w:r w:rsidRPr="0029748B">
        <w:rPr>
          <w:sz w:val="26"/>
          <w:szCs w:val="26"/>
        </w:rPr>
        <w:t>uncontested recommendations</w:t>
      </w:r>
      <w:r w:rsidR="005E6915" w:rsidRPr="0029748B">
        <w:rPr>
          <w:sz w:val="26"/>
          <w:szCs w:val="26"/>
        </w:rPr>
        <w:t xml:space="preserve">, </w:t>
      </w:r>
      <w:r w:rsidRPr="0029748B">
        <w:rPr>
          <w:sz w:val="26"/>
          <w:szCs w:val="26"/>
        </w:rPr>
        <w:t xml:space="preserve">including the adoption of the </w:t>
      </w:r>
      <w:r w:rsidR="008A1F11" w:rsidRPr="0029748B">
        <w:rPr>
          <w:sz w:val="26"/>
          <w:szCs w:val="26"/>
        </w:rPr>
        <w:t>P</w:t>
      </w:r>
      <w:r w:rsidR="00F20728" w:rsidRPr="0029748B">
        <w:rPr>
          <w:sz w:val="26"/>
          <w:szCs w:val="26"/>
        </w:rPr>
        <w:t xml:space="preserve">arties’ </w:t>
      </w:r>
      <w:r w:rsidRPr="0029748B">
        <w:rPr>
          <w:sz w:val="26"/>
          <w:szCs w:val="26"/>
        </w:rPr>
        <w:t>Joint Stipulation</w:t>
      </w:r>
      <w:r w:rsidR="00F20728" w:rsidRPr="0029748B">
        <w:rPr>
          <w:sz w:val="26"/>
          <w:szCs w:val="26"/>
        </w:rPr>
        <w:t>,</w:t>
      </w:r>
      <w:r w:rsidRPr="0029748B">
        <w:rPr>
          <w:sz w:val="26"/>
          <w:szCs w:val="26"/>
        </w:rPr>
        <w:t xml:space="preserve"> resolve a variety of the issues necessary for the ultimate resolution of this rate proceeding.  </w:t>
      </w:r>
      <w:r w:rsidR="00F20728" w:rsidRPr="0029748B">
        <w:rPr>
          <w:sz w:val="26"/>
          <w:szCs w:val="26"/>
        </w:rPr>
        <w:t xml:space="preserve">As such, the ALJ’s uncontested findings reflect the </w:t>
      </w:r>
      <w:r w:rsidR="008A1F11" w:rsidRPr="0029748B">
        <w:rPr>
          <w:sz w:val="26"/>
          <w:szCs w:val="26"/>
        </w:rPr>
        <w:t>P</w:t>
      </w:r>
      <w:r w:rsidR="00F20728" w:rsidRPr="0029748B">
        <w:rPr>
          <w:sz w:val="26"/>
          <w:szCs w:val="26"/>
        </w:rPr>
        <w:t>arties’ ultimate agreement to abide by those findings.  As a general matter, the ALJ’s uncontested findings</w:t>
      </w:r>
      <w:r w:rsidR="00F329DC" w:rsidRPr="0029748B">
        <w:rPr>
          <w:sz w:val="26"/>
          <w:szCs w:val="26"/>
        </w:rPr>
        <w:t xml:space="preserve">, including the adoption of the Joint Stipulation, </w:t>
      </w:r>
      <w:r w:rsidR="00F20728" w:rsidRPr="0029748B">
        <w:rPr>
          <w:sz w:val="26"/>
          <w:szCs w:val="26"/>
        </w:rPr>
        <w:t xml:space="preserve">achieve the same practical benefit as a settlement of those issues.  As we have previously acknowledged, </w:t>
      </w:r>
      <w:r w:rsidR="008A1F11" w:rsidRPr="0029748B">
        <w:rPr>
          <w:sz w:val="26"/>
          <w:szCs w:val="26"/>
        </w:rPr>
        <w:t xml:space="preserve">a </w:t>
      </w:r>
      <w:r w:rsidR="00F20728" w:rsidRPr="0029748B">
        <w:rPr>
          <w:sz w:val="26"/>
          <w:szCs w:val="26"/>
        </w:rPr>
        <w:t>settlement</w:t>
      </w:r>
      <w:r w:rsidR="008A1F11" w:rsidRPr="0029748B">
        <w:rPr>
          <w:sz w:val="26"/>
          <w:szCs w:val="26"/>
        </w:rPr>
        <w:t xml:space="preserve"> of any aspect of a case</w:t>
      </w:r>
      <w:r w:rsidR="00F20728" w:rsidRPr="0029748B">
        <w:rPr>
          <w:sz w:val="26"/>
          <w:szCs w:val="26"/>
        </w:rPr>
        <w:t xml:space="preserve">, whether whole or partial, benefits not only the named </w:t>
      </w:r>
      <w:r w:rsidR="00F20728" w:rsidRPr="0029748B">
        <w:rPr>
          <w:sz w:val="26"/>
          <w:szCs w:val="26"/>
        </w:rPr>
        <w:lastRenderedPageBreak/>
        <w:t xml:space="preserve">parties directly, but, indirectly, all customers of the public utility involved in the case.  </w:t>
      </w:r>
      <w:r w:rsidR="00F20728" w:rsidRPr="0029748B">
        <w:rPr>
          <w:i/>
          <w:sz w:val="26"/>
          <w:szCs w:val="26"/>
        </w:rPr>
        <w:t>Pa. PUC, et al. v. Columbia Gas of Pennsylvania, Inc.</w:t>
      </w:r>
      <w:r w:rsidR="00F20728" w:rsidRPr="0029748B">
        <w:rPr>
          <w:sz w:val="26"/>
          <w:szCs w:val="26"/>
        </w:rPr>
        <w:t xml:space="preserve">, Docket Nos. R-2015-2468056, </w:t>
      </w:r>
      <w:r w:rsidR="00F20728" w:rsidRPr="0029748B">
        <w:rPr>
          <w:i/>
          <w:sz w:val="26"/>
          <w:szCs w:val="26"/>
        </w:rPr>
        <w:t>et</w:t>
      </w:r>
      <w:r w:rsidR="006F67EE">
        <w:rPr>
          <w:i/>
          <w:sz w:val="26"/>
          <w:szCs w:val="26"/>
        </w:rPr>
        <w:t> </w:t>
      </w:r>
      <w:r w:rsidR="00F20728" w:rsidRPr="0029748B">
        <w:rPr>
          <w:i/>
          <w:sz w:val="26"/>
          <w:szCs w:val="26"/>
        </w:rPr>
        <w:t>al.</w:t>
      </w:r>
      <w:r w:rsidR="00F20728" w:rsidRPr="0029748B">
        <w:rPr>
          <w:sz w:val="26"/>
          <w:szCs w:val="26"/>
        </w:rPr>
        <w:t xml:space="preserve"> (Order entered December 3, 2015) at 6-7.</w:t>
      </w:r>
      <w:r w:rsidR="005E6915" w:rsidRPr="0029748B">
        <w:rPr>
          <w:sz w:val="26"/>
          <w:szCs w:val="26"/>
        </w:rPr>
        <w:t xml:space="preserve">  Our adoption of the ALJ’s uncontested recommendations and the </w:t>
      </w:r>
      <w:r w:rsidR="008A1F11" w:rsidRPr="0029748B">
        <w:rPr>
          <w:sz w:val="26"/>
          <w:szCs w:val="26"/>
        </w:rPr>
        <w:t>P</w:t>
      </w:r>
      <w:r w:rsidR="00F20728" w:rsidRPr="0029748B">
        <w:rPr>
          <w:sz w:val="26"/>
          <w:szCs w:val="26"/>
        </w:rPr>
        <w:t xml:space="preserve">arties’ Joint Stipulation </w:t>
      </w:r>
      <w:r w:rsidR="005E6915" w:rsidRPr="0029748B">
        <w:rPr>
          <w:sz w:val="26"/>
          <w:szCs w:val="26"/>
        </w:rPr>
        <w:t xml:space="preserve">is </w:t>
      </w:r>
      <w:r w:rsidR="002A6320" w:rsidRPr="0029748B">
        <w:rPr>
          <w:sz w:val="26"/>
          <w:szCs w:val="26"/>
        </w:rPr>
        <w:t xml:space="preserve">based on our conclusion that </w:t>
      </w:r>
      <w:r w:rsidR="005E6915" w:rsidRPr="0029748B">
        <w:rPr>
          <w:sz w:val="26"/>
          <w:szCs w:val="26"/>
        </w:rPr>
        <w:t xml:space="preserve">both </w:t>
      </w:r>
      <w:r w:rsidR="00D3034C" w:rsidRPr="0029748B">
        <w:rPr>
          <w:sz w:val="26"/>
          <w:szCs w:val="26"/>
        </w:rPr>
        <w:t xml:space="preserve">are </w:t>
      </w:r>
      <w:r w:rsidR="00F20728" w:rsidRPr="0029748B">
        <w:rPr>
          <w:sz w:val="26"/>
          <w:szCs w:val="26"/>
        </w:rPr>
        <w:t>supported by substantial evidence</w:t>
      </w:r>
      <w:r w:rsidR="00184882">
        <w:rPr>
          <w:sz w:val="26"/>
          <w:szCs w:val="26"/>
        </w:rPr>
        <w:t>,</w:t>
      </w:r>
      <w:r w:rsidR="00F20728" w:rsidRPr="0029748B">
        <w:rPr>
          <w:sz w:val="26"/>
          <w:szCs w:val="26"/>
        </w:rPr>
        <w:t xml:space="preserve"> and </w:t>
      </w:r>
      <w:r w:rsidR="00E679BE" w:rsidRPr="0029748B">
        <w:rPr>
          <w:sz w:val="26"/>
          <w:szCs w:val="26"/>
        </w:rPr>
        <w:t xml:space="preserve">are </w:t>
      </w:r>
      <w:r w:rsidR="00D91A89" w:rsidRPr="0029748B">
        <w:rPr>
          <w:sz w:val="26"/>
          <w:szCs w:val="26"/>
        </w:rPr>
        <w:t xml:space="preserve">reasonable and </w:t>
      </w:r>
      <w:r w:rsidR="00D3034C" w:rsidRPr="0029748B">
        <w:rPr>
          <w:sz w:val="26"/>
          <w:szCs w:val="26"/>
        </w:rPr>
        <w:t>in the public interest</w:t>
      </w:r>
      <w:r w:rsidR="005E6915" w:rsidRPr="0029748B">
        <w:rPr>
          <w:sz w:val="26"/>
          <w:szCs w:val="26"/>
        </w:rPr>
        <w:t>.</w:t>
      </w:r>
      <w:r w:rsidR="008A1F11" w:rsidRPr="0029748B">
        <w:rPr>
          <w:sz w:val="26"/>
          <w:szCs w:val="26"/>
        </w:rPr>
        <w:t xml:space="preserve"> </w:t>
      </w:r>
      <w:r w:rsidR="005E6915" w:rsidRPr="0029748B">
        <w:rPr>
          <w:sz w:val="26"/>
          <w:szCs w:val="26"/>
        </w:rPr>
        <w:t xml:space="preserve"> </w:t>
      </w:r>
      <w:r w:rsidR="002A6320" w:rsidRPr="0029748B">
        <w:rPr>
          <w:i/>
          <w:sz w:val="26"/>
          <w:szCs w:val="26"/>
        </w:rPr>
        <w:t>See,</w:t>
      </w:r>
      <w:r w:rsidR="002A6320" w:rsidRPr="0029748B">
        <w:rPr>
          <w:sz w:val="26"/>
          <w:szCs w:val="26"/>
        </w:rPr>
        <w:t xml:space="preserve"> </w:t>
      </w:r>
      <w:r w:rsidR="00D3034C" w:rsidRPr="0029748B">
        <w:rPr>
          <w:i/>
          <w:sz w:val="26"/>
          <w:szCs w:val="26"/>
        </w:rPr>
        <w:t>Pa. PUC v. York Water Co.</w:t>
      </w:r>
      <w:r w:rsidR="00D3034C" w:rsidRPr="0029748B">
        <w:rPr>
          <w:sz w:val="26"/>
          <w:szCs w:val="26"/>
        </w:rPr>
        <w:t>, Docket No. R</w:t>
      </w:r>
      <w:r w:rsidR="00D3034C" w:rsidRPr="0029748B">
        <w:rPr>
          <w:sz w:val="26"/>
          <w:szCs w:val="26"/>
        </w:rPr>
        <w:noBreakHyphen/>
        <w:t xml:space="preserve">00049165 (Order entered October 4, 2004); </w:t>
      </w:r>
      <w:r w:rsidR="00D3034C" w:rsidRPr="0029748B">
        <w:rPr>
          <w:i/>
          <w:sz w:val="26"/>
          <w:szCs w:val="26"/>
        </w:rPr>
        <w:t>Pa. PUC v. C. S. Water and Sewer Assoc.</w:t>
      </w:r>
      <w:r w:rsidR="00D3034C" w:rsidRPr="0029748B">
        <w:rPr>
          <w:sz w:val="26"/>
          <w:szCs w:val="26"/>
        </w:rPr>
        <w:t>, 74 Pa. P.U.C. 767 (1991)</w:t>
      </w:r>
      <w:r w:rsidR="00184882">
        <w:rPr>
          <w:sz w:val="26"/>
          <w:szCs w:val="26"/>
        </w:rPr>
        <w:t xml:space="preserve"> </w:t>
      </w:r>
      <w:r w:rsidR="002A6320" w:rsidRPr="0029748B">
        <w:rPr>
          <w:sz w:val="26"/>
          <w:szCs w:val="26"/>
        </w:rPr>
        <w:t>(requirement for a Commission finding that stipulations in rate proceedings be in the public interest</w:t>
      </w:r>
      <w:r w:rsidR="00784724" w:rsidRPr="0029748B">
        <w:rPr>
          <w:sz w:val="26"/>
          <w:szCs w:val="26"/>
        </w:rPr>
        <w:t>).</w:t>
      </w:r>
    </w:p>
    <w:p w14:paraId="6B9C4ABC" w14:textId="77777777" w:rsidR="003359AD" w:rsidRPr="0029748B" w:rsidRDefault="003359AD" w:rsidP="0029748B">
      <w:pPr>
        <w:widowControl/>
        <w:spacing w:line="360" w:lineRule="auto"/>
        <w:ind w:firstLine="1440"/>
        <w:contextualSpacing/>
        <w:rPr>
          <w:sz w:val="26"/>
          <w:szCs w:val="26"/>
        </w:rPr>
      </w:pPr>
    </w:p>
    <w:p w14:paraId="65EBF638" w14:textId="77777777" w:rsidR="00B25A06" w:rsidRPr="0029748B" w:rsidRDefault="008864F5" w:rsidP="0029748B">
      <w:pPr>
        <w:widowControl/>
        <w:spacing w:line="360" w:lineRule="auto"/>
        <w:ind w:firstLine="1440"/>
        <w:contextualSpacing/>
        <w:rPr>
          <w:color w:val="000000"/>
          <w:sz w:val="26"/>
          <w:szCs w:val="26"/>
        </w:rPr>
      </w:pPr>
      <w:r w:rsidRPr="0029748B">
        <w:rPr>
          <w:sz w:val="26"/>
          <w:szCs w:val="26"/>
        </w:rPr>
        <w:t xml:space="preserve">Accordingly, we shall adopt </w:t>
      </w:r>
      <w:r w:rsidR="002A6320" w:rsidRPr="0029748B">
        <w:rPr>
          <w:sz w:val="26"/>
          <w:szCs w:val="26"/>
        </w:rPr>
        <w:t xml:space="preserve">and approve, without modification, </w:t>
      </w:r>
      <w:r w:rsidRPr="0029748B">
        <w:rPr>
          <w:sz w:val="26"/>
          <w:szCs w:val="26"/>
        </w:rPr>
        <w:t xml:space="preserve">the </w:t>
      </w:r>
      <w:r w:rsidR="000216D8" w:rsidRPr="0029748B">
        <w:rPr>
          <w:sz w:val="26"/>
          <w:szCs w:val="26"/>
        </w:rPr>
        <w:t xml:space="preserve">Joint Stipulation of the </w:t>
      </w:r>
      <w:r w:rsidR="008A1F11" w:rsidRPr="0029748B">
        <w:rPr>
          <w:sz w:val="26"/>
          <w:szCs w:val="26"/>
        </w:rPr>
        <w:t>P</w:t>
      </w:r>
      <w:r w:rsidR="000216D8" w:rsidRPr="0029748B">
        <w:rPr>
          <w:sz w:val="26"/>
          <w:szCs w:val="26"/>
        </w:rPr>
        <w:t xml:space="preserve">arties and the </w:t>
      </w:r>
      <w:r w:rsidR="00F20728" w:rsidRPr="0029748B">
        <w:rPr>
          <w:sz w:val="26"/>
          <w:szCs w:val="26"/>
        </w:rPr>
        <w:t xml:space="preserve">ALJ’s </w:t>
      </w:r>
      <w:r w:rsidR="00F329DC" w:rsidRPr="0029748B">
        <w:rPr>
          <w:sz w:val="26"/>
          <w:szCs w:val="26"/>
        </w:rPr>
        <w:t xml:space="preserve">uncontested </w:t>
      </w:r>
      <w:r w:rsidRPr="0029748B">
        <w:rPr>
          <w:sz w:val="26"/>
          <w:szCs w:val="26"/>
        </w:rPr>
        <w:t>recommendation</w:t>
      </w:r>
      <w:r w:rsidR="002A6320" w:rsidRPr="0029748B">
        <w:rPr>
          <w:sz w:val="26"/>
          <w:szCs w:val="26"/>
        </w:rPr>
        <w:t>s</w:t>
      </w:r>
      <w:r w:rsidR="008A1F11" w:rsidRPr="0029748B">
        <w:rPr>
          <w:sz w:val="26"/>
          <w:szCs w:val="26"/>
        </w:rPr>
        <w:t xml:space="preserve">, as set forth </w:t>
      </w:r>
      <w:r w:rsidR="000752A5" w:rsidRPr="0029748B">
        <w:rPr>
          <w:sz w:val="26"/>
          <w:szCs w:val="26"/>
        </w:rPr>
        <w:t xml:space="preserve">and discussed </w:t>
      </w:r>
      <w:r w:rsidR="008A1F11" w:rsidRPr="0029748B">
        <w:rPr>
          <w:sz w:val="26"/>
          <w:szCs w:val="26"/>
        </w:rPr>
        <w:t>above,</w:t>
      </w:r>
      <w:r w:rsidR="002A6320" w:rsidRPr="0029748B">
        <w:rPr>
          <w:sz w:val="26"/>
          <w:szCs w:val="26"/>
        </w:rPr>
        <w:t xml:space="preserve"> </w:t>
      </w:r>
      <w:r w:rsidR="004C4A9B" w:rsidRPr="0029748B">
        <w:rPr>
          <w:sz w:val="26"/>
          <w:szCs w:val="26"/>
        </w:rPr>
        <w:t>regarding:</w:t>
      </w:r>
      <w:r w:rsidR="002275F7" w:rsidRPr="0029748B">
        <w:rPr>
          <w:sz w:val="26"/>
          <w:szCs w:val="26"/>
        </w:rPr>
        <w:t xml:space="preserve"> </w:t>
      </w:r>
      <w:r w:rsidR="00E10C79" w:rsidRPr="0029748B">
        <w:rPr>
          <w:sz w:val="26"/>
          <w:szCs w:val="26"/>
        </w:rPr>
        <w:t xml:space="preserve">(1) </w:t>
      </w:r>
      <w:r w:rsidR="002275F7" w:rsidRPr="0029748B">
        <w:rPr>
          <w:color w:val="000000"/>
          <w:sz w:val="26"/>
          <w:szCs w:val="26"/>
        </w:rPr>
        <w:t>Rate Base</w:t>
      </w:r>
      <w:r w:rsidR="008A1F11" w:rsidRPr="0029748B">
        <w:rPr>
          <w:color w:val="000000"/>
          <w:sz w:val="26"/>
          <w:szCs w:val="26"/>
        </w:rPr>
        <w:t>,</w:t>
      </w:r>
      <w:r w:rsidR="002275F7" w:rsidRPr="0029748B">
        <w:rPr>
          <w:color w:val="000000"/>
          <w:sz w:val="26"/>
          <w:szCs w:val="26"/>
        </w:rPr>
        <w:t xml:space="preserve"> </w:t>
      </w:r>
      <w:r w:rsidR="00E10C79" w:rsidRPr="0029748B">
        <w:rPr>
          <w:color w:val="000000"/>
          <w:sz w:val="26"/>
          <w:szCs w:val="26"/>
        </w:rPr>
        <w:t>(</w:t>
      </w:r>
      <w:r w:rsidR="00E2092C" w:rsidRPr="0029748B">
        <w:rPr>
          <w:color w:val="000000"/>
          <w:sz w:val="26"/>
          <w:szCs w:val="26"/>
        </w:rPr>
        <w:t>2</w:t>
      </w:r>
      <w:r w:rsidR="00E10C79" w:rsidRPr="0029748B">
        <w:rPr>
          <w:color w:val="000000"/>
          <w:sz w:val="26"/>
          <w:szCs w:val="26"/>
        </w:rPr>
        <w:t xml:space="preserve">) </w:t>
      </w:r>
      <w:r w:rsidR="002275F7" w:rsidRPr="0029748B">
        <w:rPr>
          <w:color w:val="000000"/>
          <w:sz w:val="26"/>
          <w:szCs w:val="26"/>
        </w:rPr>
        <w:t>Expenses</w:t>
      </w:r>
      <w:r w:rsidR="008A1F11" w:rsidRPr="0029748B">
        <w:rPr>
          <w:color w:val="000000"/>
          <w:sz w:val="26"/>
          <w:szCs w:val="26"/>
        </w:rPr>
        <w:t>,</w:t>
      </w:r>
      <w:r w:rsidR="002275F7" w:rsidRPr="0029748B">
        <w:rPr>
          <w:color w:val="000000"/>
          <w:sz w:val="26"/>
          <w:szCs w:val="26"/>
        </w:rPr>
        <w:t xml:space="preserve"> </w:t>
      </w:r>
      <w:r w:rsidR="00E10C79" w:rsidRPr="0029748B">
        <w:rPr>
          <w:color w:val="000000"/>
          <w:sz w:val="26"/>
          <w:szCs w:val="26"/>
        </w:rPr>
        <w:t>(</w:t>
      </w:r>
      <w:r w:rsidR="00E2092C" w:rsidRPr="0029748B">
        <w:rPr>
          <w:color w:val="000000"/>
          <w:sz w:val="26"/>
          <w:szCs w:val="26"/>
        </w:rPr>
        <w:t>3</w:t>
      </w:r>
      <w:r w:rsidR="00E10C79" w:rsidRPr="0029748B">
        <w:rPr>
          <w:color w:val="000000"/>
          <w:sz w:val="26"/>
          <w:szCs w:val="26"/>
        </w:rPr>
        <w:t xml:space="preserve">) </w:t>
      </w:r>
      <w:r w:rsidR="002275F7" w:rsidRPr="0029748B">
        <w:rPr>
          <w:color w:val="000000"/>
          <w:sz w:val="26"/>
          <w:szCs w:val="26"/>
        </w:rPr>
        <w:t>Capital Structure</w:t>
      </w:r>
      <w:r w:rsidR="008A1F11" w:rsidRPr="0029748B">
        <w:rPr>
          <w:color w:val="000000"/>
          <w:sz w:val="26"/>
          <w:szCs w:val="26"/>
        </w:rPr>
        <w:t>,</w:t>
      </w:r>
      <w:r w:rsidR="002275F7" w:rsidRPr="0029748B">
        <w:rPr>
          <w:color w:val="000000"/>
          <w:sz w:val="26"/>
          <w:szCs w:val="26"/>
        </w:rPr>
        <w:t xml:space="preserve"> and </w:t>
      </w:r>
      <w:r w:rsidR="00E10C79" w:rsidRPr="0029748B">
        <w:rPr>
          <w:color w:val="000000"/>
          <w:sz w:val="26"/>
          <w:szCs w:val="26"/>
        </w:rPr>
        <w:t>(</w:t>
      </w:r>
      <w:r w:rsidR="00E2092C" w:rsidRPr="0029748B">
        <w:rPr>
          <w:color w:val="000000"/>
          <w:sz w:val="26"/>
          <w:szCs w:val="26"/>
        </w:rPr>
        <w:t>4</w:t>
      </w:r>
      <w:r w:rsidR="00E10C79" w:rsidRPr="0029748B">
        <w:rPr>
          <w:color w:val="000000"/>
          <w:sz w:val="26"/>
          <w:szCs w:val="26"/>
        </w:rPr>
        <w:t>)</w:t>
      </w:r>
      <w:r w:rsidR="00184882">
        <w:rPr>
          <w:color w:val="000000"/>
          <w:sz w:val="26"/>
          <w:szCs w:val="26"/>
        </w:rPr>
        <w:t> </w:t>
      </w:r>
      <w:r w:rsidR="002275F7" w:rsidRPr="0029748B">
        <w:rPr>
          <w:color w:val="000000"/>
          <w:sz w:val="26"/>
          <w:szCs w:val="26"/>
        </w:rPr>
        <w:t xml:space="preserve">Rate Structure </w:t>
      </w:r>
      <w:r w:rsidR="00CC1DC5" w:rsidRPr="0029748B">
        <w:rPr>
          <w:color w:val="000000"/>
          <w:sz w:val="26"/>
          <w:szCs w:val="26"/>
        </w:rPr>
        <w:t xml:space="preserve">as </w:t>
      </w:r>
      <w:r w:rsidR="00860BCB" w:rsidRPr="0029748B">
        <w:rPr>
          <w:color w:val="000000"/>
          <w:sz w:val="26"/>
          <w:szCs w:val="26"/>
        </w:rPr>
        <w:t xml:space="preserve">just and reasonable and </w:t>
      </w:r>
      <w:r w:rsidR="00CC1DC5" w:rsidRPr="0029748B">
        <w:rPr>
          <w:color w:val="000000"/>
          <w:sz w:val="26"/>
          <w:szCs w:val="26"/>
        </w:rPr>
        <w:t>in the public interest</w:t>
      </w:r>
      <w:r w:rsidR="004C4A9B" w:rsidRPr="0029748B">
        <w:rPr>
          <w:color w:val="000000"/>
          <w:sz w:val="26"/>
          <w:szCs w:val="26"/>
        </w:rPr>
        <w:t xml:space="preserve">. </w:t>
      </w:r>
    </w:p>
    <w:p w14:paraId="2851C026" w14:textId="77777777" w:rsidR="00AC3B43" w:rsidRPr="0029748B" w:rsidRDefault="00AC3B43" w:rsidP="0029748B">
      <w:pPr>
        <w:widowControl/>
        <w:spacing w:line="360" w:lineRule="auto"/>
        <w:ind w:firstLine="1440"/>
        <w:contextualSpacing/>
        <w:rPr>
          <w:color w:val="000000"/>
          <w:sz w:val="26"/>
          <w:szCs w:val="26"/>
        </w:rPr>
      </w:pPr>
    </w:p>
    <w:p w14:paraId="63454AAB" w14:textId="77777777" w:rsidR="00554C2E" w:rsidRPr="0029748B" w:rsidRDefault="002275F7" w:rsidP="0029748B">
      <w:pPr>
        <w:widowControl/>
        <w:spacing w:line="360" w:lineRule="auto"/>
        <w:ind w:firstLine="1440"/>
        <w:contextualSpacing/>
        <w:rPr>
          <w:color w:val="000000"/>
          <w:sz w:val="26"/>
          <w:szCs w:val="26"/>
        </w:rPr>
      </w:pPr>
      <w:r w:rsidRPr="0029748B">
        <w:rPr>
          <w:color w:val="000000"/>
          <w:sz w:val="26"/>
          <w:szCs w:val="26"/>
        </w:rPr>
        <w:t xml:space="preserve">While we adopt the ALJ’s </w:t>
      </w:r>
      <w:r w:rsidR="00845C51" w:rsidRPr="0029748B">
        <w:rPr>
          <w:color w:val="000000"/>
          <w:sz w:val="26"/>
          <w:szCs w:val="26"/>
        </w:rPr>
        <w:t xml:space="preserve">uncontested recommendations </w:t>
      </w:r>
      <w:r w:rsidRPr="0029748B">
        <w:rPr>
          <w:color w:val="000000"/>
          <w:sz w:val="26"/>
          <w:szCs w:val="26"/>
        </w:rPr>
        <w:t xml:space="preserve">without modification, we will require future reporting by the Company regarding the Company’s Capital Structure, </w:t>
      </w:r>
      <w:r w:rsidR="000726CB" w:rsidRPr="0029748B">
        <w:rPr>
          <w:color w:val="000000"/>
          <w:sz w:val="26"/>
          <w:szCs w:val="26"/>
        </w:rPr>
        <w:t>as it pertains to a cost of debt of 7.0%</w:t>
      </w:r>
      <w:r w:rsidRPr="0029748B">
        <w:rPr>
          <w:color w:val="000000"/>
          <w:sz w:val="26"/>
          <w:szCs w:val="26"/>
        </w:rPr>
        <w:t xml:space="preserve">.  We do so because, while we </w:t>
      </w:r>
      <w:r w:rsidR="00B34AFE" w:rsidRPr="0029748B">
        <w:rPr>
          <w:color w:val="000000"/>
          <w:sz w:val="26"/>
          <w:szCs w:val="26"/>
        </w:rPr>
        <w:t>acknowledg</w:t>
      </w:r>
      <w:r w:rsidRPr="0029748B">
        <w:rPr>
          <w:color w:val="000000"/>
          <w:sz w:val="26"/>
          <w:szCs w:val="26"/>
        </w:rPr>
        <w:t xml:space="preserve">e </w:t>
      </w:r>
      <w:r w:rsidR="00B34AFE" w:rsidRPr="0029748B">
        <w:rPr>
          <w:color w:val="000000"/>
          <w:sz w:val="26"/>
          <w:szCs w:val="26"/>
        </w:rPr>
        <w:t>the Company’s present inability to obtain low</w:t>
      </w:r>
      <w:r w:rsidR="00083C52" w:rsidRPr="0029748B">
        <w:rPr>
          <w:color w:val="000000"/>
          <w:sz w:val="26"/>
          <w:szCs w:val="26"/>
        </w:rPr>
        <w:t>er</w:t>
      </w:r>
      <w:r w:rsidR="00B34AFE" w:rsidRPr="0029748B">
        <w:rPr>
          <w:color w:val="000000"/>
          <w:sz w:val="26"/>
          <w:szCs w:val="26"/>
        </w:rPr>
        <w:t xml:space="preserve">-cost debt, </w:t>
      </w:r>
      <w:r w:rsidR="00845C51" w:rsidRPr="0029748B">
        <w:rPr>
          <w:color w:val="000000"/>
          <w:sz w:val="26"/>
          <w:szCs w:val="26"/>
        </w:rPr>
        <w:t xml:space="preserve">we also conclude, as </w:t>
      </w:r>
      <w:r w:rsidR="00554C2E" w:rsidRPr="0029748B">
        <w:rPr>
          <w:color w:val="000000"/>
          <w:sz w:val="26"/>
          <w:szCs w:val="26"/>
        </w:rPr>
        <w:t>argued by I&amp;E and the OCA</w:t>
      </w:r>
      <w:r w:rsidR="00845C51" w:rsidRPr="0029748B">
        <w:rPr>
          <w:color w:val="000000"/>
          <w:sz w:val="26"/>
          <w:szCs w:val="26"/>
        </w:rPr>
        <w:t xml:space="preserve">, </w:t>
      </w:r>
      <w:r w:rsidR="000752A5" w:rsidRPr="0029748B">
        <w:rPr>
          <w:color w:val="000000"/>
          <w:sz w:val="26"/>
          <w:szCs w:val="26"/>
        </w:rPr>
        <w:t xml:space="preserve">that </w:t>
      </w:r>
      <w:r w:rsidR="00554C2E" w:rsidRPr="0029748B">
        <w:rPr>
          <w:color w:val="000000"/>
          <w:sz w:val="26"/>
          <w:szCs w:val="26"/>
        </w:rPr>
        <w:t xml:space="preserve">the </w:t>
      </w:r>
      <w:r w:rsidR="00B34AFE" w:rsidRPr="0029748B">
        <w:rPr>
          <w:color w:val="000000"/>
          <w:sz w:val="26"/>
          <w:szCs w:val="26"/>
        </w:rPr>
        <w:t>Company</w:t>
      </w:r>
      <w:r w:rsidR="00554C2E" w:rsidRPr="0029748B">
        <w:rPr>
          <w:color w:val="000000"/>
          <w:sz w:val="26"/>
          <w:szCs w:val="26"/>
        </w:rPr>
        <w:t xml:space="preserve"> should actively pursue means to reduce the </w:t>
      </w:r>
      <w:r w:rsidR="00F87BBE" w:rsidRPr="0029748B">
        <w:rPr>
          <w:color w:val="000000"/>
          <w:sz w:val="26"/>
          <w:szCs w:val="26"/>
        </w:rPr>
        <w:t xml:space="preserve">7.0% </w:t>
      </w:r>
      <w:r w:rsidR="00B34AFE" w:rsidRPr="0029748B">
        <w:rPr>
          <w:color w:val="000000"/>
          <w:sz w:val="26"/>
          <w:szCs w:val="26"/>
        </w:rPr>
        <w:t>cost of debt</w:t>
      </w:r>
      <w:r w:rsidR="00554C2E" w:rsidRPr="0029748B">
        <w:rPr>
          <w:color w:val="000000"/>
          <w:sz w:val="26"/>
          <w:szCs w:val="26"/>
        </w:rPr>
        <w:t xml:space="preserve">. </w:t>
      </w:r>
      <w:r w:rsidR="00F87BBE" w:rsidRPr="0029748B">
        <w:rPr>
          <w:color w:val="000000"/>
          <w:sz w:val="26"/>
          <w:szCs w:val="26"/>
        </w:rPr>
        <w:t xml:space="preserve"> </w:t>
      </w:r>
    </w:p>
    <w:p w14:paraId="744E6C4B" w14:textId="77777777" w:rsidR="00554C2E" w:rsidRPr="0029748B" w:rsidRDefault="00554C2E" w:rsidP="0029748B">
      <w:pPr>
        <w:widowControl/>
        <w:spacing w:line="360" w:lineRule="auto"/>
        <w:ind w:firstLine="1440"/>
        <w:contextualSpacing/>
        <w:rPr>
          <w:color w:val="000000"/>
          <w:sz w:val="26"/>
          <w:szCs w:val="26"/>
        </w:rPr>
      </w:pPr>
    </w:p>
    <w:p w14:paraId="7F9D61D8" w14:textId="77777777" w:rsidR="00F87BBE" w:rsidRPr="0029748B" w:rsidRDefault="00B34AFE" w:rsidP="0029748B">
      <w:pPr>
        <w:widowControl/>
        <w:spacing w:line="360" w:lineRule="auto"/>
        <w:ind w:firstLine="1440"/>
        <w:contextualSpacing/>
        <w:rPr>
          <w:color w:val="000000"/>
          <w:sz w:val="26"/>
          <w:szCs w:val="26"/>
        </w:rPr>
      </w:pPr>
      <w:r w:rsidRPr="0029748B">
        <w:rPr>
          <w:color w:val="000000"/>
          <w:sz w:val="26"/>
          <w:szCs w:val="26"/>
        </w:rPr>
        <w:t xml:space="preserve">As </w:t>
      </w:r>
      <w:r w:rsidR="00845C51" w:rsidRPr="0029748B">
        <w:rPr>
          <w:color w:val="000000"/>
          <w:sz w:val="26"/>
          <w:szCs w:val="26"/>
        </w:rPr>
        <w:t xml:space="preserve">the ALJ noted, </w:t>
      </w:r>
      <w:r w:rsidRPr="0029748B">
        <w:rPr>
          <w:color w:val="000000"/>
          <w:sz w:val="26"/>
          <w:szCs w:val="26"/>
        </w:rPr>
        <w:t xml:space="preserve">I&amp;E </w:t>
      </w:r>
      <w:r w:rsidR="00F87BBE" w:rsidRPr="0029748B">
        <w:rPr>
          <w:color w:val="000000"/>
          <w:sz w:val="26"/>
          <w:szCs w:val="26"/>
        </w:rPr>
        <w:t xml:space="preserve">and </w:t>
      </w:r>
      <w:r w:rsidR="00AC3B43" w:rsidRPr="0029748B">
        <w:rPr>
          <w:color w:val="000000"/>
          <w:sz w:val="26"/>
          <w:szCs w:val="26"/>
        </w:rPr>
        <w:t xml:space="preserve">the </w:t>
      </w:r>
      <w:r w:rsidR="00F87BBE" w:rsidRPr="0029748B">
        <w:rPr>
          <w:color w:val="000000"/>
          <w:sz w:val="26"/>
          <w:szCs w:val="26"/>
        </w:rPr>
        <w:t xml:space="preserve">OCA </w:t>
      </w:r>
      <w:r w:rsidR="00845C51" w:rsidRPr="0029748B">
        <w:rPr>
          <w:color w:val="000000"/>
          <w:sz w:val="26"/>
          <w:szCs w:val="26"/>
        </w:rPr>
        <w:t>offered persuasive evidence that</w:t>
      </w:r>
      <w:r w:rsidRPr="0029748B">
        <w:rPr>
          <w:color w:val="000000"/>
          <w:sz w:val="26"/>
          <w:szCs w:val="26"/>
        </w:rPr>
        <w:t xml:space="preserve"> </w:t>
      </w:r>
      <w:r w:rsidR="00F87BBE" w:rsidRPr="0029748B">
        <w:rPr>
          <w:color w:val="000000"/>
          <w:sz w:val="26"/>
          <w:szCs w:val="26"/>
        </w:rPr>
        <w:t>Twin Lakes’ cost of debt is extremely high</w:t>
      </w:r>
      <w:r w:rsidR="00AC3B43" w:rsidRPr="0029748B">
        <w:rPr>
          <w:color w:val="000000"/>
          <w:sz w:val="26"/>
          <w:szCs w:val="26"/>
        </w:rPr>
        <w:t xml:space="preserve"> viewed in comparison to the proxy group</w:t>
      </w:r>
      <w:r w:rsidR="00F87BBE" w:rsidRPr="0029748B">
        <w:rPr>
          <w:color w:val="000000"/>
          <w:sz w:val="26"/>
          <w:szCs w:val="26"/>
        </w:rPr>
        <w:t>.</w:t>
      </w:r>
      <w:r w:rsidR="00845C51" w:rsidRPr="0029748B">
        <w:rPr>
          <w:color w:val="000000"/>
          <w:sz w:val="26"/>
          <w:szCs w:val="26"/>
        </w:rPr>
        <w:t xml:space="preserve"> </w:t>
      </w:r>
      <w:r w:rsidR="000752A5" w:rsidRPr="0029748B">
        <w:rPr>
          <w:color w:val="000000"/>
          <w:sz w:val="26"/>
          <w:szCs w:val="26"/>
        </w:rPr>
        <w:t xml:space="preserve"> </w:t>
      </w:r>
      <w:r w:rsidR="00845C51" w:rsidRPr="0029748B">
        <w:rPr>
          <w:color w:val="000000"/>
          <w:sz w:val="26"/>
          <w:szCs w:val="26"/>
        </w:rPr>
        <w:t xml:space="preserve">R.D. at 42-45. </w:t>
      </w:r>
      <w:r w:rsidR="00F87BBE" w:rsidRPr="0029748B">
        <w:rPr>
          <w:color w:val="000000"/>
          <w:sz w:val="26"/>
          <w:szCs w:val="26"/>
        </w:rPr>
        <w:t xml:space="preserve"> </w:t>
      </w:r>
      <w:r w:rsidR="00F42830" w:rsidRPr="0029748B">
        <w:rPr>
          <w:color w:val="000000"/>
          <w:sz w:val="26"/>
          <w:szCs w:val="26"/>
        </w:rPr>
        <w:t>T</w:t>
      </w:r>
      <w:r w:rsidR="00845C51" w:rsidRPr="0029748B">
        <w:rPr>
          <w:color w:val="000000"/>
          <w:sz w:val="26"/>
          <w:szCs w:val="26"/>
        </w:rPr>
        <w:t>he ALJ</w:t>
      </w:r>
      <w:r w:rsidR="00F42830" w:rsidRPr="0029748B">
        <w:rPr>
          <w:color w:val="000000"/>
          <w:sz w:val="26"/>
          <w:szCs w:val="26"/>
        </w:rPr>
        <w:t xml:space="preserve"> concluded </w:t>
      </w:r>
      <w:r w:rsidR="00845C51" w:rsidRPr="0029748B">
        <w:rPr>
          <w:color w:val="000000"/>
          <w:sz w:val="26"/>
          <w:szCs w:val="26"/>
        </w:rPr>
        <w:t>that, despite proof that the Company’s cost of debt is high, the Company’s demonstrated inability to obtain low-cost debt justif</w:t>
      </w:r>
      <w:r w:rsidR="00F42830" w:rsidRPr="0029748B">
        <w:rPr>
          <w:color w:val="000000"/>
          <w:sz w:val="26"/>
          <w:szCs w:val="26"/>
        </w:rPr>
        <w:t xml:space="preserve">ies </w:t>
      </w:r>
      <w:r w:rsidR="00845C51" w:rsidRPr="0029748B">
        <w:rPr>
          <w:color w:val="000000"/>
          <w:sz w:val="26"/>
          <w:szCs w:val="26"/>
        </w:rPr>
        <w:t xml:space="preserve">the </w:t>
      </w:r>
      <w:r w:rsidR="00554C2E" w:rsidRPr="0029748B">
        <w:rPr>
          <w:color w:val="000000"/>
          <w:sz w:val="26"/>
          <w:szCs w:val="26"/>
        </w:rPr>
        <w:t xml:space="preserve">cost of debt </w:t>
      </w:r>
      <w:r w:rsidR="00845C51" w:rsidRPr="0029748B">
        <w:rPr>
          <w:color w:val="000000"/>
          <w:sz w:val="26"/>
          <w:szCs w:val="26"/>
        </w:rPr>
        <w:t>rate of 7.0%.  However, a</w:t>
      </w:r>
      <w:r w:rsidRPr="0029748B">
        <w:rPr>
          <w:color w:val="000000"/>
          <w:sz w:val="26"/>
          <w:szCs w:val="26"/>
        </w:rPr>
        <w:t xml:space="preserve">s noted by </w:t>
      </w:r>
      <w:r w:rsidR="00554C2E" w:rsidRPr="0029748B">
        <w:rPr>
          <w:color w:val="000000"/>
          <w:sz w:val="26"/>
          <w:szCs w:val="26"/>
        </w:rPr>
        <w:t xml:space="preserve">I&amp;E, the Company should be accountable to take affirmative steps to obtain lower cost debt.  Further, as </w:t>
      </w:r>
      <w:r w:rsidRPr="0029748B">
        <w:rPr>
          <w:color w:val="000000"/>
          <w:sz w:val="26"/>
          <w:szCs w:val="26"/>
        </w:rPr>
        <w:t>the OCA</w:t>
      </w:r>
      <w:r w:rsidR="00554C2E" w:rsidRPr="0029748B">
        <w:rPr>
          <w:color w:val="000000"/>
          <w:sz w:val="26"/>
          <w:szCs w:val="26"/>
        </w:rPr>
        <w:t xml:space="preserve"> observed, </w:t>
      </w:r>
      <w:r w:rsidR="00F87BBE" w:rsidRPr="0029748B">
        <w:rPr>
          <w:color w:val="000000"/>
          <w:sz w:val="26"/>
          <w:szCs w:val="26"/>
        </w:rPr>
        <w:t xml:space="preserve">the Company’s future ability to obtain low-cost debt may improve </w:t>
      </w:r>
      <w:r w:rsidRPr="0029748B">
        <w:rPr>
          <w:color w:val="000000"/>
          <w:sz w:val="26"/>
          <w:szCs w:val="26"/>
        </w:rPr>
        <w:t xml:space="preserve">due to external factors </w:t>
      </w:r>
      <w:r w:rsidRPr="0029748B">
        <w:rPr>
          <w:color w:val="000000"/>
          <w:sz w:val="26"/>
          <w:szCs w:val="26"/>
        </w:rPr>
        <w:lastRenderedPageBreak/>
        <w:t>which may justify a future reduction to the Company’s cost of debt, including</w:t>
      </w:r>
      <w:r w:rsidR="00845C51" w:rsidRPr="0029748B">
        <w:rPr>
          <w:color w:val="000000"/>
          <w:sz w:val="26"/>
          <w:szCs w:val="26"/>
        </w:rPr>
        <w:t xml:space="preserve">, </w:t>
      </w:r>
      <w:r w:rsidR="00845C51" w:rsidRPr="0029748B">
        <w:rPr>
          <w:i/>
          <w:iCs/>
          <w:color w:val="000000"/>
          <w:sz w:val="26"/>
          <w:szCs w:val="26"/>
        </w:rPr>
        <w:t>inter alia</w:t>
      </w:r>
      <w:r w:rsidR="00845C51" w:rsidRPr="0029748B">
        <w:rPr>
          <w:color w:val="000000"/>
          <w:sz w:val="26"/>
          <w:szCs w:val="26"/>
        </w:rPr>
        <w:t xml:space="preserve">, </w:t>
      </w:r>
      <w:r w:rsidRPr="0029748B">
        <w:rPr>
          <w:color w:val="000000"/>
          <w:sz w:val="26"/>
          <w:szCs w:val="26"/>
        </w:rPr>
        <w:t>a PENNVEST loan approval.  We agree.</w:t>
      </w:r>
    </w:p>
    <w:p w14:paraId="53BF8B30" w14:textId="77777777" w:rsidR="00F87BBE" w:rsidRPr="0029748B" w:rsidRDefault="00F87BBE" w:rsidP="0029748B">
      <w:pPr>
        <w:widowControl/>
        <w:spacing w:line="360" w:lineRule="auto"/>
        <w:ind w:firstLine="1440"/>
        <w:contextualSpacing/>
        <w:rPr>
          <w:color w:val="000000"/>
          <w:sz w:val="26"/>
          <w:szCs w:val="26"/>
        </w:rPr>
      </w:pPr>
    </w:p>
    <w:p w14:paraId="764B83AE" w14:textId="77777777" w:rsidR="00B34AFE" w:rsidRPr="0029748B" w:rsidRDefault="002275F7" w:rsidP="0029748B">
      <w:pPr>
        <w:widowControl/>
        <w:spacing w:line="360" w:lineRule="auto"/>
        <w:ind w:firstLine="1440"/>
        <w:contextualSpacing/>
        <w:rPr>
          <w:color w:val="000000"/>
          <w:sz w:val="26"/>
          <w:szCs w:val="26"/>
        </w:rPr>
      </w:pPr>
      <w:r w:rsidRPr="0029748B">
        <w:rPr>
          <w:color w:val="000000"/>
          <w:sz w:val="26"/>
          <w:szCs w:val="26"/>
        </w:rPr>
        <w:t xml:space="preserve">Our </w:t>
      </w:r>
      <w:r w:rsidR="00B34AFE" w:rsidRPr="0029748B">
        <w:rPr>
          <w:color w:val="000000"/>
          <w:sz w:val="26"/>
          <w:szCs w:val="26"/>
        </w:rPr>
        <w:t xml:space="preserve">approval of the Company’s proposed cost of debt of 7.0% </w:t>
      </w:r>
      <w:r w:rsidR="00AC3B43" w:rsidRPr="0029748B">
        <w:rPr>
          <w:color w:val="000000"/>
          <w:sz w:val="26"/>
          <w:szCs w:val="26"/>
        </w:rPr>
        <w:t xml:space="preserve">reflects </w:t>
      </w:r>
      <w:r w:rsidR="00B34AFE" w:rsidRPr="0029748B">
        <w:rPr>
          <w:color w:val="000000"/>
          <w:sz w:val="26"/>
          <w:szCs w:val="26"/>
        </w:rPr>
        <w:t>the Company’s present inability to otherwise obtain lower</w:t>
      </w:r>
      <w:r w:rsidR="00083C52" w:rsidRPr="0029748B">
        <w:rPr>
          <w:color w:val="000000"/>
          <w:sz w:val="26"/>
          <w:szCs w:val="26"/>
        </w:rPr>
        <w:t>-</w:t>
      </w:r>
      <w:r w:rsidR="00B34AFE" w:rsidRPr="0029748B">
        <w:rPr>
          <w:color w:val="000000"/>
          <w:sz w:val="26"/>
          <w:szCs w:val="26"/>
        </w:rPr>
        <w:t xml:space="preserve">cost debt.  However, it </w:t>
      </w:r>
      <w:r w:rsidR="00AC3B43" w:rsidRPr="0029748B">
        <w:rPr>
          <w:color w:val="000000"/>
          <w:sz w:val="26"/>
          <w:szCs w:val="26"/>
        </w:rPr>
        <w:t xml:space="preserve">does not relieve </w:t>
      </w:r>
      <w:r w:rsidR="00B34AFE" w:rsidRPr="0029748B">
        <w:rPr>
          <w:color w:val="000000"/>
          <w:sz w:val="26"/>
          <w:szCs w:val="26"/>
        </w:rPr>
        <w:t xml:space="preserve">the Company from </w:t>
      </w:r>
      <w:r w:rsidR="00AC3B43" w:rsidRPr="0029748B">
        <w:rPr>
          <w:color w:val="000000"/>
          <w:sz w:val="26"/>
          <w:szCs w:val="26"/>
        </w:rPr>
        <w:t xml:space="preserve">the duty to take </w:t>
      </w:r>
      <w:r w:rsidR="00B34AFE" w:rsidRPr="0029748B">
        <w:rPr>
          <w:color w:val="000000"/>
          <w:sz w:val="26"/>
          <w:szCs w:val="26"/>
        </w:rPr>
        <w:t xml:space="preserve">active and prudent measures to </w:t>
      </w:r>
      <w:r w:rsidR="00AC3B43" w:rsidRPr="0029748B">
        <w:rPr>
          <w:color w:val="000000"/>
          <w:sz w:val="26"/>
          <w:szCs w:val="26"/>
        </w:rPr>
        <w:t>o</w:t>
      </w:r>
      <w:r w:rsidR="00B34AFE" w:rsidRPr="0029748B">
        <w:rPr>
          <w:color w:val="000000"/>
          <w:sz w:val="26"/>
          <w:szCs w:val="26"/>
        </w:rPr>
        <w:t>btain</w:t>
      </w:r>
      <w:r w:rsidR="00AC3B43" w:rsidRPr="0029748B">
        <w:rPr>
          <w:color w:val="000000"/>
          <w:sz w:val="26"/>
          <w:szCs w:val="26"/>
        </w:rPr>
        <w:t xml:space="preserve"> </w:t>
      </w:r>
      <w:r w:rsidR="00B34AFE" w:rsidRPr="0029748B">
        <w:rPr>
          <w:color w:val="000000"/>
          <w:sz w:val="26"/>
          <w:szCs w:val="26"/>
        </w:rPr>
        <w:t>low</w:t>
      </w:r>
      <w:r w:rsidR="00083C52" w:rsidRPr="0029748B">
        <w:rPr>
          <w:color w:val="000000"/>
          <w:sz w:val="26"/>
          <w:szCs w:val="26"/>
        </w:rPr>
        <w:t>er</w:t>
      </w:r>
      <w:r w:rsidR="00B34AFE" w:rsidRPr="0029748B">
        <w:rPr>
          <w:color w:val="000000"/>
          <w:sz w:val="26"/>
          <w:szCs w:val="26"/>
        </w:rPr>
        <w:t>-cost deb</w:t>
      </w:r>
      <w:r w:rsidR="00083C52" w:rsidRPr="0029748B">
        <w:rPr>
          <w:color w:val="000000"/>
          <w:sz w:val="26"/>
          <w:szCs w:val="26"/>
        </w:rPr>
        <w:t>t</w:t>
      </w:r>
      <w:r w:rsidR="00B34AFE" w:rsidRPr="0029748B">
        <w:rPr>
          <w:color w:val="000000"/>
          <w:sz w:val="26"/>
          <w:szCs w:val="26"/>
        </w:rPr>
        <w:t xml:space="preserve"> </w:t>
      </w:r>
      <w:r w:rsidR="00AC3B43" w:rsidRPr="0029748B">
        <w:rPr>
          <w:color w:val="000000"/>
          <w:sz w:val="26"/>
          <w:szCs w:val="26"/>
        </w:rPr>
        <w:t xml:space="preserve">during the interim </w:t>
      </w:r>
      <w:r w:rsidR="00B34AFE" w:rsidRPr="0029748B">
        <w:rPr>
          <w:color w:val="000000"/>
          <w:sz w:val="26"/>
          <w:szCs w:val="26"/>
        </w:rPr>
        <w:t>until the Company’s next rate filing.</w:t>
      </w:r>
      <w:r w:rsidR="00F87BBE" w:rsidRPr="0029748B">
        <w:rPr>
          <w:color w:val="000000"/>
          <w:sz w:val="26"/>
          <w:szCs w:val="26"/>
        </w:rPr>
        <w:t xml:space="preserve">  W</w:t>
      </w:r>
      <w:r w:rsidR="00B34AFE" w:rsidRPr="0029748B">
        <w:rPr>
          <w:color w:val="000000"/>
          <w:sz w:val="26"/>
          <w:szCs w:val="26"/>
        </w:rPr>
        <w:t>e expect that the Company will continue to actively pursue possible sources of lower-cost debt</w:t>
      </w:r>
      <w:r w:rsidR="00F87BBE" w:rsidRPr="0029748B">
        <w:rPr>
          <w:color w:val="000000"/>
          <w:sz w:val="26"/>
          <w:szCs w:val="26"/>
        </w:rPr>
        <w:t xml:space="preserve">.  We further </w:t>
      </w:r>
      <w:r w:rsidR="00B34AFE" w:rsidRPr="0029748B">
        <w:rPr>
          <w:color w:val="000000"/>
          <w:sz w:val="26"/>
          <w:szCs w:val="26"/>
        </w:rPr>
        <w:t xml:space="preserve">intend that the Company be responsible to advise the Commission </w:t>
      </w:r>
      <w:r w:rsidR="00D53843" w:rsidRPr="0029748B">
        <w:rPr>
          <w:color w:val="000000"/>
          <w:sz w:val="26"/>
          <w:szCs w:val="26"/>
        </w:rPr>
        <w:t xml:space="preserve">annually </w:t>
      </w:r>
      <w:r w:rsidR="00B34AFE" w:rsidRPr="0029748B">
        <w:rPr>
          <w:color w:val="000000"/>
          <w:sz w:val="26"/>
          <w:szCs w:val="26"/>
        </w:rPr>
        <w:t xml:space="preserve">of </w:t>
      </w:r>
      <w:r w:rsidR="00D53843" w:rsidRPr="0029748B">
        <w:rPr>
          <w:color w:val="000000"/>
          <w:sz w:val="26"/>
          <w:szCs w:val="26"/>
        </w:rPr>
        <w:t xml:space="preserve">the affirmative steps </w:t>
      </w:r>
      <w:r w:rsidR="000175A9" w:rsidRPr="0029748B">
        <w:rPr>
          <w:color w:val="000000"/>
          <w:sz w:val="26"/>
          <w:szCs w:val="26"/>
        </w:rPr>
        <w:t xml:space="preserve">it has </w:t>
      </w:r>
      <w:r w:rsidR="00D53843" w:rsidRPr="0029748B">
        <w:rPr>
          <w:color w:val="000000"/>
          <w:sz w:val="26"/>
          <w:szCs w:val="26"/>
        </w:rPr>
        <w:t>taken toward securing low</w:t>
      </w:r>
      <w:r w:rsidR="00083C52" w:rsidRPr="0029748B">
        <w:rPr>
          <w:color w:val="000000"/>
          <w:sz w:val="26"/>
          <w:szCs w:val="26"/>
        </w:rPr>
        <w:t>er</w:t>
      </w:r>
      <w:r w:rsidR="00D53843" w:rsidRPr="0029748B">
        <w:rPr>
          <w:color w:val="000000"/>
          <w:sz w:val="26"/>
          <w:szCs w:val="26"/>
        </w:rPr>
        <w:t xml:space="preserve"> cost debt, until such time as the Company’s cost of debt is commensurate with either the Company’s parent entity or </w:t>
      </w:r>
      <w:r w:rsidR="000175A9" w:rsidRPr="0029748B">
        <w:rPr>
          <w:color w:val="000000"/>
          <w:sz w:val="26"/>
          <w:szCs w:val="26"/>
        </w:rPr>
        <w:t xml:space="preserve">the </w:t>
      </w:r>
      <w:r w:rsidR="00D53843" w:rsidRPr="0029748B">
        <w:rPr>
          <w:color w:val="000000"/>
          <w:sz w:val="26"/>
          <w:szCs w:val="26"/>
        </w:rPr>
        <w:t xml:space="preserve">proxy group. </w:t>
      </w:r>
    </w:p>
    <w:p w14:paraId="4A07A2D8" w14:textId="77777777" w:rsidR="00B34AFE" w:rsidRPr="0029748B" w:rsidRDefault="00B34AFE" w:rsidP="0029748B">
      <w:pPr>
        <w:widowControl/>
        <w:spacing w:line="360" w:lineRule="auto"/>
        <w:ind w:firstLine="1440"/>
        <w:contextualSpacing/>
        <w:rPr>
          <w:color w:val="000000"/>
          <w:sz w:val="26"/>
          <w:szCs w:val="26"/>
        </w:rPr>
      </w:pPr>
    </w:p>
    <w:p w14:paraId="21FF2365" w14:textId="2F0CD14E" w:rsidR="00B34AFE" w:rsidRDefault="00B34AFE" w:rsidP="0029748B">
      <w:pPr>
        <w:widowControl/>
        <w:spacing w:line="360" w:lineRule="auto"/>
        <w:ind w:firstLine="1440"/>
        <w:rPr>
          <w:rFonts w:eastAsiaTheme="minorHAnsi"/>
          <w:sz w:val="26"/>
          <w:szCs w:val="26"/>
        </w:rPr>
      </w:pPr>
      <w:r w:rsidRPr="0029748B">
        <w:rPr>
          <w:color w:val="000000"/>
          <w:sz w:val="26"/>
          <w:szCs w:val="26"/>
        </w:rPr>
        <w:t xml:space="preserve">Therefore, we shall </w:t>
      </w:r>
      <w:r w:rsidR="00845C51" w:rsidRPr="0029748B">
        <w:rPr>
          <w:color w:val="000000"/>
          <w:sz w:val="26"/>
          <w:szCs w:val="26"/>
        </w:rPr>
        <w:t xml:space="preserve">direct that </w:t>
      </w:r>
      <w:bookmarkStart w:id="26" w:name="_Hlk34819892"/>
      <w:r w:rsidR="00554C2E" w:rsidRPr="0029748B">
        <w:rPr>
          <w:rFonts w:eastAsiaTheme="minorHAnsi"/>
          <w:sz w:val="26"/>
          <w:szCs w:val="26"/>
        </w:rPr>
        <w:t>Twin Lakes</w:t>
      </w:r>
      <w:r w:rsidR="006853A0" w:rsidRPr="0029748B">
        <w:rPr>
          <w:rFonts w:eastAsiaTheme="minorHAnsi"/>
          <w:sz w:val="26"/>
          <w:szCs w:val="26"/>
        </w:rPr>
        <w:t xml:space="preserve"> shall </w:t>
      </w:r>
      <w:r w:rsidR="0069101C">
        <w:rPr>
          <w:rFonts w:eastAsiaTheme="minorHAnsi"/>
          <w:sz w:val="26"/>
          <w:szCs w:val="26"/>
        </w:rPr>
        <w:t xml:space="preserve">annually </w:t>
      </w:r>
      <w:r w:rsidR="006853A0" w:rsidRPr="0029748B">
        <w:rPr>
          <w:rFonts w:eastAsiaTheme="minorHAnsi"/>
          <w:sz w:val="26"/>
          <w:szCs w:val="26"/>
        </w:rPr>
        <w:t>file a report</w:t>
      </w:r>
      <w:r w:rsidR="00097535">
        <w:rPr>
          <w:rFonts w:eastAsiaTheme="minorHAnsi"/>
          <w:sz w:val="26"/>
          <w:szCs w:val="26"/>
        </w:rPr>
        <w:t>,</w:t>
      </w:r>
      <w:r w:rsidR="00D4656F">
        <w:rPr>
          <w:rFonts w:eastAsiaTheme="minorHAnsi"/>
          <w:sz w:val="26"/>
          <w:szCs w:val="26"/>
        </w:rPr>
        <w:t xml:space="preserve"> directed to</w:t>
      </w:r>
      <w:r w:rsidR="006853A0" w:rsidRPr="0029748B">
        <w:rPr>
          <w:rFonts w:eastAsiaTheme="minorHAnsi"/>
          <w:sz w:val="26"/>
          <w:szCs w:val="26"/>
        </w:rPr>
        <w:t xml:space="preserve"> the </w:t>
      </w:r>
      <w:r w:rsidR="00A70967">
        <w:rPr>
          <w:rFonts w:eastAsiaTheme="minorHAnsi"/>
          <w:sz w:val="26"/>
          <w:szCs w:val="26"/>
        </w:rPr>
        <w:t xml:space="preserve">Secretary of the </w:t>
      </w:r>
      <w:r w:rsidR="006853A0" w:rsidRPr="0029748B">
        <w:rPr>
          <w:rFonts w:eastAsiaTheme="minorHAnsi"/>
          <w:sz w:val="26"/>
          <w:szCs w:val="26"/>
        </w:rPr>
        <w:t>Commission</w:t>
      </w:r>
      <w:r w:rsidR="00A70967">
        <w:rPr>
          <w:rFonts w:eastAsiaTheme="minorHAnsi"/>
          <w:sz w:val="26"/>
          <w:szCs w:val="26"/>
        </w:rPr>
        <w:t xml:space="preserve">, </w:t>
      </w:r>
      <w:r w:rsidR="00715B65">
        <w:rPr>
          <w:rFonts w:eastAsiaTheme="minorHAnsi"/>
          <w:sz w:val="26"/>
          <w:szCs w:val="26"/>
        </w:rPr>
        <w:t xml:space="preserve">with a copy to the Commission’s </w:t>
      </w:r>
      <w:r w:rsidR="006853A0" w:rsidRPr="0029748B">
        <w:rPr>
          <w:rFonts w:eastAsiaTheme="minorHAnsi"/>
          <w:sz w:val="26"/>
          <w:szCs w:val="26"/>
        </w:rPr>
        <w:t xml:space="preserve">Bureau of Technical Utility Services </w:t>
      </w:r>
      <w:r w:rsidR="00C914E0" w:rsidRPr="0029748B">
        <w:rPr>
          <w:rFonts w:eastAsiaTheme="minorHAnsi"/>
          <w:sz w:val="26"/>
          <w:szCs w:val="26"/>
        </w:rPr>
        <w:t>(TUS)</w:t>
      </w:r>
      <w:r w:rsidR="00A70967">
        <w:rPr>
          <w:rFonts w:eastAsiaTheme="minorHAnsi"/>
          <w:sz w:val="26"/>
          <w:szCs w:val="26"/>
        </w:rPr>
        <w:t>,</w:t>
      </w:r>
      <w:r w:rsidR="006853A0" w:rsidRPr="0029748B">
        <w:rPr>
          <w:rFonts w:eastAsiaTheme="minorHAnsi"/>
          <w:sz w:val="26"/>
          <w:szCs w:val="26"/>
        </w:rPr>
        <w:t xml:space="preserve"> on the affirmative steps taken by the Company toward reduction of the Company’s approved cost of debt rate of 7.0%, to continue until the Company’s cost of debt is reduced to a rate commensurate with either the Company’s parent entity or proxy group.</w:t>
      </w:r>
      <w:bookmarkEnd w:id="26"/>
    </w:p>
    <w:p w14:paraId="6D947631" w14:textId="77777777" w:rsidR="00A20800" w:rsidRPr="0029748B" w:rsidRDefault="00A20800" w:rsidP="0029748B">
      <w:pPr>
        <w:widowControl/>
        <w:spacing w:line="360" w:lineRule="auto"/>
        <w:ind w:firstLine="1440"/>
        <w:rPr>
          <w:color w:val="000000"/>
          <w:sz w:val="26"/>
          <w:szCs w:val="26"/>
        </w:rPr>
      </w:pPr>
    </w:p>
    <w:p w14:paraId="42458EF9" w14:textId="28A06B6C" w:rsidR="006F0996" w:rsidRPr="0029748B" w:rsidRDefault="00A20800" w:rsidP="00A20800">
      <w:pPr>
        <w:pStyle w:val="ListParagraph"/>
        <w:widowControl/>
        <w:spacing w:line="360" w:lineRule="auto"/>
        <w:ind w:left="0"/>
        <w:jc w:val="center"/>
        <w:rPr>
          <w:b/>
          <w:sz w:val="26"/>
          <w:szCs w:val="26"/>
        </w:rPr>
      </w:pPr>
      <w:r>
        <w:rPr>
          <w:b/>
          <w:sz w:val="26"/>
          <w:szCs w:val="26"/>
        </w:rPr>
        <w:t>V.</w:t>
      </w:r>
      <w:r>
        <w:rPr>
          <w:b/>
          <w:sz w:val="26"/>
          <w:szCs w:val="26"/>
        </w:rPr>
        <w:tab/>
      </w:r>
      <w:r w:rsidR="00CB0DF2" w:rsidRPr="0029748B">
        <w:rPr>
          <w:b/>
          <w:sz w:val="26"/>
          <w:szCs w:val="26"/>
        </w:rPr>
        <w:t xml:space="preserve">Review of </w:t>
      </w:r>
      <w:r w:rsidR="002A6320" w:rsidRPr="0029748B">
        <w:rPr>
          <w:b/>
          <w:sz w:val="26"/>
          <w:szCs w:val="26"/>
        </w:rPr>
        <w:t>Exceptions and Replies</w:t>
      </w:r>
    </w:p>
    <w:p w14:paraId="018ABD61" w14:textId="77777777" w:rsidR="0028488F" w:rsidRPr="0029748B" w:rsidRDefault="0028488F" w:rsidP="0029748B">
      <w:pPr>
        <w:pStyle w:val="ListParagraph"/>
        <w:widowControl/>
        <w:spacing w:line="360" w:lineRule="auto"/>
        <w:ind w:left="0"/>
        <w:jc w:val="center"/>
        <w:rPr>
          <w:b/>
          <w:sz w:val="26"/>
          <w:szCs w:val="26"/>
        </w:rPr>
      </w:pPr>
    </w:p>
    <w:p w14:paraId="428FDA53" w14:textId="77777777" w:rsidR="009A7001" w:rsidRPr="0029748B" w:rsidRDefault="00522D70" w:rsidP="0029748B">
      <w:pPr>
        <w:widowControl/>
        <w:spacing w:line="360" w:lineRule="auto"/>
        <w:ind w:firstLine="1440"/>
        <w:contextualSpacing/>
        <w:rPr>
          <w:sz w:val="26"/>
          <w:szCs w:val="26"/>
        </w:rPr>
      </w:pPr>
      <w:r w:rsidRPr="0029748B">
        <w:rPr>
          <w:sz w:val="26"/>
          <w:szCs w:val="26"/>
        </w:rPr>
        <w:t xml:space="preserve">We now turn to our consideration and disposition on the merits of those matters </w:t>
      </w:r>
      <w:r w:rsidR="00676BC6" w:rsidRPr="0029748B">
        <w:rPr>
          <w:sz w:val="26"/>
          <w:szCs w:val="26"/>
        </w:rPr>
        <w:t xml:space="preserve">raised </w:t>
      </w:r>
      <w:r w:rsidRPr="0029748B">
        <w:rPr>
          <w:sz w:val="26"/>
          <w:szCs w:val="26"/>
        </w:rPr>
        <w:t xml:space="preserve">or implicated by the Exceptions </w:t>
      </w:r>
      <w:r w:rsidR="00676BC6" w:rsidRPr="0029748B">
        <w:rPr>
          <w:sz w:val="26"/>
          <w:szCs w:val="26"/>
        </w:rPr>
        <w:t xml:space="preserve">filed by the </w:t>
      </w:r>
      <w:r w:rsidR="00DF11FE" w:rsidRPr="0029748B">
        <w:rPr>
          <w:sz w:val="26"/>
          <w:szCs w:val="26"/>
        </w:rPr>
        <w:t>P</w:t>
      </w:r>
      <w:r w:rsidR="00676BC6" w:rsidRPr="0029748B">
        <w:rPr>
          <w:sz w:val="26"/>
          <w:szCs w:val="26"/>
        </w:rPr>
        <w:t xml:space="preserve">arties </w:t>
      </w:r>
      <w:r w:rsidRPr="0029748B">
        <w:rPr>
          <w:sz w:val="26"/>
          <w:szCs w:val="26"/>
        </w:rPr>
        <w:t xml:space="preserve">and Replies </w:t>
      </w:r>
      <w:r w:rsidR="00676BC6" w:rsidRPr="0029748B">
        <w:rPr>
          <w:sz w:val="26"/>
          <w:szCs w:val="26"/>
        </w:rPr>
        <w:t xml:space="preserve">filed in response </w:t>
      </w:r>
      <w:r w:rsidRPr="0029748B">
        <w:rPr>
          <w:sz w:val="26"/>
          <w:szCs w:val="26"/>
        </w:rPr>
        <w:t>the</w:t>
      </w:r>
      <w:r w:rsidR="00676BC6" w:rsidRPr="0029748B">
        <w:rPr>
          <w:sz w:val="26"/>
          <w:szCs w:val="26"/>
        </w:rPr>
        <w:t>r</w:t>
      </w:r>
      <w:r w:rsidRPr="0029748B">
        <w:rPr>
          <w:sz w:val="26"/>
          <w:szCs w:val="26"/>
        </w:rPr>
        <w:t xml:space="preserve">eto. </w:t>
      </w:r>
      <w:r w:rsidR="00CC1DC5" w:rsidRPr="0029748B">
        <w:rPr>
          <w:sz w:val="26"/>
          <w:szCs w:val="26"/>
        </w:rPr>
        <w:t xml:space="preserve"> </w:t>
      </w:r>
      <w:r w:rsidRPr="0029748B">
        <w:rPr>
          <w:sz w:val="26"/>
          <w:szCs w:val="26"/>
        </w:rPr>
        <w:t xml:space="preserve">Matters raised or implicated by the </w:t>
      </w:r>
      <w:r w:rsidR="00DF11FE" w:rsidRPr="0029748B">
        <w:rPr>
          <w:sz w:val="26"/>
          <w:szCs w:val="26"/>
        </w:rPr>
        <w:t>P</w:t>
      </w:r>
      <w:r w:rsidRPr="0029748B">
        <w:rPr>
          <w:sz w:val="26"/>
          <w:szCs w:val="26"/>
        </w:rPr>
        <w:t>arties’ Exceptions and Replies</w:t>
      </w:r>
      <w:r w:rsidR="00CC1DC5" w:rsidRPr="0029748B">
        <w:rPr>
          <w:sz w:val="26"/>
          <w:szCs w:val="26"/>
        </w:rPr>
        <w:t xml:space="preserve"> filed in response thereto</w:t>
      </w:r>
      <w:r w:rsidRPr="0029748B">
        <w:rPr>
          <w:sz w:val="26"/>
          <w:szCs w:val="26"/>
        </w:rPr>
        <w:t xml:space="preserve">, include: </w:t>
      </w:r>
      <w:r w:rsidR="00DF11FE" w:rsidRPr="0029748B">
        <w:rPr>
          <w:sz w:val="26"/>
          <w:szCs w:val="26"/>
        </w:rPr>
        <w:t xml:space="preserve">(1) </w:t>
      </w:r>
      <w:r w:rsidRPr="0029748B">
        <w:rPr>
          <w:sz w:val="26"/>
          <w:szCs w:val="26"/>
        </w:rPr>
        <w:t xml:space="preserve">Rate Base Acquisition Adjustment; </w:t>
      </w:r>
      <w:r w:rsidR="00DF11FE" w:rsidRPr="0029748B">
        <w:rPr>
          <w:sz w:val="26"/>
          <w:szCs w:val="26"/>
        </w:rPr>
        <w:t xml:space="preserve">(2) </w:t>
      </w:r>
      <w:r w:rsidRPr="0029748B">
        <w:rPr>
          <w:sz w:val="26"/>
          <w:szCs w:val="26"/>
        </w:rPr>
        <w:t>Revenues</w:t>
      </w:r>
      <w:r w:rsidR="00083C52" w:rsidRPr="0029748B">
        <w:rPr>
          <w:sz w:val="26"/>
          <w:szCs w:val="26"/>
        </w:rPr>
        <w:t xml:space="preserve"> and Revenue Requirements</w:t>
      </w:r>
      <w:r w:rsidRPr="0029748B">
        <w:rPr>
          <w:sz w:val="26"/>
          <w:szCs w:val="26"/>
        </w:rPr>
        <w:t xml:space="preserve">; </w:t>
      </w:r>
      <w:r w:rsidR="00DF11FE" w:rsidRPr="0029748B">
        <w:rPr>
          <w:sz w:val="26"/>
          <w:szCs w:val="26"/>
        </w:rPr>
        <w:t xml:space="preserve">(3) </w:t>
      </w:r>
      <w:r w:rsidR="004C4A9B" w:rsidRPr="0029748B">
        <w:rPr>
          <w:sz w:val="26"/>
          <w:szCs w:val="26"/>
        </w:rPr>
        <w:t>T</w:t>
      </w:r>
      <w:r w:rsidRPr="0029748B">
        <w:rPr>
          <w:sz w:val="26"/>
          <w:szCs w:val="26"/>
        </w:rPr>
        <w:t xml:space="preserve">axes; </w:t>
      </w:r>
      <w:r w:rsidR="00DF11FE" w:rsidRPr="0029748B">
        <w:rPr>
          <w:sz w:val="26"/>
          <w:szCs w:val="26"/>
        </w:rPr>
        <w:t xml:space="preserve">(4) </w:t>
      </w:r>
      <w:r w:rsidRPr="0029748B">
        <w:rPr>
          <w:sz w:val="26"/>
          <w:szCs w:val="26"/>
        </w:rPr>
        <w:t xml:space="preserve">Rate of Return; </w:t>
      </w:r>
      <w:r w:rsidR="00DF11FE" w:rsidRPr="0029748B">
        <w:rPr>
          <w:sz w:val="26"/>
          <w:szCs w:val="26"/>
        </w:rPr>
        <w:t xml:space="preserve">(5) </w:t>
      </w:r>
      <w:r w:rsidRPr="0029748B">
        <w:rPr>
          <w:sz w:val="26"/>
          <w:szCs w:val="26"/>
        </w:rPr>
        <w:t xml:space="preserve">Quality of Service; </w:t>
      </w:r>
      <w:r w:rsidR="004C4A9B" w:rsidRPr="0029748B">
        <w:rPr>
          <w:sz w:val="26"/>
          <w:szCs w:val="26"/>
        </w:rPr>
        <w:t>and</w:t>
      </w:r>
      <w:r w:rsidR="00DF11FE" w:rsidRPr="0029748B">
        <w:rPr>
          <w:sz w:val="26"/>
          <w:szCs w:val="26"/>
        </w:rPr>
        <w:t>,</w:t>
      </w:r>
      <w:r w:rsidR="004C4A9B" w:rsidRPr="0029748B">
        <w:rPr>
          <w:sz w:val="26"/>
          <w:szCs w:val="26"/>
        </w:rPr>
        <w:t xml:space="preserve"> </w:t>
      </w:r>
      <w:r w:rsidR="00DF11FE" w:rsidRPr="0029748B">
        <w:rPr>
          <w:sz w:val="26"/>
          <w:szCs w:val="26"/>
        </w:rPr>
        <w:t>(6)</w:t>
      </w:r>
      <w:r w:rsidR="004C4A9B" w:rsidRPr="0029748B">
        <w:rPr>
          <w:sz w:val="26"/>
          <w:szCs w:val="26"/>
        </w:rPr>
        <w:t xml:space="preserve"> Affordability</w:t>
      </w:r>
      <w:r w:rsidRPr="0029748B">
        <w:rPr>
          <w:sz w:val="26"/>
          <w:szCs w:val="26"/>
        </w:rPr>
        <w:t xml:space="preserve"> of Rates.</w:t>
      </w:r>
    </w:p>
    <w:p w14:paraId="23B782D0" w14:textId="77777777" w:rsidR="00034759" w:rsidRPr="0029748B" w:rsidRDefault="00034759" w:rsidP="0029748B">
      <w:pPr>
        <w:widowControl/>
        <w:spacing w:line="360" w:lineRule="auto"/>
        <w:ind w:firstLine="1440"/>
        <w:contextualSpacing/>
        <w:rPr>
          <w:sz w:val="26"/>
          <w:szCs w:val="26"/>
        </w:rPr>
      </w:pPr>
    </w:p>
    <w:p w14:paraId="522230A4" w14:textId="77777777" w:rsidR="00695096" w:rsidRPr="0029748B" w:rsidRDefault="00522D70" w:rsidP="00790F24">
      <w:pPr>
        <w:pStyle w:val="ListParagraph"/>
        <w:keepNext/>
        <w:keepLines/>
        <w:widowControl/>
        <w:numPr>
          <w:ilvl w:val="0"/>
          <w:numId w:val="4"/>
        </w:numPr>
        <w:spacing w:line="360" w:lineRule="auto"/>
        <w:ind w:left="720" w:hanging="720"/>
        <w:outlineLvl w:val="1"/>
        <w:rPr>
          <w:b/>
          <w:sz w:val="26"/>
          <w:szCs w:val="26"/>
        </w:rPr>
      </w:pPr>
      <w:bookmarkStart w:id="27" w:name="_Toc35324693"/>
      <w:bookmarkStart w:id="28" w:name="_Toc35328846"/>
      <w:r w:rsidRPr="0029748B">
        <w:rPr>
          <w:b/>
          <w:sz w:val="26"/>
          <w:szCs w:val="26"/>
        </w:rPr>
        <w:lastRenderedPageBreak/>
        <w:t xml:space="preserve">Rate Base </w:t>
      </w:r>
      <w:r w:rsidR="004C4A9B" w:rsidRPr="0029748B">
        <w:rPr>
          <w:b/>
          <w:sz w:val="26"/>
          <w:szCs w:val="26"/>
        </w:rPr>
        <w:t>Acquisition</w:t>
      </w:r>
      <w:r w:rsidRPr="0029748B">
        <w:rPr>
          <w:b/>
          <w:sz w:val="26"/>
          <w:szCs w:val="26"/>
        </w:rPr>
        <w:t xml:space="preserve"> Adjustment</w:t>
      </w:r>
      <w:bookmarkEnd w:id="27"/>
      <w:bookmarkEnd w:id="28"/>
    </w:p>
    <w:p w14:paraId="04B0DD92" w14:textId="77777777" w:rsidR="00317364" w:rsidRPr="0029748B" w:rsidRDefault="00317364" w:rsidP="00D00406">
      <w:pPr>
        <w:pStyle w:val="ListParagraph"/>
        <w:keepNext/>
        <w:keepLines/>
        <w:widowControl/>
        <w:spacing w:line="360" w:lineRule="auto"/>
        <w:ind w:left="360"/>
        <w:outlineLvl w:val="1"/>
        <w:rPr>
          <w:b/>
          <w:sz w:val="26"/>
          <w:szCs w:val="26"/>
        </w:rPr>
      </w:pPr>
    </w:p>
    <w:p w14:paraId="1030E34A" w14:textId="5A40AE1A" w:rsidR="0047530C" w:rsidRPr="0029748B" w:rsidRDefault="0047530C" w:rsidP="00D00406">
      <w:pPr>
        <w:pStyle w:val="ListParagraph"/>
        <w:keepNext/>
        <w:keepLines/>
        <w:widowControl/>
        <w:numPr>
          <w:ilvl w:val="0"/>
          <w:numId w:val="5"/>
        </w:numPr>
        <w:spacing w:line="360" w:lineRule="auto"/>
        <w:ind w:left="1440" w:hanging="720"/>
        <w:rPr>
          <w:b/>
          <w:sz w:val="26"/>
          <w:szCs w:val="26"/>
        </w:rPr>
      </w:pPr>
      <w:r w:rsidRPr="0029748B">
        <w:rPr>
          <w:b/>
          <w:sz w:val="26"/>
          <w:szCs w:val="26"/>
        </w:rPr>
        <w:t xml:space="preserve">Position of </w:t>
      </w:r>
      <w:r w:rsidR="00A5173E">
        <w:rPr>
          <w:b/>
          <w:sz w:val="26"/>
          <w:szCs w:val="26"/>
        </w:rPr>
        <w:t xml:space="preserve">the </w:t>
      </w:r>
      <w:r w:rsidRPr="0029748B">
        <w:rPr>
          <w:b/>
          <w:sz w:val="26"/>
          <w:szCs w:val="26"/>
        </w:rPr>
        <w:t>Parties</w:t>
      </w:r>
    </w:p>
    <w:p w14:paraId="3E8C38AB" w14:textId="77777777" w:rsidR="0047530C" w:rsidRPr="0029748B" w:rsidRDefault="0047530C" w:rsidP="00D00406">
      <w:pPr>
        <w:pStyle w:val="ListParagraph"/>
        <w:keepNext/>
        <w:keepLines/>
        <w:widowControl/>
        <w:spacing w:line="360" w:lineRule="auto"/>
        <w:ind w:left="0"/>
        <w:rPr>
          <w:color w:val="000000"/>
          <w:sz w:val="26"/>
          <w:szCs w:val="26"/>
        </w:rPr>
      </w:pPr>
    </w:p>
    <w:p w14:paraId="2466C719" w14:textId="77777777" w:rsidR="003D4E0D" w:rsidRPr="0029748B" w:rsidRDefault="0047530C" w:rsidP="00D00406">
      <w:pPr>
        <w:pStyle w:val="ListParagraph"/>
        <w:keepNext/>
        <w:keepLines/>
        <w:widowControl/>
        <w:spacing w:line="360" w:lineRule="auto"/>
        <w:ind w:left="0"/>
        <w:rPr>
          <w:color w:val="000000"/>
          <w:sz w:val="26"/>
          <w:szCs w:val="26"/>
        </w:rPr>
      </w:pPr>
      <w:r w:rsidRPr="0029748B">
        <w:rPr>
          <w:color w:val="000000"/>
          <w:sz w:val="26"/>
          <w:szCs w:val="26"/>
        </w:rPr>
        <w:tab/>
      </w:r>
      <w:r w:rsidRPr="0029748B">
        <w:rPr>
          <w:color w:val="000000"/>
          <w:sz w:val="26"/>
          <w:szCs w:val="26"/>
        </w:rPr>
        <w:tab/>
      </w:r>
      <w:r w:rsidR="004C4A9B" w:rsidRPr="0029748B">
        <w:rPr>
          <w:color w:val="000000"/>
          <w:sz w:val="26"/>
          <w:szCs w:val="26"/>
        </w:rPr>
        <w:t xml:space="preserve">Twin Lakes claimed an Acquisition Adjustment </w:t>
      </w:r>
      <w:r w:rsidR="003D4E0D" w:rsidRPr="0029748B">
        <w:rPr>
          <w:color w:val="000000"/>
          <w:sz w:val="26"/>
          <w:szCs w:val="26"/>
        </w:rPr>
        <w:t>of $54,406</w:t>
      </w:r>
      <w:r w:rsidR="0072208C" w:rsidRPr="0029748B">
        <w:rPr>
          <w:color w:val="000000"/>
          <w:sz w:val="26"/>
          <w:szCs w:val="26"/>
        </w:rPr>
        <w:t xml:space="preserve"> to increase the rate base, </w:t>
      </w:r>
      <w:r w:rsidR="00780585" w:rsidRPr="0029748B">
        <w:rPr>
          <w:color w:val="000000"/>
          <w:sz w:val="26"/>
          <w:szCs w:val="26"/>
        </w:rPr>
        <w:t xml:space="preserve">as the residual </w:t>
      </w:r>
      <w:r w:rsidR="0071603A" w:rsidRPr="0029748B">
        <w:rPr>
          <w:color w:val="000000"/>
          <w:sz w:val="26"/>
          <w:szCs w:val="26"/>
        </w:rPr>
        <w:t xml:space="preserve">portion of the </w:t>
      </w:r>
      <w:r w:rsidR="00780585" w:rsidRPr="0029748B">
        <w:rPr>
          <w:color w:val="000000"/>
          <w:sz w:val="26"/>
          <w:szCs w:val="26"/>
        </w:rPr>
        <w:t xml:space="preserve">$71,440 </w:t>
      </w:r>
      <w:r w:rsidR="0071603A" w:rsidRPr="0029748B">
        <w:rPr>
          <w:color w:val="000000"/>
          <w:sz w:val="26"/>
          <w:szCs w:val="26"/>
        </w:rPr>
        <w:t>Acquisition Adjustment it had originally c</w:t>
      </w:r>
      <w:r w:rsidR="00605F6A" w:rsidRPr="0029748B">
        <w:rPr>
          <w:color w:val="000000"/>
          <w:sz w:val="26"/>
          <w:szCs w:val="26"/>
        </w:rPr>
        <w:t>laimed pursuant to</w:t>
      </w:r>
      <w:r w:rsidR="0071603A" w:rsidRPr="0029748B">
        <w:rPr>
          <w:color w:val="000000"/>
          <w:sz w:val="26"/>
          <w:szCs w:val="26"/>
        </w:rPr>
        <w:t xml:space="preserve"> </w:t>
      </w:r>
      <w:r w:rsidR="00632A79" w:rsidRPr="0029748B">
        <w:rPr>
          <w:color w:val="000000"/>
          <w:sz w:val="26"/>
          <w:szCs w:val="26"/>
        </w:rPr>
        <w:t>66 Pa. C.S. §1327</w:t>
      </w:r>
      <w:r w:rsidR="0071603A" w:rsidRPr="0029748B">
        <w:rPr>
          <w:color w:val="000000"/>
          <w:sz w:val="26"/>
          <w:szCs w:val="26"/>
        </w:rPr>
        <w:t xml:space="preserve"> (pertaining to Acquisition of Water and Sewer Facilities).</w:t>
      </w:r>
    </w:p>
    <w:p w14:paraId="15F0CECB" w14:textId="77777777" w:rsidR="003D4E0D" w:rsidRPr="0029748B" w:rsidRDefault="003D4E0D" w:rsidP="0029748B">
      <w:pPr>
        <w:pStyle w:val="ListParagraph"/>
        <w:widowControl/>
        <w:spacing w:line="360" w:lineRule="auto"/>
        <w:ind w:left="0"/>
        <w:rPr>
          <w:color w:val="000000"/>
          <w:sz w:val="26"/>
          <w:szCs w:val="26"/>
          <w:highlight w:val="lightGray"/>
        </w:rPr>
      </w:pPr>
    </w:p>
    <w:p w14:paraId="523A0AE0" w14:textId="77777777" w:rsidR="0072208C" w:rsidRPr="0029748B" w:rsidRDefault="0071603A" w:rsidP="0029748B">
      <w:pPr>
        <w:pStyle w:val="ListParagraph"/>
        <w:widowControl/>
        <w:spacing w:line="360" w:lineRule="auto"/>
        <w:ind w:left="0" w:firstLine="1440"/>
        <w:rPr>
          <w:color w:val="000000"/>
          <w:sz w:val="26"/>
          <w:szCs w:val="26"/>
        </w:rPr>
      </w:pPr>
      <w:r w:rsidRPr="0029748B">
        <w:rPr>
          <w:color w:val="000000"/>
          <w:sz w:val="26"/>
          <w:szCs w:val="26"/>
        </w:rPr>
        <w:t xml:space="preserve">Twin Lakes </w:t>
      </w:r>
      <w:r w:rsidR="00B2769B" w:rsidRPr="0029748B">
        <w:rPr>
          <w:color w:val="000000"/>
          <w:sz w:val="26"/>
          <w:szCs w:val="26"/>
        </w:rPr>
        <w:t xml:space="preserve">argued that the </w:t>
      </w:r>
      <w:r w:rsidR="00813894" w:rsidRPr="0029748B">
        <w:rPr>
          <w:color w:val="000000"/>
          <w:sz w:val="26"/>
          <w:szCs w:val="26"/>
        </w:rPr>
        <w:t xml:space="preserve">ALJ should reject </w:t>
      </w:r>
      <w:r w:rsidRPr="0029748B">
        <w:rPr>
          <w:color w:val="000000"/>
          <w:sz w:val="26"/>
          <w:szCs w:val="26"/>
        </w:rPr>
        <w:t xml:space="preserve">I&amp;E’s and the OCA’s positions </w:t>
      </w:r>
      <w:r w:rsidR="00605F6A" w:rsidRPr="0029748B">
        <w:rPr>
          <w:color w:val="000000"/>
          <w:sz w:val="26"/>
          <w:szCs w:val="26"/>
        </w:rPr>
        <w:t xml:space="preserve">on the calculation of the </w:t>
      </w:r>
      <w:r w:rsidR="001B676D" w:rsidRPr="0029748B">
        <w:rPr>
          <w:color w:val="000000"/>
          <w:sz w:val="26"/>
          <w:szCs w:val="26"/>
        </w:rPr>
        <w:t>A</w:t>
      </w:r>
      <w:r w:rsidR="00605F6A" w:rsidRPr="0029748B">
        <w:rPr>
          <w:color w:val="000000"/>
          <w:sz w:val="26"/>
          <w:szCs w:val="26"/>
        </w:rPr>
        <w:t xml:space="preserve">cquisition </w:t>
      </w:r>
      <w:r w:rsidR="001B676D" w:rsidRPr="0029748B">
        <w:rPr>
          <w:color w:val="000000"/>
          <w:sz w:val="26"/>
          <w:szCs w:val="26"/>
        </w:rPr>
        <w:t>A</w:t>
      </w:r>
      <w:r w:rsidR="00605F6A" w:rsidRPr="0029748B">
        <w:rPr>
          <w:color w:val="000000"/>
          <w:sz w:val="26"/>
          <w:szCs w:val="26"/>
        </w:rPr>
        <w:t xml:space="preserve">djustment, </w:t>
      </w:r>
      <w:r w:rsidR="00C55097" w:rsidRPr="0029748B">
        <w:rPr>
          <w:color w:val="000000"/>
          <w:sz w:val="26"/>
          <w:szCs w:val="26"/>
        </w:rPr>
        <w:t>because they are</w:t>
      </w:r>
      <w:r w:rsidR="00813894" w:rsidRPr="0029748B">
        <w:rPr>
          <w:color w:val="000000"/>
          <w:sz w:val="26"/>
          <w:szCs w:val="26"/>
        </w:rPr>
        <w:t xml:space="preserve"> in </w:t>
      </w:r>
      <w:r w:rsidRPr="0029748B">
        <w:rPr>
          <w:color w:val="000000"/>
          <w:sz w:val="26"/>
          <w:szCs w:val="26"/>
        </w:rPr>
        <w:t xml:space="preserve">conflict with standard rate </w:t>
      </w:r>
      <w:r w:rsidR="00B2769B" w:rsidRPr="0029748B">
        <w:rPr>
          <w:color w:val="000000"/>
          <w:sz w:val="26"/>
          <w:szCs w:val="26"/>
        </w:rPr>
        <w:t>making principles</w:t>
      </w:r>
      <w:r w:rsidR="00813894" w:rsidRPr="0029748B">
        <w:rPr>
          <w:color w:val="000000"/>
          <w:sz w:val="26"/>
          <w:szCs w:val="26"/>
        </w:rPr>
        <w:t>.  Specifically, Twin Lakes argued that the OCA</w:t>
      </w:r>
      <w:r w:rsidR="00F549BA" w:rsidRPr="0029748B">
        <w:rPr>
          <w:color w:val="000000"/>
          <w:sz w:val="26"/>
          <w:szCs w:val="26"/>
        </w:rPr>
        <w:t xml:space="preserve">’s position is based upon an incorrect reading of Section 1327 </w:t>
      </w:r>
      <w:r w:rsidR="0072208C" w:rsidRPr="0029748B">
        <w:rPr>
          <w:color w:val="000000"/>
          <w:sz w:val="26"/>
          <w:szCs w:val="26"/>
        </w:rPr>
        <w:t xml:space="preserve">of the Code </w:t>
      </w:r>
      <w:r w:rsidR="00F549BA" w:rsidRPr="0029748B">
        <w:rPr>
          <w:color w:val="000000"/>
          <w:sz w:val="26"/>
          <w:szCs w:val="26"/>
        </w:rPr>
        <w:t xml:space="preserve">to require </w:t>
      </w:r>
      <w:r w:rsidR="00813894" w:rsidRPr="0029748B">
        <w:rPr>
          <w:color w:val="000000"/>
          <w:sz w:val="26"/>
          <w:szCs w:val="26"/>
        </w:rPr>
        <w:t xml:space="preserve">that </w:t>
      </w:r>
      <w:r w:rsidR="00F549BA" w:rsidRPr="0029748B">
        <w:rPr>
          <w:color w:val="000000"/>
          <w:sz w:val="26"/>
          <w:szCs w:val="26"/>
        </w:rPr>
        <w:t>a utility must obtain an approval for an Acquisition Adjustment in the first rate proceeding following the acquisition of water facilities or be forever barred from raising the claim</w:t>
      </w:r>
      <w:r w:rsidR="00D91A89" w:rsidRPr="0029748B">
        <w:rPr>
          <w:color w:val="000000"/>
          <w:sz w:val="26"/>
          <w:szCs w:val="26"/>
        </w:rPr>
        <w:t>.</w:t>
      </w:r>
      <w:r w:rsidR="0061550D" w:rsidRPr="0029748B">
        <w:rPr>
          <w:color w:val="000000"/>
          <w:sz w:val="26"/>
          <w:szCs w:val="26"/>
        </w:rPr>
        <w:t xml:space="preserve">  Twin Lakes note</w:t>
      </w:r>
      <w:r w:rsidR="00D91A89" w:rsidRPr="0029748B">
        <w:rPr>
          <w:color w:val="000000"/>
          <w:sz w:val="26"/>
          <w:szCs w:val="26"/>
        </w:rPr>
        <w:t>d</w:t>
      </w:r>
      <w:r w:rsidR="0061550D" w:rsidRPr="0029748B">
        <w:rPr>
          <w:color w:val="000000"/>
          <w:sz w:val="26"/>
          <w:szCs w:val="26"/>
        </w:rPr>
        <w:t xml:space="preserve"> that the OCA’s position would preclude the use of </w:t>
      </w:r>
      <w:r w:rsidR="00D91A89" w:rsidRPr="0029748B">
        <w:rPr>
          <w:color w:val="000000"/>
          <w:sz w:val="26"/>
          <w:szCs w:val="26"/>
        </w:rPr>
        <w:t xml:space="preserve">“black box” </w:t>
      </w:r>
      <w:r w:rsidR="0061550D" w:rsidRPr="0029748B">
        <w:rPr>
          <w:color w:val="000000"/>
          <w:sz w:val="26"/>
          <w:szCs w:val="26"/>
        </w:rPr>
        <w:t>settlements</w:t>
      </w:r>
      <w:r w:rsidR="00D91A89" w:rsidRPr="0029748B">
        <w:rPr>
          <w:color w:val="000000"/>
          <w:sz w:val="26"/>
          <w:szCs w:val="26"/>
        </w:rPr>
        <w:t xml:space="preserve">, which do not specify the basis for calculation of the terms of the settlement, to </w:t>
      </w:r>
      <w:r w:rsidR="0061550D" w:rsidRPr="0029748B">
        <w:rPr>
          <w:color w:val="000000"/>
          <w:sz w:val="26"/>
          <w:szCs w:val="26"/>
        </w:rPr>
        <w:t>resolve rate proceedings</w:t>
      </w:r>
      <w:r w:rsidR="00D91A89" w:rsidRPr="0029748B">
        <w:rPr>
          <w:color w:val="000000"/>
          <w:sz w:val="26"/>
          <w:szCs w:val="26"/>
        </w:rPr>
        <w:t xml:space="preserve">. </w:t>
      </w:r>
      <w:r w:rsidR="0061550D" w:rsidRPr="0029748B">
        <w:rPr>
          <w:color w:val="000000"/>
          <w:sz w:val="26"/>
          <w:szCs w:val="26"/>
        </w:rPr>
        <w:t xml:space="preserve"> The Company further notes that there is no language in the statu</w:t>
      </w:r>
      <w:r w:rsidR="00C55097" w:rsidRPr="0029748B">
        <w:rPr>
          <w:color w:val="000000"/>
          <w:sz w:val="26"/>
          <w:szCs w:val="26"/>
        </w:rPr>
        <w:t>t</w:t>
      </w:r>
      <w:r w:rsidR="0061550D" w:rsidRPr="0029748B">
        <w:rPr>
          <w:color w:val="000000"/>
          <w:sz w:val="26"/>
          <w:szCs w:val="26"/>
        </w:rPr>
        <w:t>e or regulation</w:t>
      </w:r>
      <w:r w:rsidR="00C55097" w:rsidRPr="0029748B">
        <w:rPr>
          <w:color w:val="000000"/>
          <w:sz w:val="26"/>
          <w:szCs w:val="26"/>
        </w:rPr>
        <w:t>s</w:t>
      </w:r>
      <w:r w:rsidR="0061550D" w:rsidRPr="0029748B">
        <w:rPr>
          <w:color w:val="000000"/>
          <w:sz w:val="26"/>
          <w:szCs w:val="26"/>
        </w:rPr>
        <w:t xml:space="preserve"> to support </w:t>
      </w:r>
      <w:r w:rsidR="00C55097" w:rsidRPr="0029748B">
        <w:rPr>
          <w:color w:val="000000"/>
          <w:sz w:val="26"/>
          <w:szCs w:val="26"/>
        </w:rPr>
        <w:t xml:space="preserve">the </w:t>
      </w:r>
      <w:r w:rsidR="0061550D" w:rsidRPr="0029748B">
        <w:rPr>
          <w:color w:val="000000"/>
          <w:sz w:val="26"/>
          <w:szCs w:val="26"/>
        </w:rPr>
        <w:t>OCA’s interpretation.</w:t>
      </w:r>
      <w:r w:rsidR="00C55097" w:rsidRPr="0029748B">
        <w:rPr>
          <w:color w:val="000000"/>
          <w:sz w:val="26"/>
          <w:szCs w:val="26"/>
        </w:rPr>
        <w:t xml:space="preserve"> </w:t>
      </w:r>
      <w:r w:rsidR="0061550D" w:rsidRPr="0029748B">
        <w:rPr>
          <w:color w:val="000000"/>
          <w:sz w:val="26"/>
          <w:szCs w:val="26"/>
        </w:rPr>
        <w:t xml:space="preserve"> </w:t>
      </w:r>
      <w:r w:rsidR="003D4E0D" w:rsidRPr="0029748B">
        <w:rPr>
          <w:color w:val="000000"/>
          <w:sz w:val="26"/>
          <w:szCs w:val="26"/>
        </w:rPr>
        <w:t>R</w:t>
      </w:r>
      <w:r w:rsidR="00DA5BBE" w:rsidRPr="0029748B">
        <w:rPr>
          <w:color w:val="000000"/>
          <w:sz w:val="26"/>
          <w:szCs w:val="26"/>
        </w:rPr>
        <w:t>.</w:t>
      </w:r>
      <w:r w:rsidR="003D4E0D" w:rsidRPr="0029748B">
        <w:rPr>
          <w:color w:val="000000"/>
          <w:sz w:val="26"/>
          <w:szCs w:val="26"/>
        </w:rPr>
        <w:t>D</w:t>
      </w:r>
      <w:r w:rsidR="00DA5BBE" w:rsidRPr="0029748B">
        <w:rPr>
          <w:color w:val="000000"/>
          <w:sz w:val="26"/>
          <w:szCs w:val="26"/>
        </w:rPr>
        <w:t xml:space="preserve">. </w:t>
      </w:r>
      <w:r w:rsidR="003D4E0D" w:rsidRPr="0029748B">
        <w:rPr>
          <w:color w:val="000000"/>
          <w:sz w:val="26"/>
          <w:szCs w:val="26"/>
        </w:rPr>
        <w:t>at</w:t>
      </w:r>
      <w:r w:rsidR="00DA5BBE" w:rsidRPr="0029748B">
        <w:rPr>
          <w:color w:val="000000"/>
          <w:sz w:val="26"/>
          <w:szCs w:val="26"/>
        </w:rPr>
        <w:t xml:space="preserve"> 15-16</w:t>
      </w:r>
      <w:r w:rsidR="00605F6A" w:rsidRPr="0029748B">
        <w:rPr>
          <w:color w:val="000000"/>
          <w:sz w:val="26"/>
          <w:szCs w:val="26"/>
        </w:rPr>
        <w:t xml:space="preserve"> (</w:t>
      </w:r>
      <w:r w:rsidR="00DA5BBE" w:rsidRPr="0029748B">
        <w:rPr>
          <w:color w:val="000000"/>
          <w:sz w:val="26"/>
          <w:szCs w:val="26"/>
        </w:rPr>
        <w:t>citing</w:t>
      </w:r>
      <w:r w:rsidR="00605F6A" w:rsidRPr="0029748B">
        <w:rPr>
          <w:color w:val="000000"/>
          <w:sz w:val="26"/>
          <w:szCs w:val="26"/>
        </w:rPr>
        <w:t xml:space="preserve"> </w:t>
      </w:r>
      <w:r w:rsidR="0072208C" w:rsidRPr="0029748B">
        <w:rPr>
          <w:color w:val="000000"/>
          <w:sz w:val="26"/>
          <w:szCs w:val="26"/>
        </w:rPr>
        <w:t>T</w:t>
      </w:r>
      <w:r w:rsidR="00E40AA2" w:rsidRPr="0029748B">
        <w:rPr>
          <w:color w:val="000000"/>
          <w:sz w:val="26"/>
          <w:szCs w:val="26"/>
        </w:rPr>
        <w:t>L</w:t>
      </w:r>
      <w:r w:rsidR="0072208C" w:rsidRPr="0029748B">
        <w:rPr>
          <w:color w:val="000000"/>
          <w:sz w:val="26"/>
          <w:szCs w:val="26"/>
        </w:rPr>
        <w:t xml:space="preserve">U </w:t>
      </w:r>
      <w:r w:rsidR="003D4E0D" w:rsidRPr="0029748B">
        <w:rPr>
          <w:color w:val="000000"/>
          <w:sz w:val="26"/>
          <w:szCs w:val="26"/>
        </w:rPr>
        <w:t>M</w:t>
      </w:r>
      <w:r w:rsidR="00605F6A" w:rsidRPr="0029748B">
        <w:rPr>
          <w:color w:val="000000"/>
          <w:sz w:val="26"/>
          <w:szCs w:val="26"/>
        </w:rPr>
        <w:t>.</w:t>
      </w:r>
      <w:r w:rsidR="003D4E0D" w:rsidRPr="0029748B">
        <w:rPr>
          <w:color w:val="000000"/>
          <w:sz w:val="26"/>
          <w:szCs w:val="26"/>
        </w:rPr>
        <w:t>B</w:t>
      </w:r>
      <w:r w:rsidR="00605F6A" w:rsidRPr="0029748B">
        <w:rPr>
          <w:color w:val="000000"/>
          <w:sz w:val="26"/>
          <w:szCs w:val="26"/>
        </w:rPr>
        <w:t>.</w:t>
      </w:r>
      <w:r w:rsidR="00DA5BBE" w:rsidRPr="0029748B">
        <w:rPr>
          <w:color w:val="000000"/>
          <w:sz w:val="26"/>
          <w:szCs w:val="26"/>
        </w:rPr>
        <w:t xml:space="preserve"> at 5-6</w:t>
      </w:r>
      <w:r w:rsidR="00605F6A" w:rsidRPr="0029748B">
        <w:rPr>
          <w:color w:val="000000"/>
          <w:sz w:val="26"/>
          <w:szCs w:val="26"/>
        </w:rPr>
        <w:t>)</w:t>
      </w:r>
      <w:r w:rsidR="00DA5BBE" w:rsidRPr="0029748B">
        <w:rPr>
          <w:color w:val="000000"/>
          <w:sz w:val="26"/>
          <w:szCs w:val="26"/>
        </w:rPr>
        <w:t>.</w:t>
      </w:r>
    </w:p>
    <w:p w14:paraId="17C01802" w14:textId="77777777" w:rsidR="0072208C" w:rsidRPr="0029748B" w:rsidRDefault="0072208C" w:rsidP="0029748B">
      <w:pPr>
        <w:pStyle w:val="ListParagraph"/>
        <w:widowControl/>
        <w:spacing w:line="360" w:lineRule="auto"/>
        <w:ind w:left="0" w:firstLine="1440"/>
        <w:rPr>
          <w:color w:val="000000"/>
          <w:sz w:val="26"/>
          <w:szCs w:val="26"/>
        </w:rPr>
      </w:pPr>
    </w:p>
    <w:p w14:paraId="3F65B608" w14:textId="77777777" w:rsidR="0071603A" w:rsidRPr="0029748B" w:rsidRDefault="0072208C" w:rsidP="0029748B">
      <w:pPr>
        <w:pStyle w:val="ListParagraph"/>
        <w:widowControl/>
        <w:spacing w:line="360" w:lineRule="auto"/>
        <w:ind w:left="0" w:firstLine="1440"/>
        <w:rPr>
          <w:color w:val="000000"/>
          <w:sz w:val="26"/>
          <w:szCs w:val="26"/>
        </w:rPr>
      </w:pPr>
      <w:r w:rsidRPr="0029748B">
        <w:rPr>
          <w:color w:val="000000"/>
          <w:sz w:val="26"/>
          <w:szCs w:val="26"/>
        </w:rPr>
        <w:t>With respect to I&amp;E’s position, Twin Lakes asserted that I&amp;E’s calculation is unreasonable and in conflict with basic ratemaking principles.  The Company asserted that I&amp;E’s calculation would deprive the Company of the ability to recover the full adjusted increase to rate base (</w:t>
      </w:r>
      <w:r w:rsidR="00323609" w:rsidRPr="0029748B">
        <w:rPr>
          <w:i/>
          <w:iCs/>
          <w:color w:val="000000"/>
          <w:sz w:val="26"/>
          <w:szCs w:val="26"/>
        </w:rPr>
        <w:t>i.e.</w:t>
      </w:r>
      <w:r w:rsidRPr="0029748B">
        <w:rPr>
          <w:color w:val="000000"/>
          <w:sz w:val="26"/>
          <w:szCs w:val="26"/>
        </w:rPr>
        <w:t>, the difference between the purchase price of the acquired system and the value of the depreciated original cost of the system being acquired.</w:t>
      </w:r>
      <w:r w:rsidR="00DA359B" w:rsidRPr="0029748B">
        <w:rPr>
          <w:color w:val="000000"/>
          <w:sz w:val="26"/>
          <w:szCs w:val="26"/>
        </w:rPr>
        <w:t xml:space="preserve">) </w:t>
      </w:r>
      <w:r w:rsidR="00D91A89" w:rsidRPr="0029748B">
        <w:rPr>
          <w:color w:val="000000"/>
          <w:sz w:val="26"/>
          <w:szCs w:val="26"/>
        </w:rPr>
        <w:t xml:space="preserve"> </w:t>
      </w:r>
      <w:r w:rsidR="00DA359B" w:rsidRPr="0029748B">
        <w:rPr>
          <w:color w:val="000000"/>
          <w:sz w:val="26"/>
          <w:szCs w:val="26"/>
        </w:rPr>
        <w:t xml:space="preserve">The Company also asserted that I&amp;E failed to propose a corresponding adjustment to the operations and maintenance (O&amp;M) expense to account for the annual </w:t>
      </w:r>
      <w:r w:rsidR="00DA359B" w:rsidRPr="0029748B">
        <w:rPr>
          <w:color w:val="000000"/>
          <w:sz w:val="26"/>
          <w:szCs w:val="26"/>
        </w:rPr>
        <w:lastRenderedPageBreak/>
        <w:t>amortization of the acquisition adjustment.</w:t>
      </w:r>
      <w:r w:rsidR="00E40AA2" w:rsidRPr="0029748B">
        <w:rPr>
          <w:color w:val="000000"/>
          <w:sz w:val="26"/>
          <w:szCs w:val="26"/>
        </w:rPr>
        <w:t xml:space="preserve"> </w:t>
      </w:r>
      <w:r w:rsidR="001B676D" w:rsidRPr="0029748B">
        <w:rPr>
          <w:color w:val="000000"/>
          <w:sz w:val="26"/>
          <w:szCs w:val="26"/>
        </w:rPr>
        <w:t>A</w:t>
      </w:r>
      <w:r w:rsidR="00DA359B" w:rsidRPr="0029748B">
        <w:rPr>
          <w:color w:val="000000"/>
          <w:sz w:val="26"/>
          <w:szCs w:val="26"/>
        </w:rPr>
        <w:t xml:space="preserve">cquisition </w:t>
      </w:r>
      <w:r w:rsidR="001B676D" w:rsidRPr="0029748B">
        <w:rPr>
          <w:color w:val="000000"/>
          <w:sz w:val="26"/>
          <w:szCs w:val="26"/>
        </w:rPr>
        <w:t>A</w:t>
      </w:r>
      <w:r w:rsidR="00DA359B" w:rsidRPr="0029748B">
        <w:rPr>
          <w:color w:val="000000"/>
          <w:sz w:val="26"/>
          <w:szCs w:val="26"/>
        </w:rPr>
        <w:t xml:space="preserve">djustment. </w:t>
      </w:r>
      <w:r w:rsidR="00D91A89" w:rsidRPr="0029748B">
        <w:rPr>
          <w:color w:val="000000"/>
          <w:sz w:val="26"/>
          <w:szCs w:val="26"/>
        </w:rPr>
        <w:t>R.D. at</w:t>
      </w:r>
      <w:r w:rsidR="00DA5BBE" w:rsidRPr="0029748B">
        <w:rPr>
          <w:color w:val="000000"/>
          <w:sz w:val="26"/>
          <w:szCs w:val="26"/>
        </w:rPr>
        <w:t xml:space="preserve"> 6</w:t>
      </w:r>
      <w:r w:rsidR="00605F6A" w:rsidRPr="0029748B">
        <w:rPr>
          <w:color w:val="000000"/>
          <w:sz w:val="26"/>
          <w:szCs w:val="26"/>
        </w:rPr>
        <w:t xml:space="preserve"> (</w:t>
      </w:r>
      <w:r w:rsidR="00D91A89" w:rsidRPr="0029748B">
        <w:rPr>
          <w:color w:val="000000"/>
          <w:sz w:val="26"/>
          <w:szCs w:val="26"/>
        </w:rPr>
        <w:t>citing</w:t>
      </w:r>
      <w:r w:rsidR="00605F6A" w:rsidRPr="0029748B">
        <w:rPr>
          <w:color w:val="000000"/>
          <w:sz w:val="26"/>
          <w:szCs w:val="26"/>
        </w:rPr>
        <w:t xml:space="preserve"> </w:t>
      </w:r>
      <w:r w:rsidR="00D91A89" w:rsidRPr="0029748B">
        <w:rPr>
          <w:color w:val="000000"/>
          <w:sz w:val="26"/>
          <w:szCs w:val="26"/>
        </w:rPr>
        <w:t>T</w:t>
      </w:r>
      <w:r w:rsidR="00E40AA2" w:rsidRPr="0029748B">
        <w:rPr>
          <w:color w:val="000000"/>
          <w:sz w:val="26"/>
          <w:szCs w:val="26"/>
        </w:rPr>
        <w:t>L</w:t>
      </w:r>
      <w:r w:rsidR="00DA5BBE" w:rsidRPr="0029748B">
        <w:rPr>
          <w:color w:val="000000"/>
          <w:sz w:val="26"/>
          <w:szCs w:val="26"/>
        </w:rPr>
        <w:t>U</w:t>
      </w:r>
      <w:r w:rsidR="00D91A89" w:rsidRPr="0029748B">
        <w:rPr>
          <w:color w:val="000000"/>
          <w:sz w:val="26"/>
          <w:szCs w:val="26"/>
        </w:rPr>
        <w:t xml:space="preserve"> M</w:t>
      </w:r>
      <w:r w:rsidR="00605F6A" w:rsidRPr="0029748B">
        <w:rPr>
          <w:color w:val="000000"/>
          <w:sz w:val="26"/>
          <w:szCs w:val="26"/>
        </w:rPr>
        <w:t>.</w:t>
      </w:r>
      <w:r w:rsidR="00D91A89" w:rsidRPr="0029748B">
        <w:rPr>
          <w:color w:val="000000"/>
          <w:sz w:val="26"/>
          <w:szCs w:val="26"/>
        </w:rPr>
        <w:t>B</w:t>
      </w:r>
      <w:r w:rsidR="00605F6A" w:rsidRPr="0029748B">
        <w:rPr>
          <w:color w:val="000000"/>
          <w:sz w:val="26"/>
          <w:szCs w:val="26"/>
        </w:rPr>
        <w:t>.</w:t>
      </w:r>
      <w:r w:rsidR="00D91A89" w:rsidRPr="0029748B">
        <w:rPr>
          <w:color w:val="000000"/>
          <w:sz w:val="26"/>
          <w:szCs w:val="26"/>
        </w:rPr>
        <w:t xml:space="preserve"> at </w:t>
      </w:r>
      <w:r w:rsidR="00DA5BBE" w:rsidRPr="0029748B">
        <w:rPr>
          <w:color w:val="000000"/>
          <w:sz w:val="26"/>
          <w:szCs w:val="26"/>
        </w:rPr>
        <w:t>6-7</w:t>
      </w:r>
      <w:r w:rsidR="00605F6A" w:rsidRPr="0029748B">
        <w:rPr>
          <w:color w:val="000000"/>
          <w:sz w:val="26"/>
          <w:szCs w:val="26"/>
        </w:rPr>
        <w:t>).</w:t>
      </w:r>
    </w:p>
    <w:p w14:paraId="3C051850" w14:textId="77777777" w:rsidR="0061550D" w:rsidRPr="0029748B" w:rsidRDefault="0061550D" w:rsidP="0029748B">
      <w:pPr>
        <w:pStyle w:val="ListParagraph"/>
        <w:widowControl/>
        <w:spacing w:line="360" w:lineRule="auto"/>
        <w:ind w:left="0" w:firstLine="1440"/>
        <w:rPr>
          <w:color w:val="000000"/>
          <w:sz w:val="26"/>
          <w:szCs w:val="26"/>
        </w:rPr>
      </w:pPr>
    </w:p>
    <w:p w14:paraId="2A8292E0" w14:textId="77777777" w:rsidR="00813894" w:rsidRPr="0029748B" w:rsidRDefault="00C55097" w:rsidP="0029748B">
      <w:pPr>
        <w:pStyle w:val="ListParagraph"/>
        <w:widowControl/>
        <w:spacing w:line="360" w:lineRule="auto"/>
        <w:ind w:left="0" w:firstLine="1440"/>
        <w:rPr>
          <w:color w:val="000000"/>
          <w:sz w:val="26"/>
          <w:szCs w:val="26"/>
        </w:rPr>
      </w:pPr>
      <w:r w:rsidRPr="0029748B">
        <w:rPr>
          <w:color w:val="000000"/>
          <w:sz w:val="26"/>
          <w:szCs w:val="26"/>
        </w:rPr>
        <w:t xml:space="preserve">The </w:t>
      </w:r>
      <w:r w:rsidR="0061550D" w:rsidRPr="0029748B">
        <w:rPr>
          <w:color w:val="000000"/>
          <w:sz w:val="26"/>
          <w:szCs w:val="26"/>
        </w:rPr>
        <w:t>OCA argued that the Company’s claim for an Acquisition Adjustment in the present case</w:t>
      </w:r>
      <w:r w:rsidR="00F17E23" w:rsidRPr="0029748B">
        <w:rPr>
          <w:color w:val="000000"/>
          <w:sz w:val="26"/>
          <w:szCs w:val="26"/>
        </w:rPr>
        <w:t xml:space="preserve"> should be denied.  </w:t>
      </w:r>
      <w:r w:rsidRPr="0029748B">
        <w:rPr>
          <w:color w:val="000000"/>
          <w:sz w:val="26"/>
          <w:szCs w:val="26"/>
        </w:rPr>
        <w:t xml:space="preserve">The </w:t>
      </w:r>
      <w:r w:rsidR="00F17E23" w:rsidRPr="0029748B">
        <w:rPr>
          <w:color w:val="000000"/>
          <w:sz w:val="26"/>
          <w:szCs w:val="26"/>
        </w:rPr>
        <w:t xml:space="preserve">OCA maintained that Section 1327 of the Code required that a claim for </w:t>
      </w:r>
      <w:r w:rsidR="001B676D" w:rsidRPr="0029748B">
        <w:rPr>
          <w:color w:val="000000"/>
          <w:sz w:val="26"/>
          <w:szCs w:val="26"/>
        </w:rPr>
        <w:t>an A</w:t>
      </w:r>
      <w:r w:rsidR="00F17E23" w:rsidRPr="0029748B">
        <w:rPr>
          <w:color w:val="000000"/>
          <w:sz w:val="26"/>
          <w:szCs w:val="26"/>
        </w:rPr>
        <w:t>cquisition</w:t>
      </w:r>
      <w:r w:rsidR="00605F6A" w:rsidRPr="0029748B">
        <w:rPr>
          <w:color w:val="000000"/>
          <w:sz w:val="26"/>
          <w:szCs w:val="26"/>
        </w:rPr>
        <w:t xml:space="preserve"> </w:t>
      </w:r>
      <w:r w:rsidR="001B676D" w:rsidRPr="0029748B">
        <w:rPr>
          <w:color w:val="000000"/>
          <w:sz w:val="26"/>
          <w:szCs w:val="26"/>
        </w:rPr>
        <w:t>A</w:t>
      </w:r>
      <w:r w:rsidR="00F17E23" w:rsidRPr="0029748B">
        <w:rPr>
          <w:color w:val="000000"/>
          <w:sz w:val="26"/>
          <w:szCs w:val="26"/>
        </w:rPr>
        <w:t>djustment must be raised by the Company and approved by the Commission in the first</w:t>
      </w:r>
      <w:r w:rsidR="00B70272" w:rsidRPr="0029748B">
        <w:rPr>
          <w:color w:val="000000"/>
          <w:sz w:val="26"/>
          <w:szCs w:val="26"/>
        </w:rPr>
        <w:t xml:space="preserve"> </w:t>
      </w:r>
      <w:r w:rsidR="00F17E23" w:rsidRPr="0029748B">
        <w:rPr>
          <w:color w:val="000000"/>
          <w:sz w:val="26"/>
          <w:szCs w:val="26"/>
        </w:rPr>
        <w:t xml:space="preserve">rate proceeding following the approved </w:t>
      </w:r>
      <w:r w:rsidR="00B70272" w:rsidRPr="0029748B">
        <w:rPr>
          <w:color w:val="000000"/>
          <w:sz w:val="26"/>
          <w:szCs w:val="26"/>
        </w:rPr>
        <w:t>acquisition or</w:t>
      </w:r>
      <w:r w:rsidR="00F17E23" w:rsidRPr="0029748B">
        <w:rPr>
          <w:color w:val="000000"/>
          <w:sz w:val="26"/>
          <w:szCs w:val="26"/>
        </w:rPr>
        <w:t xml:space="preserve"> be forever barred.  </w:t>
      </w:r>
      <w:r w:rsidRPr="0029748B">
        <w:rPr>
          <w:color w:val="000000"/>
          <w:sz w:val="26"/>
          <w:szCs w:val="26"/>
        </w:rPr>
        <w:t xml:space="preserve">The </w:t>
      </w:r>
      <w:r w:rsidR="001C07A7" w:rsidRPr="0029748B">
        <w:rPr>
          <w:color w:val="000000"/>
          <w:sz w:val="26"/>
          <w:szCs w:val="26"/>
        </w:rPr>
        <w:t xml:space="preserve">OCA contended that the Company had already claimed the Acquisition Adjustment in </w:t>
      </w:r>
      <w:r w:rsidR="006115F0" w:rsidRPr="0029748B">
        <w:rPr>
          <w:color w:val="000000"/>
          <w:sz w:val="26"/>
          <w:szCs w:val="26"/>
        </w:rPr>
        <w:t>its</w:t>
      </w:r>
      <w:r w:rsidR="001C07A7" w:rsidRPr="0029748B">
        <w:rPr>
          <w:color w:val="000000"/>
          <w:sz w:val="26"/>
          <w:szCs w:val="26"/>
        </w:rPr>
        <w:t xml:space="preserve"> 2011 </w:t>
      </w:r>
      <w:r w:rsidR="006115F0" w:rsidRPr="0029748B">
        <w:rPr>
          <w:color w:val="000000"/>
          <w:sz w:val="26"/>
          <w:szCs w:val="26"/>
        </w:rPr>
        <w:t>r</w:t>
      </w:r>
      <w:r w:rsidR="001C07A7" w:rsidRPr="0029748B">
        <w:rPr>
          <w:color w:val="000000"/>
          <w:sz w:val="26"/>
          <w:szCs w:val="26"/>
        </w:rPr>
        <w:t>ate proceeding, however, concede</w:t>
      </w:r>
      <w:r w:rsidR="00F92057" w:rsidRPr="0029748B">
        <w:rPr>
          <w:color w:val="000000"/>
          <w:sz w:val="26"/>
          <w:szCs w:val="26"/>
        </w:rPr>
        <w:t>d</w:t>
      </w:r>
      <w:r w:rsidR="001C07A7" w:rsidRPr="0029748B">
        <w:rPr>
          <w:color w:val="000000"/>
          <w:sz w:val="26"/>
          <w:szCs w:val="26"/>
        </w:rPr>
        <w:t xml:space="preserve"> that the Commission’s order in that proceeding did not address the </w:t>
      </w:r>
      <w:r w:rsidR="009D2B03" w:rsidRPr="0029748B">
        <w:rPr>
          <w:color w:val="000000"/>
          <w:sz w:val="26"/>
          <w:szCs w:val="26"/>
        </w:rPr>
        <w:t>A</w:t>
      </w:r>
      <w:r w:rsidR="001C07A7" w:rsidRPr="0029748B">
        <w:rPr>
          <w:color w:val="000000"/>
          <w:sz w:val="26"/>
          <w:szCs w:val="26"/>
        </w:rPr>
        <w:t xml:space="preserve">cquisition </w:t>
      </w:r>
      <w:r w:rsidR="009D2B03" w:rsidRPr="0029748B">
        <w:rPr>
          <w:color w:val="000000"/>
          <w:sz w:val="26"/>
          <w:szCs w:val="26"/>
        </w:rPr>
        <w:t>A</w:t>
      </w:r>
      <w:r w:rsidR="001C07A7" w:rsidRPr="0029748B">
        <w:rPr>
          <w:color w:val="000000"/>
          <w:sz w:val="26"/>
          <w:szCs w:val="26"/>
        </w:rPr>
        <w:t>djustment.</w:t>
      </w:r>
      <w:r w:rsidR="00605F6A" w:rsidRPr="0029748B">
        <w:rPr>
          <w:color w:val="000000"/>
          <w:sz w:val="26"/>
          <w:szCs w:val="26"/>
        </w:rPr>
        <w:t xml:space="preserve"> </w:t>
      </w:r>
      <w:r w:rsidR="001C07A7" w:rsidRPr="0029748B">
        <w:rPr>
          <w:color w:val="000000"/>
          <w:sz w:val="26"/>
          <w:szCs w:val="26"/>
        </w:rPr>
        <w:t xml:space="preserve"> Nevertheless, </w:t>
      </w:r>
      <w:r w:rsidR="00F92057" w:rsidRPr="0029748B">
        <w:rPr>
          <w:color w:val="000000"/>
          <w:sz w:val="26"/>
          <w:szCs w:val="26"/>
        </w:rPr>
        <w:t xml:space="preserve">the </w:t>
      </w:r>
      <w:r w:rsidR="001C07A7" w:rsidRPr="0029748B">
        <w:rPr>
          <w:color w:val="000000"/>
          <w:sz w:val="26"/>
          <w:szCs w:val="26"/>
        </w:rPr>
        <w:t>OCA argue</w:t>
      </w:r>
      <w:r w:rsidR="00BD0BD3" w:rsidRPr="0029748B">
        <w:rPr>
          <w:color w:val="000000"/>
          <w:sz w:val="26"/>
          <w:szCs w:val="26"/>
        </w:rPr>
        <w:t>d</w:t>
      </w:r>
      <w:r w:rsidR="001C07A7" w:rsidRPr="0029748B">
        <w:rPr>
          <w:color w:val="000000"/>
          <w:sz w:val="26"/>
          <w:szCs w:val="26"/>
        </w:rPr>
        <w:t xml:space="preserve"> that because the claim should have been brought in the first rate proceeding following the acquisition, and was not addressed, the Company is now barred from raising the claim.  </w:t>
      </w:r>
      <w:r w:rsidR="00F92057" w:rsidRPr="0029748B">
        <w:rPr>
          <w:color w:val="000000"/>
          <w:sz w:val="26"/>
          <w:szCs w:val="26"/>
        </w:rPr>
        <w:t xml:space="preserve">The </w:t>
      </w:r>
      <w:r w:rsidR="001C07A7" w:rsidRPr="0029748B">
        <w:rPr>
          <w:color w:val="000000"/>
          <w:sz w:val="26"/>
          <w:szCs w:val="26"/>
        </w:rPr>
        <w:t xml:space="preserve">OCA maintained that allowing the Company to claim an </w:t>
      </w:r>
      <w:r w:rsidR="009D2B03" w:rsidRPr="0029748B">
        <w:rPr>
          <w:color w:val="000000"/>
          <w:sz w:val="26"/>
          <w:szCs w:val="26"/>
        </w:rPr>
        <w:t>A</w:t>
      </w:r>
      <w:r w:rsidR="001C07A7" w:rsidRPr="0029748B">
        <w:rPr>
          <w:color w:val="000000"/>
          <w:sz w:val="26"/>
          <w:szCs w:val="26"/>
        </w:rPr>
        <w:t xml:space="preserve">cquisition </w:t>
      </w:r>
      <w:r w:rsidR="009D2B03" w:rsidRPr="0029748B">
        <w:rPr>
          <w:color w:val="000000"/>
          <w:sz w:val="26"/>
          <w:szCs w:val="26"/>
        </w:rPr>
        <w:t>A</w:t>
      </w:r>
      <w:r w:rsidR="001C07A7" w:rsidRPr="0029748B">
        <w:rPr>
          <w:color w:val="000000"/>
          <w:sz w:val="26"/>
          <w:szCs w:val="26"/>
        </w:rPr>
        <w:t xml:space="preserve">djustment eight years after the first rate proceeding would violate </w:t>
      </w:r>
      <w:r w:rsidR="00B234CC" w:rsidRPr="0029748B">
        <w:rPr>
          <w:color w:val="000000"/>
          <w:sz w:val="26"/>
          <w:szCs w:val="26"/>
        </w:rPr>
        <w:t xml:space="preserve">Section 1327 of </w:t>
      </w:r>
      <w:r w:rsidR="001C07A7" w:rsidRPr="0029748B">
        <w:rPr>
          <w:color w:val="000000"/>
          <w:sz w:val="26"/>
          <w:szCs w:val="26"/>
        </w:rPr>
        <w:t xml:space="preserve">the </w:t>
      </w:r>
      <w:r w:rsidR="00B234CC" w:rsidRPr="0029748B">
        <w:rPr>
          <w:color w:val="000000"/>
          <w:sz w:val="26"/>
          <w:szCs w:val="26"/>
        </w:rPr>
        <w:t xml:space="preserve">Code </w:t>
      </w:r>
      <w:r w:rsidR="001C07A7" w:rsidRPr="0029748B">
        <w:rPr>
          <w:color w:val="000000"/>
          <w:sz w:val="26"/>
          <w:szCs w:val="26"/>
        </w:rPr>
        <w:t xml:space="preserve">and Commission </w:t>
      </w:r>
      <w:r w:rsidR="00BD0BD3" w:rsidRPr="0029748B">
        <w:rPr>
          <w:color w:val="000000"/>
          <w:sz w:val="26"/>
          <w:szCs w:val="26"/>
        </w:rPr>
        <w:t>R</w:t>
      </w:r>
      <w:r w:rsidR="001C07A7" w:rsidRPr="0029748B">
        <w:rPr>
          <w:color w:val="000000"/>
          <w:sz w:val="26"/>
          <w:szCs w:val="26"/>
        </w:rPr>
        <w:t xml:space="preserve">egulations.  </w:t>
      </w:r>
      <w:r w:rsidR="00F17E23" w:rsidRPr="0029748B">
        <w:rPr>
          <w:color w:val="000000"/>
          <w:sz w:val="26"/>
          <w:szCs w:val="26"/>
        </w:rPr>
        <w:t>Alternatively, the OCA argued that if the Acquisition Adjustment claim is allowed it should be amortized over time.  R.D. at 18-19</w:t>
      </w:r>
      <w:r w:rsidR="00F9125C" w:rsidRPr="0029748B">
        <w:rPr>
          <w:color w:val="000000"/>
          <w:sz w:val="26"/>
          <w:szCs w:val="26"/>
        </w:rPr>
        <w:t xml:space="preserve"> (citing </w:t>
      </w:r>
      <w:r w:rsidR="00F17E23" w:rsidRPr="0029748B">
        <w:rPr>
          <w:color w:val="000000"/>
          <w:sz w:val="26"/>
          <w:szCs w:val="26"/>
        </w:rPr>
        <w:t>OCA M</w:t>
      </w:r>
      <w:r w:rsidR="00F9125C" w:rsidRPr="0029748B">
        <w:rPr>
          <w:color w:val="000000"/>
          <w:sz w:val="26"/>
          <w:szCs w:val="26"/>
        </w:rPr>
        <w:t>.</w:t>
      </w:r>
      <w:r w:rsidR="00F17E23" w:rsidRPr="0029748B">
        <w:rPr>
          <w:color w:val="000000"/>
          <w:sz w:val="26"/>
          <w:szCs w:val="26"/>
        </w:rPr>
        <w:t>B</w:t>
      </w:r>
      <w:r w:rsidR="00F9125C" w:rsidRPr="0029748B">
        <w:rPr>
          <w:color w:val="000000"/>
          <w:sz w:val="26"/>
          <w:szCs w:val="26"/>
        </w:rPr>
        <w:t>.</w:t>
      </w:r>
      <w:r w:rsidR="00F17E23" w:rsidRPr="0029748B">
        <w:rPr>
          <w:color w:val="000000"/>
          <w:sz w:val="26"/>
          <w:szCs w:val="26"/>
        </w:rPr>
        <w:t xml:space="preserve"> at</w:t>
      </w:r>
      <w:r w:rsidR="00C9313E" w:rsidRPr="0029748B">
        <w:rPr>
          <w:color w:val="000000"/>
          <w:sz w:val="26"/>
          <w:szCs w:val="26"/>
        </w:rPr>
        <w:t> </w:t>
      </w:r>
      <w:r w:rsidR="00F17E23" w:rsidRPr="0029748B">
        <w:rPr>
          <w:color w:val="000000"/>
          <w:sz w:val="26"/>
          <w:szCs w:val="26"/>
        </w:rPr>
        <w:t>7-8</w:t>
      </w:r>
      <w:r w:rsidR="00F9125C" w:rsidRPr="0029748B">
        <w:rPr>
          <w:color w:val="000000"/>
          <w:sz w:val="26"/>
          <w:szCs w:val="26"/>
        </w:rPr>
        <w:t>)</w:t>
      </w:r>
      <w:r w:rsidR="00F17E23" w:rsidRPr="0029748B">
        <w:rPr>
          <w:color w:val="000000"/>
          <w:sz w:val="26"/>
          <w:szCs w:val="26"/>
        </w:rPr>
        <w:t>.</w:t>
      </w:r>
    </w:p>
    <w:p w14:paraId="6E495EBC" w14:textId="77777777" w:rsidR="00F17E23" w:rsidRPr="0029748B" w:rsidRDefault="00F17E23" w:rsidP="0029748B">
      <w:pPr>
        <w:pStyle w:val="ListParagraph"/>
        <w:widowControl/>
        <w:spacing w:line="360" w:lineRule="auto"/>
        <w:ind w:left="0" w:firstLine="1440"/>
        <w:rPr>
          <w:color w:val="000000"/>
          <w:sz w:val="26"/>
          <w:szCs w:val="26"/>
          <w:highlight w:val="lightGray"/>
        </w:rPr>
      </w:pPr>
    </w:p>
    <w:p w14:paraId="0FC43774" w14:textId="77777777" w:rsidR="0073037D" w:rsidRPr="0029748B" w:rsidRDefault="00813894" w:rsidP="0029748B">
      <w:pPr>
        <w:widowControl/>
        <w:spacing w:line="360" w:lineRule="auto"/>
        <w:ind w:firstLine="1296"/>
        <w:rPr>
          <w:color w:val="000000"/>
          <w:sz w:val="26"/>
          <w:szCs w:val="26"/>
        </w:rPr>
      </w:pPr>
      <w:r w:rsidRPr="0029748B">
        <w:rPr>
          <w:color w:val="000000"/>
          <w:sz w:val="26"/>
          <w:szCs w:val="26"/>
        </w:rPr>
        <w:t xml:space="preserve">I&amp;E </w:t>
      </w:r>
      <w:r w:rsidR="001C07A7" w:rsidRPr="0029748B">
        <w:rPr>
          <w:color w:val="000000"/>
          <w:sz w:val="26"/>
          <w:szCs w:val="26"/>
        </w:rPr>
        <w:t xml:space="preserve">conceded </w:t>
      </w:r>
      <w:r w:rsidR="00DA359B" w:rsidRPr="0029748B">
        <w:rPr>
          <w:color w:val="000000"/>
          <w:sz w:val="26"/>
          <w:szCs w:val="26"/>
        </w:rPr>
        <w:t xml:space="preserve">that the Company was entitled to claim an Acquisition </w:t>
      </w:r>
      <w:r w:rsidR="009F628E" w:rsidRPr="0029748B">
        <w:rPr>
          <w:color w:val="000000"/>
          <w:sz w:val="26"/>
          <w:szCs w:val="26"/>
        </w:rPr>
        <w:t>Adjustment</w:t>
      </w:r>
      <w:r w:rsidR="00DA359B" w:rsidRPr="0029748B">
        <w:rPr>
          <w:color w:val="000000"/>
          <w:sz w:val="26"/>
          <w:szCs w:val="26"/>
        </w:rPr>
        <w:t xml:space="preserve"> to increase </w:t>
      </w:r>
      <w:r w:rsidR="00B70272" w:rsidRPr="0029748B">
        <w:rPr>
          <w:color w:val="000000"/>
          <w:sz w:val="26"/>
          <w:szCs w:val="26"/>
        </w:rPr>
        <w:t xml:space="preserve">its </w:t>
      </w:r>
      <w:r w:rsidR="00DA359B" w:rsidRPr="0029748B">
        <w:rPr>
          <w:color w:val="000000"/>
          <w:sz w:val="26"/>
          <w:szCs w:val="26"/>
        </w:rPr>
        <w:t xml:space="preserve">rate base. </w:t>
      </w:r>
      <w:r w:rsidR="009F628E" w:rsidRPr="0029748B">
        <w:rPr>
          <w:color w:val="000000"/>
          <w:sz w:val="26"/>
          <w:szCs w:val="26"/>
        </w:rPr>
        <w:t xml:space="preserve"> </w:t>
      </w:r>
      <w:r w:rsidR="00DA359B" w:rsidRPr="0029748B">
        <w:rPr>
          <w:color w:val="000000"/>
          <w:sz w:val="26"/>
          <w:szCs w:val="26"/>
        </w:rPr>
        <w:t xml:space="preserve">However, I&amp;E disagreed with the Company’s calculation of the appropriate amount of the </w:t>
      </w:r>
      <w:r w:rsidR="00532EB7" w:rsidRPr="0029748B">
        <w:rPr>
          <w:color w:val="000000"/>
          <w:sz w:val="26"/>
          <w:szCs w:val="26"/>
        </w:rPr>
        <w:t xml:space="preserve">Acquisition </w:t>
      </w:r>
      <w:r w:rsidR="00880149" w:rsidRPr="0029748B">
        <w:rPr>
          <w:color w:val="000000"/>
          <w:sz w:val="26"/>
          <w:szCs w:val="26"/>
        </w:rPr>
        <w:t>A</w:t>
      </w:r>
      <w:r w:rsidR="00DA359B" w:rsidRPr="0029748B">
        <w:rPr>
          <w:color w:val="000000"/>
          <w:sz w:val="26"/>
          <w:szCs w:val="26"/>
        </w:rPr>
        <w:t>djustment.  I&amp;E explained that</w:t>
      </w:r>
      <w:r w:rsidR="00B70272" w:rsidRPr="0029748B">
        <w:rPr>
          <w:color w:val="000000"/>
          <w:sz w:val="26"/>
          <w:szCs w:val="26"/>
        </w:rPr>
        <w:t>,</w:t>
      </w:r>
      <w:r w:rsidR="00DA359B" w:rsidRPr="0029748B">
        <w:rPr>
          <w:color w:val="000000"/>
          <w:sz w:val="26"/>
          <w:szCs w:val="26"/>
        </w:rPr>
        <w:t xml:space="preserve"> under Section 1327 of the Code, a claim for a “positive acquisition adjustment” (</w:t>
      </w:r>
      <w:r w:rsidR="00DA359B" w:rsidRPr="0029748B">
        <w:rPr>
          <w:i/>
          <w:iCs/>
          <w:color w:val="000000"/>
          <w:sz w:val="26"/>
          <w:szCs w:val="26"/>
        </w:rPr>
        <w:t>i.e</w:t>
      </w:r>
      <w:r w:rsidR="00DA359B" w:rsidRPr="0029748B">
        <w:rPr>
          <w:color w:val="000000"/>
          <w:sz w:val="26"/>
          <w:szCs w:val="26"/>
        </w:rPr>
        <w:t xml:space="preserve">., </w:t>
      </w:r>
      <w:r w:rsidR="00F92057" w:rsidRPr="0029748B">
        <w:rPr>
          <w:color w:val="000000"/>
          <w:sz w:val="26"/>
          <w:szCs w:val="26"/>
        </w:rPr>
        <w:t xml:space="preserve">an </w:t>
      </w:r>
      <w:r w:rsidR="00DA359B" w:rsidRPr="0029748B">
        <w:rPr>
          <w:color w:val="000000"/>
          <w:sz w:val="26"/>
          <w:szCs w:val="26"/>
        </w:rPr>
        <w:t>increase in rate base</w:t>
      </w:r>
      <w:r w:rsidR="009F628E" w:rsidRPr="0029748B">
        <w:rPr>
          <w:color w:val="000000"/>
          <w:sz w:val="26"/>
          <w:szCs w:val="26"/>
        </w:rPr>
        <w:t xml:space="preserve"> to recover an overpayment for </w:t>
      </w:r>
      <w:r w:rsidR="00B70272" w:rsidRPr="0029748B">
        <w:rPr>
          <w:color w:val="000000"/>
          <w:sz w:val="26"/>
          <w:szCs w:val="26"/>
        </w:rPr>
        <w:t xml:space="preserve">an approved acquisition of </w:t>
      </w:r>
      <w:r w:rsidR="009F628E" w:rsidRPr="0029748B">
        <w:rPr>
          <w:color w:val="000000"/>
          <w:sz w:val="26"/>
          <w:szCs w:val="26"/>
        </w:rPr>
        <w:t>water facilities</w:t>
      </w:r>
      <w:r w:rsidR="00595D07" w:rsidRPr="0029748B">
        <w:rPr>
          <w:color w:val="000000"/>
          <w:sz w:val="26"/>
          <w:szCs w:val="26"/>
        </w:rPr>
        <w:t>)</w:t>
      </w:r>
      <w:r w:rsidR="00880149" w:rsidRPr="0029748B">
        <w:rPr>
          <w:color w:val="000000"/>
          <w:sz w:val="26"/>
          <w:szCs w:val="26"/>
        </w:rPr>
        <w:t xml:space="preserve"> </w:t>
      </w:r>
      <w:r w:rsidR="00DA359B" w:rsidRPr="0029748B">
        <w:rPr>
          <w:color w:val="000000"/>
          <w:sz w:val="26"/>
          <w:szCs w:val="26"/>
        </w:rPr>
        <w:t xml:space="preserve">is authorized where the depreciated original cost of the acquired facilities is less than the purchase price </w:t>
      </w:r>
      <w:r w:rsidR="00B70272" w:rsidRPr="0029748B">
        <w:rPr>
          <w:color w:val="000000"/>
          <w:sz w:val="26"/>
          <w:szCs w:val="26"/>
        </w:rPr>
        <w:t>of</w:t>
      </w:r>
      <w:r w:rsidR="00DA359B" w:rsidRPr="0029748B">
        <w:rPr>
          <w:color w:val="000000"/>
          <w:sz w:val="26"/>
          <w:szCs w:val="26"/>
        </w:rPr>
        <w:t xml:space="preserve"> the facilities.  In this case, I&amp;E concedes that </w:t>
      </w:r>
      <w:r w:rsidR="00B70272" w:rsidRPr="0029748B">
        <w:rPr>
          <w:color w:val="000000"/>
          <w:sz w:val="26"/>
          <w:szCs w:val="26"/>
        </w:rPr>
        <w:t xml:space="preserve">the </w:t>
      </w:r>
      <w:r w:rsidR="0073037D" w:rsidRPr="0029748B">
        <w:rPr>
          <w:color w:val="000000"/>
          <w:sz w:val="26"/>
          <w:szCs w:val="26"/>
        </w:rPr>
        <w:t>depreciated original cost of the facilities</w:t>
      </w:r>
      <w:r w:rsidR="00B70272" w:rsidRPr="0029748B">
        <w:rPr>
          <w:color w:val="000000"/>
          <w:sz w:val="26"/>
          <w:szCs w:val="26"/>
        </w:rPr>
        <w:t xml:space="preserve"> acquired by Twin Lakes </w:t>
      </w:r>
      <w:r w:rsidR="0073037D" w:rsidRPr="0029748B">
        <w:rPr>
          <w:color w:val="000000"/>
          <w:sz w:val="26"/>
          <w:szCs w:val="26"/>
        </w:rPr>
        <w:t>was less than the purchase price</w:t>
      </w:r>
      <w:r w:rsidR="00A732DD" w:rsidRPr="0029748B">
        <w:rPr>
          <w:color w:val="000000"/>
          <w:sz w:val="26"/>
          <w:szCs w:val="26"/>
        </w:rPr>
        <w:t xml:space="preserve"> paid by </w:t>
      </w:r>
      <w:r w:rsidR="00B70272" w:rsidRPr="0029748B">
        <w:rPr>
          <w:color w:val="000000"/>
          <w:sz w:val="26"/>
          <w:szCs w:val="26"/>
        </w:rPr>
        <w:t xml:space="preserve">Twin Lakes. </w:t>
      </w:r>
      <w:r w:rsidR="0073037D" w:rsidRPr="0029748B">
        <w:rPr>
          <w:color w:val="000000"/>
          <w:sz w:val="26"/>
          <w:szCs w:val="26"/>
        </w:rPr>
        <w:t xml:space="preserve"> Therefore, I&amp;E concedes Twin Lakes is entitled to </w:t>
      </w:r>
      <w:r w:rsidR="0073037D" w:rsidRPr="0029748B">
        <w:rPr>
          <w:color w:val="000000"/>
          <w:sz w:val="26"/>
          <w:szCs w:val="26"/>
        </w:rPr>
        <w:lastRenderedPageBreak/>
        <w:t>claim a</w:t>
      </w:r>
      <w:r w:rsidR="001C07A7" w:rsidRPr="0029748B">
        <w:rPr>
          <w:color w:val="000000"/>
          <w:sz w:val="26"/>
          <w:szCs w:val="26"/>
        </w:rPr>
        <w:t xml:space="preserve"> positive </w:t>
      </w:r>
      <w:r w:rsidR="0073037D" w:rsidRPr="0029748B">
        <w:rPr>
          <w:color w:val="000000"/>
          <w:sz w:val="26"/>
          <w:szCs w:val="26"/>
        </w:rPr>
        <w:t>Acquisition Adjustment for the difference</w:t>
      </w:r>
      <w:r w:rsidR="00F45FC4" w:rsidRPr="0029748B">
        <w:rPr>
          <w:color w:val="000000"/>
          <w:sz w:val="26"/>
          <w:szCs w:val="26"/>
        </w:rPr>
        <w:t>.</w:t>
      </w:r>
      <w:r w:rsidR="0073037D" w:rsidRPr="0029748B">
        <w:rPr>
          <w:rStyle w:val="FootnoteReference"/>
          <w:color w:val="000000"/>
          <w:sz w:val="26"/>
          <w:szCs w:val="26"/>
        </w:rPr>
        <w:footnoteReference w:id="4"/>
      </w:r>
      <w:r w:rsidR="00F45FC4" w:rsidRPr="0029748B">
        <w:rPr>
          <w:color w:val="000000"/>
          <w:sz w:val="26"/>
          <w:szCs w:val="26"/>
        </w:rPr>
        <w:t xml:space="preserve">  </w:t>
      </w:r>
      <w:r w:rsidR="00B234CC" w:rsidRPr="0029748B">
        <w:rPr>
          <w:color w:val="000000"/>
          <w:sz w:val="26"/>
          <w:szCs w:val="26"/>
        </w:rPr>
        <w:t>R.D. at 16-17</w:t>
      </w:r>
      <w:r w:rsidR="00F9125C" w:rsidRPr="0029748B">
        <w:rPr>
          <w:color w:val="000000"/>
          <w:sz w:val="26"/>
          <w:szCs w:val="26"/>
        </w:rPr>
        <w:t xml:space="preserve"> (</w:t>
      </w:r>
      <w:r w:rsidR="00B234CC" w:rsidRPr="0029748B">
        <w:rPr>
          <w:color w:val="000000"/>
          <w:sz w:val="26"/>
          <w:szCs w:val="26"/>
        </w:rPr>
        <w:t>citing I&amp;E M</w:t>
      </w:r>
      <w:r w:rsidR="00F9125C" w:rsidRPr="0029748B">
        <w:rPr>
          <w:color w:val="000000"/>
          <w:sz w:val="26"/>
          <w:szCs w:val="26"/>
        </w:rPr>
        <w:t>.</w:t>
      </w:r>
      <w:r w:rsidR="00B234CC" w:rsidRPr="0029748B">
        <w:rPr>
          <w:color w:val="000000"/>
          <w:sz w:val="26"/>
          <w:szCs w:val="26"/>
        </w:rPr>
        <w:t>B</w:t>
      </w:r>
      <w:r w:rsidR="00F9125C" w:rsidRPr="0029748B">
        <w:rPr>
          <w:color w:val="000000"/>
          <w:sz w:val="26"/>
          <w:szCs w:val="26"/>
        </w:rPr>
        <w:t>.</w:t>
      </w:r>
      <w:r w:rsidR="00B234CC" w:rsidRPr="0029748B">
        <w:rPr>
          <w:color w:val="000000"/>
          <w:sz w:val="26"/>
          <w:szCs w:val="26"/>
        </w:rPr>
        <w:t xml:space="preserve"> at 7-9</w:t>
      </w:r>
      <w:r w:rsidR="00F9125C" w:rsidRPr="0029748B">
        <w:rPr>
          <w:color w:val="000000"/>
          <w:sz w:val="26"/>
          <w:szCs w:val="26"/>
        </w:rPr>
        <w:t>;</w:t>
      </w:r>
      <w:r w:rsidR="00B234CC" w:rsidRPr="0029748B">
        <w:rPr>
          <w:color w:val="000000"/>
          <w:sz w:val="26"/>
          <w:szCs w:val="26"/>
        </w:rPr>
        <w:t xml:space="preserve"> I&amp;E R</w:t>
      </w:r>
      <w:r w:rsidR="00F9125C" w:rsidRPr="0029748B">
        <w:rPr>
          <w:color w:val="000000"/>
          <w:sz w:val="26"/>
          <w:szCs w:val="26"/>
        </w:rPr>
        <w:t>.</w:t>
      </w:r>
      <w:r w:rsidR="00B234CC" w:rsidRPr="0029748B">
        <w:rPr>
          <w:color w:val="000000"/>
          <w:sz w:val="26"/>
          <w:szCs w:val="26"/>
        </w:rPr>
        <w:t>B</w:t>
      </w:r>
      <w:r w:rsidR="00F9125C" w:rsidRPr="0029748B">
        <w:rPr>
          <w:color w:val="000000"/>
          <w:sz w:val="26"/>
          <w:szCs w:val="26"/>
        </w:rPr>
        <w:t xml:space="preserve">. at </w:t>
      </w:r>
      <w:r w:rsidR="00B234CC" w:rsidRPr="0029748B">
        <w:rPr>
          <w:color w:val="000000"/>
          <w:sz w:val="26"/>
          <w:szCs w:val="26"/>
        </w:rPr>
        <w:t>4-5</w:t>
      </w:r>
      <w:r w:rsidR="00F9125C" w:rsidRPr="0029748B">
        <w:rPr>
          <w:color w:val="000000"/>
          <w:sz w:val="26"/>
          <w:szCs w:val="26"/>
        </w:rPr>
        <w:t>)</w:t>
      </w:r>
      <w:r w:rsidR="00B234CC" w:rsidRPr="0029748B">
        <w:rPr>
          <w:color w:val="000000"/>
          <w:sz w:val="26"/>
          <w:szCs w:val="26"/>
        </w:rPr>
        <w:t>.</w:t>
      </w:r>
    </w:p>
    <w:p w14:paraId="75901901" w14:textId="77777777" w:rsidR="0073037D" w:rsidRPr="0029748B" w:rsidRDefault="0073037D" w:rsidP="0029748B">
      <w:pPr>
        <w:widowControl/>
        <w:spacing w:line="360" w:lineRule="auto"/>
        <w:ind w:firstLine="1296"/>
        <w:rPr>
          <w:color w:val="000000"/>
          <w:sz w:val="26"/>
          <w:szCs w:val="26"/>
        </w:rPr>
      </w:pPr>
    </w:p>
    <w:p w14:paraId="341C4096" w14:textId="738735DA" w:rsidR="00BD4346" w:rsidRDefault="0073037D" w:rsidP="0029748B">
      <w:pPr>
        <w:widowControl/>
        <w:spacing w:line="360" w:lineRule="auto"/>
        <w:ind w:firstLine="1296"/>
        <w:rPr>
          <w:color w:val="000000"/>
          <w:sz w:val="26"/>
          <w:szCs w:val="26"/>
        </w:rPr>
      </w:pPr>
      <w:r w:rsidRPr="0029748B">
        <w:rPr>
          <w:color w:val="000000"/>
          <w:sz w:val="26"/>
          <w:szCs w:val="26"/>
        </w:rPr>
        <w:t xml:space="preserve">However, I&amp;E maintains that pursuant to Section 1327, </w:t>
      </w:r>
      <w:r w:rsidR="00B234CC" w:rsidRPr="0029748B">
        <w:rPr>
          <w:color w:val="000000"/>
          <w:sz w:val="26"/>
          <w:szCs w:val="26"/>
        </w:rPr>
        <w:t>a</w:t>
      </w:r>
      <w:r w:rsidRPr="0029748B">
        <w:rPr>
          <w:color w:val="000000"/>
          <w:sz w:val="26"/>
          <w:szCs w:val="26"/>
        </w:rPr>
        <w:t xml:space="preserve"> claim for a</w:t>
      </w:r>
      <w:r w:rsidR="00223C4F" w:rsidRPr="0029748B">
        <w:rPr>
          <w:color w:val="000000"/>
          <w:sz w:val="26"/>
          <w:szCs w:val="26"/>
        </w:rPr>
        <w:t xml:space="preserve"> positive </w:t>
      </w:r>
      <w:r w:rsidR="001B676D" w:rsidRPr="0029748B">
        <w:rPr>
          <w:color w:val="000000"/>
          <w:sz w:val="26"/>
          <w:szCs w:val="26"/>
        </w:rPr>
        <w:t>A</w:t>
      </w:r>
      <w:r w:rsidRPr="0029748B">
        <w:rPr>
          <w:color w:val="000000"/>
          <w:sz w:val="26"/>
          <w:szCs w:val="26"/>
        </w:rPr>
        <w:t xml:space="preserve">cquisition </w:t>
      </w:r>
      <w:r w:rsidR="001B676D" w:rsidRPr="0029748B">
        <w:rPr>
          <w:color w:val="000000"/>
          <w:sz w:val="26"/>
          <w:szCs w:val="26"/>
        </w:rPr>
        <w:t>A</w:t>
      </w:r>
      <w:r w:rsidRPr="0029748B">
        <w:rPr>
          <w:color w:val="000000"/>
          <w:sz w:val="26"/>
          <w:szCs w:val="26"/>
        </w:rPr>
        <w:t>djustment</w:t>
      </w:r>
      <w:r w:rsidR="00223C4F" w:rsidRPr="0029748B">
        <w:rPr>
          <w:color w:val="000000"/>
          <w:sz w:val="26"/>
          <w:szCs w:val="26"/>
        </w:rPr>
        <w:t xml:space="preserve"> (</w:t>
      </w:r>
      <w:r w:rsidR="00323609" w:rsidRPr="0029748B">
        <w:rPr>
          <w:i/>
          <w:iCs/>
          <w:color w:val="000000"/>
          <w:sz w:val="26"/>
          <w:szCs w:val="26"/>
        </w:rPr>
        <w:t>i.e.</w:t>
      </w:r>
      <w:r w:rsidR="00223C4F" w:rsidRPr="0029748B">
        <w:rPr>
          <w:color w:val="000000"/>
          <w:sz w:val="26"/>
          <w:szCs w:val="26"/>
        </w:rPr>
        <w:t xml:space="preserve">, </w:t>
      </w:r>
      <w:r w:rsidR="00F92057" w:rsidRPr="0029748B">
        <w:rPr>
          <w:color w:val="000000"/>
          <w:sz w:val="26"/>
          <w:szCs w:val="26"/>
        </w:rPr>
        <w:t xml:space="preserve">an </w:t>
      </w:r>
      <w:r w:rsidR="00223C4F" w:rsidRPr="0029748B">
        <w:rPr>
          <w:color w:val="000000"/>
          <w:sz w:val="26"/>
          <w:szCs w:val="26"/>
        </w:rPr>
        <w:t>increase to rate base)</w:t>
      </w:r>
      <w:r w:rsidRPr="0029748B">
        <w:rPr>
          <w:color w:val="000000"/>
          <w:sz w:val="26"/>
          <w:szCs w:val="26"/>
        </w:rPr>
        <w:t xml:space="preserve">, once claimed in a rate proceeding, is to be amortized over a </w:t>
      </w:r>
      <w:r w:rsidR="00223C4F" w:rsidRPr="0029748B">
        <w:rPr>
          <w:color w:val="000000"/>
          <w:sz w:val="26"/>
          <w:szCs w:val="26"/>
        </w:rPr>
        <w:t xml:space="preserve">fixed </w:t>
      </w:r>
      <w:r w:rsidRPr="0029748B">
        <w:rPr>
          <w:color w:val="000000"/>
          <w:sz w:val="26"/>
          <w:szCs w:val="26"/>
        </w:rPr>
        <w:t>period of years</w:t>
      </w:r>
      <w:r w:rsidR="00EA770F" w:rsidRPr="0029748B">
        <w:rPr>
          <w:color w:val="000000"/>
          <w:sz w:val="26"/>
          <w:szCs w:val="26"/>
        </w:rPr>
        <w:t xml:space="preserve">.  </w:t>
      </w:r>
      <w:r w:rsidRPr="0029748B">
        <w:rPr>
          <w:color w:val="000000"/>
          <w:sz w:val="26"/>
          <w:szCs w:val="26"/>
        </w:rPr>
        <w:t>Therefore, I&amp;E dispute</w:t>
      </w:r>
      <w:r w:rsidR="00BD4346" w:rsidRPr="0029748B">
        <w:rPr>
          <w:color w:val="000000"/>
          <w:sz w:val="26"/>
          <w:szCs w:val="26"/>
        </w:rPr>
        <w:t>d</w:t>
      </w:r>
      <w:r w:rsidRPr="0029748B">
        <w:rPr>
          <w:color w:val="000000"/>
          <w:sz w:val="26"/>
          <w:szCs w:val="26"/>
        </w:rPr>
        <w:t xml:space="preserve"> Twin Lakes</w:t>
      </w:r>
      <w:r w:rsidR="00B234CC" w:rsidRPr="0029748B">
        <w:rPr>
          <w:color w:val="000000"/>
          <w:sz w:val="26"/>
          <w:szCs w:val="26"/>
        </w:rPr>
        <w:t>’</w:t>
      </w:r>
      <w:r w:rsidRPr="0029748B">
        <w:rPr>
          <w:color w:val="000000"/>
          <w:sz w:val="26"/>
          <w:szCs w:val="26"/>
        </w:rPr>
        <w:t xml:space="preserve"> claimed amount of $</w:t>
      </w:r>
      <w:r w:rsidR="00BD4346" w:rsidRPr="0029748B">
        <w:rPr>
          <w:color w:val="000000"/>
          <w:sz w:val="26"/>
          <w:szCs w:val="26"/>
        </w:rPr>
        <w:t xml:space="preserve">54,406, </w:t>
      </w:r>
      <w:r w:rsidR="00C548E9" w:rsidRPr="0029748B">
        <w:rPr>
          <w:color w:val="000000"/>
          <w:sz w:val="26"/>
          <w:szCs w:val="26"/>
        </w:rPr>
        <w:t xml:space="preserve">which is the same amount the Company claimed as </w:t>
      </w:r>
      <w:r w:rsidR="00DB3E17" w:rsidRPr="0029748B">
        <w:rPr>
          <w:color w:val="000000"/>
          <w:sz w:val="26"/>
          <w:szCs w:val="26"/>
        </w:rPr>
        <w:t>its</w:t>
      </w:r>
      <w:r w:rsidR="00C548E9" w:rsidRPr="0029748B">
        <w:rPr>
          <w:color w:val="000000"/>
          <w:sz w:val="26"/>
          <w:szCs w:val="26"/>
        </w:rPr>
        <w:t xml:space="preserve"> </w:t>
      </w:r>
      <w:r w:rsidR="00DB3E17" w:rsidRPr="0029748B">
        <w:rPr>
          <w:color w:val="000000"/>
          <w:sz w:val="26"/>
          <w:szCs w:val="26"/>
        </w:rPr>
        <w:t>A</w:t>
      </w:r>
      <w:r w:rsidR="00C548E9" w:rsidRPr="0029748B">
        <w:rPr>
          <w:color w:val="000000"/>
          <w:sz w:val="26"/>
          <w:szCs w:val="26"/>
        </w:rPr>
        <w:t xml:space="preserve">cquisition </w:t>
      </w:r>
      <w:r w:rsidR="00DB3E17" w:rsidRPr="0029748B">
        <w:rPr>
          <w:color w:val="000000"/>
          <w:sz w:val="26"/>
          <w:szCs w:val="26"/>
        </w:rPr>
        <w:t>A</w:t>
      </w:r>
      <w:r w:rsidR="00C548E9" w:rsidRPr="0029748B">
        <w:rPr>
          <w:color w:val="000000"/>
          <w:sz w:val="26"/>
          <w:szCs w:val="26"/>
        </w:rPr>
        <w:t>djustment in the Company’s 2015 rate proceeding.  I&amp;E</w:t>
      </w:r>
      <w:r w:rsidR="00B234CC" w:rsidRPr="0029748B">
        <w:rPr>
          <w:color w:val="000000"/>
          <w:sz w:val="26"/>
          <w:szCs w:val="26"/>
        </w:rPr>
        <w:t xml:space="preserve"> </w:t>
      </w:r>
      <w:r w:rsidR="00C548E9" w:rsidRPr="0029748B">
        <w:rPr>
          <w:color w:val="000000"/>
          <w:sz w:val="26"/>
          <w:szCs w:val="26"/>
        </w:rPr>
        <w:t xml:space="preserve">maintained that the </w:t>
      </w:r>
      <w:r w:rsidR="00BD4346" w:rsidRPr="0029748B">
        <w:rPr>
          <w:color w:val="000000"/>
          <w:sz w:val="26"/>
          <w:szCs w:val="26"/>
        </w:rPr>
        <w:t>Company</w:t>
      </w:r>
      <w:r w:rsidR="00605F6A" w:rsidRPr="0029748B">
        <w:rPr>
          <w:color w:val="000000"/>
          <w:sz w:val="26"/>
          <w:szCs w:val="26"/>
        </w:rPr>
        <w:t xml:space="preserve">’s present </w:t>
      </w:r>
      <w:r w:rsidR="00C548E9" w:rsidRPr="0029748B">
        <w:rPr>
          <w:color w:val="000000"/>
          <w:sz w:val="26"/>
          <w:szCs w:val="26"/>
        </w:rPr>
        <w:t>Acquisition Adjustment</w:t>
      </w:r>
      <w:r w:rsidR="00605F6A" w:rsidRPr="0029748B">
        <w:rPr>
          <w:color w:val="000000"/>
          <w:sz w:val="26"/>
          <w:szCs w:val="26"/>
        </w:rPr>
        <w:t xml:space="preserve"> claim </w:t>
      </w:r>
      <w:r w:rsidR="00C548E9" w:rsidRPr="0029748B">
        <w:rPr>
          <w:color w:val="000000"/>
          <w:sz w:val="26"/>
          <w:szCs w:val="26"/>
        </w:rPr>
        <w:t>fail</w:t>
      </w:r>
      <w:r w:rsidR="00605F6A" w:rsidRPr="0029748B">
        <w:rPr>
          <w:color w:val="000000"/>
          <w:sz w:val="26"/>
          <w:szCs w:val="26"/>
        </w:rPr>
        <w:t xml:space="preserve">s to properly account for the </w:t>
      </w:r>
      <w:r w:rsidR="00C548E9" w:rsidRPr="0029748B">
        <w:rPr>
          <w:color w:val="000000"/>
          <w:sz w:val="26"/>
          <w:szCs w:val="26"/>
        </w:rPr>
        <w:t>reduc</w:t>
      </w:r>
      <w:r w:rsidR="00605F6A" w:rsidRPr="0029748B">
        <w:rPr>
          <w:color w:val="000000"/>
          <w:sz w:val="26"/>
          <w:szCs w:val="26"/>
        </w:rPr>
        <w:t xml:space="preserve">tion </w:t>
      </w:r>
      <w:r w:rsidR="00F9125C" w:rsidRPr="0029748B">
        <w:rPr>
          <w:color w:val="000000"/>
          <w:sz w:val="26"/>
          <w:szCs w:val="26"/>
        </w:rPr>
        <w:t xml:space="preserve">due to the </w:t>
      </w:r>
      <w:r w:rsidR="000D69EB" w:rsidRPr="0029748B">
        <w:rPr>
          <w:color w:val="000000"/>
          <w:sz w:val="26"/>
          <w:szCs w:val="26"/>
        </w:rPr>
        <w:t xml:space="preserve">accrued </w:t>
      </w:r>
      <w:r w:rsidR="00C548E9" w:rsidRPr="0029748B">
        <w:rPr>
          <w:color w:val="000000"/>
          <w:sz w:val="26"/>
          <w:szCs w:val="26"/>
        </w:rPr>
        <w:t xml:space="preserve">annual </w:t>
      </w:r>
      <w:r w:rsidR="00BD4346" w:rsidRPr="0029748B">
        <w:rPr>
          <w:color w:val="000000"/>
          <w:sz w:val="26"/>
          <w:szCs w:val="26"/>
        </w:rPr>
        <w:t>amortization since the Company</w:t>
      </w:r>
      <w:r w:rsidR="00EA770F" w:rsidRPr="0029748B">
        <w:rPr>
          <w:color w:val="000000"/>
          <w:sz w:val="26"/>
          <w:szCs w:val="26"/>
        </w:rPr>
        <w:t xml:space="preserve"> </w:t>
      </w:r>
      <w:r w:rsidR="00BD4346" w:rsidRPr="0029748B">
        <w:rPr>
          <w:color w:val="000000"/>
          <w:sz w:val="26"/>
          <w:szCs w:val="26"/>
        </w:rPr>
        <w:t>last sought a rate increase in 2015.</w:t>
      </w:r>
      <w:r w:rsidR="004B20B6" w:rsidRPr="0029748B">
        <w:rPr>
          <w:color w:val="000000"/>
          <w:sz w:val="26"/>
          <w:szCs w:val="26"/>
        </w:rPr>
        <w:t xml:space="preserve"> </w:t>
      </w:r>
      <w:r w:rsidR="00DB3E17" w:rsidRPr="0029748B">
        <w:rPr>
          <w:color w:val="000000"/>
          <w:sz w:val="26"/>
          <w:szCs w:val="26"/>
        </w:rPr>
        <w:t xml:space="preserve"> </w:t>
      </w:r>
      <w:r w:rsidR="004B20B6" w:rsidRPr="0029748B">
        <w:rPr>
          <w:color w:val="000000"/>
          <w:sz w:val="26"/>
          <w:szCs w:val="26"/>
        </w:rPr>
        <w:t>R.D. at 17-18.</w:t>
      </w:r>
    </w:p>
    <w:p w14:paraId="2529D65F" w14:textId="77777777" w:rsidR="00A20800" w:rsidRPr="0029748B" w:rsidRDefault="00A20800" w:rsidP="0029748B">
      <w:pPr>
        <w:widowControl/>
        <w:spacing w:line="360" w:lineRule="auto"/>
        <w:ind w:firstLine="1296"/>
        <w:rPr>
          <w:color w:val="000000"/>
          <w:sz w:val="26"/>
          <w:szCs w:val="26"/>
        </w:rPr>
      </w:pPr>
    </w:p>
    <w:p w14:paraId="3AE692D5" w14:textId="77777777" w:rsidR="00C548E9" w:rsidRPr="0029748B" w:rsidRDefault="00BD4346" w:rsidP="0029748B">
      <w:pPr>
        <w:widowControl/>
        <w:spacing w:line="360" w:lineRule="auto"/>
        <w:ind w:firstLine="1440"/>
        <w:rPr>
          <w:color w:val="000000"/>
          <w:sz w:val="26"/>
          <w:szCs w:val="26"/>
        </w:rPr>
      </w:pPr>
      <w:r w:rsidRPr="0029748B">
        <w:rPr>
          <w:color w:val="000000"/>
          <w:sz w:val="26"/>
          <w:szCs w:val="26"/>
        </w:rPr>
        <w:t xml:space="preserve">I&amp;E noted that in </w:t>
      </w:r>
      <w:r w:rsidR="00B70272" w:rsidRPr="0029748B">
        <w:rPr>
          <w:color w:val="000000"/>
          <w:sz w:val="26"/>
          <w:szCs w:val="26"/>
        </w:rPr>
        <w:t xml:space="preserve">the Company’s </w:t>
      </w:r>
      <w:r w:rsidRPr="0029748B">
        <w:rPr>
          <w:color w:val="000000"/>
          <w:sz w:val="26"/>
          <w:szCs w:val="26"/>
        </w:rPr>
        <w:t xml:space="preserve">2011 rate proceeding, the Company claimed a positive </w:t>
      </w:r>
      <w:r w:rsidR="00DB3E17" w:rsidRPr="0029748B">
        <w:rPr>
          <w:color w:val="000000"/>
          <w:sz w:val="26"/>
          <w:szCs w:val="26"/>
        </w:rPr>
        <w:t>A</w:t>
      </w:r>
      <w:r w:rsidRPr="0029748B">
        <w:rPr>
          <w:color w:val="000000"/>
          <w:sz w:val="26"/>
          <w:szCs w:val="26"/>
        </w:rPr>
        <w:t xml:space="preserve">cquisition </w:t>
      </w:r>
      <w:r w:rsidR="00DB3E17" w:rsidRPr="0029748B">
        <w:rPr>
          <w:color w:val="000000"/>
          <w:sz w:val="26"/>
          <w:szCs w:val="26"/>
        </w:rPr>
        <w:t>A</w:t>
      </w:r>
      <w:r w:rsidRPr="0029748B">
        <w:rPr>
          <w:color w:val="000000"/>
          <w:sz w:val="26"/>
          <w:szCs w:val="26"/>
        </w:rPr>
        <w:t xml:space="preserve">djustment of $71,440.  </w:t>
      </w:r>
      <w:r w:rsidR="00B70272" w:rsidRPr="0029748B">
        <w:rPr>
          <w:color w:val="000000"/>
          <w:sz w:val="26"/>
          <w:szCs w:val="26"/>
        </w:rPr>
        <w:t xml:space="preserve">Then, in </w:t>
      </w:r>
      <w:r w:rsidRPr="0029748B">
        <w:rPr>
          <w:color w:val="000000"/>
          <w:sz w:val="26"/>
          <w:szCs w:val="26"/>
        </w:rPr>
        <w:t xml:space="preserve">its </w:t>
      </w:r>
      <w:r w:rsidR="00B70272" w:rsidRPr="0029748B">
        <w:rPr>
          <w:color w:val="000000"/>
          <w:sz w:val="26"/>
          <w:szCs w:val="26"/>
        </w:rPr>
        <w:t xml:space="preserve">next base rate proceeding in </w:t>
      </w:r>
      <w:r w:rsidRPr="0029748B">
        <w:rPr>
          <w:color w:val="000000"/>
          <w:sz w:val="26"/>
          <w:szCs w:val="26"/>
        </w:rPr>
        <w:t>2015</w:t>
      </w:r>
      <w:r w:rsidR="00B70272" w:rsidRPr="0029748B">
        <w:rPr>
          <w:color w:val="000000"/>
          <w:sz w:val="26"/>
          <w:szCs w:val="26"/>
        </w:rPr>
        <w:t xml:space="preserve">, </w:t>
      </w:r>
      <w:r w:rsidRPr="0029748B">
        <w:rPr>
          <w:color w:val="000000"/>
          <w:sz w:val="26"/>
          <w:szCs w:val="26"/>
        </w:rPr>
        <w:t xml:space="preserve">Twin Lakes claimed a </w:t>
      </w:r>
      <w:r w:rsidR="00223C4F" w:rsidRPr="0029748B">
        <w:rPr>
          <w:color w:val="000000"/>
          <w:sz w:val="26"/>
          <w:szCs w:val="26"/>
        </w:rPr>
        <w:t xml:space="preserve">residual </w:t>
      </w:r>
      <w:r w:rsidRPr="0029748B">
        <w:rPr>
          <w:color w:val="000000"/>
          <w:sz w:val="26"/>
          <w:szCs w:val="26"/>
        </w:rPr>
        <w:t xml:space="preserve">positive </w:t>
      </w:r>
      <w:r w:rsidR="00B70272" w:rsidRPr="0029748B">
        <w:rPr>
          <w:color w:val="000000"/>
          <w:sz w:val="26"/>
          <w:szCs w:val="26"/>
        </w:rPr>
        <w:t>A</w:t>
      </w:r>
      <w:r w:rsidRPr="0029748B">
        <w:rPr>
          <w:color w:val="000000"/>
          <w:sz w:val="26"/>
          <w:szCs w:val="26"/>
        </w:rPr>
        <w:t xml:space="preserve">cquisition </w:t>
      </w:r>
      <w:r w:rsidR="00B70272" w:rsidRPr="0029748B">
        <w:rPr>
          <w:color w:val="000000"/>
          <w:sz w:val="26"/>
          <w:szCs w:val="26"/>
        </w:rPr>
        <w:t>A</w:t>
      </w:r>
      <w:r w:rsidRPr="0029748B">
        <w:rPr>
          <w:color w:val="000000"/>
          <w:sz w:val="26"/>
          <w:szCs w:val="26"/>
        </w:rPr>
        <w:t xml:space="preserve">djustment amount of $54,406.  Therefore, the Company’s </w:t>
      </w:r>
      <w:r w:rsidR="00223C4F" w:rsidRPr="0029748B">
        <w:rPr>
          <w:color w:val="000000"/>
          <w:sz w:val="26"/>
          <w:szCs w:val="26"/>
        </w:rPr>
        <w:t xml:space="preserve">claim in 2015 accounted for </w:t>
      </w:r>
      <w:r w:rsidR="00B70272" w:rsidRPr="0029748B">
        <w:rPr>
          <w:color w:val="000000"/>
          <w:sz w:val="26"/>
          <w:szCs w:val="26"/>
        </w:rPr>
        <w:t xml:space="preserve">accrued annual </w:t>
      </w:r>
      <w:r w:rsidR="00223C4F" w:rsidRPr="0029748B">
        <w:rPr>
          <w:color w:val="000000"/>
          <w:sz w:val="26"/>
          <w:szCs w:val="26"/>
        </w:rPr>
        <w:t>amortization of the claim of $71,440 in 2011, to a residual amount of $54,406 in 2015.  Yet,</w:t>
      </w:r>
      <w:r w:rsidR="00B70272" w:rsidRPr="0029748B">
        <w:rPr>
          <w:color w:val="000000"/>
          <w:sz w:val="26"/>
          <w:szCs w:val="26"/>
        </w:rPr>
        <w:t xml:space="preserve"> I&amp;E </w:t>
      </w:r>
      <w:r w:rsidR="00620D3A" w:rsidRPr="0029748B">
        <w:rPr>
          <w:color w:val="000000"/>
          <w:sz w:val="26"/>
          <w:szCs w:val="26"/>
        </w:rPr>
        <w:t xml:space="preserve">noted, </w:t>
      </w:r>
      <w:r w:rsidR="00223C4F" w:rsidRPr="0029748B">
        <w:rPr>
          <w:color w:val="000000"/>
          <w:sz w:val="26"/>
          <w:szCs w:val="26"/>
        </w:rPr>
        <w:t xml:space="preserve">the Company’s </w:t>
      </w:r>
      <w:r w:rsidRPr="0029748B">
        <w:rPr>
          <w:color w:val="000000"/>
          <w:sz w:val="26"/>
          <w:szCs w:val="26"/>
        </w:rPr>
        <w:t xml:space="preserve">present claim </w:t>
      </w:r>
      <w:r w:rsidR="00223C4F" w:rsidRPr="0029748B">
        <w:rPr>
          <w:color w:val="000000"/>
          <w:sz w:val="26"/>
          <w:szCs w:val="26"/>
        </w:rPr>
        <w:t xml:space="preserve">seeks the </w:t>
      </w:r>
      <w:r w:rsidR="00223C4F" w:rsidRPr="0029748B">
        <w:rPr>
          <w:i/>
          <w:iCs/>
          <w:color w:val="000000"/>
          <w:sz w:val="26"/>
          <w:szCs w:val="26"/>
        </w:rPr>
        <w:t>same</w:t>
      </w:r>
      <w:r w:rsidR="00223C4F" w:rsidRPr="0029748B">
        <w:rPr>
          <w:color w:val="000000"/>
          <w:sz w:val="26"/>
          <w:szCs w:val="26"/>
        </w:rPr>
        <w:t xml:space="preserve"> amount claimed in 2015, therefore accounting for no </w:t>
      </w:r>
      <w:r w:rsidR="00B234CC" w:rsidRPr="0029748B">
        <w:rPr>
          <w:color w:val="000000"/>
          <w:sz w:val="26"/>
          <w:szCs w:val="26"/>
        </w:rPr>
        <w:t xml:space="preserve">accrued </w:t>
      </w:r>
      <w:r w:rsidR="00223C4F" w:rsidRPr="0029748B">
        <w:rPr>
          <w:color w:val="000000"/>
          <w:sz w:val="26"/>
          <w:szCs w:val="26"/>
        </w:rPr>
        <w:t xml:space="preserve">amortization during the period </w:t>
      </w:r>
      <w:r w:rsidR="000D69EB" w:rsidRPr="0029748B">
        <w:rPr>
          <w:color w:val="000000"/>
          <w:sz w:val="26"/>
          <w:szCs w:val="26"/>
        </w:rPr>
        <w:t>from 2015 until now.</w:t>
      </w:r>
      <w:r w:rsidR="00223C4F" w:rsidRPr="0029748B">
        <w:rPr>
          <w:color w:val="000000"/>
          <w:sz w:val="26"/>
          <w:szCs w:val="26"/>
        </w:rPr>
        <w:t xml:space="preserve"> </w:t>
      </w:r>
      <w:r w:rsidR="00C548E9" w:rsidRPr="0029748B">
        <w:rPr>
          <w:color w:val="000000"/>
          <w:sz w:val="26"/>
          <w:szCs w:val="26"/>
        </w:rPr>
        <w:t xml:space="preserve"> </w:t>
      </w:r>
      <w:r w:rsidRPr="0029748B">
        <w:rPr>
          <w:color w:val="000000"/>
          <w:sz w:val="26"/>
          <w:szCs w:val="26"/>
        </w:rPr>
        <w:t>I&amp;E argue</w:t>
      </w:r>
      <w:r w:rsidR="00C548E9" w:rsidRPr="0029748B">
        <w:rPr>
          <w:color w:val="000000"/>
          <w:sz w:val="26"/>
          <w:szCs w:val="26"/>
        </w:rPr>
        <w:t xml:space="preserve">d </w:t>
      </w:r>
      <w:r w:rsidRPr="0029748B">
        <w:rPr>
          <w:color w:val="000000"/>
          <w:sz w:val="26"/>
          <w:szCs w:val="26"/>
        </w:rPr>
        <w:t xml:space="preserve">that </w:t>
      </w:r>
      <w:r w:rsidR="00C548E9" w:rsidRPr="0029748B">
        <w:rPr>
          <w:color w:val="000000"/>
          <w:sz w:val="26"/>
          <w:szCs w:val="26"/>
        </w:rPr>
        <w:t>failure to reduce the Company’s residual Acquisition Adjustment claim from the 2015 rate proceeding</w:t>
      </w:r>
      <w:r w:rsidR="009F628E" w:rsidRPr="0029748B">
        <w:rPr>
          <w:color w:val="000000"/>
          <w:sz w:val="26"/>
          <w:szCs w:val="26"/>
        </w:rPr>
        <w:t xml:space="preserve"> by the </w:t>
      </w:r>
      <w:r w:rsidR="000D69EB" w:rsidRPr="0029748B">
        <w:rPr>
          <w:color w:val="000000"/>
          <w:sz w:val="26"/>
          <w:szCs w:val="26"/>
        </w:rPr>
        <w:t xml:space="preserve">accrued </w:t>
      </w:r>
      <w:r w:rsidR="009F628E" w:rsidRPr="0029748B">
        <w:rPr>
          <w:color w:val="000000"/>
          <w:sz w:val="26"/>
          <w:szCs w:val="26"/>
        </w:rPr>
        <w:t>annual amortization</w:t>
      </w:r>
      <w:r w:rsidR="00C548E9" w:rsidRPr="0029748B">
        <w:rPr>
          <w:color w:val="000000"/>
          <w:sz w:val="26"/>
          <w:szCs w:val="26"/>
        </w:rPr>
        <w:t xml:space="preserve">, would effectively permit the Company to </w:t>
      </w:r>
      <w:r w:rsidR="009F628E" w:rsidRPr="0029748B">
        <w:rPr>
          <w:color w:val="000000"/>
          <w:sz w:val="26"/>
          <w:szCs w:val="26"/>
        </w:rPr>
        <w:t>recover more than the original positive Acquisition Adjustment</w:t>
      </w:r>
      <w:r w:rsidR="00620D3A" w:rsidRPr="0029748B">
        <w:rPr>
          <w:color w:val="000000"/>
          <w:sz w:val="26"/>
          <w:szCs w:val="26"/>
        </w:rPr>
        <w:t xml:space="preserve"> claimed in the 2011 rate base proceeding</w:t>
      </w:r>
      <w:r w:rsidR="009F628E" w:rsidRPr="0029748B">
        <w:rPr>
          <w:color w:val="000000"/>
          <w:sz w:val="26"/>
          <w:szCs w:val="26"/>
        </w:rPr>
        <w:t>.</w:t>
      </w:r>
      <w:r w:rsidR="00B70272" w:rsidRPr="0029748B">
        <w:rPr>
          <w:color w:val="000000"/>
          <w:sz w:val="26"/>
          <w:szCs w:val="26"/>
        </w:rPr>
        <w:t xml:space="preserve"> </w:t>
      </w:r>
      <w:r w:rsidR="00DB3E17" w:rsidRPr="0029748B">
        <w:rPr>
          <w:color w:val="000000"/>
          <w:sz w:val="26"/>
          <w:szCs w:val="26"/>
        </w:rPr>
        <w:t xml:space="preserve"> </w:t>
      </w:r>
      <w:r w:rsidR="00B70272" w:rsidRPr="0029748B">
        <w:rPr>
          <w:color w:val="000000"/>
          <w:sz w:val="26"/>
          <w:szCs w:val="26"/>
        </w:rPr>
        <w:t xml:space="preserve">R.D. at </w:t>
      </w:r>
      <w:r w:rsidR="004B20B6" w:rsidRPr="0029748B">
        <w:rPr>
          <w:color w:val="000000"/>
          <w:sz w:val="26"/>
          <w:szCs w:val="26"/>
        </w:rPr>
        <w:t>17-</w:t>
      </w:r>
      <w:r w:rsidR="00B70272" w:rsidRPr="0029748B">
        <w:rPr>
          <w:color w:val="000000"/>
          <w:sz w:val="26"/>
          <w:szCs w:val="26"/>
        </w:rPr>
        <w:t>18</w:t>
      </w:r>
      <w:r w:rsidR="00F9125C" w:rsidRPr="0029748B">
        <w:rPr>
          <w:color w:val="000000"/>
          <w:sz w:val="26"/>
          <w:szCs w:val="26"/>
        </w:rPr>
        <w:t xml:space="preserve"> (</w:t>
      </w:r>
      <w:r w:rsidR="00B234CC" w:rsidRPr="0029748B">
        <w:rPr>
          <w:color w:val="000000"/>
          <w:sz w:val="26"/>
          <w:szCs w:val="26"/>
        </w:rPr>
        <w:t>citing I&amp;E M</w:t>
      </w:r>
      <w:r w:rsidR="00F9125C" w:rsidRPr="0029748B">
        <w:rPr>
          <w:color w:val="000000"/>
          <w:sz w:val="26"/>
          <w:szCs w:val="26"/>
        </w:rPr>
        <w:t>.</w:t>
      </w:r>
      <w:r w:rsidR="00B234CC" w:rsidRPr="0029748B">
        <w:rPr>
          <w:color w:val="000000"/>
          <w:sz w:val="26"/>
          <w:szCs w:val="26"/>
        </w:rPr>
        <w:t>B</w:t>
      </w:r>
      <w:r w:rsidR="00F9125C" w:rsidRPr="0029748B">
        <w:rPr>
          <w:color w:val="000000"/>
          <w:sz w:val="26"/>
          <w:szCs w:val="26"/>
        </w:rPr>
        <w:t xml:space="preserve">. at </w:t>
      </w:r>
      <w:r w:rsidR="004B20B6" w:rsidRPr="0029748B">
        <w:rPr>
          <w:color w:val="000000"/>
          <w:sz w:val="26"/>
          <w:szCs w:val="26"/>
        </w:rPr>
        <w:t>7-8</w:t>
      </w:r>
      <w:r w:rsidR="00F9125C" w:rsidRPr="0029748B">
        <w:rPr>
          <w:color w:val="000000"/>
          <w:sz w:val="26"/>
          <w:szCs w:val="26"/>
        </w:rPr>
        <w:t>)</w:t>
      </w:r>
      <w:r w:rsidR="004B20B6" w:rsidRPr="0029748B">
        <w:rPr>
          <w:color w:val="000000"/>
          <w:sz w:val="26"/>
          <w:szCs w:val="26"/>
        </w:rPr>
        <w:t>.</w:t>
      </w:r>
      <w:r w:rsidR="00B70272" w:rsidRPr="0029748B">
        <w:rPr>
          <w:color w:val="000000"/>
          <w:sz w:val="26"/>
          <w:szCs w:val="26"/>
        </w:rPr>
        <w:t xml:space="preserve"> </w:t>
      </w:r>
    </w:p>
    <w:p w14:paraId="3A9BD523" w14:textId="77777777" w:rsidR="009F628E" w:rsidRPr="0029748B" w:rsidRDefault="009F628E" w:rsidP="0029748B">
      <w:pPr>
        <w:widowControl/>
        <w:spacing w:line="360" w:lineRule="auto"/>
        <w:ind w:firstLine="1296"/>
        <w:rPr>
          <w:color w:val="000000"/>
          <w:sz w:val="26"/>
          <w:szCs w:val="26"/>
        </w:rPr>
      </w:pPr>
    </w:p>
    <w:p w14:paraId="074C7ECD" w14:textId="77777777" w:rsidR="000D69EB" w:rsidRPr="0029748B" w:rsidRDefault="009F628E" w:rsidP="0029748B">
      <w:pPr>
        <w:widowControl/>
        <w:spacing w:line="360" w:lineRule="auto"/>
        <w:ind w:firstLine="1440"/>
        <w:rPr>
          <w:color w:val="000000"/>
          <w:sz w:val="26"/>
          <w:szCs w:val="26"/>
        </w:rPr>
      </w:pPr>
      <w:r w:rsidRPr="0029748B">
        <w:rPr>
          <w:color w:val="000000"/>
          <w:sz w:val="26"/>
          <w:szCs w:val="26"/>
        </w:rPr>
        <w:lastRenderedPageBreak/>
        <w:t>I&amp;E argued that when the residual Acquisition Adjustment is properly calculated to include the total annual amortization since the Company’s 2015 rate proceeding until September 30, 2019, the residual Acquisition Adjustment claim is</w:t>
      </w:r>
    </w:p>
    <w:p w14:paraId="1CA94535" w14:textId="77777777" w:rsidR="00620D3A" w:rsidRPr="0029748B" w:rsidRDefault="009F628E" w:rsidP="0029748B">
      <w:pPr>
        <w:widowControl/>
        <w:spacing w:line="360" w:lineRule="auto"/>
        <w:rPr>
          <w:color w:val="000000"/>
          <w:sz w:val="26"/>
          <w:szCs w:val="26"/>
        </w:rPr>
      </w:pPr>
      <w:r w:rsidRPr="0029748B">
        <w:rPr>
          <w:color w:val="000000"/>
          <w:sz w:val="26"/>
          <w:szCs w:val="26"/>
        </w:rPr>
        <w:t xml:space="preserve">$36,016.  </w:t>
      </w:r>
      <w:r w:rsidR="006118FB" w:rsidRPr="0029748B">
        <w:rPr>
          <w:color w:val="000000"/>
          <w:sz w:val="26"/>
          <w:szCs w:val="26"/>
        </w:rPr>
        <w:t xml:space="preserve">In arriving at this figure, I&amp;E relied on the Company’s 2015 amortization schedules, which calculated the $71,440 </w:t>
      </w:r>
      <w:r w:rsidR="009D2B03" w:rsidRPr="0029748B">
        <w:rPr>
          <w:color w:val="000000"/>
          <w:sz w:val="26"/>
          <w:szCs w:val="26"/>
        </w:rPr>
        <w:t>A</w:t>
      </w:r>
      <w:r w:rsidR="006118FB" w:rsidRPr="0029748B">
        <w:rPr>
          <w:color w:val="000000"/>
          <w:sz w:val="26"/>
          <w:szCs w:val="26"/>
        </w:rPr>
        <w:t xml:space="preserve">cquisition </w:t>
      </w:r>
      <w:r w:rsidR="009D2B03" w:rsidRPr="0029748B">
        <w:rPr>
          <w:color w:val="000000"/>
          <w:sz w:val="26"/>
          <w:szCs w:val="26"/>
        </w:rPr>
        <w:t>A</w:t>
      </w:r>
      <w:r w:rsidR="006118FB" w:rsidRPr="0029748B">
        <w:rPr>
          <w:color w:val="000000"/>
          <w:sz w:val="26"/>
          <w:szCs w:val="26"/>
        </w:rPr>
        <w:t>djustment amount to be paid over a 20-year period, resulting in an annual amortization expense of $3,572.</w:t>
      </w:r>
      <w:r w:rsidR="000D69EB" w:rsidRPr="0029748B">
        <w:rPr>
          <w:color w:val="000000"/>
          <w:sz w:val="26"/>
          <w:szCs w:val="26"/>
        </w:rPr>
        <w:t xml:space="preserve"> </w:t>
      </w:r>
      <w:r w:rsidR="001B676D" w:rsidRPr="0029748B">
        <w:rPr>
          <w:color w:val="000000"/>
          <w:sz w:val="26"/>
          <w:szCs w:val="26"/>
        </w:rPr>
        <w:t xml:space="preserve"> </w:t>
      </w:r>
      <w:r w:rsidR="00B70272" w:rsidRPr="0029748B">
        <w:rPr>
          <w:color w:val="000000"/>
          <w:sz w:val="26"/>
          <w:szCs w:val="26"/>
        </w:rPr>
        <w:t>R.D. at 17-18.</w:t>
      </w:r>
      <w:r w:rsidR="006118FB" w:rsidRPr="0029748B">
        <w:rPr>
          <w:color w:val="000000"/>
          <w:sz w:val="26"/>
          <w:szCs w:val="26"/>
        </w:rPr>
        <w:t xml:space="preserve"> </w:t>
      </w:r>
      <w:r w:rsidR="00F9125C" w:rsidRPr="0029748B">
        <w:rPr>
          <w:color w:val="000000"/>
          <w:sz w:val="26"/>
          <w:szCs w:val="26"/>
        </w:rPr>
        <w:t xml:space="preserve"> </w:t>
      </w:r>
      <w:r w:rsidR="00620D3A" w:rsidRPr="0029748B">
        <w:rPr>
          <w:color w:val="000000"/>
          <w:sz w:val="26"/>
          <w:szCs w:val="26"/>
        </w:rPr>
        <w:t>Therefore, I&amp;E asserted that, w</w:t>
      </w:r>
      <w:r w:rsidRPr="0029748B">
        <w:rPr>
          <w:color w:val="000000"/>
          <w:sz w:val="26"/>
          <w:szCs w:val="26"/>
        </w:rPr>
        <w:t xml:space="preserve">hen the correct residual Acquisition </w:t>
      </w:r>
      <w:r w:rsidR="006118FB" w:rsidRPr="0029748B">
        <w:rPr>
          <w:color w:val="000000"/>
          <w:sz w:val="26"/>
          <w:szCs w:val="26"/>
        </w:rPr>
        <w:t>Adjustment</w:t>
      </w:r>
      <w:r w:rsidRPr="0029748B">
        <w:rPr>
          <w:color w:val="000000"/>
          <w:sz w:val="26"/>
          <w:szCs w:val="26"/>
        </w:rPr>
        <w:t xml:space="preserve"> </w:t>
      </w:r>
      <w:r w:rsidR="006118FB" w:rsidRPr="0029748B">
        <w:rPr>
          <w:color w:val="000000"/>
          <w:sz w:val="26"/>
          <w:szCs w:val="26"/>
        </w:rPr>
        <w:t xml:space="preserve">of </w:t>
      </w:r>
    </w:p>
    <w:p w14:paraId="24D0C7B7" w14:textId="77777777" w:rsidR="009F628E" w:rsidRPr="0029748B" w:rsidRDefault="006118FB" w:rsidP="0029748B">
      <w:pPr>
        <w:widowControl/>
        <w:spacing w:line="360" w:lineRule="auto"/>
        <w:rPr>
          <w:color w:val="000000"/>
          <w:sz w:val="26"/>
          <w:szCs w:val="26"/>
        </w:rPr>
      </w:pPr>
      <w:r w:rsidRPr="0029748B">
        <w:rPr>
          <w:color w:val="000000"/>
          <w:sz w:val="26"/>
          <w:szCs w:val="26"/>
        </w:rPr>
        <w:t xml:space="preserve">$36,016 </w:t>
      </w:r>
      <w:r w:rsidR="009F628E" w:rsidRPr="0029748B">
        <w:rPr>
          <w:color w:val="000000"/>
          <w:sz w:val="26"/>
          <w:szCs w:val="26"/>
        </w:rPr>
        <w:t>is subtracted from the</w:t>
      </w:r>
      <w:r w:rsidRPr="0029748B">
        <w:rPr>
          <w:color w:val="000000"/>
          <w:sz w:val="26"/>
          <w:szCs w:val="26"/>
        </w:rPr>
        <w:t xml:space="preserve"> Company’s claimed amount of $54,406, it results in </w:t>
      </w:r>
      <w:r w:rsidR="009F628E" w:rsidRPr="0029748B">
        <w:rPr>
          <w:color w:val="000000"/>
          <w:sz w:val="26"/>
          <w:szCs w:val="26"/>
        </w:rPr>
        <w:t xml:space="preserve">a downward adjustment to </w:t>
      </w:r>
      <w:r w:rsidR="00880149" w:rsidRPr="0029748B">
        <w:rPr>
          <w:color w:val="000000"/>
          <w:sz w:val="26"/>
          <w:szCs w:val="26"/>
        </w:rPr>
        <w:t xml:space="preserve">the </w:t>
      </w:r>
      <w:r w:rsidR="009F628E" w:rsidRPr="0029748B">
        <w:rPr>
          <w:color w:val="000000"/>
          <w:sz w:val="26"/>
          <w:szCs w:val="26"/>
        </w:rPr>
        <w:t>rate base of $18,388.</w:t>
      </w:r>
      <w:r w:rsidR="00B7494D">
        <w:rPr>
          <w:color w:val="000000"/>
          <w:sz w:val="26"/>
          <w:szCs w:val="26"/>
        </w:rPr>
        <w:t xml:space="preserve"> </w:t>
      </w:r>
      <w:r w:rsidR="001B676D" w:rsidRPr="0029748B">
        <w:rPr>
          <w:color w:val="000000"/>
          <w:sz w:val="26"/>
          <w:szCs w:val="26"/>
        </w:rPr>
        <w:t xml:space="preserve"> </w:t>
      </w:r>
      <w:r w:rsidRPr="0029748B">
        <w:rPr>
          <w:color w:val="000000"/>
          <w:sz w:val="26"/>
          <w:szCs w:val="26"/>
        </w:rPr>
        <w:t>R.D. at</w:t>
      </w:r>
      <w:r w:rsidR="00B70272" w:rsidRPr="0029748B">
        <w:rPr>
          <w:color w:val="000000"/>
          <w:sz w:val="26"/>
          <w:szCs w:val="26"/>
        </w:rPr>
        <w:t xml:space="preserve"> 17</w:t>
      </w:r>
      <w:r w:rsidR="00F9125C" w:rsidRPr="0029748B">
        <w:rPr>
          <w:color w:val="000000"/>
          <w:sz w:val="26"/>
          <w:szCs w:val="26"/>
        </w:rPr>
        <w:t xml:space="preserve"> (</w:t>
      </w:r>
      <w:r w:rsidR="00B70272" w:rsidRPr="0029748B">
        <w:rPr>
          <w:color w:val="000000"/>
          <w:sz w:val="26"/>
          <w:szCs w:val="26"/>
        </w:rPr>
        <w:t xml:space="preserve">citing </w:t>
      </w:r>
      <w:r w:rsidR="009F628E" w:rsidRPr="0029748B">
        <w:rPr>
          <w:color w:val="000000"/>
          <w:sz w:val="26"/>
          <w:szCs w:val="26"/>
        </w:rPr>
        <w:t>I&amp;E M</w:t>
      </w:r>
      <w:r w:rsidR="00F9125C" w:rsidRPr="0029748B">
        <w:rPr>
          <w:color w:val="000000"/>
          <w:sz w:val="26"/>
          <w:szCs w:val="26"/>
        </w:rPr>
        <w:t>.</w:t>
      </w:r>
      <w:r w:rsidR="009F628E" w:rsidRPr="0029748B">
        <w:rPr>
          <w:color w:val="000000"/>
          <w:sz w:val="26"/>
          <w:szCs w:val="26"/>
        </w:rPr>
        <w:t>B</w:t>
      </w:r>
      <w:r w:rsidR="00F9125C" w:rsidRPr="0029748B">
        <w:rPr>
          <w:color w:val="000000"/>
          <w:sz w:val="26"/>
          <w:szCs w:val="26"/>
        </w:rPr>
        <w:t>.</w:t>
      </w:r>
      <w:r w:rsidR="009F628E" w:rsidRPr="0029748B">
        <w:rPr>
          <w:color w:val="000000"/>
          <w:sz w:val="26"/>
          <w:szCs w:val="26"/>
        </w:rPr>
        <w:t xml:space="preserve"> at 8</w:t>
      </w:r>
      <w:r w:rsidR="00F9125C" w:rsidRPr="0029748B">
        <w:rPr>
          <w:color w:val="000000"/>
          <w:sz w:val="26"/>
          <w:szCs w:val="26"/>
        </w:rPr>
        <w:t>)</w:t>
      </w:r>
      <w:r w:rsidR="009F628E" w:rsidRPr="0029748B">
        <w:rPr>
          <w:color w:val="000000"/>
          <w:sz w:val="26"/>
          <w:szCs w:val="26"/>
        </w:rPr>
        <w:t xml:space="preserve">. </w:t>
      </w:r>
    </w:p>
    <w:p w14:paraId="788A7990" w14:textId="77777777" w:rsidR="000D69EB" w:rsidRPr="0029748B" w:rsidRDefault="000D69EB" w:rsidP="0029748B">
      <w:pPr>
        <w:widowControl/>
        <w:spacing w:line="360" w:lineRule="auto"/>
        <w:ind w:firstLine="1440"/>
        <w:rPr>
          <w:color w:val="000000"/>
          <w:sz w:val="26"/>
          <w:szCs w:val="26"/>
        </w:rPr>
      </w:pPr>
    </w:p>
    <w:p w14:paraId="73669174" w14:textId="77777777" w:rsidR="0047530C" w:rsidRPr="0029748B" w:rsidRDefault="000D69EB" w:rsidP="0029748B">
      <w:pPr>
        <w:widowControl/>
        <w:spacing w:line="360" w:lineRule="auto"/>
        <w:ind w:firstLine="1440"/>
        <w:rPr>
          <w:color w:val="000000"/>
          <w:sz w:val="26"/>
          <w:szCs w:val="26"/>
        </w:rPr>
      </w:pPr>
      <w:r w:rsidRPr="0029748B">
        <w:rPr>
          <w:color w:val="000000"/>
          <w:sz w:val="26"/>
          <w:szCs w:val="26"/>
        </w:rPr>
        <w:t xml:space="preserve">I&amp;E further contended that, contrary to the Company’s assertion, I&amp;E did </w:t>
      </w:r>
      <w:r w:rsidR="00620D3A" w:rsidRPr="0029748B">
        <w:rPr>
          <w:color w:val="000000"/>
          <w:sz w:val="26"/>
          <w:szCs w:val="26"/>
        </w:rPr>
        <w:t xml:space="preserve">appropriately </w:t>
      </w:r>
      <w:r w:rsidRPr="0029748B">
        <w:rPr>
          <w:color w:val="000000"/>
          <w:sz w:val="26"/>
          <w:szCs w:val="26"/>
        </w:rPr>
        <w:t xml:space="preserve">account for the </w:t>
      </w:r>
      <w:r w:rsidR="0061550D" w:rsidRPr="0029748B">
        <w:rPr>
          <w:color w:val="000000"/>
          <w:sz w:val="26"/>
          <w:szCs w:val="26"/>
        </w:rPr>
        <w:t>Acquisition</w:t>
      </w:r>
      <w:r w:rsidRPr="0029748B">
        <w:rPr>
          <w:color w:val="000000"/>
          <w:sz w:val="26"/>
          <w:szCs w:val="26"/>
        </w:rPr>
        <w:t xml:space="preserve"> </w:t>
      </w:r>
      <w:r w:rsidR="0061550D" w:rsidRPr="0029748B">
        <w:rPr>
          <w:color w:val="000000"/>
          <w:sz w:val="26"/>
          <w:szCs w:val="26"/>
        </w:rPr>
        <w:t>Adjustment’s</w:t>
      </w:r>
      <w:r w:rsidRPr="0029748B">
        <w:rPr>
          <w:color w:val="000000"/>
          <w:sz w:val="26"/>
          <w:szCs w:val="26"/>
        </w:rPr>
        <w:t xml:space="preserve"> annual </w:t>
      </w:r>
      <w:r w:rsidR="0061550D" w:rsidRPr="0029748B">
        <w:rPr>
          <w:color w:val="000000"/>
          <w:sz w:val="26"/>
          <w:szCs w:val="26"/>
        </w:rPr>
        <w:t>amortization</w:t>
      </w:r>
      <w:r w:rsidR="00620D3A" w:rsidRPr="0029748B">
        <w:rPr>
          <w:color w:val="000000"/>
          <w:sz w:val="26"/>
          <w:szCs w:val="26"/>
        </w:rPr>
        <w:t xml:space="preserve"> where I&amp;E proposed an annual amortization item in the </w:t>
      </w:r>
      <w:r w:rsidRPr="0029748B">
        <w:rPr>
          <w:color w:val="000000"/>
          <w:sz w:val="26"/>
          <w:szCs w:val="26"/>
        </w:rPr>
        <w:t>amount of $</w:t>
      </w:r>
      <w:r w:rsidR="0061550D" w:rsidRPr="0029748B">
        <w:rPr>
          <w:color w:val="000000"/>
          <w:sz w:val="26"/>
          <w:szCs w:val="26"/>
        </w:rPr>
        <w:t>3,572 as a corresponding expense on the O&amp;M expense tables.</w:t>
      </w:r>
      <w:r w:rsidR="00B7494D">
        <w:rPr>
          <w:color w:val="000000"/>
          <w:sz w:val="26"/>
          <w:szCs w:val="26"/>
        </w:rPr>
        <w:t xml:space="preserve"> </w:t>
      </w:r>
      <w:r w:rsidR="009D2B03" w:rsidRPr="0029748B">
        <w:rPr>
          <w:color w:val="000000"/>
          <w:sz w:val="26"/>
          <w:szCs w:val="26"/>
        </w:rPr>
        <w:t xml:space="preserve"> </w:t>
      </w:r>
      <w:r w:rsidR="009529D6" w:rsidRPr="0029748B">
        <w:rPr>
          <w:color w:val="000000"/>
          <w:sz w:val="26"/>
          <w:szCs w:val="26"/>
        </w:rPr>
        <w:t xml:space="preserve">R.D. at </w:t>
      </w:r>
      <w:r w:rsidR="00B70272" w:rsidRPr="0029748B">
        <w:rPr>
          <w:color w:val="000000"/>
          <w:sz w:val="26"/>
          <w:szCs w:val="26"/>
        </w:rPr>
        <w:t>18</w:t>
      </w:r>
      <w:r w:rsidR="00F9125C" w:rsidRPr="0029748B">
        <w:rPr>
          <w:color w:val="000000"/>
          <w:sz w:val="26"/>
          <w:szCs w:val="26"/>
        </w:rPr>
        <w:t xml:space="preserve"> (</w:t>
      </w:r>
      <w:r w:rsidR="00B70272" w:rsidRPr="0029748B">
        <w:rPr>
          <w:color w:val="000000"/>
          <w:sz w:val="26"/>
          <w:szCs w:val="26"/>
        </w:rPr>
        <w:t>citing I&amp;E M</w:t>
      </w:r>
      <w:r w:rsidR="00F9125C" w:rsidRPr="0029748B">
        <w:rPr>
          <w:color w:val="000000"/>
          <w:sz w:val="26"/>
          <w:szCs w:val="26"/>
        </w:rPr>
        <w:t>.</w:t>
      </w:r>
      <w:r w:rsidR="00B70272" w:rsidRPr="0029748B">
        <w:rPr>
          <w:color w:val="000000"/>
          <w:sz w:val="26"/>
          <w:szCs w:val="26"/>
        </w:rPr>
        <w:t>B</w:t>
      </w:r>
      <w:r w:rsidR="00F9125C" w:rsidRPr="0029748B">
        <w:rPr>
          <w:color w:val="000000"/>
          <w:sz w:val="26"/>
          <w:szCs w:val="26"/>
        </w:rPr>
        <w:t>.</w:t>
      </w:r>
      <w:r w:rsidR="00B70272" w:rsidRPr="0029748B">
        <w:rPr>
          <w:color w:val="000000"/>
          <w:sz w:val="26"/>
          <w:szCs w:val="26"/>
        </w:rPr>
        <w:t xml:space="preserve"> at 8-9</w:t>
      </w:r>
      <w:r w:rsidR="00F9125C" w:rsidRPr="0029748B">
        <w:rPr>
          <w:color w:val="000000"/>
          <w:sz w:val="26"/>
          <w:szCs w:val="26"/>
        </w:rPr>
        <w:t>;</w:t>
      </w:r>
      <w:r w:rsidR="00B70272" w:rsidRPr="0029748B">
        <w:rPr>
          <w:color w:val="000000"/>
          <w:sz w:val="26"/>
          <w:szCs w:val="26"/>
        </w:rPr>
        <w:t xml:space="preserve"> I&amp;E R</w:t>
      </w:r>
      <w:r w:rsidR="00F9125C" w:rsidRPr="0029748B">
        <w:rPr>
          <w:color w:val="000000"/>
          <w:sz w:val="26"/>
          <w:szCs w:val="26"/>
        </w:rPr>
        <w:t>.</w:t>
      </w:r>
      <w:r w:rsidR="00B70272" w:rsidRPr="0029748B">
        <w:rPr>
          <w:color w:val="000000"/>
          <w:sz w:val="26"/>
          <w:szCs w:val="26"/>
        </w:rPr>
        <w:t>B</w:t>
      </w:r>
      <w:r w:rsidR="00F9125C" w:rsidRPr="0029748B">
        <w:rPr>
          <w:color w:val="000000"/>
          <w:sz w:val="26"/>
          <w:szCs w:val="26"/>
        </w:rPr>
        <w:t>.</w:t>
      </w:r>
      <w:r w:rsidR="00B70272" w:rsidRPr="0029748B">
        <w:rPr>
          <w:color w:val="000000"/>
          <w:sz w:val="26"/>
          <w:szCs w:val="26"/>
        </w:rPr>
        <w:t xml:space="preserve"> at</w:t>
      </w:r>
      <w:r w:rsidR="00B7494D">
        <w:rPr>
          <w:color w:val="000000"/>
          <w:sz w:val="26"/>
          <w:szCs w:val="26"/>
        </w:rPr>
        <w:t> </w:t>
      </w:r>
      <w:r w:rsidR="00B70272" w:rsidRPr="0029748B">
        <w:rPr>
          <w:color w:val="000000"/>
          <w:sz w:val="26"/>
          <w:szCs w:val="26"/>
        </w:rPr>
        <w:t>4</w:t>
      </w:r>
      <w:r w:rsidR="00B7494D">
        <w:rPr>
          <w:color w:val="000000"/>
          <w:sz w:val="26"/>
          <w:szCs w:val="26"/>
        </w:rPr>
        <w:noBreakHyphen/>
      </w:r>
      <w:r w:rsidR="00B70272" w:rsidRPr="0029748B">
        <w:rPr>
          <w:color w:val="000000"/>
          <w:sz w:val="26"/>
          <w:szCs w:val="26"/>
        </w:rPr>
        <w:t>5</w:t>
      </w:r>
      <w:r w:rsidR="00F9125C" w:rsidRPr="0029748B">
        <w:rPr>
          <w:color w:val="000000"/>
          <w:sz w:val="26"/>
          <w:szCs w:val="26"/>
        </w:rPr>
        <w:t>)</w:t>
      </w:r>
      <w:r w:rsidR="009529D6" w:rsidRPr="0029748B">
        <w:rPr>
          <w:color w:val="000000"/>
          <w:sz w:val="26"/>
          <w:szCs w:val="26"/>
        </w:rPr>
        <w:t>.</w:t>
      </w:r>
    </w:p>
    <w:p w14:paraId="40E710FE" w14:textId="77777777" w:rsidR="00F17E23" w:rsidRPr="0029748B" w:rsidRDefault="00F17E23" w:rsidP="0029748B">
      <w:pPr>
        <w:pStyle w:val="ListParagraph"/>
        <w:widowControl/>
        <w:spacing w:line="360" w:lineRule="auto"/>
        <w:ind w:left="0"/>
        <w:rPr>
          <w:b/>
          <w:sz w:val="26"/>
          <w:szCs w:val="26"/>
          <w:highlight w:val="lightGray"/>
        </w:rPr>
      </w:pPr>
    </w:p>
    <w:p w14:paraId="7B83B1DE" w14:textId="77777777" w:rsidR="00BA0A4A" w:rsidRPr="0029748B" w:rsidRDefault="00BA0A4A" w:rsidP="0029748B">
      <w:pPr>
        <w:pStyle w:val="ListParagraph"/>
        <w:widowControl/>
        <w:numPr>
          <w:ilvl w:val="0"/>
          <w:numId w:val="5"/>
        </w:numPr>
        <w:spacing w:line="360" w:lineRule="auto"/>
        <w:ind w:left="1440" w:hanging="720"/>
        <w:rPr>
          <w:b/>
          <w:color w:val="000000"/>
          <w:sz w:val="26"/>
          <w:szCs w:val="26"/>
        </w:rPr>
      </w:pPr>
      <w:r w:rsidRPr="0029748B">
        <w:rPr>
          <w:b/>
          <w:color w:val="000000"/>
          <w:sz w:val="26"/>
          <w:szCs w:val="26"/>
        </w:rPr>
        <w:t>Recommended Decision</w:t>
      </w:r>
    </w:p>
    <w:p w14:paraId="064B8A70" w14:textId="77777777" w:rsidR="00BA0A4A" w:rsidRPr="0029748B" w:rsidRDefault="00BA0A4A" w:rsidP="0029748B">
      <w:pPr>
        <w:pStyle w:val="ListParagraph"/>
        <w:widowControl/>
        <w:spacing w:line="360" w:lineRule="auto"/>
        <w:ind w:left="0"/>
        <w:rPr>
          <w:b/>
          <w:color w:val="000000"/>
          <w:sz w:val="26"/>
          <w:szCs w:val="26"/>
        </w:rPr>
      </w:pPr>
    </w:p>
    <w:p w14:paraId="1B0A96AC" w14:textId="77777777" w:rsidR="00896155" w:rsidRPr="0029748B" w:rsidRDefault="00896155" w:rsidP="0029748B">
      <w:pPr>
        <w:widowControl/>
        <w:spacing w:line="360" w:lineRule="auto"/>
        <w:ind w:firstLine="1440"/>
        <w:rPr>
          <w:color w:val="000000"/>
          <w:sz w:val="26"/>
          <w:szCs w:val="26"/>
        </w:rPr>
      </w:pPr>
      <w:r w:rsidRPr="0029748B">
        <w:rPr>
          <w:bCs/>
          <w:color w:val="000000"/>
          <w:sz w:val="26"/>
          <w:szCs w:val="26"/>
        </w:rPr>
        <w:t>The ALJ</w:t>
      </w:r>
      <w:r w:rsidRPr="0029748B">
        <w:rPr>
          <w:b/>
          <w:color w:val="000000"/>
          <w:sz w:val="26"/>
          <w:szCs w:val="26"/>
        </w:rPr>
        <w:t xml:space="preserve"> </w:t>
      </w:r>
      <w:r w:rsidRPr="0029748B">
        <w:rPr>
          <w:color w:val="000000"/>
          <w:sz w:val="26"/>
          <w:szCs w:val="26"/>
        </w:rPr>
        <w:t xml:space="preserve">recommended </w:t>
      </w:r>
      <w:r w:rsidR="00EA0F56" w:rsidRPr="0029748B">
        <w:rPr>
          <w:color w:val="000000"/>
          <w:sz w:val="26"/>
          <w:szCs w:val="26"/>
        </w:rPr>
        <w:t xml:space="preserve">adoption of I&amp;E’s calculation of the Company’s claimed Acquisition Adjustment as reasonable and in the public interest. </w:t>
      </w:r>
      <w:r w:rsidR="00ED4265" w:rsidRPr="0029748B">
        <w:rPr>
          <w:color w:val="000000"/>
          <w:sz w:val="26"/>
          <w:szCs w:val="26"/>
        </w:rPr>
        <w:t xml:space="preserve"> </w:t>
      </w:r>
      <w:r w:rsidR="00EA0F56" w:rsidRPr="0029748B">
        <w:rPr>
          <w:color w:val="000000"/>
          <w:sz w:val="26"/>
          <w:szCs w:val="26"/>
        </w:rPr>
        <w:t xml:space="preserve">The ALJ concluded that </w:t>
      </w:r>
      <w:r w:rsidRPr="0029748B">
        <w:rPr>
          <w:color w:val="000000"/>
          <w:sz w:val="26"/>
          <w:szCs w:val="26"/>
        </w:rPr>
        <w:t xml:space="preserve">the Company </w:t>
      </w:r>
      <w:r w:rsidR="00EA0F56" w:rsidRPr="0029748B">
        <w:rPr>
          <w:color w:val="000000"/>
          <w:sz w:val="26"/>
          <w:szCs w:val="26"/>
        </w:rPr>
        <w:t xml:space="preserve">should </w:t>
      </w:r>
      <w:r w:rsidRPr="0029748B">
        <w:rPr>
          <w:color w:val="000000"/>
          <w:sz w:val="26"/>
          <w:szCs w:val="26"/>
        </w:rPr>
        <w:t xml:space="preserve">be allowed a residual $36,018 </w:t>
      </w:r>
      <w:r w:rsidR="00EB0B77" w:rsidRPr="0029748B">
        <w:rPr>
          <w:color w:val="000000"/>
          <w:sz w:val="26"/>
          <w:szCs w:val="26"/>
        </w:rPr>
        <w:t>Acquisition</w:t>
      </w:r>
      <w:r w:rsidRPr="0029748B">
        <w:rPr>
          <w:color w:val="000000"/>
          <w:sz w:val="26"/>
          <w:szCs w:val="26"/>
        </w:rPr>
        <w:t xml:space="preserve"> </w:t>
      </w:r>
      <w:r w:rsidR="00EB0B77" w:rsidRPr="0029748B">
        <w:rPr>
          <w:color w:val="000000"/>
          <w:sz w:val="26"/>
          <w:szCs w:val="26"/>
        </w:rPr>
        <w:t>A</w:t>
      </w:r>
      <w:r w:rsidRPr="0029748B">
        <w:rPr>
          <w:color w:val="000000"/>
          <w:sz w:val="26"/>
          <w:szCs w:val="26"/>
        </w:rPr>
        <w:t xml:space="preserve">djustment as of September 30, 2019.  </w:t>
      </w:r>
      <w:r w:rsidR="00EB0B77" w:rsidRPr="0029748B">
        <w:rPr>
          <w:color w:val="000000"/>
          <w:sz w:val="26"/>
          <w:szCs w:val="26"/>
        </w:rPr>
        <w:t>The ALJ calculated a downward adjustment to the Company’s claimed rate</w:t>
      </w:r>
      <w:r w:rsidR="00EA770F" w:rsidRPr="0029748B">
        <w:rPr>
          <w:color w:val="000000"/>
          <w:sz w:val="26"/>
          <w:szCs w:val="26"/>
        </w:rPr>
        <w:t xml:space="preserve"> base</w:t>
      </w:r>
      <w:r w:rsidR="00EB0B77" w:rsidRPr="0029748B">
        <w:rPr>
          <w:color w:val="000000"/>
          <w:sz w:val="26"/>
          <w:szCs w:val="26"/>
        </w:rPr>
        <w:t xml:space="preserve"> </w:t>
      </w:r>
      <w:r w:rsidR="00EA0F56" w:rsidRPr="0029748B">
        <w:rPr>
          <w:color w:val="000000"/>
          <w:sz w:val="26"/>
          <w:szCs w:val="26"/>
        </w:rPr>
        <w:t xml:space="preserve">totaling </w:t>
      </w:r>
      <w:r w:rsidR="00EB0B77" w:rsidRPr="0029748B">
        <w:rPr>
          <w:color w:val="000000"/>
          <w:sz w:val="26"/>
          <w:szCs w:val="26"/>
        </w:rPr>
        <w:t xml:space="preserve">$18,388, by reducing the </w:t>
      </w:r>
      <w:r w:rsidRPr="0029748B">
        <w:rPr>
          <w:color w:val="000000"/>
          <w:sz w:val="26"/>
          <w:szCs w:val="26"/>
        </w:rPr>
        <w:t xml:space="preserve">Company’s claimed </w:t>
      </w:r>
      <w:r w:rsidR="00EB0B77" w:rsidRPr="0029748B">
        <w:rPr>
          <w:color w:val="000000"/>
          <w:sz w:val="26"/>
          <w:szCs w:val="26"/>
        </w:rPr>
        <w:t xml:space="preserve">Acquisition Adjustment of </w:t>
      </w:r>
      <w:r w:rsidRPr="0029748B">
        <w:rPr>
          <w:color w:val="000000"/>
          <w:sz w:val="26"/>
          <w:szCs w:val="26"/>
        </w:rPr>
        <w:t>$54,406</w:t>
      </w:r>
      <w:r w:rsidR="00EB0B77" w:rsidRPr="0029748B">
        <w:rPr>
          <w:color w:val="000000"/>
          <w:sz w:val="26"/>
          <w:szCs w:val="26"/>
        </w:rPr>
        <w:t xml:space="preserve"> by the actual allowed residual amount of $36,018, resulting in a </w:t>
      </w:r>
      <w:r w:rsidRPr="0029748B">
        <w:rPr>
          <w:color w:val="000000"/>
          <w:sz w:val="26"/>
          <w:szCs w:val="26"/>
        </w:rPr>
        <w:t>downward adjustment to rate base of $18,388.</w:t>
      </w:r>
      <w:r w:rsidR="00EA6B8A" w:rsidRPr="0029748B">
        <w:rPr>
          <w:color w:val="000000"/>
          <w:sz w:val="26"/>
          <w:szCs w:val="26"/>
        </w:rPr>
        <w:t xml:space="preserve"> </w:t>
      </w:r>
      <w:r w:rsidR="00ED4265" w:rsidRPr="0029748B">
        <w:rPr>
          <w:color w:val="000000"/>
          <w:sz w:val="26"/>
          <w:szCs w:val="26"/>
        </w:rPr>
        <w:t xml:space="preserve"> </w:t>
      </w:r>
      <w:r w:rsidR="00EA6B8A" w:rsidRPr="0029748B">
        <w:rPr>
          <w:color w:val="000000"/>
          <w:sz w:val="26"/>
          <w:szCs w:val="26"/>
        </w:rPr>
        <w:t>R.D. 19-20.</w:t>
      </w:r>
    </w:p>
    <w:p w14:paraId="00430FDE" w14:textId="77777777" w:rsidR="00896155" w:rsidRPr="0029748B" w:rsidRDefault="00896155" w:rsidP="0029748B">
      <w:pPr>
        <w:widowControl/>
        <w:spacing w:line="360" w:lineRule="auto"/>
        <w:ind w:firstLine="1440"/>
        <w:rPr>
          <w:color w:val="000000"/>
          <w:sz w:val="26"/>
          <w:szCs w:val="26"/>
        </w:rPr>
      </w:pPr>
    </w:p>
    <w:p w14:paraId="27C460C9" w14:textId="77777777" w:rsidR="00A732DD" w:rsidRPr="0029748B" w:rsidRDefault="00EA0F56" w:rsidP="0029748B">
      <w:pPr>
        <w:widowControl/>
        <w:spacing w:line="360" w:lineRule="auto"/>
        <w:ind w:firstLine="1440"/>
        <w:rPr>
          <w:color w:val="000000"/>
          <w:sz w:val="26"/>
          <w:szCs w:val="26"/>
        </w:rPr>
      </w:pPr>
      <w:r w:rsidRPr="0029748B">
        <w:rPr>
          <w:color w:val="000000"/>
          <w:sz w:val="26"/>
          <w:szCs w:val="26"/>
        </w:rPr>
        <w:t xml:space="preserve">The ALJ </w:t>
      </w:r>
      <w:r w:rsidR="005279A7" w:rsidRPr="0029748B">
        <w:rPr>
          <w:color w:val="000000"/>
          <w:sz w:val="26"/>
          <w:szCs w:val="26"/>
        </w:rPr>
        <w:t xml:space="preserve">first </w:t>
      </w:r>
      <w:r w:rsidR="00CF7F37" w:rsidRPr="0029748B">
        <w:rPr>
          <w:color w:val="000000"/>
          <w:sz w:val="26"/>
          <w:szCs w:val="26"/>
        </w:rPr>
        <w:t xml:space="preserve">noted that the </w:t>
      </w:r>
      <w:r w:rsidR="00ED4265" w:rsidRPr="0029748B">
        <w:rPr>
          <w:color w:val="000000"/>
          <w:sz w:val="26"/>
          <w:szCs w:val="26"/>
        </w:rPr>
        <w:t>P</w:t>
      </w:r>
      <w:r w:rsidR="00CF7F37" w:rsidRPr="0029748B">
        <w:rPr>
          <w:color w:val="000000"/>
          <w:sz w:val="26"/>
          <w:szCs w:val="26"/>
        </w:rPr>
        <w:t xml:space="preserve">arties conceded that the Company satisfies the criteria </w:t>
      </w:r>
      <w:r w:rsidR="005279A7" w:rsidRPr="0029748B">
        <w:rPr>
          <w:color w:val="000000"/>
          <w:sz w:val="26"/>
          <w:szCs w:val="26"/>
        </w:rPr>
        <w:t xml:space="preserve">necessary to </w:t>
      </w:r>
      <w:r w:rsidR="00CF7F37" w:rsidRPr="0029748B">
        <w:rPr>
          <w:color w:val="000000"/>
          <w:sz w:val="26"/>
          <w:szCs w:val="26"/>
        </w:rPr>
        <w:t xml:space="preserve">claim </w:t>
      </w:r>
      <w:r w:rsidR="005279A7" w:rsidRPr="0029748B">
        <w:rPr>
          <w:color w:val="000000"/>
          <w:sz w:val="26"/>
          <w:szCs w:val="26"/>
        </w:rPr>
        <w:t>an</w:t>
      </w:r>
      <w:r w:rsidR="00CF7F37" w:rsidRPr="0029748B">
        <w:rPr>
          <w:color w:val="000000"/>
          <w:sz w:val="26"/>
          <w:szCs w:val="26"/>
        </w:rPr>
        <w:t xml:space="preserve"> Acquisition Adjustment to the rate base pursuant to Section</w:t>
      </w:r>
      <w:r w:rsidR="00B7494D">
        <w:rPr>
          <w:color w:val="000000"/>
          <w:sz w:val="26"/>
          <w:szCs w:val="26"/>
        </w:rPr>
        <w:t> </w:t>
      </w:r>
      <w:r w:rsidR="00CF7F37" w:rsidRPr="0029748B">
        <w:rPr>
          <w:color w:val="000000"/>
          <w:sz w:val="26"/>
          <w:szCs w:val="26"/>
        </w:rPr>
        <w:t>13</w:t>
      </w:r>
      <w:r w:rsidR="00EA6B8A" w:rsidRPr="0029748B">
        <w:rPr>
          <w:color w:val="000000"/>
          <w:sz w:val="26"/>
          <w:szCs w:val="26"/>
        </w:rPr>
        <w:t>2</w:t>
      </w:r>
      <w:r w:rsidR="00CF7F37" w:rsidRPr="0029748B">
        <w:rPr>
          <w:color w:val="000000"/>
          <w:sz w:val="26"/>
          <w:szCs w:val="26"/>
        </w:rPr>
        <w:t>7</w:t>
      </w:r>
      <w:r w:rsidR="00EA6B8A" w:rsidRPr="0029748B">
        <w:rPr>
          <w:color w:val="000000"/>
          <w:sz w:val="26"/>
          <w:szCs w:val="26"/>
        </w:rPr>
        <w:t xml:space="preserve"> </w:t>
      </w:r>
      <w:r w:rsidR="005279A7" w:rsidRPr="0029748B">
        <w:rPr>
          <w:color w:val="000000"/>
          <w:sz w:val="26"/>
          <w:szCs w:val="26"/>
        </w:rPr>
        <w:t>of the Code.</w:t>
      </w:r>
      <w:r w:rsidR="009D2B03" w:rsidRPr="0029748B">
        <w:rPr>
          <w:color w:val="000000"/>
          <w:sz w:val="26"/>
          <w:szCs w:val="26"/>
        </w:rPr>
        <w:t xml:space="preserve"> </w:t>
      </w:r>
      <w:r w:rsidR="0022100A">
        <w:rPr>
          <w:color w:val="000000"/>
          <w:sz w:val="26"/>
          <w:szCs w:val="26"/>
        </w:rPr>
        <w:t xml:space="preserve"> </w:t>
      </w:r>
      <w:r w:rsidR="005279A7" w:rsidRPr="0029748B">
        <w:rPr>
          <w:color w:val="000000"/>
          <w:sz w:val="26"/>
          <w:szCs w:val="26"/>
        </w:rPr>
        <w:t>66 Pa.</w:t>
      </w:r>
      <w:r w:rsidR="00F63D9A">
        <w:rPr>
          <w:color w:val="000000"/>
          <w:sz w:val="26"/>
          <w:szCs w:val="26"/>
        </w:rPr>
        <w:t xml:space="preserve"> </w:t>
      </w:r>
      <w:r w:rsidR="005279A7" w:rsidRPr="0029748B">
        <w:rPr>
          <w:color w:val="000000"/>
          <w:sz w:val="26"/>
          <w:szCs w:val="26"/>
        </w:rPr>
        <w:t>C.S. §13</w:t>
      </w:r>
      <w:r w:rsidR="00EA6B8A" w:rsidRPr="0029748B">
        <w:rPr>
          <w:color w:val="000000"/>
          <w:sz w:val="26"/>
          <w:szCs w:val="26"/>
        </w:rPr>
        <w:t>2</w:t>
      </w:r>
      <w:r w:rsidR="005279A7" w:rsidRPr="0029748B">
        <w:rPr>
          <w:color w:val="000000"/>
          <w:sz w:val="26"/>
          <w:szCs w:val="26"/>
        </w:rPr>
        <w:t xml:space="preserve">7.  However, the ALJ </w:t>
      </w:r>
      <w:r w:rsidRPr="0029748B">
        <w:rPr>
          <w:color w:val="000000"/>
          <w:sz w:val="26"/>
          <w:szCs w:val="26"/>
        </w:rPr>
        <w:t xml:space="preserve">rejected the Company’s </w:t>
      </w:r>
      <w:r w:rsidR="005279A7" w:rsidRPr="0029748B">
        <w:rPr>
          <w:color w:val="000000"/>
          <w:sz w:val="26"/>
          <w:szCs w:val="26"/>
        </w:rPr>
        <w:lastRenderedPageBreak/>
        <w:t xml:space="preserve">calculation because it </w:t>
      </w:r>
      <w:r w:rsidR="00EA770F" w:rsidRPr="0029748B">
        <w:rPr>
          <w:color w:val="000000"/>
          <w:sz w:val="26"/>
          <w:szCs w:val="26"/>
        </w:rPr>
        <w:t xml:space="preserve">failed to properly </w:t>
      </w:r>
      <w:r w:rsidRPr="0029748B">
        <w:rPr>
          <w:color w:val="000000"/>
          <w:sz w:val="26"/>
          <w:szCs w:val="26"/>
        </w:rPr>
        <w:t xml:space="preserve">account for </w:t>
      </w:r>
      <w:r w:rsidR="00EA770F" w:rsidRPr="0029748B">
        <w:rPr>
          <w:color w:val="000000"/>
          <w:sz w:val="26"/>
          <w:szCs w:val="26"/>
        </w:rPr>
        <w:t xml:space="preserve">the accrued </w:t>
      </w:r>
      <w:r w:rsidRPr="0029748B">
        <w:rPr>
          <w:color w:val="000000"/>
          <w:sz w:val="26"/>
          <w:szCs w:val="26"/>
        </w:rPr>
        <w:t xml:space="preserve">annual amortization </w:t>
      </w:r>
      <w:r w:rsidR="00E5292C" w:rsidRPr="0029748B">
        <w:rPr>
          <w:color w:val="000000"/>
          <w:sz w:val="26"/>
          <w:szCs w:val="26"/>
        </w:rPr>
        <w:t xml:space="preserve">since 2015 </w:t>
      </w:r>
      <w:r w:rsidRPr="0029748B">
        <w:rPr>
          <w:color w:val="000000"/>
          <w:sz w:val="26"/>
          <w:szCs w:val="26"/>
        </w:rPr>
        <w:t xml:space="preserve">by </w:t>
      </w:r>
      <w:r w:rsidR="00E5292C" w:rsidRPr="0029748B">
        <w:rPr>
          <w:color w:val="000000"/>
          <w:sz w:val="26"/>
          <w:szCs w:val="26"/>
        </w:rPr>
        <w:t xml:space="preserve">a corresponding reduction in the </w:t>
      </w:r>
      <w:r w:rsidRPr="0029748B">
        <w:rPr>
          <w:color w:val="000000"/>
          <w:sz w:val="26"/>
          <w:szCs w:val="26"/>
        </w:rPr>
        <w:t>value of the acquisition adjustment</w:t>
      </w:r>
      <w:r w:rsidR="00E5292C" w:rsidRPr="0029748B">
        <w:rPr>
          <w:color w:val="000000"/>
          <w:sz w:val="26"/>
          <w:szCs w:val="26"/>
        </w:rPr>
        <w:t xml:space="preserve">.  The ALJ reasoned that the Company’s calculation would </w:t>
      </w:r>
      <w:r w:rsidRPr="0029748B">
        <w:rPr>
          <w:color w:val="000000"/>
          <w:sz w:val="26"/>
          <w:szCs w:val="26"/>
        </w:rPr>
        <w:t xml:space="preserve">allow the Company to earn a return on the overpayment for </w:t>
      </w:r>
      <w:r w:rsidR="00E5292C" w:rsidRPr="0029748B">
        <w:rPr>
          <w:color w:val="000000"/>
          <w:sz w:val="26"/>
          <w:szCs w:val="26"/>
        </w:rPr>
        <w:t xml:space="preserve">the acquisition of its distribution </w:t>
      </w:r>
      <w:r w:rsidRPr="0029748B">
        <w:rPr>
          <w:color w:val="000000"/>
          <w:sz w:val="26"/>
          <w:szCs w:val="26"/>
        </w:rPr>
        <w:t xml:space="preserve">system in perpetuity.  </w:t>
      </w:r>
      <w:r w:rsidR="00E5292C" w:rsidRPr="0029748B">
        <w:rPr>
          <w:color w:val="000000"/>
          <w:sz w:val="26"/>
          <w:szCs w:val="26"/>
        </w:rPr>
        <w:t xml:space="preserve">The ALJ also noted that it appeared the </w:t>
      </w:r>
      <w:r w:rsidRPr="0029748B">
        <w:rPr>
          <w:color w:val="000000"/>
          <w:sz w:val="26"/>
          <w:szCs w:val="26"/>
        </w:rPr>
        <w:t>Company did recognize that an amortization was required</w:t>
      </w:r>
      <w:r w:rsidR="00E5292C" w:rsidRPr="0029748B">
        <w:rPr>
          <w:color w:val="000000"/>
          <w:sz w:val="26"/>
          <w:szCs w:val="26"/>
        </w:rPr>
        <w:t xml:space="preserve">, where the Company’s claim for an </w:t>
      </w:r>
      <w:r w:rsidR="00AA0D66" w:rsidRPr="0029748B">
        <w:rPr>
          <w:color w:val="000000"/>
          <w:sz w:val="26"/>
          <w:szCs w:val="26"/>
        </w:rPr>
        <w:t>A</w:t>
      </w:r>
      <w:r w:rsidR="00E5292C" w:rsidRPr="0029748B">
        <w:rPr>
          <w:color w:val="000000"/>
          <w:sz w:val="26"/>
          <w:szCs w:val="26"/>
        </w:rPr>
        <w:t xml:space="preserve">cquisition </w:t>
      </w:r>
      <w:r w:rsidR="00AA0D66" w:rsidRPr="0029748B">
        <w:rPr>
          <w:color w:val="000000"/>
          <w:sz w:val="26"/>
          <w:szCs w:val="26"/>
        </w:rPr>
        <w:t>A</w:t>
      </w:r>
      <w:r w:rsidR="00E5292C" w:rsidRPr="0029748B">
        <w:rPr>
          <w:color w:val="000000"/>
          <w:sz w:val="26"/>
          <w:szCs w:val="26"/>
        </w:rPr>
        <w:t xml:space="preserve">djustment </w:t>
      </w:r>
      <w:r w:rsidR="00F9125C" w:rsidRPr="0029748B">
        <w:rPr>
          <w:color w:val="000000"/>
          <w:sz w:val="26"/>
          <w:szCs w:val="26"/>
        </w:rPr>
        <w:t xml:space="preserve">in 2015 </w:t>
      </w:r>
      <w:r w:rsidRPr="0029748B">
        <w:rPr>
          <w:color w:val="000000"/>
          <w:sz w:val="26"/>
          <w:szCs w:val="26"/>
        </w:rPr>
        <w:t xml:space="preserve">reflected </w:t>
      </w:r>
      <w:r w:rsidR="00E5292C" w:rsidRPr="0029748B">
        <w:rPr>
          <w:color w:val="000000"/>
          <w:sz w:val="26"/>
          <w:szCs w:val="26"/>
        </w:rPr>
        <w:t>a reduction for the annual amortization</w:t>
      </w:r>
      <w:r w:rsidRPr="0029748B">
        <w:rPr>
          <w:color w:val="000000"/>
          <w:sz w:val="26"/>
          <w:szCs w:val="26"/>
        </w:rPr>
        <w:t xml:space="preserve"> </w:t>
      </w:r>
      <w:r w:rsidR="00E5292C" w:rsidRPr="0029748B">
        <w:rPr>
          <w:color w:val="000000"/>
          <w:sz w:val="26"/>
          <w:szCs w:val="26"/>
        </w:rPr>
        <w:t xml:space="preserve">accrued </w:t>
      </w:r>
      <w:r w:rsidRPr="0029748B">
        <w:rPr>
          <w:color w:val="000000"/>
          <w:sz w:val="26"/>
          <w:szCs w:val="26"/>
        </w:rPr>
        <w:t xml:space="preserve">between the Company’s 2011 and 2015 rate cases.  </w:t>
      </w:r>
      <w:r w:rsidR="00E5292C" w:rsidRPr="0029748B">
        <w:rPr>
          <w:color w:val="000000"/>
          <w:sz w:val="26"/>
          <w:szCs w:val="26"/>
        </w:rPr>
        <w:t xml:space="preserve">The ALJ agreed that, </w:t>
      </w:r>
      <w:r w:rsidRPr="0029748B">
        <w:rPr>
          <w:color w:val="000000"/>
          <w:sz w:val="26"/>
          <w:szCs w:val="26"/>
        </w:rPr>
        <w:t xml:space="preserve">as I&amp;E’s witness </w:t>
      </w:r>
      <w:r w:rsidR="00A732DD" w:rsidRPr="0029748B">
        <w:rPr>
          <w:color w:val="000000"/>
          <w:sz w:val="26"/>
          <w:szCs w:val="26"/>
        </w:rPr>
        <w:t>ex</w:t>
      </w:r>
      <w:r w:rsidRPr="0029748B">
        <w:rPr>
          <w:color w:val="000000"/>
          <w:sz w:val="26"/>
          <w:szCs w:val="26"/>
        </w:rPr>
        <w:t xml:space="preserve">plained, </w:t>
      </w:r>
      <w:r w:rsidR="00A732DD" w:rsidRPr="0029748B">
        <w:rPr>
          <w:color w:val="000000"/>
          <w:sz w:val="26"/>
          <w:szCs w:val="26"/>
        </w:rPr>
        <w:t>Section 13</w:t>
      </w:r>
      <w:r w:rsidR="00AA0D66" w:rsidRPr="0029748B">
        <w:rPr>
          <w:color w:val="000000"/>
          <w:sz w:val="26"/>
          <w:szCs w:val="26"/>
        </w:rPr>
        <w:t>2</w:t>
      </w:r>
      <w:r w:rsidR="00A732DD" w:rsidRPr="0029748B">
        <w:rPr>
          <w:color w:val="000000"/>
          <w:sz w:val="26"/>
          <w:szCs w:val="26"/>
        </w:rPr>
        <w:t xml:space="preserve">7 </w:t>
      </w:r>
      <w:r w:rsidR="00AA0D66" w:rsidRPr="0029748B">
        <w:rPr>
          <w:color w:val="000000"/>
          <w:sz w:val="26"/>
          <w:szCs w:val="26"/>
        </w:rPr>
        <w:t>A</w:t>
      </w:r>
      <w:r w:rsidR="00E5292C" w:rsidRPr="0029748B">
        <w:rPr>
          <w:color w:val="000000"/>
          <w:sz w:val="26"/>
          <w:szCs w:val="26"/>
        </w:rPr>
        <w:t xml:space="preserve">cquisition </w:t>
      </w:r>
      <w:r w:rsidR="00AA0D66" w:rsidRPr="0029748B">
        <w:rPr>
          <w:color w:val="000000"/>
          <w:sz w:val="26"/>
          <w:szCs w:val="26"/>
        </w:rPr>
        <w:t>A</w:t>
      </w:r>
      <w:r w:rsidRPr="0029748B">
        <w:rPr>
          <w:color w:val="000000"/>
          <w:sz w:val="26"/>
          <w:szCs w:val="26"/>
        </w:rPr>
        <w:t xml:space="preserve">djustment </w:t>
      </w:r>
      <w:r w:rsidR="00E5292C" w:rsidRPr="0029748B">
        <w:rPr>
          <w:color w:val="000000"/>
          <w:sz w:val="26"/>
          <w:szCs w:val="26"/>
        </w:rPr>
        <w:t xml:space="preserve">operates in the same manner as </w:t>
      </w:r>
      <w:r w:rsidRPr="0029748B">
        <w:rPr>
          <w:color w:val="000000"/>
          <w:sz w:val="26"/>
          <w:szCs w:val="26"/>
        </w:rPr>
        <w:t>plant depreciat</w:t>
      </w:r>
      <w:r w:rsidR="00E5292C" w:rsidRPr="0029748B">
        <w:rPr>
          <w:color w:val="000000"/>
          <w:sz w:val="26"/>
          <w:szCs w:val="26"/>
        </w:rPr>
        <w:t xml:space="preserve">ion </w:t>
      </w:r>
      <w:r w:rsidRPr="0029748B">
        <w:rPr>
          <w:color w:val="000000"/>
          <w:sz w:val="26"/>
          <w:szCs w:val="26"/>
        </w:rPr>
        <w:t>over time</w:t>
      </w:r>
      <w:r w:rsidR="00A732DD" w:rsidRPr="0029748B">
        <w:rPr>
          <w:color w:val="000000"/>
          <w:sz w:val="26"/>
          <w:szCs w:val="26"/>
        </w:rPr>
        <w:t xml:space="preserve">, </w:t>
      </w:r>
      <w:r w:rsidRPr="0029748B">
        <w:rPr>
          <w:color w:val="000000"/>
          <w:sz w:val="26"/>
          <w:szCs w:val="26"/>
        </w:rPr>
        <w:t xml:space="preserve">since the difference is the result of the level of net plant compared to the purchase price. </w:t>
      </w:r>
      <w:r w:rsidR="00AA0D66" w:rsidRPr="0029748B">
        <w:rPr>
          <w:color w:val="000000"/>
          <w:sz w:val="26"/>
          <w:szCs w:val="26"/>
        </w:rPr>
        <w:t xml:space="preserve"> </w:t>
      </w:r>
      <w:r w:rsidR="00B23376" w:rsidRPr="0029748B">
        <w:rPr>
          <w:color w:val="000000"/>
          <w:sz w:val="26"/>
          <w:szCs w:val="26"/>
        </w:rPr>
        <w:t>R.D. at</w:t>
      </w:r>
      <w:r w:rsidR="0079318B">
        <w:rPr>
          <w:color w:val="000000"/>
          <w:sz w:val="26"/>
          <w:szCs w:val="26"/>
        </w:rPr>
        <w:t> </w:t>
      </w:r>
      <w:r w:rsidR="00B23376" w:rsidRPr="0029748B">
        <w:rPr>
          <w:color w:val="000000"/>
          <w:sz w:val="26"/>
          <w:szCs w:val="26"/>
        </w:rPr>
        <w:t>19-20.</w:t>
      </w:r>
    </w:p>
    <w:p w14:paraId="33C1CE25" w14:textId="77777777" w:rsidR="00A732DD" w:rsidRPr="0029748B" w:rsidRDefault="00A732DD" w:rsidP="0029748B">
      <w:pPr>
        <w:widowControl/>
        <w:spacing w:line="360" w:lineRule="auto"/>
        <w:ind w:firstLine="1440"/>
        <w:rPr>
          <w:color w:val="000000"/>
          <w:sz w:val="26"/>
          <w:szCs w:val="26"/>
        </w:rPr>
      </w:pPr>
    </w:p>
    <w:p w14:paraId="2D0E427A" w14:textId="77777777" w:rsidR="00A732DD" w:rsidRPr="0029748B" w:rsidRDefault="00A732DD" w:rsidP="0029748B">
      <w:pPr>
        <w:widowControl/>
        <w:spacing w:line="360" w:lineRule="auto"/>
        <w:ind w:firstLine="1440"/>
        <w:rPr>
          <w:sz w:val="26"/>
          <w:szCs w:val="26"/>
        </w:rPr>
      </w:pPr>
      <w:r w:rsidRPr="0029748B">
        <w:rPr>
          <w:color w:val="000000"/>
          <w:sz w:val="26"/>
          <w:szCs w:val="26"/>
        </w:rPr>
        <w:t xml:space="preserve">Based on I&amp;E’s calculation, the ALJ </w:t>
      </w:r>
      <w:r w:rsidR="00E5292C" w:rsidRPr="0029748B">
        <w:rPr>
          <w:color w:val="000000"/>
          <w:sz w:val="26"/>
          <w:szCs w:val="26"/>
        </w:rPr>
        <w:t xml:space="preserve">concluded that the </w:t>
      </w:r>
      <w:r w:rsidR="00F9125C" w:rsidRPr="0029748B">
        <w:rPr>
          <w:color w:val="000000"/>
          <w:sz w:val="26"/>
          <w:szCs w:val="26"/>
        </w:rPr>
        <w:t xml:space="preserve">Company’s </w:t>
      </w:r>
      <w:r w:rsidR="00E5292C" w:rsidRPr="0029748B">
        <w:rPr>
          <w:color w:val="000000"/>
          <w:sz w:val="26"/>
          <w:szCs w:val="26"/>
        </w:rPr>
        <w:t>A</w:t>
      </w:r>
      <w:r w:rsidR="00EA0F56" w:rsidRPr="0029748B">
        <w:rPr>
          <w:color w:val="000000"/>
          <w:sz w:val="26"/>
          <w:szCs w:val="26"/>
        </w:rPr>
        <w:t xml:space="preserve">cquisition </w:t>
      </w:r>
      <w:r w:rsidR="00E5292C" w:rsidRPr="0029748B">
        <w:rPr>
          <w:color w:val="000000"/>
          <w:sz w:val="26"/>
          <w:szCs w:val="26"/>
        </w:rPr>
        <w:t>A</w:t>
      </w:r>
      <w:r w:rsidR="00EA0F56" w:rsidRPr="0029748B">
        <w:rPr>
          <w:color w:val="000000"/>
          <w:sz w:val="26"/>
          <w:szCs w:val="26"/>
        </w:rPr>
        <w:t>djustment results in an annual amortization expense of $3,572</w:t>
      </w:r>
      <w:r w:rsidRPr="0029748B">
        <w:rPr>
          <w:color w:val="000000"/>
          <w:sz w:val="26"/>
          <w:szCs w:val="26"/>
        </w:rPr>
        <w:t xml:space="preserve">.  </w:t>
      </w:r>
      <w:r w:rsidR="00EA0F56" w:rsidRPr="0029748B">
        <w:rPr>
          <w:color w:val="000000"/>
          <w:sz w:val="26"/>
          <w:szCs w:val="26"/>
        </w:rPr>
        <w:t xml:space="preserve">The </w:t>
      </w:r>
      <w:r w:rsidR="00E5292C" w:rsidRPr="0029748B">
        <w:rPr>
          <w:color w:val="000000"/>
          <w:sz w:val="26"/>
          <w:szCs w:val="26"/>
        </w:rPr>
        <w:t xml:space="preserve">ALJ </w:t>
      </w:r>
      <w:r w:rsidRPr="0029748B">
        <w:rPr>
          <w:color w:val="000000"/>
          <w:sz w:val="26"/>
          <w:szCs w:val="26"/>
        </w:rPr>
        <w:t xml:space="preserve">further </w:t>
      </w:r>
      <w:r w:rsidR="00E5292C" w:rsidRPr="0029748B">
        <w:rPr>
          <w:color w:val="000000"/>
          <w:sz w:val="26"/>
          <w:szCs w:val="26"/>
        </w:rPr>
        <w:t xml:space="preserve">agreed with I&amp;E that the </w:t>
      </w:r>
      <w:r w:rsidR="00EA0F56" w:rsidRPr="0029748B">
        <w:rPr>
          <w:color w:val="000000"/>
          <w:sz w:val="26"/>
          <w:szCs w:val="26"/>
        </w:rPr>
        <w:t xml:space="preserve">annual amortization expense is properly reflected under </w:t>
      </w:r>
      <w:r w:rsidR="00E5292C" w:rsidRPr="0029748B">
        <w:rPr>
          <w:color w:val="000000"/>
          <w:sz w:val="26"/>
          <w:szCs w:val="26"/>
        </w:rPr>
        <w:t xml:space="preserve">the O&amp;M </w:t>
      </w:r>
      <w:r w:rsidR="00EA0F56" w:rsidRPr="0029748B">
        <w:rPr>
          <w:color w:val="000000"/>
          <w:sz w:val="26"/>
          <w:szCs w:val="26"/>
        </w:rPr>
        <w:t>expense adjustments in</w:t>
      </w:r>
      <w:r w:rsidR="00E5292C" w:rsidRPr="0029748B">
        <w:rPr>
          <w:color w:val="000000"/>
          <w:sz w:val="26"/>
          <w:szCs w:val="26"/>
        </w:rPr>
        <w:t xml:space="preserve"> I&amp;E’s proposed tables of expenses</w:t>
      </w:r>
      <w:r w:rsidRPr="0029748B">
        <w:rPr>
          <w:color w:val="000000"/>
          <w:sz w:val="26"/>
          <w:szCs w:val="26"/>
        </w:rPr>
        <w:t>.</w:t>
      </w:r>
      <w:r w:rsidR="00CB0DF2" w:rsidRPr="0029748B">
        <w:rPr>
          <w:color w:val="000000"/>
          <w:sz w:val="26"/>
          <w:szCs w:val="26"/>
        </w:rPr>
        <w:t xml:space="preserve"> </w:t>
      </w:r>
      <w:r w:rsidRPr="0029748B">
        <w:rPr>
          <w:color w:val="000000"/>
          <w:sz w:val="26"/>
          <w:szCs w:val="26"/>
        </w:rPr>
        <w:t xml:space="preserve"> </w:t>
      </w:r>
      <w:r w:rsidR="00B23376" w:rsidRPr="0029748B">
        <w:rPr>
          <w:i/>
          <w:iCs/>
          <w:sz w:val="26"/>
          <w:szCs w:val="26"/>
        </w:rPr>
        <w:t>Id</w:t>
      </w:r>
      <w:r w:rsidR="00B23376" w:rsidRPr="0029748B">
        <w:rPr>
          <w:sz w:val="26"/>
          <w:szCs w:val="26"/>
        </w:rPr>
        <w:t xml:space="preserve">. </w:t>
      </w:r>
    </w:p>
    <w:p w14:paraId="1718FE6A" w14:textId="77777777" w:rsidR="00EA6B8A" w:rsidRPr="0029748B" w:rsidRDefault="00EA6B8A" w:rsidP="0029748B">
      <w:pPr>
        <w:widowControl/>
        <w:spacing w:line="360" w:lineRule="auto"/>
        <w:ind w:firstLine="1440"/>
        <w:rPr>
          <w:sz w:val="26"/>
          <w:szCs w:val="26"/>
        </w:rPr>
      </w:pPr>
    </w:p>
    <w:p w14:paraId="34E4F5E9" w14:textId="77777777" w:rsidR="00EA6B8A" w:rsidRPr="0029748B" w:rsidRDefault="00EA6B8A" w:rsidP="0029748B">
      <w:pPr>
        <w:widowControl/>
        <w:spacing w:line="360" w:lineRule="auto"/>
        <w:ind w:firstLine="1440"/>
        <w:rPr>
          <w:color w:val="000000"/>
          <w:sz w:val="26"/>
          <w:szCs w:val="26"/>
        </w:rPr>
      </w:pPr>
      <w:r w:rsidRPr="0029748B">
        <w:rPr>
          <w:color w:val="000000"/>
          <w:sz w:val="26"/>
          <w:szCs w:val="26"/>
        </w:rPr>
        <w:t xml:space="preserve">The ALJ rejected the OCA’s interpretation of the language of Section </w:t>
      </w:r>
      <w:r w:rsidR="00AA0D66" w:rsidRPr="0029748B">
        <w:rPr>
          <w:color w:val="000000"/>
          <w:sz w:val="26"/>
          <w:szCs w:val="26"/>
        </w:rPr>
        <w:t>1327</w:t>
      </w:r>
      <w:r w:rsidRPr="0029748B">
        <w:rPr>
          <w:color w:val="000000"/>
          <w:sz w:val="26"/>
          <w:szCs w:val="26"/>
        </w:rPr>
        <w:t xml:space="preserve"> and the Commission’s Policy Statement regarding the Acquisition of Viable Water and W</w:t>
      </w:r>
      <w:r w:rsidR="00880FAF" w:rsidRPr="0029748B">
        <w:rPr>
          <w:color w:val="000000"/>
          <w:sz w:val="26"/>
          <w:szCs w:val="26"/>
        </w:rPr>
        <w:t>astew</w:t>
      </w:r>
      <w:r w:rsidRPr="0029748B">
        <w:rPr>
          <w:color w:val="000000"/>
          <w:sz w:val="26"/>
          <w:szCs w:val="26"/>
        </w:rPr>
        <w:t xml:space="preserve">ater System. </w:t>
      </w:r>
      <w:r w:rsidR="00AA0D66" w:rsidRPr="0029748B">
        <w:rPr>
          <w:color w:val="000000"/>
          <w:sz w:val="26"/>
          <w:szCs w:val="26"/>
        </w:rPr>
        <w:t xml:space="preserve"> </w:t>
      </w:r>
      <w:r w:rsidRPr="0029748B">
        <w:rPr>
          <w:i/>
          <w:iCs/>
          <w:color w:val="000000"/>
          <w:sz w:val="26"/>
          <w:szCs w:val="26"/>
        </w:rPr>
        <w:t>Id</w:t>
      </w:r>
      <w:r w:rsidRPr="0029748B">
        <w:rPr>
          <w:color w:val="000000"/>
          <w:sz w:val="26"/>
          <w:szCs w:val="26"/>
        </w:rPr>
        <w:t>.</w:t>
      </w:r>
      <w:r w:rsidR="00AA0D66" w:rsidRPr="0029748B">
        <w:rPr>
          <w:color w:val="000000"/>
          <w:sz w:val="26"/>
          <w:szCs w:val="26"/>
        </w:rPr>
        <w:t>;</w:t>
      </w:r>
      <w:r w:rsidRPr="0029748B">
        <w:rPr>
          <w:color w:val="000000"/>
          <w:sz w:val="26"/>
          <w:szCs w:val="26"/>
        </w:rPr>
        <w:t xml:space="preserve"> </w:t>
      </w:r>
      <w:r w:rsidR="00AA0D66" w:rsidRPr="0029748B">
        <w:rPr>
          <w:i/>
          <w:iCs/>
          <w:color w:val="000000"/>
          <w:sz w:val="26"/>
          <w:szCs w:val="26"/>
        </w:rPr>
        <w:t>S</w:t>
      </w:r>
      <w:r w:rsidRPr="0029748B">
        <w:rPr>
          <w:i/>
          <w:iCs/>
          <w:color w:val="000000"/>
          <w:sz w:val="26"/>
          <w:szCs w:val="26"/>
        </w:rPr>
        <w:t>ee</w:t>
      </w:r>
      <w:r w:rsidRPr="0029748B">
        <w:rPr>
          <w:color w:val="000000"/>
          <w:sz w:val="26"/>
          <w:szCs w:val="26"/>
        </w:rPr>
        <w:t xml:space="preserve">, 52 Pa. Code § 69.721.  The ALJ noted that nothing in the Code or the Commission’s </w:t>
      </w:r>
      <w:r w:rsidR="00AB7F92" w:rsidRPr="0029748B">
        <w:rPr>
          <w:color w:val="000000"/>
          <w:sz w:val="26"/>
          <w:szCs w:val="26"/>
        </w:rPr>
        <w:t>R</w:t>
      </w:r>
      <w:r w:rsidRPr="0029748B">
        <w:rPr>
          <w:color w:val="000000"/>
          <w:sz w:val="26"/>
          <w:szCs w:val="26"/>
        </w:rPr>
        <w:t>egulation</w:t>
      </w:r>
      <w:r w:rsidR="009D1E3D" w:rsidRPr="0029748B">
        <w:rPr>
          <w:color w:val="000000"/>
          <w:sz w:val="26"/>
          <w:szCs w:val="26"/>
        </w:rPr>
        <w:t>s</w:t>
      </w:r>
      <w:r w:rsidRPr="0029748B">
        <w:rPr>
          <w:color w:val="000000"/>
          <w:sz w:val="26"/>
          <w:szCs w:val="26"/>
        </w:rPr>
        <w:t xml:space="preserve"> precludes a Company from claiming an </w:t>
      </w:r>
      <w:r w:rsidR="00880149" w:rsidRPr="0029748B">
        <w:rPr>
          <w:color w:val="000000"/>
          <w:sz w:val="26"/>
          <w:szCs w:val="26"/>
        </w:rPr>
        <w:t>A</w:t>
      </w:r>
      <w:r w:rsidRPr="0029748B">
        <w:rPr>
          <w:color w:val="000000"/>
          <w:sz w:val="26"/>
          <w:szCs w:val="26"/>
        </w:rPr>
        <w:t xml:space="preserve">cquisition </w:t>
      </w:r>
      <w:r w:rsidR="00880149" w:rsidRPr="0029748B">
        <w:rPr>
          <w:color w:val="000000"/>
          <w:sz w:val="26"/>
          <w:szCs w:val="26"/>
        </w:rPr>
        <w:t>A</w:t>
      </w:r>
      <w:r w:rsidRPr="0029748B">
        <w:rPr>
          <w:color w:val="000000"/>
          <w:sz w:val="26"/>
          <w:szCs w:val="26"/>
        </w:rPr>
        <w:t xml:space="preserve">djustment beyond the first rate proceeding following the acquisition in question. </w:t>
      </w:r>
      <w:r w:rsidR="00AA0D66" w:rsidRPr="0029748B">
        <w:rPr>
          <w:color w:val="000000"/>
          <w:sz w:val="26"/>
          <w:szCs w:val="26"/>
        </w:rPr>
        <w:t xml:space="preserve"> </w:t>
      </w:r>
      <w:r w:rsidRPr="0029748B">
        <w:rPr>
          <w:color w:val="000000"/>
          <w:sz w:val="26"/>
          <w:szCs w:val="26"/>
        </w:rPr>
        <w:t>R.D. at</w:t>
      </w:r>
      <w:r w:rsidR="00C9313E" w:rsidRPr="0029748B">
        <w:rPr>
          <w:color w:val="000000"/>
          <w:sz w:val="26"/>
          <w:szCs w:val="26"/>
        </w:rPr>
        <w:t> </w:t>
      </w:r>
      <w:r w:rsidRPr="0029748B">
        <w:rPr>
          <w:color w:val="000000"/>
          <w:sz w:val="26"/>
          <w:szCs w:val="26"/>
        </w:rPr>
        <w:t>19-20.</w:t>
      </w:r>
    </w:p>
    <w:p w14:paraId="4EBAB779" w14:textId="77777777" w:rsidR="00A732DD" w:rsidRPr="0029748B" w:rsidRDefault="00A732DD" w:rsidP="0029748B">
      <w:pPr>
        <w:widowControl/>
        <w:spacing w:line="360" w:lineRule="auto"/>
        <w:ind w:firstLine="1440"/>
        <w:rPr>
          <w:color w:val="000000"/>
          <w:sz w:val="26"/>
          <w:szCs w:val="26"/>
        </w:rPr>
      </w:pPr>
    </w:p>
    <w:p w14:paraId="6C1D6FE6" w14:textId="77777777" w:rsidR="00A732DD" w:rsidRPr="0029748B" w:rsidRDefault="00E4521E" w:rsidP="0029748B">
      <w:pPr>
        <w:widowControl/>
        <w:spacing w:line="360" w:lineRule="auto"/>
        <w:ind w:firstLine="1440"/>
        <w:rPr>
          <w:color w:val="000000"/>
          <w:sz w:val="26"/>
          <w:szCs w:val="26"/>
        </w:rPr>
      </w:pPr>
      <w:r w:rsidRPr="0029748B">
        <w:rPr>
          <w:color w:val="000000"/>
          <w:sz w:val="26"/>
          <w:szCs w:val="26"/>
        </w:rPr>
        <w:t>Therefore, t</w:t>
      </w:r>
      <w:r w:rsidR="00A732DD" w:rsidRPr="0029748B">
        <w:rPr>
          <w:color w:val="000000"/>
          <w:sz w:val="26"/>
          <w:szCs w:val="26"/>
        </w:rPr>
        <w:t xml:space="preserve">he ALJ recommended reducing the Company’s claimed Acquisition Adjustment of $54,406, </w:t>
      </w:r>
      <w:r w:rsidR="003D1786" w:rsidRPr="0029748B">
        <w:rPr>
          <w:color w:val="000000"/>
          <w:sz w:val="26"/>
          <w:szCs w:val="26"/>
        </w:rPr>
        <w:t>to</w:t>
      </w:r>
      <w:r w:rsidR="00A732DD" w:rsidRPr="0029748B">
        <w:rPr>
          <w:color w:val="000000"/>
          <w:sz w:val="26"/>
          <w:szCs w:val="26"/>
        </w:rPr>
        <w:t xml:space="preserve"> the actual allowed residual amount of $36,018, based on I&amp;E’s calculation, </w:t>
      </w:r>
      <w:r w:rsidR="00EA6B8A" w:rsidRPr="0029748B">
        <w:rPr>
          <w:color w:val="000000"/>
          <w:sz w:val="26"/>
          <w:szCs w:val="26"/>
        </w:rPr>
        <w:t xml:space="preserve">and therefore, </w:t>
      </w:r>
      <w:r w:rsidR="00A732DD" w:rsidRPr="0029748B">
        <w:rPr>
          <w:color w:val="000000"/>
          <w:sz w:val="26"/>
          <w:szCs w:val="26"/>
        </w:rPr>
        <w:t xml:space="preserve">resulting </w:t>
      </w:r>
      <w:r w:rsidR="00EA6B8A" w:rsidRPr="0029748B">
        <w:rPr>
          <w:color w:val="000000"/>
          <w:sz w:val="26"/>
          <w:szCs w:val="26"/>
        </w:rPr>
        <w:t xml:space="preserve">in a </w:t>
      </w:r>
      <w:r w:rsidR="00A732DD" w:rsidRPr="0029748B">
        <w:rPr>
          <w:color w:val="000000"/>
          <w:sz w:val="26"/>
          <w:szCs w:val="26"/>
        </w:rPr>
        <w:t>downward adjustment to Company’s rate base of $18,388</w:t>
      </w:r>
      <w:r w:rsidR="00B23376" w:rsidRPr="0029748B">
        <w:rPr>
          <w:color w:val="000000"/>
          <w:sz w:val="26"/>
          <w:szCs w:val="26"/>
        </w:rPr>
        <w:t xml:space="preserve">, as reasonable </w:t>
      </w:r>
      <w:r w:rsidR="00F9125C" w:rsidRPr="0029748B">
        <w:rPr>
          <w:color w:val="000000"/>
          <w:sz w:val="26"/>
          <w:szCs w:val="26"/>
        </w:rPr>
        <w:t xml:space="preserve">and </w:t>
      </w:r>
      <w:r w:rsidR="00B23376" w:rsidRPr="0029748B">
        <w:rPr>
          <w:color w:val="000000"/>
          <w:sz w:val="26"/>
          <w:szCs w:val="26"/>
        </w:rPr>
        <w:t>in the public interest</w:t>
      </w:r>
      <w:r w:rsidR="00A732DD" w:rsidRPr="0029748B">
        <w:rPr>
          <w:color w:val="000000"/>
          <w:sz w:val="26"/>
          <w:szCs w:val="26"/>
        </w:rPr>
        <w:t xml:space="preserve">. </w:t>
      </w:r>
      <w:r w:rsidR="00AA0D66" w:rsidRPr="0029748B">
        <w:rPr>
          <w:color w:val="000000"/>
          <w:sz w:val="26"/>
          <w:szCs w:val="26"/>
        </w:rPr>
        <w:t xml:space="preserve"> </w:t>
      </w:r>
      <w:r w:rsidR="00A732DD" w:rsidRPr="0029748B">
        <w:rPr>
          <w:color w:val="000000"/>
          <w:sz w:val="26"/>
          <w:szCs w:val="26"/>
        </w:rPr>
        <w:t xml:space="preserve">R.D. at </w:t>
      </w:r>
      <w:r w:rsidR="00B23376" w:rsidRPr="0029748B">
        <w:rPr>
          <w:color w:val="000000"/>
          <w:sz w:val="26"/>
          <w:szCs w:val="26"/>
        </w:rPr>
        <w:t>20.</w:t>
      </w:r>
    </w:p>
    <w:p w14:paraId="405ACDAE" w14:textId="77777777" w:rsidR="00290CEF" w:rsidRPr="0029748B" w:rsidRDefault="00290CEF" w:rsidP="0029748B">
      <w:pPr>
        <w:pStyle w:val="ListParagraph"/>
        <w:widowControl/>
        <w:spacing w:line="360" w:lineRule="auto"/>
        <w:ind w:left="0"/>
        <w:rPr>
          <w:b/>
          <w:color w:val="000000"/>
          <w:sz w:val="26"/>
          <w:szCs w:val="26"/>
        </w:rPr>
      </w:pPr>
    </w:p>
    <w:p w14:paraId="76916140" w14:textId="77777777" w:rsidR="00290CEF" w:rsidRPr="0029748B" w:rsidRDefault="00290CEF" w:rsidP="00A20800">
      <w:pPr>
        <w:pStyle w:val="ListParagraph"/>
        <w:keepNext/>
        <w:widowControl/>
        <w:numPr>
          <w:ilvl w:val="0"/>
          <w:numId w:val="5"/>
        </w:numPr>
        <w:spacing w:line="360" w:lineRule="auto"/>
        <w:ind w:left="1440" w:hanging="720"/>
        <w:rPr>
          <w:b/>
          <w:color w:val="000000"/>
          <w:sz w:val="26"/>
          <w:szCs w:val="26"/>
        </w:rPr>
      </w:pPr>
      <w:r w:rsidRPr="0029748B">
        <w:rPr>
          <w:b/>
          <w:color w:val="000000"/>
          <w:sz w:val="26"/>
          <w:szCs w:val="26"/>
        </w:rPr>
        <w:lastRenderedPageBreak/>
        <w:t>Exceptions and Replies</w:t>
      </w:r>
    </w:p>
    <w:p w14:paraId="424CDAAC" w14:textId="77777777" w:rsidR="00290CEF" w:rsidRPr="0029748B" w:rsidRDefault="00290CEF" w:rsidP="00A20800">
      <w:pPr>
        <w:pStyle w:val="ListParagraph"/>
        <w:keepNext/>
        <w:widowControl/>
        <w:spacing w:line="360" w:lineRule="auto"/>
        <w:ind w:left="2520"/>
        <w:rPr>
          <w:b/>
          <w:color w:val="000000"/>
          <w:sz w:val="26"/>
          <w:szCs w:val="26"/>
        </w:rPr>
      </w:pPr>
    </w:p>
    <w:p w14:paraId="196DCD3B" w14:textId="77777777" w:rsidR="00F17E23" w:rsidRPr="0029748B" w:rsidRDefault="007171E0" w:rsidP="00A20800">
      <w:pPr>
        <w:pStyle w:val="ListParagraph"/>
        <w:keepNext/>
        <w:widowControl/>
        <w:spacing w:line="360" w:lineRule="auto"/>
        <w:ind w:left="0" w:firstLine="1440"/>
        <w:rPr>
          <w:sz w:val="26"/>
          <w:szCs w:val="26"/>
        </w:rPr>
      </w:pPr>
      <w:r w:rsidRPr="0029748B">
        <w:rPr>
          <w:sz w:val="26"/>
          <w:szCs w:val="26"/>
        </w:rPr>
        <w:t xml:space="preserve">In its Exception No. </w:t>
      </w:r>
      <w:r w:rsidR="00813894" w:rsidRPr="0029748B">
        <w:rPr>
          <w:sz w:val="26"/>
          <w:szCs w:val="26"/>
        </w:rPr>
        <w:t xml:space="preserve">4, </w:t>
      </w:r>
      <w:r w:rsidR="00726473" w:rsidRPr="0029748B">
        <w:rPr>
          <w:sz w:val="26"/>
          <w:szCs w:val="26"/>
        </w:rPr>
        <w:t xml:space="preserve">Twin Lakes </w:t>
      </w:r>
      <w:r w:rsidR="00290CEF" w:rsidRPr="0029748B">
        <w:rPr>
          <w:sz w:val="26"/>
          <w:szCs w:val="26"/>
        </w:rPr>
        <w:t xml:space="preserve">argues </w:t>
      </w:r>
      <w:r w:rsidR="00813894" w:rsidRPr="0029748B">
        <w:rPr>
          <w:sz w:val="26"/>
          <w:szCs w:val="26"/>
        </w:rPr>
        <w:t>that the ALJ erred in adopting the downward adjustment of $18,388 from its claimed Acquisition Adjustment</w:t>
      </w:r>
      <w:r w:rsidR="00B56E6C" w:rsidRPr="0029748B">
        <w:rPr>
          <w:sz w:val="26"/>
          <w:szCs w:val="26"/>
        </w:rPr>
        <w:t xml:space="preserve"> of </w:t>
      </w:r>
    </w:p>
    <w:p w14:paraId="2467149F" w14:textId="77777777" w:rsidR="00EA770F" w:rsidRPr="0029748B" w:rsidRDefault="00B56E6C" w:rsidP="0029748B">
      <w:pPr>
        <w:pStyle w:val="ListParagraph"/>
        <w:widowControl/>
        <w:spacing w:line="360" w:lineRule="auto"/>
        <w:ind w:left="0"/>
        <w:rPr>
          <w:sz w:val="26"/>
          <w:szCs w:val="26"/>
        </w:rPr>
      </w:pPr>
      <w:r w:rsidRPr="0029748B">
        <w:rPr>
          <w:sz w:val="26"/>
          <w:szCs w:val="26"/>
        </w:rPr>
        <w:t>$54,404, resulting in a</w:t>
      </w:r>
      <w:r w:rsidR="00B23376" w:rsidRPr="0029748B">
        <w:rPr>
          <w:sz w:val="26"/>
          <w:szCs w:val="26"/>
        </w:rPr>
        <w:t xml:space="preserve"> residual </w:t>
      </w:r>
      <w:r w:rsidRPr="0029748B">
        <w:rPr>
          <w:sz w:val="26"/>
          <w:szCs w:val="26"/>
        </w:rPr>
        <w:t xml:space="preserve">Acquisition Adjustment of $36, 018.  Twin Lakes asserts that the downward adjustment to rate base of $18,388 is in error, unless the ALJ </w:t>
      </w:r>
      <w:r w:rsidR="00813894" w:rsidRPr="0029748B">
        <w:rPr>
          <w:sz w:val="26"/>
          <w:szCs w:val="26"/>
        </w:rPr>
        <w:t>also requir</w:t>
      </w:r>
      <w:r w:rsidRPr="0029748B">
        <w:rPr>
          <w:sz w:val="26"/>
          <w:szCs w:val="26"/>
        </w:rPr>
        <w:t>es</w:t>
      </w:r>
      <w:r w:rsidR="00813894" w:rsidRPr="0029748B">
        <w:rPr>
          <w:sz w:val="26"/>
          <w:szCs w:val="26"/>
        </w:rPr>
        <w:t xml:space="preserve"> a corresponding </w:t>
      </w:r>
      <w:r w:rsidRPr="0029748B">
        <w:rPr>
          <w:sz w:val="26"/>
          <w:szCs w:val="26"/>
        </w:rPr>
        <w:t xml:space="preserve">annual amortization expense schedule to O&amp;M in the amount of </w:t>
      </w:r>
    </w:p>
    <w:p w14:paraId="218ED67B" w14:textId="77777777" w:rsidR="00EA770F" w:rsidRPr="0029748B" w:rsidRDefault="00B56E6C" w:rsidP="0029748B">
      <w:pPr>
        <w:pStyle w:val="ListParagraph"/>
        <w:widowControl/>
        <w:spacing w:line="360" w:lineRule="auto"/>
        <w:ind w:left="0"/>
        <w:rPr>
          <w:sz w:val="26"/>
          <w:szCs w:val="26"/>
        </w:rPr>
      </w:pPr>
      <w:r w:rsidRPr="0029748B">
        <w:rPr>
          <w:sz w:val="26"/>
          <w:szCs w:val="26"/>
        </w:rPr>
        <w:t xml:space="preserve">$18,388.  </w:t>
      </w:r>
      <w:r w:rsidR="00726473" w:rsidRPr="0029748B">
        <w:rPr>
          <w:sz w:val="26"/>
          <w:szCs w:val="26"/>
        </w:rPr>
        <w:t xml:space="preserve">Twin Lakes </w:t>
      </w:r>
      <w:r w:rsidRPr="0029748B">
        <w:rPr>
          <w:sz w:val="26"/>
          <w:szCs w:val="26"/>
        </w:rPr>
        <w:t xml:space="preserve">argues that </w:t>
      </w:r>
      <w:r w:rsidR="00B23376" w:rsidRPr="0029748B">
        <w:rPr>
          <w:sz w:val="26"/>
          <w:szCs w:val="26"/>
        </w:rPr>
        <w:t xml:space="preserve">the </w:t>
      </w:r>
      <w:r w:rsidRPr="0029748B">
        <w:rPr>
          <w:sz w:val="26"/>
          <w:szCs w:val="26"/>
        </w:rPr>
        <w:t>failure to require that the $18,388 reduction in rate base also be reflected in the annual amortization expense schedule to O&amp;M</w:t>
      </w:r>
      <w:r w:rsidR="005D7714" w:rsidRPr="0029748B">
        <w:rPr>
          <w:sz w:val="26"/>
          <w:szCs w:val="26"/>
        </w:rPr>
        <w:t xml:space="preserve"> </w:t>
      </w:r>
      <w:r w:rsidR="007363E9" w:rsidRPr="0029748B">
        <w:rPr>
          <w:sz w:val="26"/>
          <w:szCs w:val="26"/>
        </w:rPr>
        <w:t>and</w:t>
      </w:r>
      <w:r w:rsidRPr="0029748B">
        <w:rPr>
          <w:sz w:val="26"/>
          <w:szCs w:val="26"/>
        </w:rPr>
        <w:t xml:space="preserve"> operates to deprive </w:t>
      </w:r>
      <w:r w:rsidR="00FE6E66" w:rsidRPr="0029748B">
        <w:rPr>
          <w:sz w:val="26"/>
          <w:szCs w:val="26"/>
        </w:rPr>
        <w:t>the Company of the full recovery of the Acquisition Adjustment</w:t>
      </w:r>
      <w:r w:rsidR="00B23376" w:rsidRPr="0029748B">
        <w:rPr>
          <w:sz w:val="26"/>
          <w:szCs w:val="26"/>
        </w:rPr>
        <w:t xml:space="preserve"> pursuant to</w:t>
      </w:r>
      <w:r w:rsidR="00FE6E66" w:rsidRPr="0029748B">
        <w:rPr>
          <w:sz w:val="26"/>
          <w:szCs w:val="26"/>
        </w:rPr>
        <w:t xml:space="preserve"> Section 1327</w:t>
      </w:r>
      <w:r w:rsidR="00F17E23" w:rsidRPr="0029748B">
        <w:rPr>
          <w:sz w:val="26"/>
          <w:szCs w:val="26"/>
        </w:rPr>
        <w:t xml:space="preserve"> of the Code</w:t>
      </w:r>
      <w:r w:rsidR="00290CEF" w:rsidRPr="0029748B">
        <w:rPr>
          <w:sz w:val="26"/>
          <w:szCs w:val="26"/>
        </w:rPr>
        <w:t>.</w:t>
      </w:r>
      <w:r w:rsidR="00FE6E66" w:rsidRPr="0029748B">
        <w:rPr>
          <w:sz w:val="26"/>
          <w:szCs w:val="26"/>
        </w:rPr>
        <w:t xml:space="preserve">  Further, Twin Lakes proposes that an annual amortization schedule be added to O&amp;M in one of two recommended time frames (</w:t>
      </w:r>
      <w:r w:rsidR="00FE6E66" w:rsidRPr="0029748B">
        <w:rPr>
          <w:i/>
          <w:iCs/>
          <w:sz w:val="26"/>
          <w:szCs w:val="26"/>
        </w:rPr>
        <w:t>i.e.,</w:t>
      </w:r>
      <w:r w:rsidR="00FE6E66" w:rsidRPr="0029748B">
        <w:rPr>
          <w:sz w:val="26"/>
          <w:szCs w:val="26"/>
        </w:rPr>
        <w:t xml:space="preserve"> </w:t>
      </w:r>
      <w:r w:rsidR="00913912" w:rsidRPr="0029748B">
        <w:rPr>
          <w:sz w:val="26"/>
          <w:szCs w:val="26"/>
        </w:rPr>
        <w:t>at</w:t>
      </w:r>
      <w:r w:rsidR="00FE6E66" w:rsidRPr="0029748B">
        <w:rPr>
          <w:sz w:val="26"/>
          <w:szCs w:val="26"/>
        </w:rPr>
        <w:t xml:space="preserve"> $9,194 over 24 months, or </w:t>
      </w:r>
      <w:r w:rsidR="00913912" w:rsidRPr="0029748B">
        <w:rPr>
          <w:sz w:val="26"/>
          <w:szCs w:val="26"/>
        </w:rPr>
        <w:t>at</w:t>
      </w:r>
      <w:r w:rsidR="00FE6E66" w:rsidRPr="0029748B">
        <w:rPr>
          <w:sz w:val="26"/>
          <w:szCs w:val="26"/>
        </w:rPr>
        <w:t xml:space="preserve"> $5,687 over 39 months). </w:t>
      </w:r>
      <w:r w:rsidR="00913912" w:rsidRPr="0029748B">
        <w:rPr>
          <w:sz w:val="26"/>
          <w:szCs w:val="26"/>
        </w:rPr>
        <w:t xml:space="preserve"> </w:t>
      </w:r>
      <w:r w:rsidR="00726473" w:rsidRPr="0029748B">
        <w:rPr>
          <w:sz w:val="26"/>
          <w:szCs w:val="26"/>
        </w:rPr>
        <w:t>TL</w:t>
      </w:r>
      <w:r w:rsidR="00636CA6" w:rsidRPr="0029748B">
        <w:rPr>
          <w:sz w:val="26"/>
          <w:szCs w:val="26"/>
        </w:rPr>
        <w:t>U</w:t>
      </w:r>
      <w:r w:rsidR="00726473" w:rsidRPr="0029748B">
        <w:rPr>
          <w:sz w:val="26"/>
          <w:szCs w:val="26"/>
        </w:rPr>
        <w:t xml:space="preserve"> Exc. </w:t>
      </w:r>
      <w:r w:rsidR="00290CEF" w:rsidRPr="0029748B">
        <w:rPr>
          <w:sz w:val="26"/>
          <w:szCs w:val="26"/>
        </w:rPr>
        <w:t>at 6-</w:t>
      </w:r>
      <w:r w:rsidR="00FE6E66" w:rsidRPr="0029748B">
        <w:rPr>
          <w:sz w:val="26"/>
          <w:szCs w:val="26"/>
        </w:rPr>
        <w:t>7</w:t>
      </w:r>
      <w:r w:rsidR="00A159E7" w:rsidRPr="0029748B">
        <w:rPr>
          <w:sz w:val="26"/>
          <w:szCs w:val="26"/>
        </w:rPr>
        <w:t>.</w:t>
      </w:r>
    </w:p>
    <w:p w14:paraId="7FC6E16E" w14:textId="77777777" w:rsidR="00F42830" w:rsidRPr="0029748B" w:rsidRDefault="00F42830" w:rsidP="0029748B">
      <w:pPr>
        <w:pStyle w:val="ListParagraph"/>
        <w:widowControl/>
        <w:spacing w:line="360" w:lineRule="auto"/>
        <w:ind w:left="0" w:firstLine="1440"/>
        <w:rPr>
          <w:sz w:val="26"/>
          <w:szCs w:val="26"/>
        </w:rPr>
      </w:pPr>
    </w:p>
    <w:p w14:paraId="0BC3345F" w14:textId="77777777" w:rsidR="00290CEF" w:rsidRPr="0029748B" w:rsidRDefault="00695096" w:rsidP="0029748B">
      <w:pPr>
        <w:pStyle w:val="ListParagraph"/>
        <w:widowControl/>
        <w:spacing w:line="360" w:lineRule="auto"/>
        <w:ind w:left="0" w:firstLine="1440"/>
        <w:rPr>
          <w:sz w:val="26"/>
          <w:szCs w:val="26"/>
        </w:rPr>
      </w:pPr>
      <w:r w:rsidRPr="0029748B">
        <w:rPr>
          <w:sz w:val="26"/>
          <w:szCs w:val="26"/>
        </w:rPr>
        <w:t>In its Exception No 1</w:t>
      </w:r>
      <w:r w:rsidR="00F17E23" w:rsidRPr="0029748B">
        <w:rPr>
          <w:sz w:val="26"/>
          <w:szCs w:val="26"/>
        </w:rPr>
        <w:t xml:space="preserve">, the </w:t>
      </w:r>
      <w:r w:rsidRPr="0029748B">
        <w:rPr>
          <w:sz w:val="26"/>
          <w:szCs w:val="26"/>
        </w:rPr>
        <w:t xml:space="preserve">OCA </w:t>
      </w:r>
      <w:r w:rsidR="003D4E0D" w:rsidRPr="0029748B">
        <w:rPr>
          <w:sz w:val="26"/>
          <w:szCs w:val="26"/>
        </w:rPr>
        <w:t xml:space="preserve">submits that the ALJ erred by </w:t>
      </w:r>
      <w:r w:rsidR="00F17E23" w:rsidRPr="0029748B">
        <w:rPr>
          <w:sz w:val="26"/>
          <w:szCs w:val="26"/>
        </w:rPr>
        <w:t>granting</w:t>
      </w:r>
      <w:r w:rsidR="003D4E0D" w:rsidRPr="0029748B">
        <w:rPr>
          <w:sz w:val="26"/>
          <w:szCs w:val="26"/>
        </w:rPr>
        <w:t xml:space="preserve"> any Acquisition Adjustment</w:t>
      </w:r>
      <w:r w:rsidR="00EA770F" w:rsidRPr="0029748B">
        <w:rPr>
          <w:sz w:val="26"/>
          <w:szCs w:val="26"/>
        </w:rPr>
        <w:t xml:space="preserve"> </w:t>
      </w:r>
      <w:r w:rsidR="003D4E0D" w:rsidRPr="0029748B">
        <w:rPr>
          <w:sz w:val="26"/>
          <w:szCs w:val="26"/>
        </w:rPr>
        <w:t xml:space="preserve">and reiterates its argument that the </w:t>
      </w:r>
      <w:r w:rsidR="00F17E23" w:rsidRPr="0029748B">
        <w:rPr>
          <w:sz w:val="26"/>
          <w:szCs w:val="26"/>
        </w:rPr>
        <w:t>Acquisition</w:t>
      </w:r>
      <w:r w:rsidR="003D4E0D" w:rsidRPr="0029748B">
        <w:rPr>
          <w:sz w:val="26"/>
          <w:szCs w:val="26"/>
        </w:rPr>
        <w:t xml:space="preserve"> Adjustment m</w:t>
      </w:r>
      <w:r w:rsidR="00EA770F" w:rsidRPr="0029748B">
        <w:rPr>
          <w:sz w:val="26"/>
          <w:szCs w:val="26"/>
        </w:rPr>
        <w:t>ay</w:t>
      </w:r>
      <w:r w:rsidR="003D4E0D" w:rsidRPr="0029748B">
        <w:rPr>
          <w:sz w:val="26"/>
          <w:szCs w:val="26"/>
        </w:rPr>
        <w:t xml:space="preserve"> only be granted</w:t>
      </w:r>
      <w:r w:rsidR="00EA770F" w:rsidRPr="0029748B">
        <w:rPr>
          <w:sz w:val="26"/>
          <w:szCs w:val="26"/>
        </w:rPr>
        <w:t xml:space="preserve"> by the Commission </w:t>
      </w:r>
      <w:r w:rsidR="003D4E0D" w:rsidRPr="0029748B">
        <w:rPr>
          <w:sz w:val="26"/>
          <w:szCs w:val="26"/>
        </w:rPr>
        <w:t xml:space="preserve">in the first rate proceeding immediately following the </w:t>
      </w:r>
      <w:r w:rsidR="00EA770F" w:rsidRPr="0029748B">
        <w:rPr>
          <w:sz w:val="26"/>
          <w:szCs w:val="26"/>
        </w:rPr>
        <w:t xml:space="preserve">subject </w:t>
      </w:r>
      <w:r w:rsidR="003D4E0D" w:rsidRPr="0029748B">
        <w:rPr>
          <w:sz w:val="26"/>
          <w:szCs w:val="26"/>
        </w:rPr>
        <w:t>acquisition</w:t>
      </w:r>
      <w:r w:rsidR="00EA770F" w:rsidRPr="0029748B">
        <w:rPr>
          <w:sz w:val="26"/>
          <w:szCs w:val="26"/>
        </w:rPr>
        <w:t xml:space="preserve">. </w:t>
      </w:r>
      <w:r w:rsidR="007363E9" w:rsidRPr="0029748B">
        <w:rPr>
          <w:sz w:val="26"/>
          <w:szCs w:val="26"/>
        </w:rPr>
        <w:t xml:space="preserve"> </w:t>
      </w:r>
      <w:r w:rsidR="00753386" w:rsidRPr="0029748B">
        <w:rPr>
          <w:sz w:val="26"/>
          <w:szCs w:val="26"/>
        </w:rPr>
        <w:t>OCA Exc. at</w:t>
      </w:r>
      <w:r w:rsidR="004A686D" w:rsidRPr="0029748B">
        <w:rPr>
          <w:sz w:val="26"/>
          <w:szCs w:val="26"/>
        </w:rPr>
        <w:t xml:space="preserve"> 2-5</w:t>
      </w:r>
      <w:r w:rsidR="00753386" w:rsidRPr="0029748B">
        <w:rPr>
          <w:sz w:val="26"/>
          <w:szCs w:val="26"/>
        </w:rPr>
        <w:t xml:space="preserve">. </w:t>
      </w:r>
    </w:p>
    <w:p w14:paraId="5ABCDA48" w14:textId="77777777" w:rsidR="00A159E7" w:rsidRPr="0029748B" w:rsidRDefault="00A159E7" w:rsidP="0029748B">
      <w:pPr>
        <w:pStyle w:val="ListParagraph"/>
        <w:widowControl/>
        <w:spacing w:line="360" w:lineRule="auto"/>
        <w:ind w:left="0"/>
        <w:rPr>
          <w:sz w:val="26"/>
          <w:szCs w:val="26"/>
        </w:rPr>
      </w:pPr>
    </w:p>
    <w:p w14:paraId="1A0ED7B9" w14:textId="77777777" w:rsidR="00DC1822" w:rsidRPr="0029748B" w:rsidRDefault="00A159E7" w:rsidP="0029748B">
      <w:pPr>
        <w:pStyle w:val="ListParagraph"/>
        <w:widowControl/>
        <w:spacing w:line="360" w:lineRule="auto"/>
        <w:ind w:left="0"/>
        <w:rPr>
          <w:sz w:val="26"/>
          <w:szCs w:val="26"/>
        </w:rPr>
      </w:pPr>
      <w:r w:rsidRPr="0029748B">
        <w:rPr>
          <w:sz w:val="26"/>
          <w:szCs w:val="26"/>
        </w:rPr>
        <w:tab/>
      </w:r>
      <w:r w:rsidRPr="0029748B">
        <w:rPr>
          <w:sz w:val="26"/>
          <w:szCs w:val="26"/>
        </w:rPr>
        <w:tab/>
      </w:r>
      <w:r w:rsidR="00EA6B8A" w:rsidRPr="0029748B">
        <w:rPr>
          <w:sz w:val="26"/>
          <w:szCs w:val="26"/>
        </w:rPr>
        <w:t>In its Replies</w:t>
      </w:r>
      <w:r w:rsidR="004A686D" w:rsidRPr="0029748B">
        <w:rPr>
          <w:sz w:val="26"/>
          <w:szCs w:val="26"/>
        </w:rPr>
        <w:t>,</w:t>
      </w:r>
      <w:r w:rsidR="00EA6B8A" w:rsidRPr="0029748B">
        <w:rPr>
          <w:sz w:val="26"/>
          <w:szCs w:val="26"/>
        </w:rPr>
        <w:t xml:space="preserve"> I&amp;E reiterates that the Company’s calculation of the </w:t>
      </w:r>
      <w:r w:rsidR="00FC768E" w:rsidRPr="0029748B">
        <w:rPr>
          <w:sz w:val="26"/>
          <w:szCs w:val="26"/>
        </w:rPr>
        <w:t xml:space="preserve">Acquisition Adjustment fails to properly amortize the original claim over time, as contemplated under Section 1327 of the Code.  I&amp;E notes that its calculations properly reflect the accrued annual amortization of the Acquisition Adjustment results in a residual Adjustment amount of </w:t>
      </w:r>
      <w:r w:rsidR="00913912" w:rsidRPr="0029748B">
        <w:rPr>
          <w:sz w:val="26"/>
          <w:szCs w:val="26"/>
        </w:rPr>
        <w:t>$</w:t>
      </w:r>
      <w:r w:rsidR="00FC768E" w:rsidRPr="0029748B">
        <w:rPr>
          <w:sz w:val="26"/>
          <w:szCs w:val="26"/>
        </w:rPr>
        <w:t xml:space="preserve">36,018.  I&amp;E further notes that </w:t>
      </w:r>
      <w:r w:rsidR="00E4521E" w:rsidRPr="0029748B">
        <w:rPr>
          <w:sz w:val="26"/>
          <w:szCs w:val="26"/>
        </w:rPr>
        <w:t xml:space="preserve">I&amp;E’s </w:t>
      </w:r>
      <w:r w:rsidR="00FC768E" w:rsidRPr="0029748B">
        <w:rPr>
          <w:sz w:val="26"/>
          <w:szCs w:val="26"/>
        </w:rPr>
        <w:t>proposed tables properly treat the annual amortization as an O&amp;M expense.  I&amp;E asserts that the Company’s argument that the $18,388 downward adjustment rate base must be added into the O&amp;M expense</w:t>
      </w:r>
      <w:r w:rsidR="00E4521E" w:rsidRPr="0029748B">
        <w:rPr>
          <w:sz w:val="26"/>
          <w:szCs w:val="26"/>
        </w:rPr>
        <w:t xml:space="preserve"> and/or amortized over an accelerated period</w:t>
      </w:r>
      <w:r w:rsidR="00FC768E" w:rsidRPr="0029748B">
        <w:rPr>
          <w:sz w:val="26"/>
          <w:szCs w:val="26"/>
        </w:rPr>
        <w:t xml:space="preserve">, fails to recognize that the downward adjustment was due to the necessary correction of the Company’s residual </w:t>
      </w:r>
      <w:r w:rsidR="00FC768E" w:rsidRPr="0029748B">
        <w:rPr>
          <w:sz w:val="26"/>
          <w:szCs w:val="26"/>
        </w:rPr>
        <w:lastRenderedPageBreak/>
        <w:t>Acquisition Adjustment</w:t>
      </w:r>
      <w:r w:rsidR="00753386" w:rsidRPr="0029748B">
        <w:rPr>
          <w:sz w:val="26"/>
          <w:szCs w:val="26"/>
        </w:rPr>
        <w:t xml:space="preserve"> and </w:t>
      </w:r>
      <w:r w:rsidR="007363E9" w:rsidRPr="0029748B">
        <w:rPr>
          <w:sz w:val="26"/>
          <w:szCs w:val="26"/>
        </w:rPr>
        <w:t xml:space="preserve">the </w:t>
      </w:r>
      <w:r w:rsidR="00753386" w:rsidRPr="0029748B">
        <w:rPr>
          <w:sz w:val="26"/>
          <w:szCs w:val="26"/>
        </w:rPr>
        <w:t>corresponding amortization schedule</w:t>
      </w:r>
      <w:r w:rsidR="00E4521E" w:rsidRPr="0029748B">
        <w:rPr>
          <w:sz w:val="26"/>
          <w:szCs w:val="26"/>
        </w:rPr>
        <w:t xml:space="preserve"> used in the 2015 rate proceeding</w:t>
      </w:r>
      <w:r w:rsidR="00FC768E" w:rsidRPr="0029748B">
        <w:rPr>
          <w:sz w:val="26"/>
          <w:szCs w:val="26"/>
        </w:rPr>
        <w:t xml:space="preserve">, </w:t>
      </w:r>
      <w:r w:rsidR="00FC768E" w:rsidRPr="0029748B">
        <w:rPr>
          <w:i/>
          <w:iCs/>
          <w:sz w:val="26"/>
          <w:szCs w:val="26"/>
        </w:rPr>
        <w:t>i.e</w:t>
      </w:r>
      <w:r w:rsidR="00FC768E" w:rsidRPr="0029748B">
        <w:rPr>
          <w:sz w:val="26"/>
          <w:szCs w:val="26"/>
        </w:rPr>
        <w:t xml:space="preserve">., due to the Company’s over-stated claim. </w:t>
      </w:r>
      <w:r w:rsidR="007363E9" w:rsidRPr="0029748B">
        <w:rPr>
          <w:sz w:val="26"/>
          <w:szCs w:val="26"/>
        </w:rPr>
        <w:t xml:space="preserve"> </w:t>
      </w:r>
      <w:r w:rsidR="00263C84" w:rsidRPr="0029748B">
        <w:rPr>
          <w:sz w:val="26"/>
          <w:szCs w:val="26"/>
        </w:rPr>
        <w:t xml:space="preserve">I&amp;E </w:t>
      </w:r>
      <w:r w:rsidR="00290CEF" w:rsidRPr="0029748B">
        <w:rPr>
          <w:sz w:val="26"/>
          <w:szCs w:val="26"/>
        </w:rPr>
        <w:t xml:space="preserve">R. Exc. at </w:t>
      </w:r>
      <w:r w:rsidR="00753386" w:rsidRPr="0029748B">
        <w:rPr>
          <w:sz w:val="26"/>
          <w:szCs w:val="26"/>
        </w:rPr>
        <w:t>6-12</w:t>
      </w:r>
      <w:r w:rsidR="00CA319E" w:rsidRPr="0029748B">
        <w:rPr>
          <w:sz w:val="26"/>
          <w:szCs w:val="26"/>
        </w:rPr>
        <w:t>.</w:t>
      </w:r>
      <w:r w:rsidR="00290CEF" w:rsidRPr="0029748B">
        <w:rPr>
          <w:sz w:val="26"/>
          <w:szCs w:val="26"/>
        </w:rPr>
        <w:t xml:space="preserve"> </w:t>
      </w:r>
    </w:p>
    <w:p w14:paraId="46768656" w14:textId="77777777" w:rsidR="00FC768E" w:rsidRPr="0029748B" w:rsidRDefault="00FC768E" w:rsidP="0029748B">
      <w:pPr>
        <w:pStyle w:val="ListParagraph"/>
        <w:widowControl/>
        <w:spacing w:line="360" w:lineRule="auto"/>
        <w:ind w:left="0"/>
        <w:rPr>
          <w:b/>
          <w:color w:val="000000"/>
          <w:sz w:val="26"/>
          <w:szCs w:val="26"/>
        </w:rPr>
      </w:pPr>
    </w:p>
    <w:p w14:paraId="4C0C5893" w14:textId="77777777" w:rsidR="00DC1822" w:rsidRPr="0029748B" w:rsidRDefault="00DC1822" w:rsidP="0029748B">
      <w:pPr>
        <w:pStyle w:val="ListParagraph"/>
        <w:widowControl/>
        <w:numPr>
          <w:ilvl w:val="0"/>
          <w:numId w:val="5"/>
        </w:numPr>
        <w:spacing w:line="360" w:lineRule="auto"/>
        <w:ind w:left="1440" w:hanging="720"/>
        <w:rPr>
          <w:b/>
          <w:color w:val="000000"/>
          <w:sz w:val="26"/>
          <w:szCs w:val="26"/>
        </w:rPr>
      </w:pPr>
      <w:r w:rsidRPr="0029748B">
        <w:rPr>
          <w:b/>
          <w:color w:val="000000"/>
          <w:sz w:val="26"/>
          <w:szCs w:val="26"/>
        </w:rPr>
        <w:t>Disposition</w:t>
      </w:r>
    </w:p>
    <w:p w14:paraId="10AED63F" w14:textId="77777777" w:rsidR="00DC1822" w:rsidRPr="0029748B" w:rsidRDefault="00DC1822" w:rsidP="0029748B">
      <w:pPr>
        <w:pStyle w:val="ListParagraph"/>
        <w:widowControl/>
        <w:spacing w:line="360" w:lineRule="auto"/>
        <w:ind w:left="0"/>
        <w:rPr>
          <w:b/>
          <w:color w:val="000000"/>
          <w:sz w:val="26"/>
          <w:szCs w:val="26"/>
        </w:rPr>
      </w:pPr>
    </w:p>
    <w:p w14:paraId="1E5DF65F" w14:textId="77777777" w:rsidR="003A22FB" w:rsidRPr="0029748B" w:rsidRDefault="00DC1822" w:rsidP="0029748B">
      <w:pPr>
        <w:pStyle w:val="ListParagraph"/>
        <w:widowControl/>
        <w:spacing w:line="360" w:lineRule="auto"/>
        <w:ind w:left="0" w:firstLine="1440"/>
        <w:rPr>
          <w:color w:val="000000"/>
          <w:sz w:val="26"/>
          <w:szCs w:val="26"/>
        </w:rPr>
      </w:pPr>
      <w:r w:rsidRPr="0029748B">
        <w:rPr>
          <w:color w:val="000000"/>
          <w:sz w:val="26"/>
          <w:szCs w:val="26"/>
        </w:rPr>
        <w:t xml:space="preserve">Upon review, we agree with the </w:t>
      </w:r>
      <w:r w:rsidR="00B2769B" w:rsidRPr="0029748B">
        <w:rPr>
          <w:color w:val="000000"/>
          <w:sz w:val="26"/>
          <w:szCs w:val="26"/>
        </w:rPr>
        <w:t xml:space="preserve">analysis and </w:t>
      </w:r>
      <w:r w:rsidRPr="0029748B">
        <w:rPr>
          <w:color w:val="000000"/>
          <w:sz w:val="26"/>
          <w:szCs w:val="26"/>
        </w:rPr>
        <w:t xml:space="preserve">recommendation of the ALJ </w:t>
      </w:r>
      <w:r w:rsidR="00263C84" w:rsidRPr="0029748B">
        <w:rPr>
          <w:color w:val="000000"/>
          <w:sz w:val="26"/>
          <w:szCs w:val="26"/>
        </w:rPr>
        <w:t xml:space="preserve">in adopting I&amp;E’s calculation of Twin Lakes’ claim for </w:t>
      </w:r>
      <w:r w:rsidR="00B2769B" w:rsidRPr="0029748B">
        <w:rPr>
          <w:color w:val="000000"/>
          <w:sz w:val="26"/>
          <w:szCs w:val="26"/>
        </w:rPr>
        <w:t xml:space="preserve">an </w:t>
      </w:r>
      <w:r w:rsidR="00263C84" w:rsidRPr="0029748B">
        <w:rPr>
          <w:color w:val="000000"/>
          <w:sz w:val="26"/>
          <w:szCs w:val="26"/>
        </w:rPr>
        <w:t>Acquisition Adjustment</w:t>
      </w:r>
      <w:r w:rsidR="00620D3A" w:rsidRPr="0029748B">
        <w:rPr>
          <w:color w:val="000000"/>
          <w:sz w:val="26"/>
          <w:szCs w:val="26"/>
        </w:rPr>
        <w:t xml:space="preserve"> as reasonable and in the public interest. </w:t>
      </w:r>
      <w:r w:rsidR="00263C84" w:rsidRPr="0029748B">
        <w:rPr>
          <w:color w:val="000000"/>
          <w:sz w:val="26"/>
          <w:szCs w:val="26"/>
        </w:rPr>
        <w:t xml:space="preserve"> </w:t>
      </w:r>
      <w:r w:rsidR="003A22FB" w:rsidRPr="0029748B">
        <w:rPr>
          <w:color w:val="000000"/>
          <w:sz w:val="26"/>
          <w:szCs w:val="26"/>
        </w:rPr>
        <w:t xml:space="preserve">Accordingly, we shall deny </w:t>
      </w:r>
      <w:r w:rsidR="00695096" w:rsidRPr="0029748B">
        <w:rPr>
          <w:bCs/>
          <w:sz w:val="26"/>
          <w:szCs w:val="26"/>
        </w:rPr>
        <w:t>Twin Lakes</w:t>
      </w:r>
      <w:r w:rsidR="00913912" w:rsidRPr="0029748B">
        <w:rPr>
          <w:bCs/>
          <w:sz w:val="26"/>
          <w:szCs w:val="26"/>
        </w:rPr>
        <w:t>’</w:t>
      </w:r>
      <w:r w:rsidR="00695096" w:rsidRPr="0029748B">
        <w:rPr>
          <w:bCs/>
          <w:sz w:val="26"/>
          <w:szCs w:val="26"/>
        </w:rPr>
        <w:t xml:space="preserve"> Exc. No.</w:t>
      </w:r>
      <w:r w:rsidR="002C5FD7">
        <w:rPr>
          <w:bCs/>
          <w:sz w:val="26"/>
          <w:szCs w:val="26"/>
        </w:rPr>
        <w:t> </w:t>
      </w:r>
      <w:r w:rsidR="00695096" w:rsidRPr="0029748B">
        <w:rPr>
          <w:bCs/>
          <w:sz w:val="26"/>
          <w:szCs w:val="26"/>
        </w:rPr>
        <w:t>4</w:t>
      </w:r>
      <w:r w:rsidR="00913912" w:rsidRPr="0029748B">
        <w:rPr>
          <w:bCs/>
          <w:sz w:val="26"/>
          <w:szCs w:val="26"/>
        </w:rPr>
        <w:t xml:space="preserve"> and the </w:t>
      </w:r>
      <w:r w:rsidR="00695096" w:rsidRPr="0029748B">
        <w:rPr>
          <w:bCs/>
          <w:sz w:val="26"/>
          <w:szCs w:val="26"/>
        </w:rPr>
        <w:t>OCA</w:t>
      </w:r>
      <w:r w:rsidR="00913912" w:rsidRPr="0029748B">
        <w:rPr>
          <w:bCs/>
          <w:sz w:val="26"/>
          <w:szCs w:val="26"/>
        </w:rPr>
        <w:t xml:space="preserve">’s </w:t>
      </w:r>
      <w:r w:rsidR="00695096" w:rsidRPr="0029748B">
        <w:rPr>
          <w:bCs/>
          <w:sz w:val="26"/>
          <w:szCs w:val="26"/>
        </w:rPr>
        <w:t xml:space="preserve">Exc. No. 1, as they pertain to the ALJ’s finding on the </w:t>
      </w:r>
      <w:r w:rsidR="00EA770F" w:rsidRPr="0029748B">
        <w:rPr>
          <w:bCs/>
          <w:sz w:val="26"/>
          <w:szCs w:val="26"/>
        </w:rPr>
        <w:t xml:space="preserve">appropriate calculation of the Company’s </w:t>
      </w:r>
      <w:r w:rsidR="00620D3A" w:rsidRPr="0029748B">
        <w:rPr>
          <w:bCs/>
          <w:sz w:val="26"/>
          <w:szCs w:val="26"/>
        </w:rPr>
        <w:t xml:space="preserve">claimed </w:t>
      </w:r>
      <w:r w:rsidR="00695096" w:rsidRPr="0029748B">
        <w:rPr>
          <w:bCs/>
          <w:sz w:val="26"/>
          <w:szCs w:val="26"/>
        </w:rPr>
        <w:t>Acquisition Adjustment.</w:t>
      </w:r>
    </w:p>
    <w:p w14:paraId="15C158EE" w14:textId="77777777" w:rsidR="00C9313E" w:rsidRPr="0029748B" w:rsidRDefault="00C9313E" w:rsidP="0029748B">
      <w:pPr>
        <w:keepNext/>
        <w:widowControl/>
        <w:spacing w:line="360" w:lineRule="auto"/>
        <w:ind w:firstLine="1440"/>
        <w:rPr>
          <w:color w:val="000000"/>
          <w:sz w:val="26"/>
          <w:szCs w:val="26"/>
        </w:rPr>
      </w:pPr>
    </w:p>
    <w:p w14:paraId="357D61B4" w14:textId="77777777" w:rsidR="00AF4210" w:rsidRPr="0029748B" w:rsidRDefault="00620D3A" w:rsidP="0029748B">
      <w:pPr>
        <w:keepNext/>
        <w:widowControl/>
        <w:spacing w:line="360" w:lineRule="auto"/>
        <w:ind w:firstLine="1440"/>
        <w:rPr>
          <w:color w:val="000000"/>
          <w:sz w:val="26"/>
          <w:szCs w:val="26"/>
        </w:rPr>
      </w:pPr>
      <w:r w:rsidRPr="0029748B">
        <w:rPr>
          <w:color w:val="000000"/>
          <w:sz w:val="26"/>
          <w:szCs w:val="26"/>
        </w:rPr>
        <w:t xml:space="preserve">Our approval of I&amp;E’s calculation of the Company’s claimed </w:t>
      </w:r>
      <w:r w:rsidR="00EA770F" w:rsidRPr="0029748B">
        <w:rPr>
          <w:color w:val="000000"/>
          <w:sz w:val="26"/>
          <w:szCs w:val="26"/>
        </w:rPr>
        <w:t>Acquisition Adjustment</w:t>
      </w:r>
      <w:r w:rsidRPr="0029748B">
        <w:rPr>
          <w:color w:val="000000"/>
          <w:sz w:val="26"/>
          <w:szCs w:val="26"/>
        </w:rPr>
        <w:t xml:space="preserve"> is based on our conclusion that I&amp;E’s proposed calculation is the only one which </w:t>
      </w:r>
      <w:r w:rsidR="00B23376" w:rsidRPr="0029748B">
        <w:rPr>
          <w:color w:val="000000"/>
          <w:sz w:val="26"/>
          <w:szCs w:val="26"/>
        </w:rPr>
        <w:t xml:space="preserve">is </w:t>
      </w:r>
      <w:r w:rsidRPr="0029748B">
        <w:rPr>
          <w:color w:val="000000"/>
          <w:sz w:val="26"/>
          <w:szCs w:val="26"/>
        </w:rPr>
        <w:t>consistent with the pl</w:t>
      </w:r>
      <w:r w:rsidR="00913912" w:rsidRPr="0029748B">
        <w:rPr>
          <w:color w:val="000000"/>
          <w:sz w:val="26"/>
          <w:szCs w:val="26"/>
        </w:rPr>
        <w:t xml:space="preserve">ain reading </w:t>
      </w:r>
      <w:r w:rsidRPr="0029748B">
        <w:rPr>
          <w:color w:val="000000"/>
          <w:sz w:val="26"/>
          <w:szCs w:val="26"/>
        </w:rPr>
        <w:t>of Section 1327</w:t>
      </w:r>
      <w:r w:rsidR="0069119A" w:rsidRPr="0029748B">
        <w:rPr>
          <w:color w:val="000000"/>
          <w:sz w:val="26"/>
          <w:szCs w:val="26"/>
        </w:rPr>
        <w:t xml:space="preserve">(a) </w:t>
      </w:r>
      <w:r w:rsidRPr="0029748B">
        <w:rPr>
          <w:color w:val="000000"/>
          <w:sz w:val="26"/>
          <w:szCs w:val="26"/>
        </w:rPr>
        <w:t>of the Code.  As I&amp;E correctly described, Section 1327</w:t>
      </w:r>
      <w:r w:rsidR="0069119A" w:rsidRPr="0029748B">
        <w:rPr>
          <w:color w:val="000000"/>
          <w:sz w:val="26"/>
          <w:szCs w:val="26"/>
        </w:rPr>
        <w:t xml:space="preserve">(a) </w:t>
      </w:r>
      <w:r w:rsidR="00913912" w:rsidRPr="0029748B">
        <w:rPr>
          <w:color w:val="000000"/>
          <w:sz w:val="26"/>
          <w:szCs w:val="26"/>
        </w:rPr>
        <w:t xml:space="preserve">directs </w:t>
      </w:r>
      <w:r w:rsidR="00683404" w:rsidRPr="0029748B">
        <w:rPr>
          <w:color w:val="000000"/>
          <w:sz w:val="26"/>
          <w:szCs w:val="26"/>
        </w:rPr>
        <w:t xml:space="preserve">that an </w:t>
      </w:r>
      <w:r w:rsidR="00302B55" w:rsidRPr="0029748B">
        <w:rPr>
          <w:color w:val="000000"/>
          <w:sz w:val="26"/>
          <w:szCs w:val="26"/>
        </w:rPr>
        <w:t>A</w:t>
      </w:r>
      <w:r w:rsidR="00683404" w:rsidRPr="0029748B">
        <w:rPr>
          <w:color w:val="000000"/>
          <w:sz w:val="26"/>
          <w:szCs w:val="26"/>
        </w:rPr>
        <w:t xml:space="preserve">cquisition </w:t>
      </w:r>
      <w:r w:rsidR="00302B55" w:rsidRPr="0029748B">
        <w:rPr>
          <w:color w:val="000000"/>
          <w:sz w:val="26"/>
          <w:szCs w:val="26"/>
        </w:rPr>
        <w:t>A</w:t>
      </w:r>
      <w:r w:rsidR="00683404" w:rsidRPr="0029748B">
        <w:rPr>
          <w:color w:val="000000"/>
          <w:sz w:val="26"/>
          <w:szCs w:val="26"/>
        </w:rPr>
        <w:t xml:space="preserve">djustment is the ratemaking treatment of the difference between the purchase price of the acquired system and the value of the depreciated original cost of the system being acquired.  </w:t>
      </w:r>
      <w:r w:rsidR="00CA319E" w:rsidRPr="0029748B">
        <w:rPr>
          <w:color w:val="000000"/>
          <w:sz w:val="26"/>
          <w:szCs w:val="26"/>
        </w:rPr>
        <w:t>Therefore</w:t>
      </w:r>
      <w:r w:rsidR="00E4521E" w:rsidRPr="0029748B">
        <w:rPr>
          <w:color w:val="000000"/>
          <w:sz w:val="26"/>
          <w:szCs w:val="26"/>
        </w:rPr>
        <w:t xml:space="preserve">, </w:t>
      </w:r>
      <w:r w:rsidR="00CA319E" w:rsidRPr="0029748B">
        <w:rPr>
          <w:color w:val="000000"/>
          <w:sz w:val="26"/>
          <w:szCs w:val="26"/>
        </w:rPr>
        <w:t>we expressly reject the OCA’s and the Company’s interpretations of Section 1327 of the Code.</w:t>
      </w:r>
    </w:p>
    <w:p w14:paraId="2619F58F" w14:textId="77777777" w:rsidR="00AF4210" w:rsidRPr="0029748B" w:rsidRDefault="00AF4210" w:rsidP="0029748B">
      <w:pPr>
        <w:widowControl/>
        <w:spacing w:line="360" w:lineRule="auto"/>
        <w:ind w:firstLine="1440"/>
        <w:rPr>
          <w:color w:val="000000"/>
          <w:sz w:val="26"/>
          <w:szCs w:val="26"/>
        </w:rPr>
      </w:pPr>
    </w:p>
    <w:p w14:paraId="4CEE2725" w14:textId="77777777" w:rsidR="00683404" w:rsidRPr="0029748B" w:rsidRDefault="00AF4210" w:rsidP="0029748B">
      <w:pPr>
        <w:widowControl/>
        <w:spacing w:line="360" w:lineRule="auto"/>
        <w:ind w:firstLine="1440"/>
        <w:rPr>
          <w:color w:val="000000"/>
          <w:sz w:val="26"/>
          <w:szCs w:val="26"/>
        </w:rPr>
      </w:pPr>
      <w:r w:rsidRPr="0029748B">
        <w:rPr>
          <w:color w:val="000000"/>
          <w:sz w:val="26"/>
          <w:szCs w:val="26"/>
        </w:rPr>
        <w:t>Section 1327</w:t>
      </w:r>
      <w:r w:rsidR="0069119A" w:rsidRPr="0029748B">
        <w:rPr>
          <w:color w:val="000000"/>
          <w:sz w:val="26"/>
          <w:szCs w:val="26"/>
        </w:rPr>
        <w:t>(a)</w:t>
      </w:r>
      <w:r w:rsidRPr="0029748B">
        <w:rPr>
          <w:color w:val="000000"/>
          <w:sz w:val="26"/>
          <w:szCs w:val="26"/>
        </w:rPr>
        <w:t xml:space="preserve"> established that a</w:t>
      </w:r>
      <w:r w:rsidR="00683404" w:rsidRPr="0029748B">
        <w:rPr>
          <w:color w:val="000000"/>
          <w:sz w:val="26"/>
          <w:szCs w:val="26"/>
        </w:rPr>
        <w:t xml:space="preserve"> utility is entitled to recover th</w:t>
      </w:r>
      <w:r w:rsidRPr="0029748B">
        <w:rPr>
          <w:color w:val="000000"/>
          <w:sz w:val="26"/>
          <w:szCs w:val="26"/>
        </w:rPr>
        <w:t xml:space="preserve">at </w:t>
      </w:r>
      <w:r w:rsidR="00683404" w:rsidRPr="0029748B">
        <w:rPr>
          <w:color w:val="000000"/>
          <w:sz w:val="26"/>
          <w:szCs w:val="26"/>
        </w:rPr>
        <w:t xml:space="preserve">difference from the ratepayers as an effective “overpayment” for the actual value of the property acquired.  We note </w:t>
      </w:r>
      <w:r w:rsidRPr="0029748B">
        <w:rPr>
          <w:color w:val="000000"/>
          <w:sz w:val="26"/>
          <w:szCs w:val="26"/>
        </w:rPr>
        <w:t>that under Section 1327</w:t>
      </w:r>
      <w:r w:rsidR="0069119A" w:rsidRPr="0029748B">
        <w:rPr>
          <w:color w:val="000000"/>
          <w:sz w:val="26"/>
          <w:szCs w:val="26"/>
        </w:rPr>
        <w:t>(e)</w:t>
      </w:r>
      <w:r w:rsidRPr="0029748B">
        <w:rPr>
          <w:color w:val="000000"/>
          <w:sz w:val="26"/>
          <w:szCs w:val="26"/>
        </w:rPr>
        <w:t xml:space="preserve">, </w:t>
      </w:r>
      <w:r w:rsidR="00683404" w:rsidRPr="0029748B">
        <w:rPr>
          <w:color w:val="000000"/>
          <w:sz w:val="26"/>
          <w:szCs w:val="26"/>
        </w:rPr>
        <w:t>the converse is also true</w:t>
      </w:r>
      <w:r w:rsidR="0069119A" w:rsidRPr="0029748B">
        <w:rPr>
          <w:color w:val="000000"/>
          <w:sz w:val="26"/>
          <w:szCs w:val="26"/>
        </w:rPr>
        <w:t>.  A</w:t>
      </w:r>
      <w:r w:rsidR="00683404" w:rsidRPr="0029748B">
        <w:rPr>
          <w:color w:val="000000"/>
          <w:sz w:val="26"/>
          <w:szCs w:val="26"/>
        </w:rPr>
        <w:t xml:space="preserve"> Company is </w:t>
      </w:r>
      <w:r w:rsidR="0069119A" w:rsidRPr="0029748B">
        <w:rPr>
          <w:color w:val="000000"/>
          <w:sz w:val="26"/>
          <w:szCs w:val="26"/>
        </w:rPr>
        <w:t xml:space="preserve">also </w:t>
      </w:r>
      <w:r w:rsidR="00683404" w:rsidRPr="0029748B">
        <w:rPr>
          <w:color w:val="000000"/>
          <w:sz w:val="26"/>
          <w:szCs w:val="26"/>
        </w:rPr>
        <w:t>required to refund the difference to ratepayers, where the</w:t>
      </w:r>
      <w:r w:rsidR="00B23376" w:rsidRPr="0029748B">
        <w:rPr>
          <w:color w:val="000000"/>
          <w:sz w:val="26"/>
          <w:szCs w:val="26"/>
        </w:rPr>
        <w:t xml:space="preserve">re is </w:t>
      </w:r>
      <w:r w:rsidR="00683404" w:rsidRPr="0029748B">
        <w:rPr>
          <w:color w:val="000000"/>
          <w:sz w:val="26"/>
          <w:szCs w:val="26"/>
        </w:rPr>
        <w:t>an effective “underpayment” for the actual value of property acquired.</w:t>
      </w:r>
      <w:r w:rsidRPr="0029748B">
        <w:rPr>
          <w:color w:val="000000"/>
          <w:sz w:val="26"/>
          <w:szCs w:val="26"/>
        </w:rPr>
        <w:t xml:space="preserve">  Further, Section</w:t>
      </w:r>
      <w:r w:rsidR="002C5FD7">
        <w:rPr>
          <w:color w:val="000000"/>
          <w:sz w:val="26"/>
          <w:szCs w:val="26"/>
        </w:rPr>
        <w:t> </w:t>
      </w:r>
      <w:r w:rsidRPr="0029748B">
        <w:rPr>
          <w:color w:val="000000"/>
          <w:sz w:val="26"/>
          <w:szCs w:val="26"/>
        </w:rPr>
        <w:t>1327</w:t>
      </w:r>
      <w:r w:rsidR="0069119A" w:rsidRPr="0029748B">
        <w:rPr>
          <w:color w:val="000000"/>
          <w:sz w:val="26"/>
          <w:szCs w:val="26"/>
        </w:rPr>
        <w:t xml:space="preserve">(a)(9) </w:t>
      </w:r>
      <w:r w:rsidRPr="0029748B">
        <w:rPr>
          <w:color w:val="000000"/>
          <w:sz w:val="26"/>
          <w:szCs w:val="26"/>
        </w:rPr>
        <w:t xml:space="preserve">intends that the Company’s recovery </w:t>
      </w:r>
      <w:r w:rsidR="0069119A" w:rsidRPr="0029748B">
        <w:rPr>
          <w:color w:val="000000"/>
          <w:sz w:val="26"/>
          <w:szCs w:val="26"/>
        </w:rPr>
        <w:t xml:space="preserve">of an overpayment is </w:t>
      </w:r>
      <w:r w:rsidRPr="0029748B">
        <w:rPr>
          <w:color w:val="000000"/>
          <w:sz w:val="26"/>
          <w:szCs w:val="26"/>
        </w:rPr>
        <w:t xml:space="preserve">limited </w:t>
      </w:r>
      <w:r w:rsidR="00302B55" w:rsidRPr="0029748B">
        <w:rPr>
          <w:color w:val="000000"/>
          <w:sz w:val="26"/>
          <w:szCs w:val="26"/>
        </w:rPr>
        <w:t xml:space="preserve">to </w:t>
      </w:r>
      <w:r w:rsidRPr="0029748B">
        <w:rPr>
          <w:color w:val="000000"/>
          <w:sz w:val="26"/>
          <w:szCs w:val="26"/>
        </w:rPr>
        <w:t xml:space="preserve">the established difference between the purchase price and the actual value of the property, no more and no less. </w:t>
      </w:r>
    </w:p>
    <w:p w14:paraId="6760991F" w14:textId="77777777" w:rsidR="0069119A" w:rsidRPr="0029748B" w:rsidRDefault="0069119A" w:rsidP="0029748B">
      <w:pPr>
        <w:widowControl/>
        <w:spacing w:line="360" w:lineRule="auto"/>
        <w:ind w:firstLine="1440"/>
        <w:rPr>
          <w:color w:val="000000"/>
          <w:sz w:val="26"/>
          <w:szCs w:val="26"/>
        </w:rPr>
      </w:pPr>
    </w:p>
    <w:p w14:paraId="7FDF1C90" w14:textId="77777777" w:rsidR="0069119A" w:rsidRPr="0029748B" w:rsidRDefault="0069119A" w:rsidP="00790F24">
      <w:pPr>
        <w:widowControl/>
        <w:spacing w:line="480" w:lineRule="auto"/>
        <w:ind w:firstLine="1440"/>
        <w:rPr>
          <w:color w:val="000000"/>
          <w:sz w:val="26"/>
          <w:szCs w:val="26"/>
        </w:rPr>
      </w:pPr>
      <w:r w:rsidRPr="0029748B">
        <w:rPr>
          <w:color w:val="000000"/>
          <w:sz w:val="26"/>
          <w:szCs w:val="26"/>
        </w:rPr>
        <w:lastRenderedPageBreak/>
        <w:t xml:space="preserve">Section 1327(a)(9) provides: </w:t>
      </w:r>
    </w:p>
    <w:p w14:paraId="2D57CC81" w14:textId="77777777" w:rsidR="0069119A" w:rsidRPr="0029748B" w:rsidRDefault="0069119A" w:rsidP="0029748B">
      <w:pPr>
        <w:widowControl/>
        <w:ind w:left="1440" w:right="1440"/>
        <w:rPr>
          <w:i/>
          <w:iCs/>
          <w:color w:val="000000"/>
          <w:sz w:val="26"/>
          <w:szCs w:val="26"/>
        </w:rPr>
      </w:pPr>
      <w:r w:rsidRPr="0029748B">
        <w:rPr>
          <w:color w:val="000000"/>
          <w:sz w:val="26"/>
          <w:szCs w:val="26"/>
        </w:rPr>
        <w:t xml:space="preserve">The excess acquisition cost over the depreciated original cost will be added to the rate base </w:t>
      </w:r>
      <w:r w:rsidR="001F21A1" w:rsidRPr="0029748B">
        <w:rPr>
          <w:i/>
          <w:iCs/>
          <w:color w:val="000000"/>
          <w:sz w:val="26"/>
          <w:szCs w:val="26"/>
        </w:rPr>
        <w:t>to be amortized as an addition to expense over a reasonable period of time with corresponding reductions in rate base.</w:t>
      </w:r>
    </w:p>
    <w:p w14:paraId="1C4D4503" w14:textId="77777777" w:rsidR="00683404" w:rsidRPr="0029748B" w:rsidRDefault="00683404" w:rsidP="0029748B">
      <w:pPr>
        <w:widowControl/>
        <w:spacing w:line="360" w:lineRule="auto"/>
        <w:ind w:firstLine="1440"/>
        <w:rPr>
          <w:color w:val="000000"/>
          <w:sz w:val="26"/>
          <w:szCs w:val="26"/>
        </w:rPr>
      </w:pPr>
    </w:p>
    <w:p w14:paraId="5B5D36E4" w14:textId="77777777" w:rsidR="00CA319E" w:rsidRPr="0029748B" w:rsidRDefault="001F21A1" w:rsidP="0029748B">
      <w:pPr>
        <w:widowControl/>
        <w:spacing w:line="360" w:lineRule="auto"/>
        <w:rPr>
          <w:color w:val="000000"/>
          <w:sz w:val="26"/>
          <w:szCs w:val="26"/>
        </w:rPr>
      </w:pPr>
      <w:r w:rsidRPr="0029748B">
        <w:rPr>
          <w:color w:val="000000"/>
          <w:sz w:val="26"/>
          <w:szCs w:val="26"/>
        </w:rPr>
        <w:t>(emphasis added).  Based on the language of Section 1327(a)(9), w</w:t>
      </w:r>
      <w:r w:rsidR="00AC3B43" w:rsidRPr="0029748B">
        <w:rPr>
          <w:color w:val="000000"/>
          <w:sz w:val="26"/>
          <w:szCs w:val="26"/>
        </w:rPr>
        <w:t>e</w:t>
      </w:r>
      <w:r w:rsidR="00683404" w:rsidRPr="0029748B">
        <w:rPr>
          <w:color w:val="000000"/>
          <w:sz w:val="26"/>
          <w:szCs w:val="26"/>
        </w:rPr>
        <w:t xml:space="preserve"> also agree with the ALJ’s recommendation to adopt I&amp;E’s position on the calculation of residual Acquisition Adjustment based upon a decrease in the value of the original claim for Acquisition Adjustment by the accrued annual amortization expense.  </w:t>
      </w:r>
    </w:p>
    <w:p w14:paraId="220FA884" w14:textId="77777777" w:rsidR="00CA319E" w:rsidRPr="0029748B" w:rsidRDefault="00CA319E" w:rsidP="0029748B">
      <w:pPr>
        <w:widowControl/>
        <w:spacing w:line="360" w:lineRule="auto"/>
        <w:rPr>
          <w:color w:val="000000"/>
          <w:sz w:val="26"/>
          <w:szCs w:val="26"/>
        </w:rPr>
      </w:pPr>
    </w:p>
    <w:p w14:paraId="4DC081B4" w14:textId="77777777" w:rsidR="00C80FA8" w:rsidRPr="0029748B" w:rsidRDefault="0069119A" w:rsidP="0029748B">
      <w:pPr>
        <w:widowControl/>
        <w:spacing w:line="360" w:lineRule="auto"/>
        <w:ind w:firstLine="1440"/>
        <w:rPr>
          <w:color w:val="000000"/>
          <w:sz w:val="26"/>
          <w:szCs w:val="26"/>
        </w:rPr>
      </w:pPr>
      <w:r w:rsidRPr="0029748B">
        <w:rPr>
          <w:color w:val="000000"/>
          <w:sz w:val="26"/>
          <w:szCs w:val="26"/>
        </w:rPr>
        <w:t>Section 1327(a)(9) provides that where an “overpayment” occurs, the amount will be “added to rate base to be amortized as addition to expense over a reasonable period of time with corresponding reductions in the rate base</w:t>
      </w:r>
      <w:r w:rsidR="001F21A1" w:rsidRPr="0029748B">
        <w:rPr>
          <w:color w:val="000000"/>
          <w:sz w:val="26"/>
          <w:szCs w:val="26"/>
        </w:rPr>
        <w:t xml:space="preserve">.” </w:t>
      </w:r>
      <w:r w:rsidRPr="0029748B">
        <w:rPr>
          <w:color w:val="000000"/>
          <w:sz w:val="26"/>
          <w:szCs w:val="26"/>
        </w:rPr>
        <w:t xml:space="preserve"> </w:t>
      </w:r>
      <w:r w:rsidR="00683404" w:rsidRPr="0029748B">
        <w:rPr>
          <w:color w:val="000000"/>
          <w:sz w:val="26"/>
          <w:szCs w:val="26"/>
        </w:rPr>
        <w:t xml:space="preserve">I&amp;E correctly described the </w:t>
      </w:r>
      <w:r w:rsidR="001F21A1" w:rsidRPr="0029748B">
        <w:rPr>
          <w:color w:val="000000"/>
          <w:sz w:val="26"/>
          <w:szCs w:val="26"/>
        </w:rPr>
        <w:t xml:space="preserve">Section 1327(a)(9) </w:t>
      </w:r>
      <w:r w:rsidR="00683404" w:rsidRPr="0029748B">
        <w:rPr>
          <w:color w:val="000000"/>
          <w:sz w:val="26"/>
          <w:szCs w:val="26"/>
        </w:rPr>
        <w:t>process by which a Company</w:t>
      </w:r>
      <w:r w:rsidR="00CA319E" w:rsidRPr="0029748B">
        <w:rPr>
          <w:color w:val="000000"/>
          <w:sz w:val="26"/>
          <w:szCs w:val="26"/>
        </w:rPr>
        <w:t>’s</w:t>
      </w:r>
      <w:r w:rsidR="00683404" w:rsidRPr="0029748B">
        <w:rPr>
          <w:color w:val="000000"/>
          <w:sz w:val="26"/>
          <w:szCs w:val="26"/>
        </w:rPr>
        <w:t xml:space="preserve"> recover</w:t>
      </w:r>
      <w:r w:rsidR="00CA319E" w:rsidRPr="0029748B">
        <w:rPr>
          <w:color w:val="000000"/>
          <w:sz w:val="26"/>
          <w:szCs w:val="26"/>
        </w:rPr>
        <w:t xml:space="preserve">y is limited to the </w:t>
      </w:r>
      <w:r w:rsidR="00683404" w:rsidRPr="0029748B">
        <w:rPr>
          <w:color w:val="000000"/>
          <w:sz w:val="26"/>
          <w:szCs w:val="26"/>
        </w:rPr>
        <w:t xml:space="preserve">original claimed Acquisition Adjustment.  Once an Acquisition Adjustment is claimed </w:t>
      </w:r>
      <w:r w:rsidR="00C80FA8" w:rsidRPr="0029748B">
        <w:rPr>
          <w:color w:val="000000"/>
          <w:sz w:val="26"/>
          <w:szCs w:val="26"/>
        </w:rPr>
        <w:t xml:space="preserve">and factored </w:t>
      </w:r>
      <w:r w:rsidR="00683404" w:rsidRPr="0029748B">
        <w:rPr>
          <w:color w:val="000000"/>
          <w:sz w:val="26"/>
          <w:szCs w:val="26"/>
        </w:rPr>
        <w:t>in a rate proceeding, it is</w:t>
      </w:r>
      <w:r w:rsidR="00EA770F" w:rsidRPr="0029748B">
        <w:rPr>
          <w:color w:val="000000"/>
          <w:sz w:val="26"/>
          <w:szCs w:val="26"/>
        </w:rPr>
        <w:t xml:space="preserve"> to be amortized </w:t>
      </w:r>
      <w:r w:rsidR="00683404" w:rsidRPr="0029748B">
        <w:rPr>
          <w:color w:val="000000"/>
          <w:sz w:val="26"/>
          <w:szCs w:val="26"/>
        </w:rPr>
        <w:t xml:space="preserve">thereafter </w:t>
      </w:r>
      <w:r w:rsidR="00EA770F" w:rsidRPr="0029748B">
        <w:rPr>
          <w:color w:val="000000"/>
          <w:sz w:val="26"/>
          <w:szCs w:val="26"/>
        </w:rPr>
        <w:t>over a fixed period of years</w:t>
      </w:r>
      <w:r w:rsidR="00C80FA8" w:rsidRPr="0029748B">
        <w:rPr>
          <w:color w:val="000000"/>
          <w:sz w:val="26"/>
          <w:szCs w:val="26"/>
        </w:rPr>
        <w:t>, based upon the amortization schedule</w:t>
      </w:r>
      <w:r w:rsidR="00683404" w:rsidRPr="0029748B">
        <w:rPr>
          <w:color w:val="000000"/>
          <w:sz w:val="26"/>
          <w:szCs w:val="26"/>
        </w:rPr>
        <w:t>.</w:t>
      </w:r>
      <w:r w:rsidR="00C80FA8" w:rsidRPr="0029748B">
        <w:rPr>
          <w:color w:val="000000"/>
          <w:sz w:val="26"/>
          <w:szCs w:val="26"/>
        </w:rPr>
        <w:t xml:space="preserve">  This establishes the applicable annual amortization rate</w:t>
      </w:r>
      <w:r w:rsidR="001F21A1" w:rsidRPr="0029748B">
        <w:rPr>
          <w:color w:val="000000"/>
          <w:sz w:val="26"/>
          <w:szCs w:val="26"/>
        </w:rPr>
        <w:t xml:space="preserve"> and operates to limit recovery to the original claimed amount</w:t>
      </w:r>
      <w:r w:rsidR="00C80FA8" w:rsidRPr="0029748B">
        <w:rPr>
          <w:color w:val="000000"/>
          <w:sz w:val="26"/>
          <w:szCs w:val="26"/>
        </w:rPr>
        <w:t>.</w:t>
      </w:r>
    </w:p>
    <w:p w14:paraId="6D3CC79B" w14:textId="77777777" w:rsidR="00C80FA8" w:rsidRPr="0029748B" w:rsidRDefault="00C80FA8" w:rsidP="0029748B">
      <w:pPr>
        <w:widowControl/>
        <w:spacing w:line="360" w:lineRule="auto"/>
        <w:ind w:firstLine="1440"/>
        <w:rPr>
          <w:color w:val="000000"/>
          <w:sz w:val="26"/>
          <w:szCs w:val="26"/>
        </w:rPr>
      </w:pPr>
    </w:p>
    <w:p w14:paraId="4FC270C1" w14:textId="77777777" w:rsidR="003A22FB" w:rsidRPr="0029748B" w:rsidRDefault="001F21A1" w:rsidP="0029748B">
      <w:pPr>
        <w:widowControl/>
        <w:spacing w:line="360" w:lineRule="auto"/>
        <w:ind w:firstLine="1440"/>
        <w:rPr>
          <w:color w:val="000000"/>
          <w:sz w:val="26"/>
          <w:szCs w:val="26"/>
        </w:rPr>
      </w:pPr>
      <w:r w:rsidRPr="0029748B">
        <w:rPr>
          <w:color w:val="000000"/>
          <w:sz w:val="26"/>
          <w:szCs w:val="26"/>
        </w:rPr>
        <w:t xml:space="preserve">Once an </w:t>
      </w:r>
      <w:r w:rsidR="005D7714" w:rsidRPr="0029748B">
        <w:rPr>
          <w:color w:val="000000"/>
          <w:sz w:val="26"/>
          <w:szCs w:val="26"/>
        </w:rPr>
        <w:t>A</w:t>
      </w:r>
      <w:r w:rsidRPr="0029748B">
        <w:rPr>
          <w:color w:val="000000"/>
          <w:sz w:val="26"/>
          <w:szCs w:val="26"/>
        </w:rPr>
        <w:t xml:space="preserve">cquisition </w:t>
      </w:r>
      <w:r w:rsidR="005D7714" w:rsidRPr="0029748B">
        <w:rPr>
          <w:color w:val="000000"/>
          <w:sz w:val="26"/>
          <w:szCs w:val="26"/>
        </w:rPr>
        <w:t>A</w:t>
      </w:r>
      <w:r w:rsidRPr="0029748B">
        <w:rPr>
          <w:color w:val="000000"/>
          <w:sz w:val="26"/>
          <w:szCs w:val="26"/>
        </w:rPr>
        <w:t>djustment is claimed in a rate proceeding, e</w:t>
      </w:r>
      <w:r w:rsidR="00EA770F" w:rsidRPr="0029748B">
        <w:rPr>
          <w:color w:val="000000"/>
          <w:sz w:val="26"/>
          <w:szCs w:val="26"/>
        </w:rPr>
        <w:t xml:space="preserve">ach passing year </w:t>
      </w:r>
      <w:r w:rsidR="00C80FA8" w:rsidRPr="0029748B">
        <w:rPr>
          <w:color w:val="000000"/>
          <w:sz w:val="26"/>
          <w:szCs w:val="26"/>
        </w:rPr>
        <w:t xml:space="preserve">thereafter </w:t>
      </w:r>
      <w:r w:rsidR="00EA770F" w:rsidRPr="0029748B">
        <w:rPr>
          <w:color w:val="000000"/>
          <w:sz w:val="26"/>
          <w:szCs w:val="26"/>
        </w:rPr>
        <w:t>reflects a</w:t>
      </w:r>
      <w:r w:rsidR="00C80FA8" w:rsidRPr="0029748B">
        <w:rPr>
          <w:color w:val="000000"/>
          <w:sz w:val="26"/>
          <w:szCs w:val="26"/>
        </w:rPr>
        <w:t xml:space="preserve">n annual </w:t>
      </w:r>
      <w:r w:rsidR="00EA770F" w:rsidRPr="0029748B">
        <w:rPr>
          <w:color w:val="000000"/>
          <w:sz w:val="26"/>
          <w:szCs w:val="26"/>
        </w:rPr>
        <w:t xml:space="preserve">period during which the company recovers a portion of the original positive </w:t>
      </w:r>
      <w:r w:rsidR="005D7714" w:rsidRPr="0029748B">
        <w:rPr>
          <w:color w:val="000000"/>
          <w:sz w:val="26"/>
          <w:szCs w:val="26"/>
        </w:rPr>
        <w:t>A</w:t>
      </w:r>
      <w:r w:rsidR="00EA770F" w:rsidRPr="0029748B">
        <w:rPr>
          <w:color w:val="000000"/>
          <w:sz w:val="26"/>
          <w:szCs w:val="26"/>
        </w:rPr>
        <w:t xml:space="preserve">cquisition </w:t>
      </w:r>
      <w:r w:rsidR="005D7714" w:rsidRPr="0029748B">
        <w:rPr>
          <w:color w:val="000000"/>
          <w:sz w:val="26"/>
          <w:szCs w:val="26"/>
        </w:rPr>
        <w:t>A</w:t>
      </w:r>
      <w:r w:rsidR="00EA770F" w:rsidRPr="0029748B">
        <w:rPr>
          <w:color w:val="000000"/>
          <w:sz w:val="26"/>
          <w:szCs w:val="26"/>
        </w:rPr>
        <w:t>djustment</w:t>
      </w:r>
      <w:r w:rsidRPr="0029748B">
        <w:rPr>
          <w:color w:val="000000"/>
          <w:sz w:val="26"/>
          <w:szCs w:val="26"/>
        </w:rPr>
        <w:t xml:space="preserve">, </w:t>
      </w:r>
      <w:r w:rsidR="00CA319E" w:rsidRPr="0029748B">
        <w:rPr>
          <w:color w:val="000000"/>
          <w:sz w:val="26"/>
          <w:szCs w:val="26"/>
        </w:rPr>
        <w:t xml:space="preserve">by receiving payment at a higher rate due to the rate base increased by the claimed </w:t>
      </w:r>
      <w:r w:rsidR="00913912" w:rsidRPr="0029748B">
        <w:rPr>
          <w:color w:val="000000"/>
          <w:sz w:val="26"/>
          <w:szCs w:val="26"/>
        </w:rPr>
        <w:t>a</w:t>
      </w:r>
      <w:r w:rsidR="00CA319E" w:rsidRPr="0029748B">
        <w:rPr>
          <w:color w:val="000000"/>
          <w:sz w:val="26"/>
          <w:szCs w:val="26"/>
        </w:rPr>
        <w:t>djustment</w:t>
      </w:r>
      <w:r w:rsidR="00753386" w:rsidRPr="0029748B">
        <w:rPr>
          <w:color w:val="000000"/>
          <w:sz w:val="26"/>
          <w:szCs w:val="26"/>
        </w:rPr>
        <w:t>, and by the claim of the annual amortization expense.</w:t>
      </w:r>
      <w:r w:rsidR="00CA319E" w:rsidRPr="0029748B">
        <w:rPr>
          <w:color w:val="000000"/>
          <w:sz w:val="26"/>
          <w:szCs w:val="26"/>
        </w:rPr>
        <w:t xml:space="preserve"> </w:t>
      </w:r>
      <w:r w:rsidR="00EA770F" w:rsidRPr="0029748B">
        <w:rPr>
          <w:color w:val="000000"/>
          <w:sz w:val="26"/>
          <w:szCs w:val="26"/>
        </w:rPr>
        <w:t xml:space="preserve"> The annual amortization schedule ensures that, when the Company returns for a rate increase in future years, the </w:t>
      </w:r>
      <w:r w:rsidR="00C80FA8" w:rsidRPr="0029748B">
        <w:rPr>
          <w:color w:val="000000"/>
          <w:sz w:val="26"/>
          <w:szCs w:val="26"/>
        </w:rPr>
        <w:t xml:space="preserve">Company’s </w:t>
      </w:r>
      <w:r w:rsidR="00EA770F" w:rsidRPr="0029748B">
        <w:rPr>
          <w:color w:val="000000"/>
          <w:sz w:val="26"/>
          <w:szCs w:val="26"/>
        </w:rPr>
        <w:t xml:space="preserve">allowable claim for an increase to the rate base for the </w:t>
      </w:r>
      <w:r w:rsidR="005D7714" w:rsidRPr="0029748B">
        <w:rPr>
          <w:color w:val="000000"/>
          <w:sz w:val="26"/>
          <w:szCs w:val="26"/>
        </w:rPr>
        <w:t>A</w:t>
      </w:r>
      <w:r w:rsidR="00EA770F" w:rsidRPr="0029748B">
        <w:rPr>
          <w:color w:val="000000"/>
          <w:sz w:val="26"/>
          <w:szCs w:val="26"/>
        </w:rPr>
        <w:t xml:space="preserve">cquisition </w:t>
      </w:r>
      <w:r w:rsidR="005D7714" w:rsidRPr="0029748B">
        <w:rPr>
          <w:color w:val="000000"/>
          <w:sz w:val="26"/>
          <w:szCs w:val="26"/>
        </w:rPr>
        <w:t>A</w:t>
      </w:r>
      <w:r w:rsidR="00EA770F" w:rsidRPr="0029748B">
        <w:rPr>
          <w:color w:val="000000"/>
          <w:sz w:val="26"/>
          <w:szCs w:val="26"/>
        </w:rPr>
        <w:t xml:space="preserve">djustment is reduced by </w:t>
      </w:r>
      <w:r w:rsidR="00C80FA8" w:rsidRPr="0029748B">
        <w:rPr>
          <w:color w:val="000000"/>
          <w:sz w:val="26"/>
          <w:szCs w:val="26"/>
        </w:rPr>
        <w:t xml:space="preserve">subtracting the accrued </w:t>
      </w:r>
      <w:r w:rsidR="00EA770F" w:rsidRPr="0029748B">
        <w:rPr>
          <w:color w:val="000000"/>
          <w:sz w:val="26"/>
          <w:szCs w:val="26"/>
        </w:rPr>
        <w:t xml:space="preserve">annual amortization of the original claimed amount, resulting in the “residual </w:t>
      </w:r>
      <w:r w:rsidR="00913912" w:rsidRPr="0029748B">
        <w:rPr>
          <w:color w:val="000000"/>
          <w:sz w:val="26"/>
          <w:szCs w:val="26"/>
        </w:rPr>
        <w:t>a</w:t>
      </w:r>
      <w:r w:rsidR="00EA770F" w:rsidRPr="0029748B">
        <w:rPr>
          <w:color w:val="000000"/>
          <w:sz w:val="26"/>
          <w:szCs w:val="26"/>
        </w:rPr>
        <w:t xml:space="preserve">cquisition </w:t>
      </w:r>
      <w:r w:rsidR="00913912" w:rsidRPr="0029748B">
        <w:rPr>
          <w:color w:val="000000"/>
          <w:sz w:val="26"/>
          <w:szCs w:val="26"/>
        </w:rPr>
        <w:t>a</w:t>
      </w:r>
      <w:r w:rsidR="00EA770F" w:rsidRPr="0029748B">
        <w:rPr>
          <w:color w:val="000000"/>
          <w:sz w:val="26"/>
          <w:szCs w:val="26"/>
        </w:rPr>
        <w:t>djustment.”</w:t>
      </w:r>
      <w:r w:rsidR="00C80FA8" w:rsidRPr="0029748B">
        <w:rPr>
          <w:color w:val="000000"/>
          <w:sz w:val="26"/>
          <w:szCs w:val="26"/>
        </w:rPr>
        <w:t xml:space="preserve">  T</w:t>
      </w:r>
      <w:r w:rsidR="00913912" w:rsidRPr="0029748B">
        <w:rPr>
          <w:color w:val="000000"/>
          <w:sz w:val="26"/>
          <w:szCs w:val="26"/>
        </w:rPr>
        <w:t xml:space="preserve">he reduction of the claim by the accrued annual amortization </w:t>
      </w:r>
      <w:r w:rsidR="00C80FA8" w:rsidRPr="0029748B">
        <w:rPr>
          <w:color w:val="000000"/>
          <w:sz w:val="26"/>
          <w:szCs w:val="26"/>
        </w:rPr>
        <w:lastRenderedPageBreak/>
        <w:t>ensur</w:t>
      </w:r>
      <w:r w:rsidR="00913912" w:rsidRPr="0029748B">
        <w:rPr>
          <w:color w:val="000000"/>
          <w:sz w:val="26"/>
          <w:szCs w:val="26"/>
        </w:rPr>
        <w:t>es</w:t>
      </w:r>
      <w:r w:rsidR="00C80FA8" w:rsidRPr="0029748B">
        <w:rPr>
          <w:color w:val="000000"/>
          <w:sz w:val="26"/>
          <w:szCs w:val="26"/>
        </w:rPr>
        <w:t xml:space="preserve"> that the Company’s recovery is limited to the original </w:t>
      </w:r>
      <w:r w:rsidR="005D7714" w:rsidRPr="0029748B">
        <w:rPr>
          <w:color w:val="000000"/>
          <w:sz w:val="26"/>
          <w:szCs w:val="26"/>
        </w:rPr>
        <w:t>A</w:t>
      </w:r>
      <w:r w:rsidR="00C80FA8" w:rsidRPr="0029748B">
        <w:rPr>
          <w:color w:val="000000"/>
          <w:sz w:val="26"/>
          <w:szCs w:val="26"/>
        </w:rPr>
        <w:t xml:space="preserve">cquisition </w:t>
      </w:r>
      <w:r w:rsidR="005D7714" w:rsidRPr="0029748B">
        <w:rPr>
          <w:color w:val="000000"/>
          <w:sz w:val="26"/>
          <w:szCs w:val="26"/>
        </w:rPr>
        <w:t>A</w:t>
      </w:r>
      <w:r w:rsidR="00C80FA8" w:rsidRPr="0029748B">
        <w:rPr>
          <w:color w:val="000000"/>
          <w:sz w:val="26"/>
          <w:szCs w:val="26"/>
        </w:rPr>
        <w:t>djustment claim.</w:t>
      </w:r>
    </w:p>
    <w:p w14:paraId="716C883B" w14:textId="77777777" w:rsidR="00C80FA8" w:rsidRPr="0029748B" w:rsidRDefault="00C80FA8" w:rsidP="0029748B">
      <w:pPr>
        <w:widowControl/>
        <w:spacing w:line="360" w:lineRule="auto"/>
        <w:ind w:firstLine="1440"/>
        <w:rPr>
          <w:color w:val="000000"/>
          <w:sz w:val="26"/>
          <w:szCs w:val="26"/>
        </w:rPr>
      </w:pPr>
    </w:p>
    <w:p w14:paraId="6BB343C1" w14:textId="77777777" w:rsidR="00287434" w:rsidRPr="0029748B" w:rsidRDefault="00C80FA8" w:rsidP="0029748B">
      <w:pPr>
        <w:widowControl/>
        <w:spacing w:line="360" w:lineRule="auto"/>
        <w:ind w:firstLine="1440"/>
        <w:rPr>
          <w:color w:val="000000"/>
          <w:sz w:val="26"/>
          <w:szCs w:val="26"/>
        </w:rPr>
      </w:pPr>
      <w:r w:rsidRPr="0029748B">
        <w:rPr>
          <w:color w:val="000000"/>
          <w:sz w:val="26"/>
          <w:szCs w:val="26"/>
        </w:rPr>
        <w:t xml:space="preserve">Therefore, we agree with the ALJ’s analysis and recommendation to reject the Company’s and the OCA’s positions on the issue of the proper calculation of the Company’s Acquisition Adjustment, as inconsistent with Section </w:t>
      </w:r>
      <w:r w:rsidR="00287434" w:rsidRPr="0029748B">
        <w:rPr>
          <w:color w:val="000000"/>
          <w:sz w:val="26"/>
          <w:szCs w:val="26"/>
        </w:rPr>
        <w:t>1327</w:t>
      </w:r>
      <w:r w:rsidR="001F21A1" w:rsidRPr="0029748B">
        <w:rPr>
          <w:color w:val="000000"/>
          <w:sz w:val="26"/>
          <w:szCs w:val="26"/>
        </w:rPr>
        <w:t>(a)</w:t>
      </w:r>
      <w:r w:rsidR="00287434" w:rsidRPr="0029748B">
        <w:rPr>
          <w:color w:val="000000"/>
          <w:sz w:val="26"/>
          <w:szCs w:val="26"/>
        </w:rPr>
        <w:t xml:space="preserve"> of the Code, and adopt I&amp;E’s calculation,</w:t>
      </w:r>
      <w:r w:rsidR="001F21A1" w:rsidRPr="0029748B">
        <w:rPr>
          <w:color w:val="000000"/>
          <w:sz w:val="26"/>
          <w:szCs w:val="26"/>
        </w:rPr>
        <w:t xml:space="preserve"> and the resulting downward adjustment to rate base </w:t>
      </w:r>
      <w:r w:rsidR="00CA319E" w:rsidRPr="0029748B">
        <w:rPr>
          <w:color w:val="000000"/>
          <w:sz w:val="26"/>
          <w:szCs w:val="26"/>
        </w:rPr>
        <w:t>in the amount of $18,</w:t>
      </w:r>
      <w:r w:rsidR="00753386" w:rsidRPr="0029748B">
        <w:rPr>
          <w:color w:val="000000"/>
          <w:sz w:val="26"/>
          <w:szCs w:val="26"/>
        </w:rPr>
        <w:t>388,</w:t>
      </w:r>
      <w:r w:rsidR="00287434" w:rsidRPr="0029748B">
        <w:rPr>
          <w:color w:val="000000"/>
          <w:sz w:val="26"/>
          <w:szCs w:val="26"/>
        </w:rPr>
        <w:t xml:space="preserve"> as reasonable and in the public interest. </w:t>
      </w:r>
    </w:p>
    <w:p w14:paraId="573B3AEC" w14:textId="77777777" w:rsidR="004A686D" w:rsidRPr="0029748B" w:rsidRDefault="004A686D" w:rsidP="0029748B">
      <w:pPr>
        <w:widowControl/>
        <w:spacing w:line="360" w:lineRule="auto"/>
        <w:ind w:firstLine="1440"/>
        <w:rPr>
          <w:color w:val="000000"/>
          <w:sz w:val="26"/>
          <w:szCs w:val="26"/>
        </w:rPr>
      </w:pPr>
    </w:p>
    <w:p w14:paraId="16505AA9" w14:textId="77777777" w:rsidR="004A686D" w:rsidRPr="0029748B" w:rsidRDefault="004A686D" w:rsidP="0029748B">
      <w:pPr>
        <w:pStyle w:val="ListParagraph"/>
        <w:widowControl/>
        <w:spacing w:line="360" w:lineRule="auto"/>
        <w:ind w:left="0" w:firstLine="1440"/>
        <w:rPr>
          <w:color w:val="000000"/>
          <w:sz w:val="26"/>
          <w:szCs w:val="26"/>
        </w:rPr>
      </w:pPr>
      <w:r w:rsidRPr="0029748B">
        <w:rPr>
          <w:color w:val="000000"/>
          <w:sz w:val="26"/>
          <w:szCs w:val="26"/>
        </w:rPr>
        <w:t xml:space="preserve">Accordingly, we shall deny </w:t>
      </w:r>
      <w:r w:rsidRPr="0029748B">
        <w:rPr>
          <w:bCs/>
          <w:sz w:val="26"/>
          <w:szCs w:val="26"/>
        </w:rPr>
        <w:t>Twin Lakes</w:t>
      </w:r>
      <w:r w:rsidR="00302B55" w:rsidRPr="0029748B">
        <w:rPr>
          <w:bCs/>
          <w:sz w:val="26"/>
          <w:szCs w:val="26"/>
        </w:rPr>
        <w:t>’</w:t>
      </w:r>
      <w:r w:rsidRPr="0029748B">
        <w:rPr>
          <w:bCs/>
          <w:sz w:val="26"/>
          <w:szCs w:val="26"/>
        </w:rPr>
        <w:t xml:space="preserve"> Exc. No. 4; and </w:t>
      </w:r>
      <w:r w:rsidR="009D1E3D" w:rsidRPr="0029748B">
        <w:rPr>
          <w:bCs/>
          <w:sz w:val="26"/>
          <w:szCs w:val="26"/>
        </w:rPr>
        <w:t xml:space="preserve">the </w:t>
      </w:r>
      <w:r w:rsidRPr="0029748B">
        <w:rPr>
          <w:bCs/>
          <w:sz w:val="26"/>
          <w:szCs w:val="26"/>
        </w:rPr>
        <w:t>OCA</w:t>
      </w:r>
      <w:r w:rsidR="009D1E3D" w:rsidRPr="0029748B">
        <w:rPr>
          <w:bCs/>
          <w:sz w:val="26"/>
          <w:szCs w:val="26"/>
        </w:rPr>
        <w:t>’s</w:t>
      </w:r>
      <w:r w:rsidRPr="0029748B">
        <w:rPr>
          <w:bCs/>
          <w:sz w:val="26"/>
          <w:szCs w:val="26"/>
        </w:rPr>
        <w:t xml:space="preserve"> Exc. No. 1.</w:t>
      </w:r>
    </w:p>
    <w:p w14:paraId="23B2C097" w14:textId="77777777" w:rsidR="00BA6738" w:rsidRPr="0029748B" w:rsidRDefault="00BA6738" w:rsidP="0029748B">
      <w:pPr>
        <w:widowControl/>
        <w:spacing w:line="360" w:lineRule="auto"/>
        <w:ind w:right="72"/>
        <w:contextualSpacing/>
        <w:textAlignment w:val="baseline"/>
        <w:rPr>
          <w:color w:val="000000"/>
          <w:sz w:val="26"/>
          <w:szCs w:val="26"/>
          <w:highlight w:val="lightGray"/>
        </w:rPr>
      </w:pPr>
    </w:p>
    <w:p w14:paraId="1B93275E" w14:textId="77777777" w:rsidR="00464BE0" w:rsidRPr="0029748B" w:rsidRDefault="00D951C4" w:rsidP="0029748B">
      <w:pPr>
        <w:pStyle w:val="ListParagraph"/>
        <w:keepNext/>
        <w:widowControl/>
        <w:numPr>
          <w:ilvl w:val="0"/>
          <w:numId w:val="4"/>
        </w:numPr>
        <w:spacing w:line="360" w:lineRule="auto"/>
        <w:ind w:left="720" w:hanging="720"/>
        <w:rPr>
          <w:b/>
          <w:color w:val="000000"/>
          <w:sz w:val="26"/>
          <w:szCs w:val="26"/>
        </w:rPr>
      </w:pPr>
      <w:r w:rsidRPr="0029748B">
        <w:rPr>
          <w:b/>
          <w:color w:val="000000"/>
          <w:sz w:val="26"/>
          <w:szCs w:val="26"/>
        </w:rPr>
        <w:t>Revenues</w:t>
      </w:r>
      <w:r w:rsidR="00CB0DF2" w:rsidRPr="0029748B">
        <w:rPr>
          <w:b/>
          <w:color w:val="000000"/>
          <w:sz w:val="26"/>
          <w:szCs w:val="26"/>
        </w:rPr>
        <w:t xml:space="preserve"> and Revenue Requirement</w:t>
      </w:r>
    </w:p>
    <w:p w14:paraId="7759F1B3" w14:textId="77777777" w:rsidR="00CB0DF2" w:rsidRPr="0029748B" w:rsidRDefault="00CB0DF2" w:rsidP="0029748B">
      <w:pPr>
        <w:pStyle w:val="ListParagraph"/>
        <w:keepNext/>
        <w:widowControl/>
        <w:spacing w:line="360" w:lineRule="auto"/>
        <w:rPr>
          <w:b/>
          <w:color w:val="000000"/>
          <w:sz w:val="26"/>
          <w:szCs w:val="26"/>
        </w:rPr>
      </w:pPr>
    </w:p>
    <w:p w14:paraId="509A54D7" w14:textId="77777777" w:rsidR="00CB0DF2" w:rsidRPr="0029748B" w:rsidRDefault="00CB0DF2" w:rsidP="00E15BA1">
      <w:pPr>
        <w:keepNext/>
        <w:keepLines/>
        <w:widowControl/>
        <w:spacing w:after="200" w:line="360" w:lineRule="auto"/>
        <w:ind w:firstLine="720"/>
        <w:contextualSpacing/>
        <w:rPr>
          <w:rFonts w:eastAsia="Calibri"/>
          <w:b/>
          <w:bCs/>
          <w:sz w:val="26"/>
          <w:szCs w:val="26"/>
        </w:rPr>
      </w:pPr>
      <w:r w:rsidRPr="0029748B">
        <w:rPr>
          <w:rFonts w:eastAsia="Calibri"/>
          <w:b/>
          <w:bCs/>
          <w:sz w:val="26"/>
          <w:szCs w:val="26"/>
        </w:rPr>
        <w:t>1.</w:t>
      </w:r>
      <w:r w:rsidRPr="0029748B">
        <w:rPr>
          <w:rFonts w:eastAsia="Calibri"/>
          <w:b/>
          <w:bCs/>
          <w:sz w:val="26"/>
          <w:szCs w:val="26"/>
        </w:rPr>
        <w:tab/>
        <w:t>Positions of the Parties</w:t>
      </w:r>
    </w:p>
    <w:p w14:paraId="4BB59CD6" w14:textId="77777777" w:rsidR="00CB0DF2" w:rsidRPr="0029748B" w:rsidRDefault="00CB0DF2" w:rsidP="0029748B">
      <w:pPr>
        <w:keepNext/>
        <w:keepLines/>
        <w:widowControl/>
        <w:spacing w:after="200" w:line="360" w:lineRule="auto"/>
        <w:ind w:firstLine="1440"/>
        <w:contextualSpacing/>
        <w:rPr>
          <w:rFonts w:eastAsia="Calibri"/>
          <w:sz w:val="26"/>
          <w:szCs w:val="26"/>
        </w:rPr>
      </w:pPr>
    </w:p>
    <w:p w14:paraId="114EAAB1" w14:textId="77777777" w:rsidR="00CB0DF2" w:rsidRPr="0029748B" w:rsidRDefault="00CB0DF2" w:rsidP="0029748B">
      <w:pPr>
        <w:widowControl/>
        <w:spacing w:after="200" w:line="360" w:lineRule="auto"/>
        <w:ind w:firstLine="1440"/>
        <w:contextualSpacing/>
        <w:rPr>
          <w:rFonts w:eastAsia="Calibri"/>
          <w:sz w:val="26"/>
          <w:szCs w:val="26"/>
        </w:rPr>
      </w:pPr>
      <w:r w:rsidRPr="0029748B">
        <w:rPr>
          <w:rFonts w:eastAsia="Calibri"/>
          <w:sz w:val="26"/>
          <w:szCs w:val="26"/>
        </w:rPr>
        <w:t>Twin Lakes proposed a final revenue requirement of $345,308, which would result in an overall revenue increase of $211,794.  Twin Lakes submitted that its claimed revenues at proposed rates are reasonable and should be adopted.  Twin Lakes M</w:t>
      </w:r>
      <w:r w:rsidR="00C26C47" w:rsidRPr="0029748B">
        <w:rPr>
          <w:rFonts w:eastAsia="Calibri"/>
          <w:sz w:val="26"/>
          <w:szCs w:val="26"/>
        </w:rPr>
        <w:t>.</w:t>
      </w:r>
      <w:r w:rsidRPr="0029748B">
        <w:rPr>
          <w:rFonts w:eastAsia="Calibri"/>
          <w:sz w:val="26"/>
          <w:szCs w:val="26"/>
        </w:rPr>
        <w:t>B</w:t>
      </w:r>
      <w:r w:rsidR="00C26C47" w:rsidRPr="0029748B">
        <w:rPr>
          <w:rFonts w:eastAsia="Calibri"/>
          <w:sz w:val="26"/>
          <w:szCs w:val="26"/>
        </w:rPr>
        <w:t>.</w:t>
      </w:r>
      <w:r w:rsidRPr="0029748B">
        <w:rPr>
          <w:rFonts w:eastAsia="Calibri"/>
          <w:sz w:val="26"/>
          <w:szCs w:val="26"/>
        </w:rPr>
        <w:t xml:space="preserve"> at 1-4; Twin Lakes M</w:t>
      </w:r>
      <w:r w:rsidR="00C26C47" w:rsidRPr="0029748B">
        <w:rPr>
          <w:rFonts w:eastAsia="Calibri"/>
          <w:sz w:val="26"/>
          <w:szCs w:val="26"/>
        </w:rPr>
        <w:t>.</w:t>
      </w:r>
      <w:r w:rsidRPr="0029748B">
        <w:rPr>
          <w:rFonts w:eastAsia="Calibri"/>
          <w:sz w:val="26"/>
          <w:szCs w:val="26"/>
        </w:rPr>
        <w:t>B</w:t>
      </w:r>
      <w:r w:rsidR="00C26C47" w:rsidRPr="0029748B">
        <w:rPr>
          <w:rFonts w:eastAsia="Calibri"/>
          <w:sz w:val="26"/>
          <w:szCs w:val="26"/>
        </w:rPr>
        <w:t>.</w:t>
      </w:r>
      <w:r w:rsidRPr="0029748B">
        <w:rPr>
          <w:rFonts w:eastAsia="Calibri"/>
          <w:sz w:val="26"/>
          <w:szCs w:val="26"/>
        </w:rPr>
        <w:t xml:space="preserve"> Addendum at Table I.</w:t>
      </w:r>
    </w:p>
    <w:p w14:paraId="11F6FFD3" w14:textId="77777777" w:rsidR="00CB0DF2" w:rsidRPr="0029748B" w:rsidRDefault="00CB0DF2" w:rsidP="0029748B">
      <w:pPr>
        <w:widowControl/>
        <w:spacing w:after="200" w:line="360" w:lineRule="auto"/>
        <w:ind w:firstLine="1440"/>
        <w:contextualSpacing/>
        <w:rPr>
          <w:rFonts w:eastAsia="Calibri"/>
          <w:sz w:val="26"/>
          <w:szCs w:val="26"/>
        </w:rPr>
      </w:pPr>
    </w:p>
    <w:p w14:paraId="4BC10BFB" w14:textId="77777777" w:rsidR="00CB0DF2" w:rsidRPr="0029748B" w:rsidRDefault="00CB0DF2" w:rsidP="0029748B">
      <w:pPr>
        <w:widowControl/>
        <w:spacing w:after="200" w:line="360" w:lineRule="auto"/>
        <w:ind w:firstLine="1440"/>
        <w:contextualSpacing/>
        <w:rPr>
          <w:rFonts w:eastAsia="Calibri"/>
          <w:sz w:val="26"/>
          <w:szCs w:val="26"/>
        </w:rPr>
      </w:pPr>
      <w:r w:rsidRPr="0029748B">
        <w:rPr>
          <w:rFonts w:eastAsia="Calibri"/>
          <w:sz w:val="26"/>
          <w:szCs w:val="26"/>
        </w:rPr>
        <w:t>As its primary position, I&amp;E proposed a final revenue requirement of $184,612, which would result in an overall revenue increase of $51,098.  I&amp;E explained that its primary recommendation is based on its recommendation that the Commission deny Twin Lakes a return on equity due to its provision of inadequate service to its customers.  On the other hand, I&amp;E submitted that if the Commission finds that Twin Lakes is providing adequate service such that a return on equity is warranted, then I&amp;E’s alternative proposed recommended revenue requirement is $245,291, representing an overall revenue increase of $111,777.  I&amp;E M</w:t>
      </w:r>
      <w:r w:rsidR="003D1780" w:rsidRPr="0029748B">
        <w:rPr>
          <w:rFonts w:eastAsia="Calibri"/>
          <w:sz w:val="26"/>
          <w:szCs w:val="26"/>
        </w:rPr>
        <w:t>.</w:t>
      </w:r>
      <w:r w:rsidRPr="0029748B">
        <w:rPr>
          <w:rFonts w:eastAsia="Calibri"/>
          <w:sz w:val="26"/>
          <w:szCs w:val="26"/>
        </w:rPr>
        <w:t>B</w:t>
      </w:r>
      <w:r w:rsidR="003D1780" w:rsidRPr="0029748B">
        <w:rPr>
          <w:rFonts w:eastAsia="Calibri"/>
          <w:sz w:val="26"/>
          <w:szCs w:val="26"/>
        </w:rPr>
        <w:t>.</w:t>
      </w:r>
      <w:r w:rsidRPr="0029748B">
        <w:rPr>
          <w:rFonts w:eastAsia="Calibri"/>
          <w:sz w:val="26"/>
          <w:szCs w:val="26"/>
        </w:rPr>
        <w:t xml:space="preserve"> at 4.</w:t>
      </w:r>
    </w:p>
    <w:p w14:paraId="47F57D37" w14:textId="77777777" w:rsidR="00CB0DF2" w:rsidRPr="0029748B" w:rsidRDefault="00CB0DF2" w:rsidP="0029748B">
      <w:pPr>
        <w:widowControl/>
        <w:spacing w:after="200" w:line="360" w:lineRule="auto"/>
        <w:ind w:firstLine="1440"/>
        <w:contextualSpacing/>
        <w:rPr>
          <w:rFonts w:eastAsia="Calibri"/>
          <w:sz w:val="26"/>
          <w:szCs w:val="26"/>
        </w:rPr>
      </w:pPr>
      <w:r w:rsidRPr="0029748B">
        <w:rPr>
          <w:rFonts w:eastAsia="Calibri"/>
          <w:sz w:val="26"/>
          <w:szCs w:val="26"/>
        </w:rPr>
        <w:lastRenderedPageBreak/>
        <w:t>Like I&amp;E, as outlined in its primary position, the OCA submitted that Twin Lakes provides inadequate service to its customers such that a return on equity is not warranted.  Therefore, the OCA proposed a final revenue requirement of $232,202, representing an overall revenue increase of $98,688.  OCA M.B. at 6.</w:t>
      </w:r>
    </w:p>
    <w:p w14:paraId="2FD18970" w14:textId="77777777" w:rsidR="00CB0DF2" w:rsidRPr="0029748B" w:rsidRDefault="00CB0DF2" w:rsidP="0029748B">
      <w:pPr>
        <w:widowControl/>
        <w:spacing w:after="200" w:line="360" w:lineRule="auto"/>
        <w:ind w:firstLine="1440"/>
        <w:contextualSpacing/>
        <w:rPr>
          <w:rFonts w:eastAsia="Calibri"/>
          <w:sz w:val="26"/>
          <w:szCs w:val="26"/>
        </w:rPr>
      </w:pPr>
    </w:p>
    <w:p w14:paraId="14925B17" w14:textId="77777777" w:rsidR="00CB0DF2" w:rsidRPr="0029748B" w:rsidRDefault="00CB0DF2" w:rsidP="00E15BA1">
      <w:pPr>
        <w:keepNext/>
        <w:keepLines/>
        <w:widowControl/>
        <w:spacing w:after="200" w:line="360" w:lineRule="auto"/>
        <w:ind w:firstLine="720"/>
        <w:contextualSpacing/>
        <w:rPr>
          <w:rFonts w:eastAsia="Calibri"/>
          <w:b/>
          <w:bCs/>
          <w:sz w:val="26"/>
          <w:szCs w:val="26"/>
        </w:rPr>
      </w:pPr>
      <w:r w:rsidRPr="0029748B">
        <w:rPr>
          <w:rFonts w:eastAsia="Calibri"/>
          <w:b/>
          <w:bCs/>
          <w:sz w:val="26"/>
          <w:szCs w:val="26"/>
        </w:rPr>
        <w:t>2.</w:t>
      </w:r>
      <w:r w:rsidRPr="0029748B">
        <w:rPr>
          <w:rFonts w:eastAsia="Calibri"/>
          <w:b/>
          <w:bCs/>
          <w:sz w:val="26"/>
          <w:szCs w:val="26"/>
        </w:rPr>
        <w:tab/>
        <w:t>Recommended Decision</w:t>
      </w:r>
    </w:p>
    <w:p w14:paraId="4DBD4D2F" w14:textId="77777777" w:rsidR="00CB0DF2" w:rsidRPr="0029748B" w:rsidRDefault="00CB0DF2" w:rsidP="0029748B">
      <w:pPr>
        <w:keepNext/>
        <w:keepLines/>
        <w:widowControl/>
        <w:spacing w:after="200" w:line="360" w:lineRule="auto"/>
        <w:ind w:firstLine="1440"/>
        <w:contextualSpacing/>
        <w:rPr>
          <w:rFonts w:eastAsia="Calibri"/>
          <w:sz w:val="26"/>
          <w:szCs w:val="26"/>
        </w:rPr>
      </w:pPr>
    </w:p>
    <w:p w14:paraId="7246D704" w14:textId="77777777" w:rsidR="00CB0DF2" w:rsidRPr="0029748B" w:rsidRDefault="00CB0DF2" w:rsidP="0029748B">
      <w:pPr>
        <w:widowControl/>
        <w:spacing w:after="200" w:line="360" w:lineRule="auto"/>
        <w:ind w:firstLine="1440"/>
        <w:contextualSpacing/>
        <w:rPr>
          <w:rFonts w:eastAsia="Calibri"/>
          <w:bCs/>
          <w:sz w:val="26"/>
          <w:szCs w:val="26"/>
        </w:rPr>
      </w:pPr>
      <w:r w:rsidRPr="0029748B">
        <w:rPr>
          <w:rFonts w:eastAsia="Calibri"/>
          <w:bCs/>
          <w:sz w:val="26"/>
          <w:szCs w:val="26"/>
        </w:rPr>
        <w:t>The ALJ recommended that Twin Lakes be permitted to increase annual revenues by $111,776, for a total final allowed revenue requirement of $245,290, based on the Company’s test year revenues of $133,514.  The ALJ reasoned that</w:t>
      </w:r>
      <w:r w:rsidR="00FC3EA5" w:rsidRPr="0029748B">
        <w:rPr>
          <w:rFonts w:eastAsia="Calibri"/>
          <w:bCs/>
          <w:sz w:val="26"/>
          <w:szCs w:val="26"/>
        </w:rPr>
        <w:t xml:space="preserve"> it was reasonable to adopt the Company’s claimed test year revenues</w:t>
      </w:r>
      <w:r w:rsidRPr="0029748B">
        <w:rPr>
          <w:rFonts w:eastAsia="Calibri"/>
          <w:bCs/>
          <w:sz w:val="26"/>
          <w:szCs w:val="26"/>
        </w:rPr>
        <w:t>,</w:t>
      </w:r>
      <w:r w:rsidR="005D7714" w:rsidRPr="0029748B">
        <w:rPr>
          <w:rFonts w:eastAsia="Calibri"/>
          <w:bCs/>
          <w:sz w:val="26"/>
          <w:szCs w:val="26"/>
        </w:rPr>
        <w:t xml:space="preserve"> </w:t>
      </w:r>
      <w:r w:rsidR="00FC3EA5" w:rsidRPr="0029748B">
        <w:rPr>
          <w:rFonts w:eastAsia="Calibri"/>
          <w:bCs/>
          <w:sz w:val="26"/>
          <w:szCs w:val="26"/>
        </w:rPr>
        <w:t xml:space="preserve">because </w:t>
      </w:r>
      <w:r w:rsidRPr="0029748B">
        <w:rPr>
          <w:rFonts w:eastAsia="Calibri"/>
          <w:bCs/>
          <w:sz w:val="26"/>
          <w:szCs w:val="26"/>
        </w:rPr>
        <w:t xml:space="preserve">Twin Lakes made no adjustments </w:t>
      </w:r>
      <w:r w:rsidR="00FC3EA5" w:rsidRPr="0029748B">
        <w:rPr>
          <w:rFonts w:eastAsia="Calibri"/>
          <w:bCs/>
          <w:sz w:val="26"/>
          <w:szCs w:val="26"/>
        </w:rPr>
        <w:t xml:space="preserve">to </w:t>
      </w:r>
      <w:r w:rsidRPr="0029748B">
        <w:rPr>
          <w:rFonts w:eastAsia="Calibri"/>
          <w:bCs/>
          <w:sz w:val="26"/>
          <w:szCs w:val="26"/>
        </w:rPr>
        <w:t xml:space="preserve">its claimed test year revenues and neither I&amp;E nor </w:t>
      </w:r>
      <w:r w:rsidR="00FC3EA5" w:rsidRPr="0029748B">
        <w:rPr>
          <w:rFonts w:eastAsia="Calibri"/>
          <w:bCs/>
          <w:sz w:val="26"/>
          <w:szCs w:val="26"/>
        </w:rPr>
        <w:t xml:space="preserve">the </w:t>
      </w:r>
      <w:r w:rsidRPr="0029748B">
        <w:rPr>
          <w:rFonts w:eastAsia="Calibri"/>
          <w:bCs/>
          <w:sz w:val="26"/>
          <w:szCs w:val="26"/>
        </w:rPr>
        <w:t xml:space="preserve">OCA contested the Company’s claim.  On that basis, the ALJ recommended that the Company’s test year revenue be adopted, for </w:t>
      </w:r>
      <w:r w:rsidR="00FC3EA5" w:rsidRPr="0029748B">
        <w:rPr>
          <w:rFonts w:eastAsia="Calibri"/>
          <w:bCs/>
          <w:sz w:val="26"/>
          <w:szCs w:val="26"/>
        </w:rPr>
        <w:t xml:space="preserve">the </w:t>
      </w:r>
      <w:r w:rsidRPr="0029748B">
        <w:rPr>
          <w:rFonts w:eastAsia="Calibri"/>
          <w:bCs/>
          <w:sz w:val="26"/>
          <w:szCs w:val="26"/>
        </w:rPr>
        <w:t>purposes of calculating the total allowable revenue of $245,</w:t>
      </w:r>
      <w:r w:rsidR="00FC3EA5" w:rsidRPr="0029748B">
        <w:rPr>
          <w:rFonts w:eastAsia="Calibri"/>
          <w:bCs/>
          <w:sz w:val="26"/>
          <w:szCs w:val="26"/>
        </w:rPr>
        <w:t> </w:t>
      </w:r>
      <w:r w:rsidRPr="0029748B">
        <w:rPr>
          <w:rFonts w:eastAsia="Calibri"/>
          <w:bCs/>
          <w:sz w:val="26"/>
          <w:szCs w:val="26"/>
        </w:rPr>
        <w:t xml:space="preserve">290, as reasonable and in the public interest.  R.D. at 26. </w:t>
      </w:r>
    </w:p>
    <w:p w14:paraId="22B3B794" w14:textId="77777777" w:rsidR="00CB0DF2" w:rsidRPr="0029748B" w:rsidRDefault="00CB0DF2" w:rsidP="0029748B">
      <w:pPr>
        <w:widowControl/>
        <w:spacing w:after="200" w:line="360" w:lineRule="auto"/>
        <w:ind w:firstLine="1440"/>
        <w:contextualSpacing/>
        <w:rPr>
          <w:rFonts w:eastAsia="Calibri"/>
          <w:sz w:val="26"/>
          <w:szCs w:val="26"/>
        </w:rPr>
      </w:pPr>
    </w:p>
    <w:p w14:paraId="63967DCF" w14:textId="77777777" w:rsidR="00CB0DF2" w:rsidRPr="0029748B" w:rsidRDefault="00CB0DF2" w:rsidP="00E15BA1">
      <w:pPr>
        <w:keepNext/>
        <w:keepLines/>
        <w:widowControl/>
        <w:spacing w:after="200" w:line="360" w:lineRule="auto"/>
        <w:ind w:firstLine="720"/>
        <w:contextualSpacing/>
        <w:rPr>
          <w:rFonts w:eastAsia="Calibri"/>
          <w:b/>
          <w:bCs/>
          <w:sz w:val="26"/>
          <w:szCs w:val="26"/>
        </w:rPr>
      </w:pPr>
      <w:r w:rsidRPr="0029748B">
        <w:rPr>
          <w:rFonts w:eastAsia="Calibri"/>
          <w:b/>
          <w:bCs/>
          <w:sz w:val="26"/>
          <w:szCs w:val="26"/>
        </w:rPr>
        <w:t>3.</w:t>
      </w:r>
      <w:r w:rsidRPr="0029748B">
        <w:rPr>
          <w:rFonts w:eastAsia="Calibri"/>
          <w:b/>
          <w:bCs/>
          <w:sz w:val="26"/>
          <w:szCs w:val="26"/>
        </w:rPr>
        <w:tab/>
        <w:t>Disposition</w:t>
      </w:r>
    </w:p>
    <w:p w14:paraId="1F654E42" w14:textId="77777777" w:rsidR="00CB0DF2" w:rsidRPr="0029748B" w:rsidRDefault="00CB0DF2" w:rsidP="0029748B">
      <w:pPr>
        <w:keepNext/>
        <w:keepLines/>
        <w:widowControl/>
        <w:spacing w:after="200" w:line="360" w:lineRule="auto"/>
        <w:ind w:firstLine="1440"/>
        <w:contextualSpacing/>
        <w:rPr>
          <w:rFonts w:eastAsia="Calibri"/>
          <w:sz w:val="26"/>
          <w:szCs w:val="26"/>
        </w:rPr>
      </w:pPr>
    </w:p>
    <w:p w14:paraId="0C780E93" w14:textId="77777777" w:rsidR="00CB0DF2" w:rsidRPr="0029748B" w:rsidRDefault="00CB0DF2" w:rsidP="0017659B">
      <w:pPr>
        <w:widowControl/>
        <w:spacing w:line="360" w:lineRule="auto"/>
        <w:ind w:firstLine="1440"/>
        <w:contextualSpacing/>
        <w:rPr>
          <w:rFonts w:eastAsia="Calibri"/>
          <w:sz w:val="26"/>
          <w:szCs w:val="26"/>
        </w:rPr>
      </w:pPr>
      <w:r w:rsidRPr="0029748B">
        <w:rPr>
          <w:rFonts w:eastAsia="Calibri"/>
          <w:sz w:val="26"/>
          <w:szCs w:val="26"/>
        </w:rPr>
        <w:t xml:space="preserve">No party directly excepted to the ALJ’s recommendation regarding the Company’s final allowed revenue requirement or overall allowed revenue increase.  However, as will be discussed in more detail, </w:t>
      </w:r>
      <w:r w:rsidRPr="0029748B">
        <w:rPr>
          <w:rFonts w:eastAsia="Calibri"/>
          <w:i/>
          <w:iCs/>
          <w:sz w:val="26"/>
          <w:szCs w:val="26"/>
        </w:rPr>
        <w:t>infra</w:t>
      </w:r>
      <w:r w:rsidRPr="0029748B">
        <w:rPr>
          <w:rFonts w:eastAsia="Calibri"/>
          <w:sz w:val="26"/>
          <w:szCs w:val="26"/>
        </w:rPr>
        <w:t>, we shall modify the ALJ’s recommendation regarding the amount for the allowance of state income taxes.  Therefore, consistent with this modification, we shall approve an overall revenue requirement of $250,888 for Twin Lakes, which will result in an overall revenue increase of $117,374, on an annual basis.</w:t>
      </w:r>
    </w:p>
    <w:p w14:paraId="7D6B749F" w14:textId="77777777" w:rsidR="00464BE0" w:rsidRPr="0029748B" w:rsidRDefault="00D951C4" w:rsidP="0017659B">
      <w:pPr>
        <w:pStyle w:val="ListParagraph"/>
        <w:keepNext/>
        <w:keepLines/>
        <w:widowControl/>
        <w:numPr>
          <w:ilvl w:val="0"/>
          <w:numId w:val="4"/>
        </w:numPr>
        <w:spacing w:line="360" w:lineRule="auto"/>
        <w:ind w:left="720" w:hanging="720"/>
        <w:textAlignment w:val="baseline"/>
        <w:rPr>
          <w:b/>
          <w:color w:val="000000"/>
          <w:sz w:val="26"/>
          <w:szCs w:val="26"/>
        </w:rPr>
      </w:pPr>
      <w:r w:rsidRPr="0029748B">
        <w:rPr>
          <w:b/>
          <w:color w:val="000000"/>
          <w:sz w:val="26"/>
          <w:szCs w:val="26"/>
        </w:rPr>
        <w:lastRenderedPageBreak/>
        <w:t xml:space="preserve">Taxes </w:t>
      </w:r>
    </w:p>
    <w:p w14:paraId="1E65F891" w14:textId="77777777" w:rsidR="004A686D" w:rsidRPr="0029748B" w:rsidRDefault="004A686D" w:rsidP="0017659B">
      <w:pPr>
        <w:pStyle w:val="ListParagraph"/>
        <w:keepNext/>
        <w:keepLines/>
        <w:widowControl/>
        <w:spacing w:line="360" w:lineRule="auto"/>
        <w:textAlignment w:val="baseline"/>
        <w:rPr>
          <w:b/>
          <w:color w:val="000000"/>
          <w:sz w:val="26"/>
          <w:szCs w:val="26"/>
        </w:rPr>
      </w:pPr>
    </w:p>
    <w:p w14:paraId="48FD8F71" w14:textId="77777777" w:rsidR="004A686D" w:rsidRPr="0029748B" w:rsidRDefault="004A686D" w:rsidP="0017659B">
      <w:pPr>
        <w:keepNext/>
        <w:keepLines/>
        <w:widowControl/>
        <w:spacing w:after="200" w:line="360" w:lineRule="auto"/>
        <w:ind w:firstLine="720"/>
        <w:contextualSpacing/>
        <w:rPr>
          <w:rFonts w:eastAsiaTheme="minorHAnsi"/>
          <w:b/>
          <w:bCs/>
          <w:sz w:val="26"/>
          <w:szCs w:val="26"/>
        </w:rPr>
      </w:pPr>
      <w:r w:rsidRPr="0029748B">
        <w:rPr>
          <w:rFonts w:eastAsiaTheme="minorHAnsi"/>
          <w:b/>
          <w:bCs/>
          <w:sz w:val="26"/>
          <w:szCs w:val="26"/>
        </w:rPr>
        <w:t>1.</w:t>
      </w:r>
      <w:r w:rsidRPr="0029748B">
        <w:rPr>
          <w:rFonts w:eastAsiaTheme="minorHAnsi"/>
          <w:b/>
          <w:bCs/>
          <w:sz w:val="26"/>
          <w:szCs w:val="26"/>
        </w:rPr>
        <w:tab/>
        <w:t>Positions of the Parties</w:t>
      </w:r>
    </w:p>
    <w:p w14:paraId="4274C7CE" w14:textId="77777777" w:rsidR="004A686D" w:rsidRPr="0029748B" w:rsidRDefault="004A686D" w:rsidP="0029748B">
      <w:pPr>
        <w:keepNext/>
        <w:keepLines/>
        <w:widowControl/>
        <w:spacing w:after="200" w:line="360" w:lineRule="auto"/>
        <w:ind w:firstLine="1440"/>
        <w:contextualSpacing/>
        <w:rPr>
          <w:rFonts w:eastAsiaTheme="minorHAnsi"/>
          <w:sz w:val="26"/>
          <w:szCs w:val="26"/>
        </w:rPr>
      </w:pPr>
    </w:p>
    <w:p w14:paraId="1521F6F1" w14:textId="77777777" w:rsidR="004A686D" w:rsidRPr="0029748B" w:rsidRDefault="004A686D" w:rsidP="0029748B">
      <w:pPr>
        <w:widowControl/>
        <w:spacing w:after="200" w:line="360" w:lineRule="auto"/>
        <w:ind w:firstLine="1440"/>
        <w:contextualSpacing/>
        <w:rPr>
          <w:rFonts w:eastAsiaTheme="minorHAnsi"/>
          <w:sz w:val="26"/>
          <w:szCs w:val="26"/>
        </w:rPr>
      </w:pPr>
      <w:r w:rsidRPr="0029748B">
        <w:rPr>
          <w:rFonts w:eastAsiaTheme="minorHAnsi"/>
          <w:sz w:val="26"/>
          <w:szCs w:val="26"/>
        </w:rPr>
        <w:t>In its filing, Twin Lakes claimed $10,105 for state income taxes and $19,119 for federal income taxes.  Twin Lakes Filing, Schedule D at Column 6.</w:t>
      </w:r>
    </w:p>
    <w:p w14:paraId="530B2B81" w14:textId="77777777" w:rsidR="004A686D" w:rsidRPr="0029748B" w:rsidRDefault="004A686D" w:rsidP="0029748B">
      <w:pPr>
        <w:widowControl/>
        <w:spacing w:after="200" w:line="360" w:lineRule="auto"/>
        <w:ind w:firstLine="1440"/>
        <w:contextualSpacing/>
        <w:rPr>
          <w:rFonts w:eastAsiaTheme="minorHAnsi"/>
          <w:sz w:val="26"/>
          <w:szCs w:val="26"/>
        </w:rPr>
      </w:pPr>
    </w:p>
    <w:p w14:paraId="6E90D74A" w14:textId="77777777" w:rsidR="004A686D" w:rsidRPr="0029748B" w:rsidRDefault="004A686D" w:rsidP="0029748B">
      <w:pPr>
        <w:widowControl/>
        <w:spacing w:after="200" w:line="360" w:lineRule="auto"/>
        <w:ind w:firstLine="1440"/>
        <w:contextualSpacing/>
        <w:rPr>
          <w:rFonts w:eastAsiaTheme="minorHAnsi"/>
          <w:sz w:val="26"/>
          <w:szCs w:val="26"/>
        </w:rPr>
      </w:pPr>
      <w:r w:rsidRPr="0029748B">
        <w:rPr>
          <w:rFonts w:eastAsiaTheme="minorHAnsi"/>
          <w:sz w:val="26"/>
          <w:szCs w:val="26"/>
        </w:rPr>
        <w:t xml:space="preserve">I&amp;E recommended a $6,063 state income tax allowance, representing a $4,042 reduction to the Company’s claim.  I&amp;E reasoned that this adjustment is based on the fact that Twin Lakes has net operating losses (NOL) in excess of its taxable net income.  More specifically, I&amp;E stated that as of December 31, 2018, companies are limited to a NOL deduction of the lesser of NOL available or </w:t>
      </w:r>
      <w:r w:rsidR="00FB17EF" w:rsidRPr="0029748B">
        <w:rPr>
          <w:rFonts w:eastAsiaTheme="minorHAnsi"/>
          <w:sz w:val="26"/>
          <w:szCs w:val="26"/>
        </w:rPr>
        <w:t>40%</w:t>
      </w:r>
      <w:r w:rsidRPr="0029748B">
        <w:rPr>
          <w:rFonts w:eastAsiaTheme="minorHAnsi"/>
          <w:sz w:val="26"/>
          <w:szCs w:val="26"/>
        </w:rPr>
        <w:t xml:space="preserve"> of net income.  I&amp;E explained that the Company’s amount of taxable income of $101,148, </w:t>
      </w:r>
      <w:r w:rsidR="00FC3EA5" w:rsidRPr="0029748B">
        <w:rPr>
          <w:rFonts w:eastAsiaTheme="minorHAnsi"/>
          <w:sz w:val="26"/>
          <w:szCs w:val="26"/>
        </w:rPr>
        <w:t xml:space="preserve">as </w:t>
      </w:r>
      <w:r w:rsidRPr="0029748B">
        <w:rPr>
          <w:rFonts w:eastAsiaTheme="minorHAnsi"/>
          <w:sz w:val="26"/>
          <w:szCs w:val="26"/>
        </w:rPr>
        <w:t>set forth in the Twin Lakes</w:t>
      </w:r>
      <w:r w:rsidR="00FC3EA5" w:rsidRPr="0029748B">
        <w:rPr>
          <w:rFonts w:eastAsiaTheme="minorHAnsi"/>
          <w:sz w:val="26"/>
          <w:szCs w:val="26"/>
        </w:rPr>
        <w:t>’</w:t>
      </w:r>
      <w:r w:rsidRPr="0029748B">
        <w:rPr>
          <w:rFonts w:eastAsiaTheme="minorHAnsi"/>
          <w:sz w:val="26"/>
          <w:szCs w:val="26"/>
        </w:rPr>
        <w:t xml:space="preserve"> Filing, is less than the $559,390 of NOL the Company stated in its 2017 state tax form.  I&amp;E M.B. at 32-33 (citing Twin Lakes Filing at Additional Supporting Information No. 8).</w:t>
      </w:r>
    </w:p>
    <w:p w14:paraId="45A03382" w14:textId="77777777" w:rsidR="004A686D" w:rsidRPr="0029748B" w:rsidRDefault="004A686D" w:rsidP="0029748B">
      <w:pPr>
        <w:widowControl/>
        <w:spacing w:after="200" w:line="360" w:lineRule="auto"/>
        <w:ind w:firstLine="1440"/>
        <w:contextualSpacing/>
        <w:rPr>
          <w:rFonts w:eastAsiaTheme="minorHAnsi"/>
          <w:sz w:val="26"/>
          <w:szCs w:val="26"/>
        </w:rPr>
      </w:pPr>
    </w:p>
    <w:p w14:paraId="2DE4E55C" w14:textId="77777777" w:rsidR="004A686D" w:rsidRPr="0029748B" w:rsidRDefault="004A686D" w:rsidP="0029748B">
      <w:pPr>
        <w:widowControl/>
        <w:spacing w:after="200" w:line="360" w:lineRule="auto"/>
        <w:ind w:firstLine="1440"/>
        <w:contextualSpacing/>
        <w:rPr>
          <w:rFonts w:eastAsiaTheme="minorHAnsi"/>
          <w:sz w:val="26"/>
          <w:szCs w:val="26"/>
        </w:rPr>
      </w:pPr>
      <w:r w:rsidRPr="0029748B">
        <w:rPr>
          <w:rFonts w:eastAsiaTheme="minorHAnsi"/>
          <w:sz w:val="26"/>
          <w:szCs w:val="26"/>
        </w:rPr>
        <w:t>I&amp;E also recommended that Twin Lakes’ entire claim of $19,119 for federal income taxes be disallowed.  I&amp;E reasoned that the Company’s available federal NOL of $458,183, eligible to cover 100% of taxable income, is greater than the Company’s federal taxable income of $95,085.  I&amp;E M.B. at 33-34.</w:t>
      </w:r>
    </w:p>
    <w:p w14:paraId="413FB9D0" w14:textId="77777777" w:rsidR="004A686D" w:rsidRPr="0029748B" w:rsidRDefault="004A686D" w:rsidP="0029748B">
      <w:pPr>
        <w:widowControl/>
        <w:spacing w:after="200" w:line="360" w:lineRule="auto"/>
        <w:ind w:firstLine="1440"/>
        <w:contextualSpacing/>
        <w:rPr>
          <w:rFonts w:eastAsiaTheme="minorHAnsi"/>
          <w:sz w:val="26"/>
          <w:szCs w:val="26"/>
        </w:rPr>
      </w:pPr>
    </w:p>
    <w:p w14:paraId="44C82DAA" w14:textId="77777777" w:rsidR="004A686D" w:rsidRPr="0029748B" w:rsidRDefault="004A686D" w:rsidP="0029748B">
      <w:pPr>
        <w:widowControl/>
        <w:spacing w:after="200" w:line="360" w:lineRule="auto"/>
        <w:ind w:firstLine="1440"/>
        <w:contextualSpacing/>
        <w:rPr>
          <w:rFonts w:eastAsiaTheme="minorHAnsi"/>
          <w:sz w:val="26"/>
          <w:szCs w:val="26"/>
        </w:rPr>
      </w:pPr>
      <w:r w:rsidRPr="0029748B">
        <w:rPr>
          <w:rFonts w:eastAsiaTheme="minorHAnsi"/>
          <w:sz w:val="26"/>
          <w:szCs w:val="26"/>
        </w:rPr>
        <w:t>I&amp;E noted that Twin Lakes did not challenge either of I&amp;E’s recommended adjustments.  Therefore, I&amp;E argued that the Commission should accept these adjustments.  I&amp;E R.B. at 14.  Additionally, I&amp;E stressed that its above recommended adjustments w</w:t>
      </w:r>
      <w:r w:rsidR="00913912" w:rsidRPr="0029748B">
        <w:rPr>
          <w:rFonts w:eastAsiaTheme="minorHAnsi"/>
          <w:sz w:val="26"/>
          <w:szCs w:val="26"/>
        </w:rPr>
        <w:t>ill</w:t>
      </w:r>
      <w:r w:rsidRPr="0029748B">
        <w:rPr>
          <w:rFonts w:eastAsiaTheme="minorHAnsi"/>
          <w:sz w:val="26"/>
          <w:szCs w:val="26"/>
        </w:rPr>
        <w:t xml:space="preserve"> only apply if the Commission permits Twin Lakes to earn a return on equity.  I&amp;E stated that if the Commission, instead adopts I&amp;E’s primary position of a zero percent return on equity, this would result in no state or federal income taxes.  I&amp;E M.B. at 33.</w:t>
      </w:r>
    </w:p>
    <w:p w14:paraId="053F2156" w14:textId="77777777" w:rsidR="004A686D" w:rsidRPr="0029748B" w:rsidRDefault="004A686D" w:rsidP="0029748B">
      <w:pPr>
        <w:widowControl/>
        <w:spacing w:after="200" w:line="360" w:lineRule="auto"/>
        <w:ind w:firstLine="1440"/>
        <w:contextualSpacing/>
        <w:rPr>
          <w:rFonts w:eastAsiaTheme="minorHAnsi"/>
          <w:sz w:val="26"/>
          <w:szCs w:val="26"/>
        </w:rPr>
      </w:pPr>
      <w:r w:rsidRPr="0029748B">
        <w:rPr>
          <w:rFonts w:eastAsiaTheme="minorHAnsi"/>
          <w:sz w:val="26"/>
          <w:szCs w:val="26"/>
        </w:rPr>
        <w:lastRenderedPageBreak/>
        <w:t xml:space="preserve">The OCA advocated adjustments to reduce the Company’s claim for federal income taxes by $9,924 and its claim for state income taxes by $10,105.  Citing the testimony of the OCA’s witness, Ms. Sherwood, the OCA explained that its proposed adjustment to the Company’s federal income tax claim was made consistent with the OCA’s proposed level of rate base and expenses, and using the </w:t>
      </w:r>
      <w:r w:rsidR="00FB17EF" w:rsidRPr="0029748B">
        <w:rPr>
          <w:rFonts w:eastAsiaTheme="minorHAnsi"/>
          <w:sz w:val="26"/>
          <w:szCs w:val="26"/>
        </w:rPr>
        <w:t>21%</w:t>
      </w:r>
      <w:r w:rsidRPr="0029748B">
        <w:rPr>
          <w:rFonts w:eastAsiaTheme="minorHAnsi"/>
          <w:sz w:val="26"/>
          <w:szCs w:val="26"/>
        </w:rPr>
        <w:t xml:space="preserve"> federal tax rate as claimed by Twin Lakes.  As to its proposed adjustment for state income taxes, the OCA submitted that given that, as of March 31, 2019, the Company had a $72,087 carry</w:t>
      </w:r>
      <w:r w:rsidRPr="0029748B">
        <w:rPr>
          <w:rFonts w:eastAsiaTheme="minorHAnsi"/>
          <w:sz w:val="26"/>
          <w:szCs w:val="26"/>
        </w:rPr>
        <w:noBreakHyphen/>
        <w:t>forward net operating loss that will be applied to future state income taxes, it is unlikely that Twin Lakes will pay any state income taxes.  As such, the OCA posited that the Company’s entire claim for state income taxes should be removed.  OCA</w:t>
      </w:r>
      <w:r w:rsidR="000D6E7B">
        <w:rPr>
          <w:rFonts w:eastAsiaTheme="minorHAnsi"/>
          <w:sz w:val="26"/>
          <w:szCs w:val="26"/>
        </w:rPr>
        <w:t> </w:t>
      </w:r>
      <w:r w:rsidRPr="0029748B">
        <w:rPr>
          <w:rFonts w:eastAsiaTheme="minorHAnsi"/>
          <w:sz w:val="26"/>
          <w:szCs w:val="26"/>
        </w:rPr>
        <w:t>M.B. at 19 (citing OCA St. 1 at 10).</w:t>
      </w:r>
    </w:p>
    <w:p w14:paraId="61EE9524" w14:textId="77777777" w:rsidR="004A686D" w:rsidRPr="0029748B" w:rsidRDefault="004A686D" w:rsidP="0029748B">
      <w:pPr>
        <w:widowControl/>
        <w:spacing w:after="200" w:line="360" w:lineRule="auto"/>
        <w:ind w:firstLine="1440"/>
        <w:contextualSpacing/>
        <w:rPr>
          <w:rFonts w:eastAsiaTheme="minorHAnsi"/>
          <w:sz w:val="26"/>
          <w:szCs w:val="26"/>
        </w:rPr>
      </w:pPr>
    </w:p>
    <w:p w14:paraId="18DC6910" w14:textId="77777777" w:rsidR="004A686D" w:rsidRPr="0029748B" w:rsidRDefault="004A686D" w:rsidP="0029748B">
      <w:pPr>
        <w:keepNext/>
        <w:keepLines/>
        <w:widowControl/>
        <w:spacing w:after="200" w:line="360" w:lineRule="auto"/>
        <w:ind w:firstLine="720"/>
        <w:contextualSpacing/>
        <w:rPr>
          <w:rFonts w:eastAsiaTheme="minorHAnsi"/>
          <w:b/>
          <w:bCs/>
          <w:sz w:val="26"/>
          <w:szCs w:val="26"/>
        </w:rPr>
      </w:pPr>
      <w:r w:rsidRPr="0029748B">
        <w:rPr>
          <w:rFonts w:eastAsiaTheme="minorHAnsi"/>
          <w:b/>
          <w:bCs/>
          <w:sz w:val="26"/>
          <w:szCs w:val="26"/>
        </w:rPr>
        <w:t>2.</w:t>
      </w:r>
      <w:r w:rsidRPr="0029748B">
        <w:rPr>
          <w:rFonts w:eastAsiaTheme="minorHAnsi"/>
          <w:b/>
          <w:bCs/>
          <w:sz w:val="26"/>
          <w:szCs w:val="26"/>
        </w:rPr>
        <w:tab/>
        <w:t>Recommended Decision</w:t>
      </w:r>
    </w:p>
    <w:p w14:paraId="5AB73C44" w14:textId="77777777" w:rsidR="004A686D" w:rsidRPr="0029748B" w:rsidRDefault="004A686D" w:rsidP="0029748B">
      <w:pPr>
        <w:keepNext/>
        <w:keepLines/>
        <w:widowControl/>
        <w:spacing w:after="200" w:line="360" w:lineRule="auto"/>
        <w:ind w:firstLine="1440"/>
        <w:contextualSpacing/>
        <w:rPr>
          <w:rFonts w:eastAsiaTheme="minorHAnsi"/>
          <w:sz w:val="26"/>
          <w:szCs w:val="26"/>
        </w:rPr>
      </w:pPr>
    </w:p>
    <w:p w14:paraId="428FD20C" w14:textId="77777777" w:rsidR="004A686D" w:rsidRDefault="004A686D" w:rsidP="0029748B">
      <w:pPr>
        <w:widowControl/>
        <w:spacing w:after="200" w:line="360" w:lineRule="auto"/>
        <w:ind w:firstLine="1440"/>
        <w:contextualSpacing/>
        <w:rPr>
          <w:rFonts w:eastAsiaTheme="minorHAnsi"/>
          <w:sz w:val="26"/>
          <w:szCs w:val="26"/>
        </w:rPr>
      </w:pPr>
      <w:r w:rsidRPr="0029748B">
        <w:rPr>
          <w:rFonts w:eastAsiaTheme="minorHAnsi"/>
          <w:sz w:val="26"/>
          <w:szCs w:val="26"/>
        </w:rPr>
        <w:t xml:space="preserve">The ALJ found I&amp;E’s position on this issue to be more persuasive and recommended its adoption.  </w:t>
      </w:r>
      <w:r w:rsidR="00191B3C" w:rsidRPr="0029748B">
        <w:rPr>
          <w:rFonts w:eastAsiaTheme="minorHAnsi"/>
          <w:sz w:val="26"/>
          <w:szCs w:val="26"/>
        </w:rPr>
        <w:t>Regarding</w:t>
      </w:r>
      <w:r w:rsidRPr="0029748B">
        <w:rPr>
          <w:rFonts w:eastAsiaTheme="minorHAnsi"/>
          <w:sz w:val="26"/>
          <w:szCs w:val="26"/>
        </w:rPr>
        <w:t xml:space="preserve"> I&amp;E’s proposed $4,042 reduction to the Company’s claim for state income tax allowance, the ALJ explained that this adjustment is </w:t>
      </w:r>
      <w:r w:rsidR="00191B3C" w:rsidRPr="0029748B">
        <w:rPr>
          <w:rFonts w:eastAsiaTheme="minorHAnsi"/>
          <w:sz w:val="26"/>
          <w:szCs w:val="26"/>
        </w:rPr>
        <w:t xml:space="preserve">based on the fact that </w:t>
      </w:r>
      <w:r w:rsidRPr="0029748B">
        <w:rPr>
          <w:rFonts w:eastAsiaTheme="minorHAnsi"/>
          <w:sz w:val="26"/>
          <w:szCs w:val="26"/>
        </w:rPr>
        <w:t>Twin Lakes’ NOL is greater than its taxable income.  The ALJ echoed I&amp;E’s assertion that under Pennsylvania law,</w:t>
      </w:r>
      <w:r w:rsidRPr="0029748B">
        <w:rPr>
          <w:rFonts w:eastAsiaTheme="minorHAnsi"/>
          <w:sz w:val="26"/>
          <w:szCs w:val="26"/>
          <w:vertAlign w:val="superscript"/>
        </w:rPr>
        <w:footnoteReference w:id="5"/>
      </w:r>
      <w:r w:rsidRPr="0029748B">
        <w:rPr>
          <w:rFonts w:eastAsiaTheme="minorHAnsi"/>
          <w:sz w:val="26"/>
          <w:szCs w:val="26"/>
        </w:rPr>
        <w:t xml:space="preserve"> when taxable income is less than the cumulative NOL, the maximum NOL allowed is </w:t>
      </w:r>
      <w:r w:rsidR="00FB17EF" w:rsidRPr="0029748B">
        <w:rPr>
          <w:rFonts w:eastAsiaTheme="minorHAnsi"/>
          <w:sz w:val="26"/>
          <w:szCs w:val="26"/>
        </w:rPr>
        <w:t>40%</w:t>
      </w:r>
      <w:r w:rsidRPr="0029748B">
        <w:rPr>
          <w:rFonts w:eastAsiaTheme="minorHAnsi"/>
          <w:sz w:val="26"/>
          <w:szCs w:val="26"/>
        </w:rPr>
        <w:t xml:space="preserve"> of net income.  Further, the ALJ agreed with I&amp;E that because the Company’s NOL is greater than its taxable income, its entire federal income tax claim should be disallowed for ratemaking purposes.  R.D. at 48.</w:t>
      </w:r>
    </w:p>
    <w:p w14:paraId="2279EBEE" w14:textId="77777777" w:rsidR="007C4BF9" w:rsidRPr="0029748B" w:rsidRDefault="007C4BF9" w:rsidP="0029748B">
      <w:pPr>
        <w:widowControl/>
        <w:spacing w:after="200" w:line="360" w:lineRule="auto"/>
        <w:ind w:firstLine="1440"/>
        <w:contextualSpacing/>
        <w:rPr>
          <w:rFonts w:eastAsiaTheme="minorHAnsi"/>
          <w:sz w:val="26"/>
          <w:szCs w:val="26"/>
        </w:rPr>
      </w:pPr>
    </w:p>
    <w:p w14:paraId="3A5CCD92" w14:textId="77777777" w:rsidR="004A686D" w:rsidRPr="0029748B" w:rsidRDefault="004A686D" w:rsidP="0029748B">
      <w:pPr>
        <w:keepNext/>
        <w:keepLines/>
        <w:widowControl/>
        <w:spacing w:after="200" w:line="360" w:lineRule="auto"/>
        <w:ind w:firstLine="720"/>
        <w:contextualSpacing/>
        <w:rPr>
          <w:rFonts w:eastAsiaTheme="minorHAnsi"/>
          <w:b/>
          <w:bCs/>
          <w:sz w:val="26"/>
          <w:szCs w:val="26"/>
        </w:rPr>
      </w:pPr>
      <w:r w:rsidRPr="0029748B">
        <w:rPr>
          <w:rFonts w:eastAsiaTheme="minorHAnsi"/>
          <w:b/>
          <w:bCs/>
          <w:sz w:val="26"/>
          <w:szCs w:val="26"/>
        </w:rPr>
        <w:lastRenderedPageBreak/>
        <w:t>3.</w:t>
      </w:r>
      <w:r w:rsidRPr="0029748B">
        <w:rPr>
          <w:rFonts w:eastAsiaTheme="minorHAnsi"/>
          <w:b/>
          <w:bCs/>
          <w:sz w:val="26"/>
          <w:szCs w:val="26"/>
        </w:rPr>
        <w:tab/>
        <w:t>Exceptions and Replies</w:t>
      </w:r>
    </w:p>
    <w:p w14:paraId="15473827" w14:textId="77777777" w:rsidR="004A686D" w:rsidRPr="0029748B" w:rsidRDefault="004A686D" w:rsidP="0029748B">
      <w:pPr>
        <w:keepNext/>
        <w:keepLines/>
        <w:widowControl/>
        <w:spacing w:after="200" w:line="360" w:lineRule="auto"/>
        <w:ind w:firstLine="1440"/>
        <w:contextualSpacing/>
        <w:rPr>
          <w:rFonts w:eastAsiaTheme="minorHAnsi"/>
          <w:sz w:val="26"/>
          <w:szCs w:val="26"/>
        </w:rPr>
      </w:pPr>
    </w:p>
    <w:p w14:paraId="6841E909" w14:textId="77777777" w:rsidR="004A686D" w:rsidRPr="0029748B" w:rsidRDefault="004A686D" w:rsidP="0029748B">
      <w:pPr>
        <w:widowControl/>
        <w:spacing w:after="200" w:line="360" w:lineRule="auto"/>
        <w:ind w:firstLine="1440"/>
        <w:contextualSpacing/>
        <w:rPr>
          <w:rFonts w:eastAsiaTheme="minorHAnsi"/>
          <w:sz w:val="26"/>
          <w:szCs w:val="26"/>
        </w:rPr>
      </w:pPr>
      <w:bookmarkStart w:id="29" w:name="_Hlk34739517"/>
      <w:r w:rsidRPr="0029748B">
        <w:rPr>
          <w:rFonts w:eastAsiaTheme="minorHAnsi"/>
          <w:sz w:val="26"/>
          <w:szCs w:val="26"/>
        </w:rPr>
        <w:t xml:space="preserve">In its Exceptions, I&amp;E submits that although it agrees with ALJ </w:t>
      </w:r>
      <w:proofErr w:type="spellStart"/>
      <w:r w:rsidRPr="0029748B">
        <w:rPr>
          <w:rFonts w:eastAsiaTheme="minorHAnsi"/>
          <w:sz w:val="26"/>
          <w:szCs w:val="26"/>
        </w:rPr>
        <w:t>Guhl’s</w:t>
      </w:r>
      <w:proofErr w:type="spellEnd"/>
      <w:r w:rsidRPr="0029748B">
        <w:rPr>
          <w:rFonts w:eastAsiaTheme="minorHAnsi"/>
          <w:sz w:val="26"/>
          <w:szCs w:val="26"/>
        </w:rPr>
        <w:t xml:space="preserve"> recommendation on this issue</w:t>
      </w:r>
      <w:r w:rsidR="00B5374E" w:rsidRPr="0029748B">
        <w:rPr>
          <w:rFonts w:eastAsiaTheme="minorHAnsi"/>
          <w:sz w:val="26"/>
          <w:szCs w:val="26"/>
        </w:rPr>
        <w:t xml:space="preserve"> it notes that there is an error in </w:t>
      </w:r>
      <w:r w:rsidRPr="0029748B">
        <w:rPr>
          <w:rFonts w:eastAsiaTheme="minorHAnsi"/>
          <w:sz w:val="26"/>
          <w:szCs w:val="26"/>
        </w:rPr>
        <w:t xml:space="preserve">Table I, which is set forth in Appendix A of the Recommended Decision.  According to I&amp;E, Table I incorrectly reflects I&amp;E’s position, as adopted by the ALJ, regarding the amount the Company should be allowed for state income tax and federal income tax.  Therefore, I&amp;E requests that Table I be corrected to accurately reflect a state income tax allowance of $6,063 and a federal income tax allowance of $0.00.  I&amp;E further submits that although it is not advocating for a lower revenue requirement for the Company, correcting this error would lower I&amp;E’s total recommended allowed revenue increase from $111,777 to $96,124.  I&amp;E Exc. at 3-4. </w:t>
      </w:r>
    </w:p>
    <w:p w14:paraId="4395F94D" w14:textId="77777777" w:rsidR="004A686D" w:rsidRPr="0029748B" w:rsidRDefault="004A686D" w:rsidP="0029748B">
      <w:pPr>
        <w:widowControl/>
        <w:spacing w:after="200" w:line="360" w:lineRule="auto"/>
        <w:ind w:firstLine="1440"/>
        <w:contextualSpacing/>
        <w:rPr>
          <w:rFonts w:eastAsiaTheme="minorHAnsi"/>
          <w:sz w:val="26"/>
          <w:szCs w:val="26"/>
        </w:rPr>
      </w:pPr>
    </w:p>
    <w:p w14:paraId="6B89E28D" w14:textId="77777777" w:rsidR="004A686D" w:rsidRPr="0029748B" w:rsidRDefault="004A686D" w:rsidP="0029748B">
      <w:pPr>
        <w:widowControl/>
        <w:spacing w:after="200" w:line="360" w:lineRule="auto"/>
        <w:ind w:firstLine="1440"/>
        <w:contextualSpacing/>
        <w:rPr>
          <w:rFonts w:eastAsiaTheme="minorHAnsi"/>
          <w:sz w:val="26"/>
          <w:szCs w:val="26"/>
        </w:rPr>
      </w:pPr>
      <w:r w:rsidRPr="0029748B">
        <w:rPr>
          <w:rFonts w:eastAsiaTheme="minorHAnsi"/>
          <w:sz w:val="26"/>
          <w:szCs w:val="26"/>
        </w:rPr>
        <w:t xml:space="preserve">In its Exception No. 2, the OCA, like I&amp;E, does not find fault with the ALJ’s underlying recommendation regarding taxes.  However, </w:t>
      </w:r>
      <w:r w:rsidR="00191B3C" w:rsidRPr="0029748B">
        <w:rPr>
          <w:rFonts w:eastAsiaTheme="minorHAnsi"/>
          <w:sz w:val="26"/>
          <w:szCs w:val="26"/>
        </w:rPr>
        <w:t>like</w:t>
      </w:r>
      <w:r w:rsidRPr="0029748B">
        <w:rPr>
          <w:rFonts w:eastAsiaTheme="minorHAnsi"/>
          <w:sz w:val="26"/>
          <w:szCs w:val="26"/>
        </w:rPr>
        <w:t xml:space="preserve"> I&amp;E, the OCA contends that Appendix A of the Recommended Decision contains errors such that the ALJ’s recommendation is not accurately reflected.  In this regard, the OCA argues that although the ALJ recommended that Twin Lakes’ claim for federal income taxes be eliminated, these taxes were added back into the calculations in the rate tables as a result of the expense adjustments outlined in Table II of Appendix A.  The OCA submits that this results in an overall positive increase in the Company’s federal tax claim, which is contrary to the ALJ’s recommendation, and should be removed.  OCA Exc. at 5.</w:t>
      </w:r>
      <w:r w:rsidR="00323609" w:rsidRPr="0029748B">
        <w:rPr>
          <w:rFonts w:eastAsiaTheme="minorHAnsi"/>
          <w:sz w:val="26"/>
          <w:szCs w:val="26"/>
        </w:rPr>
        <w:t xml:space="preserve">  </w:t>
      </w:r>
    </w:p>
    <w:bookmarkEnd w:id="29"/>
    <w:p w14:paraId="23C5246D" w14:textId="77777777" w:rsidR="004A686D" w:rsidRPr="0029748B" w:rsidRDefault="004A686D" w:rsidP="0029748B">
      <w:pPr>
        <w:widowControl/>
        <w:spacing w:after="200" w:line="360" w:lineRule="auto"/>
        <w:ind w:firstLine="1440"/>
        <w:contextualSpacing/>
        <w:rPr>
          <w:rFonts w:eastAsiaTheme="minorHAnsi"/>
          <w:sz w:val="26"/>
          <w:szCs w:val="26"/>
        </w:rPr>
      </w:pPr>
    </w:p>
    <w:p w14:paraId="5D131DF9" w14:textId="77777777" w:rsidR="004A686D" w:rsidRPr="0029748B" w:rsidRDefault="004A686D" w:rsidP="0029748B">
      <w:pPr>
        <w:keepNext/>
        <w:keepLines/>
        <w:widowControl/>
        <w:spacing w:after="200" w:line="360" w:lineRule="auto"/>
        <w:ind w:firstLine="720"/>
        <w:contextualSpacing/>
        <w:rPr>
          <w:rFonts w:eastAsiaTheme="minorHAnsi"/>
          <w:b/>
          <w:bCs/>
          <w:sz w:val="26"/>
          <w:szCs w:val="26"/>
        </w:rPr>
      </w:pPr>
      <w:r w:rsidRPr="0029748B">
        <w:rPr>
          <w:rFonts w:eastAsiaTheme="minorHAnsi"/>
          <w:b/>
          <w:bCs/>
          <w:sz w:val="26"/>
          <w:szCs w:val="26"/>
        </w:rPr>
        <w:t>4</w:t>
      </w:r>
      <w:r w:rsidR="00C9313E" w:rsidRPr="0029748B">
        <w:rPr>
          <w:rFonts w:eastAsiaTheme="minorHAnsi"/>
          <w:b/>
          <w:bCs/>
          <w:sz w:val="26"/>
          <w:szCs w:val="26"/>
        </w:rPr>
        <w:t>.</w:t>
      </w:r>
      <w:r w:rsidRPr="0029748B">
        <w:rPr>
          <w:rFonts w:eastAsiaTheme="minorHAnsi"/>
          <w:b/>
          <w:bCs/>
          <w:sz w:val="26"/>
          <w:szCs w:val="26"/>
        </w:rPr>
        <w:tab/>
        <w:t>Disposition</w:t>
      </w:r>
    </w:p>
    <w:p w14:paraId="4171B206" w14:textId="77777777" w:rsidR="004A686D" w:rsidRPr="0029748B" w:rsidRDefault="004A686D" w:rsidP="0029748B">
      <w:pPr>
        <w:keepNext/>
        <w:keepLines/>
        <w:widowControl/>
        <w:spacing w:after="200" w:line="360" w:lineRule="auto"/>
        <w:ind w:firstLine="1440"/>
        <w:contextualSpacing/>
        <w:rPr>
          <w:rFonts w:eastAsiaTheme="minorHAnsi"/>
          <w:sz w:val="26"/>
          <w:szCs w:val="26"/>
        </w:rPr>
      </w:pPr>
    </w:p>
    <w:p w14:paraId="41C75E7B" w14:textId="77777777" w:rsidR="007E081A" w:rsidRPr="0029748B" w:rsidRDefault="004A686D" w:rsidP="0029748B">
      <w:pPr>
        <w:widowControl/>
        <w:spacing w:after="200" w:line="360" w:lineRule="auto"/>
        <w:ind w:firstLine="1440"/>
        <w:contextualSpacing/>
        <w:rPr>
          <w:rFonts w:eastAsiaTheme="minorHAnsi"/>
          <w:sz w:val="26"/>
          <w:szCs w:val="26"/>
        </w:rPr>
      </w:pPr>
      <w:bookmarkStart w:id="30" w:name="_Hlk34730304"/>
      <w:bookmarkStart w:id="31" w:name="_Hlk34730346"/>
      <w:r w:rsidRPr="0029748B">
        <w:rPr>
          <w:rFonts w:eastAsiaTheme="minorHAnsi"/>
          <w:sz w:val="26"/>
          <w:szCs w:val="26"/>
        </w:rPr>
        <w:t xml:space="preserve">On consideration of the record evidence in this proceeding, we will adopt ALJ </w:t>
      </w:r>
      <w:proofErr w:type="spellStart"/>
      <w:r w:rsidRPr="0029748B">
        <w:rPr>
          <w:rFonts w:eastAsiaTheme="minorHAnsi"/>
          <w:sz w:val="26"/>
          <w:szCs w:val="26"/>
        </w:rPr>
        <w:t>Guhl’s</w:t>
      </w:r>
      <w:proofErr w:type="spellEnd"/>
      <w:r w:rsidRPr="0029748B">
        <w:rPr>
          <w:rFonts w:eastAsiaTheme="minorHAnsi"/>
          <w:sz w:val="26"/>
          <w:szCs w:val="26"/>
        </w:rPr>
        <w:t xml:space="preserve"> recommendation, as modified</w:t>
      </w:r>
      <w:r w:rsidR="007E081A" w:rsidRPr="0029748B">
        <w:rPr>
          <w:rFonts w:eastAsiaTheme="minorHAnsi"/>
          <w:sz w:val="26"/>
          <w:szCs w:val="26"/>
        </w:rPr>
        <w:t xml:space="preserve"> by our discussion, </w:t>
      </w:r>
      <w:r w:rsidR="007E081A" w:rsidRPr="0029748B">
        <w:rPr>
          <w:rFonts w:eastAsiaTheme="minorHAnsi"/>
          <w:i/>
          <w:iCs/>
          <w:sz w:val="26"/>
          <w:szCs w:val="26"/>
        </w:rPr>
        <w:t>infra</w:t>
      </w:r>
      <w:r w:rsidR="007E081A" w:rsidRPr="0029748B">
        <w:rPr>
          <w:rFonts w:eastAsiaTheme="minorHAnsi"/>
          <w:sz w:val="26"/>
          <w:szCs w:val="26"/>
        </w:rPr>
        <w:t xml:space="preserve">. </w:t>
      </w:r>
      <w:r w:rsidRPr="0029748B">
        <w:rPr>
          <w:rFonts w:eastAsiaTheme="minorHAnsi"/>
          <w:sz w:val="26"/>
          <w:szCs w:val="26"/>
        </w:rPr>
        <w:t xml:space="preserve"> As I&amp;E and the ALJ both observed, Twin Lakes has NOL in excess of net income.  The record indicates that companies with NOL available must use them in calculating the Pennsylvania Corporate </w:t>
      </w:r>
      <w:r w:rsidRPr="0029748B">
        <w:rPr>
          <w:rFonts w:eastAsiaTheme="minorHAnsi"/>
          <w:sz w:val="26"/>
          <w:szCs w:val="26"/>
        </w:rPr>
        <w:lastRenderedPageBreak/>
        <w:t>Net Income Tax.  I&amp;E St. 1 at 18.  As the ALJ pointed out, under Pennsylvania law, when a Company’s taxable income is less than its cumulative NOL, the maximum NOL allowed is 40% of net income.</w:t>
      </w:r>
      <w:r w:rsidRPr="0029748B">
        <w:rPr>
          <w:rFonts w:eastAsiaTheme="minorHAnsi"/>
          <w:sz w:val="26"/>
          <w:szCs w:val="26"/>
          <w:vertAlign w:val="superscript"/>
        </w:rPr>
        <w:footnoteReference w:id="6"/>
      </w:r>
      <w:r w:rsidRPr="0029748B">
        <w:rPr>
          <w:rFonts w:eastAsiaTheme="minorHAnsi"/>
          <w:sz w:val="26"/>
          <w:szCs w:val="26"/>
        </w:rPr>
        <w:t xml:space="preserve">  Therefore, we concur with the ALJ that there must be a corresponding reduction to the Company’s claim for state income taxes.  </w:t>
      </w:r>
    </w:p>
    <w:p w14:paraId="18806768" w14:textId="77777777" w:rsidR="007E081A" w:rsidRPr="0029748B" w:rsidRDefault="007E081A" w:rsidP="0029748B">
      <w:pPr>
        <w:widowControl/>
        <w:spacing w:after="200" w:line="360" w:lineRule="auto"/>
        <w:ind w:firstLine="1440"/>
        <w:contextualSpacing/>
        <w:rPr>
          <w:rFonts w:eastAsiaTheme="minorHAnsi"/>
          <w:sz w:val="26"/>
          <w:szCs w:val="26"/>
        </w:rPr>
      </w:pPr>
    </w:p>
    <w:p w14:paraId="110BC8A4" w14:textId="77777777" w:rsidR="004A686D" w:rsidRPr="0029748B" w:rsidRDefault="004A686D" w:rsidP="0029748B">
      <w:pPr>
        <w:widowControl/>
        <w:spacing w:after="200" w:line="360" w:lineRule="auto"/>
        <w:ind w:firstLine="1440"/>
        <w:contextualSpacing/>
        <w:rPr>
          <w:rFonts w:eastAsiaTheme="minorHAnsi"/>
          <w:sz w:val="26"/>
          <w:szCs w:val="26"/>
        </w:rPr>
      </w:pPr>
      <w:r w:rsidRPr="0029748B">
        <w:rPr>
          <w:rFonts w:eastAsiaTheme="minorHAnsi"/>
          <w:sz w:val="26"/>
          <w:szCs w:val="26"/>
        </w:rPr>
        <w:t xml:space="preserve">Similarly, </w:t>
      </w:r>
      <w:r w:rsidR="00191B3C" w:rsidRPr="0029748B">
        <w:rPr>
          <w:rFonts w:eastAsiaTheme="minorHAnsi"/>
          <w:sz w:val="26"/>
          <w:szCs w:val="26"/>
        </w:rPr>
        <w:t>regarding</w:t>
      </w:r>
      <w:r w:rsidRPr="0029748B">
        <w:rPr>
          <w:rFonts w:eastAsiaTheme="minorHAnsi"/>
          <w:sz w:val="26"/>
          <w:szCs w:val="26"/>
        </w:rPr>
        <w:t xml:space="preserve"> the Company’s claim for federal income taxes, the record indicates that Twin Lakes had at least $458,183 of cumulative federal NOL available as of 2017.</w:t>
      </w:r>
      <w:r w:rsidR="007811FC" w:rsidRPr="0029748B">
        <w:rPr>
          <w:rFonts w:eastAsiaTheme="minorHAnsi"/>
          <w:sz w:val="26"/>
          <w:szCs w:val="26"/>
        </w:rPr>
        <w:t xml:space="preserve"> </w:t>
      </w:r>
      <w:r w:rsidRPr="0029748B">
        <w:rPr>
          <w:rFonts w:eastAsiaTheme="minorHAnsi"/>
          <w:sz w:val="26"/>
          <w:szCs w:val="26"/>
        </w:rPr>
        <w:t xml:space="preserve"> Under the </w:t>
      </w:r>
      <w:r w:rsidR="00FB17EF" w:rsidRPr="0029748B">
        <w:rPr>
          <w:rFonts w:eastAsiaTheme="minorHAnsi"/>
          <w:sz w:val="26"/>
          <w:szCs w:val="26"/>
        </w:rPr>
        <w:t>F</w:t>
      </w:r>
      <w:r w:rsidRPr="0029748B">
        <w:rPr>
          <w:rFonts w:eastAsiaTheme="minorHAnsi"/>
          <w:sz w:val="26"/>
          <w:szCs w:val="26"/>
        </w:rPr>
        <w:t>ederal Tax Cuts and Jobs Act of 2017, Public Law No.</w:t>
      </w:r>
      <w:r w:rsidR="005564C9">
        <w:rPr>
          <w:rFonts w:eastAsiaTheme="minorHAnsi"/>
          <w:sz w:val="26"/>
          <w:szCs w:val="26"/>
        </w:rPr>
        <w:t> </w:t>
      </w:r>
      <w:r w:rsidRPr="0029748B">
        <w:rPr>
          <w:rFonts w:eastAsiaTheme="minorHAnsi"/>
          <w:sz w:val="26"/>
          <w:szCs w:val="26"/>
        </w:rPr>
        <w:t xml:space="preserve">115-97, 131 Stat. 2054 (the TCJA), NOLs earned before the 2018 tax year are eligible to cover up to 100% of net income of $95,085.  As the amount of </w:t>
      </w:r>
      <w:r w:rsidR="007811FC" w:rsidRPr="0029748B">
        <w:rPr>
          <w:rFonts w:eastAsiaTheme="minorHAnsi"/>
          <w:sz w:val="26"/>
          <w:szCs w:val="26"/>
        </w:rPr>
        <w:t xml:space="preserve">the </w:t>
      </w:r>
      <w:r w:rsidRPr="0029748B">
        <w:rPr>
          <w:rFonts w:eastAsiaTheme="minorHAnsi"/>
          <w:sz w:val="26"/>
          <w:szCs w:val="26"/>
        </w:rPr>
        <w:t>federal NOL is greater than the Company’s federal taxable income, we concur with the ALJ and I&amp;E that the Company’s entire expense claim for federal income taxes must be eliminated.  Further, as I&amp;E pointed out, Twin Lakes has not challenged I&amp;E’s reasoning for its proposed reductions to the Company’s claims.  Accordingly, we shall adopt the ALJ’s recommendation that the Company’s claim for state income taxes be reduced and that the Company’s claim for federal income taxes be denied in its entirety.</w:t>
      </w:r>
    </w:p>
    <w:bookmarkEnd w:id="30"/>
    <w:bookmarkEnd w:id="31"/>
    <w:p w14:paraId="0C1CF67A" w14:textId="77777777" w:rsidR="004A686D" w:rsidRPr="0029748B" w:rsidRDefault="004A686D" w:rsidP="0029748B">
      <w:pPr>
        <w:widowControl/>
        <w:spacing w:after="200" w:line="360" w:lineRule="auto"/>
        <w:ind w:firstLine="1440"/>
        <w:contextualSpacing/>
        <w:rPr>
          <w:rFonts w:eastAsiaTheme="minorHAnsi"/>
          <w:sz w:val="26"/>
          <w:szCs w:val="26"/>
        </w:rPr>
      </w:pPr>
    </w:p>
    <w:p w14:paraId="4E2850F4" w14:textId="77777777" w:rsidR="004A686D" w:rsidRPr="0029748B" w:rsidRDefault="004A686D" w:rsidP="0029748B">
      <w:pPr>
        <w:widowControl/>
        <w:spacing w:after="200" w:line="360" w:lineRule="auto"/>
        <w:ind w:firstLine="1440"/>
        <w:contextualSpacing/>
        <w:rPr>
          <w:rFonts w:eastAsiaTheme="minorHAnsi"/>
          <w:sz w:val="26"/>
          <w:szCs w:val="26"/>
        </w:rPr>
      </w:pPr>
      <w:r w:rsidRPr="0029748B">
        <w:rPr>
          <w:rFonts w:eastAsiaTheme="minorHAnsi"/>
          <w:sz w:val="26"/>
          <w:szCs w:val="26"/>
        </w:rPr>
        <w:t xml:space="preserve">Although we adopt the underlying reasoning behind the ALJ’s recommendation, we decline to adopt I&amp;E’s proposed amount for the allowance of state income taxes, as recommended by the ALJ.  As I&amp;E and the OCA both point out in their Exceptions, the Rate Tables contained in Appendix A of the Recommended Decision contain errors.  Because these tables include several embedded and interrelated calculations for the federal and state income taxes, these errors must first be rectified before the precise state income tax allowance for the Company can be known.  More specifically, as the OCA correctly states in its Exceptions, the ALJ’s recommendation to </w:t>
      </w:r>
      <w:r w:rsidRPr="0029748B">
        <w:rPr>
          <w:rFonts w:eastAsiaTheme="minorHAnsi"/>
          <w:sz w:val="26"/>
          <w:szCs w:val="26"/>
        </w:rPr>
        <w:lastRenderedPageBreak/>
        <w:t>eliminate the Company’s claim for federal income taxes, which we have adopted, is not accurately reflected.</w:t>
      </w:r>
    </w:p>
    <w:p w14:paraId="7BB6880A" w14:textId="77777777" w:rsidR="004A686D" w:rsidRPr="0029748B" w:rsidRDefault="004A686D" w:rsidP="0029748B">
      <w:pPr>
        <w:widowControl/>
        <w:spacing w:after="200" w:line="360" w:lineRule="auto"/>
        <w:ind w:firstLine="1440"/>
        <w:contextualSpacing/>
        <w:rPr>
          <w:rFonts w:eastAsiaTheme="minorHAnsi"/>
          <w:sz w:val="26"/>
          <w:szCs w:val="26"/>
        </w:rPr>
      </w:pPr>
    </w:p>
    <w:p w14:paraId="248DDAF3" w14:textId="77777777" w:rsidR="004A686D" w:rsidRDefault="004A686D" w:rsidP="0029748B">
      <w:pPr>
        <w:widowControl/>
        <w:spacing w:after="200" w:line="360" w:lineRule="auto"/>
        <w:ind w:firstLine="1440"/>
        <w:contextualSpacing/>
        <w:rPr>
          <w:rFonts w:eastAsiaTheme="minorHAnsi"/>
          <w:sz w:val="26"/>
          <w:szCs w:val="26"/>
        </w:rPr>
      </w:pPr>
      <w:r w:rsidRPr="0029748B">
        <w:rPr>
          <w:rFonts w:eastAsiaTheme="minorHAnsi"/>
          <w:sz w:val="26"/>
          <w:szCs w:val="26"/>
        </w:rPr>
        <w:t xml:space="preserve">Rather, the expense adjustments made on Table II-Summary Adjustments have erroneously resulted in an overall positive increase in the federal income tax claim that is reflected under the “ALJ Adjustments” column on Table I of Appendix A.  In this regard, our review of Table II also indicates that I&amp;E’s proposed adjustments for state and federal income taxes, as recommended by the ALJ, were inadvertently included as both an adjustment to the Company’s operation and maintenance expenses and to its tax expenses.  Eliminating this error reduces the total downward adjustment to operation and maintenance expenses from $80,895 to $57,734.  </w:t>
      </w:r>
    </w:p>
    <w:p w14:paraId="711564BB" w14:textId="77777777" w:rsidR="002C41FF" w:rsidRPr="0029748B" w:rsidRDefault="002C41FF" w:rsidP="0029748B">
      <w:pPr>
        <w:widowControl/>
        <w:spacing w:after="200" w:line="360" w:lineRule="auto"/>
        <w:ind w:firstLine="1440"/>
        <w:contextualSpacing/>
        <w:rPr>
          <w:rFonts w:eastAsiaTheme="minorHAnsi"/>
          <w:sz w:val="26"/>
          <w:szCs w:val="26"/>
        </w:rPr>
      </w:pPr>
    </w:p>
    <w:p w14:paraId="5CC64C93" w14:textId="77777777" w:rsidR="004A686D" w:rsidRPr="0029748B" w:rsidRDefault="004A686D" w:rsidP="0029748B">
      <w:pPr>
        <w:widowControl/>
        <w:spacing w:after="200" w:line="360" w:lineRule="auto"/>
        <w:ind w:firstLine="1440"/>
        <w:contextualSpacing/>
        <w:rPr>
          <w:rFonts w:eastAsiaTheme="minorHAnsi"/>
          <w:sz w:val="26"/>
          <w:szCs w:val="26"/>
        </w:rPr>
      </w:pPr>
      <w:r w:rsidRPr="0029748B">
        <w:rPr>
          <w:rFonts w:eastAsiaTheme="minorHAnsi"/>
          <w:sz w:val="26"/>
          <w:szCs w:val="26"/>
        </w:rPr>
        <w:t>Additionally, this will result in a state income tax allowance for Twin Lakes of $6,579 and a federal income tax allowance of $0.00.  Finally, this will modify the ALJ’s recommended overall revenue increase for the Company from $111,777 to $117,374.  Although this revenue increase is slightly greater than the amount recommended by the ALJ, it is still significantly less than the $211,794 revenue increase originally sought by Twin Lakes.</w:t>
      </w:r>
    </w:p>
    <w:p w14:paraId="3E7479F2" w14:textId="77777777" w:rsidR="004A686D" w:rsidRPr="0029748B" w:rsidRDefault="004A686D" w:rsidP="0029748B">
      <w:pPr>
        <w:widowControl/>
        <w:spacing w:after="200" w:line="360" w:lineRule="auto"/>
        <w:ind w:firstLine="1440"/>
        <w:contextualSpacing/>
        <w:rPr>
          <w:rFonts w:eastAsiaTheme="minorHAnsi"/>
          <w:sz w:val="26"/>
          <w:szCs w:val="26"/>
        </w:rPr>
      </w:pPr>
    </w:p>
    <w:p w14:paraId="15770AE3" w14:textId="77777777" w:rsidR="004A686D" w:rsidRPr="0029748B" w:rsidRDefault="007E081A" w:rsidP="0029748B">
      <w:pPr>
        <w:widowControl/>
        <w:spacing w:after="200" w:line="360" w:lineRule="auto"/>
        <w:ind w:firstLine="1440"/>
        <w:contextualSpacing/>
        <w:rPr>
          <w:rFonts w:eastAsiaTheme="minorHAnsi"/>
          <w:sz w:val="26"/>
          <w:szCs w:val="26"/>
        </w:rPr>
      </w:pPr>
      <w:r w:rsidRPr="0029748B">
        <w:rPr>
          <w:rFonts w:eastAsiaTheme="minorHAnsi"/>
          <w:sz w:val="26"/>
          <w:szCs w:val="26"/>
        </w:rPr>
        <w:t>Based on the foregoing analysis,</w:t>
      </w:r>
      <w:r w:rsidR="004A686D" w:rsidRPr="0029748B">
        <w:rPr>
          <w:rFonts w:eastAsiaTheme="minorHAnsi"/>
          <w:sz w:val="26"/>
          <w:szCs w:val="26"/>
        </w:rPr>
        <w:t xml:space="preserve"> we shall grant the OCA’s Exceptions on this issue, grant I&amp;E’s Exception, in part, and deny, in part, and adopt the ALJ’s recommendation, as modified.</w:t>
      </w:r>
    </w:p>
    <w:p w14:paraId="12E9755E" w14:textId="77777777" w:rsidR="00E90DE4" w:rsidRPr="0029748B" w:rsidRDefault="00E90DE4" w:rsidP="0029748B">
      <w:pPr>
        <w:pStyle w:val="ListParagraph"/>
        <w:widowControl/>
        <w:spacing w:line="360" w:lineRule="auto"/>
        <w:textAlignment w:val="baseline"/>
        <w:rPr>
          <w:b/>
          <w:color w:val="000000"/>
          <w:sz w:val="26"/>
          <w:szCs w:val="26"/>
        </w:rPr>
      </w:pPr>
    </w:p>
    <w:p w14:paraId="214854E4" w14:textId="77777777" w:rsidR="009B644F" w:rsidRPr="0029748B" w:rsidRDefault="00D951C4" w:rsidP="002C41FF">
      <w:pPr>
        <w:pStyle w:val="ListParagraph"/>
        <w:keepNext/>
        <w:keepLines/>
        <w:widowControl/>
        <w:numPr>
          <w:ilvl w:val="0"/>
          <w:numId w:val="4"/>
        </w:numPr>
        <w:spacing w:line="360" w:lineRule="auto"/>
        <w:ind w:left="720" w:hanging="720"/>
        <w:rPr>
          <w:b/>
          <w:color w:val="000000"/>
          <w:sz w:val="26"/>
          <w:szCs w:val="26"/>
        </w:rPr>
      </w:pPr>
      <w:r w:rsidRPr="0029748B">
        <w:rPr>
          <w:b/>
          <w:color w:val="000000"/>
          <w:sz w:val="26"/>
          <w:szCs w:val="26"/>
        </w:rPr>
        <w:lastRenderedPageBreak/>
        <w:t>Rate of Return</w:t>
      </w:r>
      <w:r w:rsidR="00425CFF" w:rsidRPr="0029748B">
        <w:rPr>
          <w:rStyle w:val="FootnoteReference"/>
          <w:b/>
          <w:color w:val="000000"/>
          <w:sz w:val="26"/>
          <w:szCs w:val="26"/>
        </w:rPr>
        <w:footnoteReference w:id="7"/>
      </w:r>
      <w:r w:rsidRPr="0029748B">
        <w:rPr>
          <w:b/>
          <w:color w:val="000000"/>
          <w:sz w:val="26"/>
          <w:szCs w:val="26"/>
        </w:rPr>
        <w:t xml:space="preserve"> </w:t>
      </w:r>
    </w:p>
    <w:p w14:paraId="6EED7C14" w14:textId="77777777" w:rsidR="00DF76AB" w:rsidRPr="0029748B" w:rsidRDefault="00DF76AB" w:rsidP="002C41FF">
      <w:pPr>
        <w:pStyle w:val="ListParagraph"/>
        <w:keepNext/>
        <w:keepLines/>
        <w:widowControl/>
        <w:spacing w:line="360" w:lineRule="auto"/>
        <w:ind w:left="0" w:firstLine="1440"/>
        <w:rPr>
          <w:bCs/>
          <w:color w:val="000000"/>
          <w:sz w:val="26"/>
          <w:szCs w:val="26"/>
        </w:rPr>
      </w:pPr>
    </w:p>
    <w:p w14:paraId="27BDEF86" w14:textId="77777777" w:rsidR="00DE1928" w:rsidRPr="0029748B" w:rsidRDefault="00DE1928" w:rsidP="002C41FF">
      <w:pPr>
        <w:pStyle w:val="ListParagraph"/>
        <w:keepNext/>
        <w:keepLines/>
        <w:widowControl/>
        <w:numPr>
          <w:ilvl w:val="1"/>
          <w:numId w:val="4"/>
        </w:numPr>
        <w:spacing w:line="360" w:lineRule="auto"/>
        <w:ind w:left="1440"/>
        <w:rPr>
          <w:b/>
          <w:color w:val="000000"/>
          <w:sz w:val="26"/>
          <w:szCs w:val="26"/>
        </w:rPr>
      </w:pPr>
      <w:r w:rsidRPr="0029748B">
        <w:rPr>
          <w:b/>
          <w:color w:val="000000"/>
          <w:sz w:val="26"/>
          <w:szCs w:val="26"/>
        </w:rPr>
        <w:t>Position of the Parties</w:t>
      </w:r>
    </w:p>
    <w:p w14:paraId="3C9A9CA8" w14:textId="77777777" w:rsidR="00EC603F" w:rsidRPr="0029748B" w:rsidRDefault="00EC603F" w:rsidP="0029748B">
      <w:pPr>
        <w:pStyle w:val="ListParagraph"/>
        <w:widowControl/>
        <w:spacing w:line="360" w:lineRule="auto"/>
        <w:ind w:left="0" w:firstLine="1440"/>
        <w:rPr>
          <w:bCs/>
          <w:color w:val="000000"/>
          <w:sz w:val="26"/>
          <w:szCs w:val="26"/>
        </w:rPr>
      </w:pPr>
    </w:p>
    <w:p w14:paraId="12789C9F" w14:textId="77777777" w:rsidR="00EC603F" w:rsidRPr="0029748B" w:rsidRDefault="00EC603F" w:rsidP="0029748B">
      <w:pPr>
        <w:widowControl/>
        <w:spacing w:line="360" w:lineRule="auto"/>
        <w:ind w:firstLine="1440"/>
        <w:rPr>
          <w:sz w:val="26"/>
          <w:szCs w:val="26"/>
        </w:rPr>
      </w:pPr>
      <w:bookmarkStart w:id="32" w:name="_Hlk34898125"/>
      <w:r w:rsidRPr="0029748B">
        <w:rPr>
          <w:sz w:val="26"/>
          <w:szCs w:val="26"/>
        </w:rPr>
        <w:t>In th</w:t>
      </w:r>
      <w:r w:rsidR="00191B3C" w:rsidRPr="0029748B">
        <w:rPr>
          <w:sz w:val="26"/>
          <w:szCs w:val="26"/>
        </w:rPr>
        <w:t xml:space="preserve">is </w:t>
      </w:r>
      <w:r w:rsidRPr="0029748B">
        <w:rPr>
          <w:sz w:val="26"/>
          <w:szCs w:val="26"/>
        </w:rPr>
        <w:t>proceeding, the Company requested an 11.0% C</w:t>
      </w:r>
      <w:r w:rsidR="00093751" w:rsidRPr="0029748B">
        <w:rPr>
          <w:sz w:val="26"/>
          <w:szCs w:val="26"/>
        </w:rPr>
        <w:t xml:space="preserve">ost </w:t>
      </w:r>
      <w:r w:rsidR="002C0A74" w:rsidRPr="0029748B">
        <w:rPr>
          <w:sz w:val="26"/>
          <w:szCs w:val="26"/>
        </w:rPr>
        <w:t>o</w:t>
      </w:r>
      <w:r w:rsidR="00093751" w:rsidRPr="0029748B">
        <w:rPr>
          <w:sz w:val="26"/>
          <w:szCs w:val="26"/>
        </w:rPr>
        <w:t xml:space="preserve">f </w:t>
      </w:r>
      <w:r w:rsidRPr="0029748B">
        <w:rPr>
          <w:sz w:val="26"/>
          <w:szCs w:val="26"/>
        </w:rPr>
        <w:t>E</w:t>
      </w:r>
      <w:r w:rsidR="00093751" w:rsidRPr="0029748B">
        <w:rPr>
          <w:sz w:val="26"/>
          <w:szCs w:val="26"/>
        </w:rPr>
        <w:t>quity (COE)</w:t>
      </w:r>
      <w:r w:rsidRPr="0029748B">
        <w:rPr>
          <w:sz w:val="26"/>
          <w:szCs w:val="26"/>
        </w:rPr>
        <w:t xml:space="preserve"> yielding an overall rate of return of 9.0%.  Twin Lakes acknowledged that it did not engage an expert witness to prepare a market-based analysis and proposal of </w:t>
      </w:r>
      <w:r w:rsidR="0083663D" w:rsidRPr="0029748B">
        <w:rPr>
          <w:sz w:val="26"/>
          <w:szCs w:val="26"/>
        </w:rPr>
        <w:t xml:space="preserve">the </w:t>
      </w:r>
      <w:r w:rsidRPr="0029748B">
        <w:rPr>
          <w:sz w:val="26"/>
          <w:szCs w:val="26"/>
        </w:rPr>
        <w:t>COE because the high cost of such expert services would have increased the total cost of this proceeding, thereby adding additional cost to Twin Lakes’ customers.  Without presenting a full market-based analysis, Twin Lakes’ witness asserted that given the “extremely” small size of Twin Lakes, coupled with the most recently Commission-published authorized return on equity ranging between 8.02-10.58% for a Pennsylvania water utility, a recommendation of a</w:t>
      </w:r>
      <w:r w:rsidR="00FB17EF" w:rsidRPr="0029748B">
        <w:rPr>
          <w:sz w:val="26"/>
          <w:szCs w:val="26"/>
        </w:rPr>
        <w:t>n</w:t>
      </w:r>
      <w:r w:rsidRPr="0029748B">
        <w:rPr>
          <w:sz w:val="26"/>
          <w:szCs w:val="26"/>
        </w:rPr>
        <w:t xml:space="preserve"> </w:t>
      </w:r>
      <w:r w:rsidRPr="002839A2">
        <w:rPr>
          <w:sz w:val="26"/>
          <w:szCs w:val="26"/>
        </w:rPr>
        <w:t>11</w:t>
      </w:r>
      <w:r w:rsidRPr="0029748B">
        <w:rPr>
          <w:sz w:val="26"/>
          <w:szCs w:val="26"/>
        </w:rPr>
        <w:t xml:space="preserve">.0% return on equity is a fair and reasonable expected return for Twin Lakes. </w:t>
      </w:r>
      <w:r w:rsidR="00093751" w:rsidRPr="0029748B">
        <w:rPr>
          <w:sz w:val="26"/>
          <w:szCs w:val="26"/>
        </w:rPr>
        <w:t xml:space="preserve"> </w:t>
      </w:r>
      <w:r w:rsidRPr="0029748B">
        <w:rPr>
          <w:sz w:val="26"/>
          <w:szCs w:val="26"/>
        </w:rPr>
        <w:t>TLU M.B. at 11 (citing TLU St. No. 2 at 6).</w:t>
      </w:r>
      <w:bookmarkEnd w:id="32"/>
    </w:p>
    <w:p w14:paraId="381D2D18" w14:textId="77777777" w:rsidR="00E07AC9" w:rsidRPr="0029748B" w:rsidRDefault="00E07AC9" w:rsidP="0029748B">
      <w:pPr>
        <w:widowControl/>
        <w:spacing w:line="360" w:lineRule="auto"/>
        <w:ind w:firstLine="1440"/>
        <w:rPr>
          <w:sz w:val="26"/>
          <w:szCs w:val="26"/>
        </w:rPr>
      </w:pPr>
    </w:p>
    <w:p w14:paraId="5257C770" w14:textId="77777777" w:rsidR="00E07AC9" w:rsidRPr="0029748B" w:rsidRDefault="00E07AC9" w:rsidP="0029748B">
      <w:pPr>
        <w:widowControl/>
        <w:spacing w:line="360" w:lineRule="auto"/>
        <w:ind w:firstLine="1440"/>
        <w:rPr>
          <w:bCs/>
          <w:color w:val="000000"/>
          <w:sz w:val="26"/>
          <w:szCs w:val="26"/>
        </w:rPr>
      </w:pPr>
      <w:r w:rsidRPr="0029748B">
        <w:rPr>
          <w:sz w:val="26"/>
          <w:szCs w:val="26"/>
        </w:rPr>
        <w:t xml:space="preserve">I&amp;E and the OCA both opposed the Company’s proposed 11% COE.  </w:t>
      </w:r>
      <w:r w:rsidRPr="0029748B">
        <w:rPr>
          <w:bCs/>
          <w:color w:val="000000"/>
          <w:sz w:val="26"/>
          <w:szCs w:val="26"/>
        </w:rPr>
        <w:t>I&amp;E’s and the OCA’s primary argument was that a 0% COE, yielding a 0% return on equity, should be assessed to calculate the Company’s overall reasonable Rate</w:t>
      </w:r>
      <w:r w:rsidR="00191B3C" w:rsidRPr="0029748B">
        <w:rPr>
          <w:bCs/>
          <w:color w:val="000000"/>
          <w:sz w:val="26"/>
          <w:szCs w:val="26"/>
        </w:rPr>
        <w:t xml:space="preserve"> </w:t>
      </w:r>
      <w:r w:rsidRPr="0029748B">
        <w:rPr>
          <w:bCs/>
          <w:color w:val="000000"/>
          <w:sz w:val="26"/>
          <w:szCs w:val="26"/>
        </w:rPr>
        <w:t>of Return, based on the Company’s accountability for the circumstances leading to inadequate provision of service and unreasonably high rates due to the Company’s requested rate increase, if approved.</w:t>
      </w:r>
    </w:p>
    <w:p w14:paraId="0C8AE5BD" w14:textId="77777777" w:rsidR="00E07AC9" w:rsidRPr="0029748B" w:rsidRDefault="00E07AC9" w:rsidP="007C4BF9">
      <w:pPr>
        <w:widowControl/>
        <w:spacing w:line="360" w:lineRule="auto"/>
        <w:ind w:firstLine="1440"/>
        <w:rPr>
          <w:bCs/>
          <w:color w:val="000000"/>
          <w:sz w:val="26"/>
          <w:szCs w:val="26"/>
        </w:rPr>
      </w:pPr>
    </w:p>
    <w:p w14:paraId="479C332A" w14:textId="77777777" w:rsidR="00E07AC9" w:rsidRPr="00A842F2" w:rsidRDefault="00E07AC9" w:rsidP="00A842F2">
      <w:pPr>
        <w:widowControl/>
        <w:spacing w:line="360" w:lineRule="auto"/>
        <w:ind w:firstLine="1440"/>
        <w:rPr>
          <w:bCs/>
          <w:color w:val="000000"/>
          <w:sz w:val="26"/>
          <w:szCs w:val="26"/>
        </w:rPr>
      </w:pPr>
      <w:r w:rsidRPr="0029748B">
        <w:rPr>
          <w:bCs/>
          <w:color w:val="000000"/>
          <w:sz w:val="26"/>
          <w:szCs w:val="26"/>
        </w:rPr>
        <w:lastRenderedPageBreak/>
        <w:t xml:space="preserve">In the alternative, I&amp;E </w:t>
      </w:r>
      <w:r w:rsidR="00F93058" w:rsidRPr="0029748B">
        <w:rPr>
          <w:bCs/>
          <w:color w:val="000000"/>
          <w:sz w:val="26"/>
          <w:szCs w:val="26"/>
        </w:rPr>
        <w:t xml:space="preserve">and the OCA </w:t>
      </w:r>
      <w:r w:rsidRPr="0029748B">
        <w:rPr>
          <w:bCs/>
          <w:color w:val="000000"/>
          <w:sz w:val="26"/>
          <w:szCs w:val="26"/>
        </w:rPr>
        <w:t xml:space="preserve">argued that, should the ALJ determine the Company was entitled to a return on equity, the calculation of the overall reasonable rate of return should be based on a calculation of COE using the traditional market-based analysis.  </w:t>
      </w:r>
      <w:r w:rsidRPr="0029748B">
        <w:rPr>
          <w:sz w:val="26"/>
          <w:szCs w:val="26"/>
        </w:rPr>
        <w:t>I&amp;E and the OCA each proposed alternative calculations of the Company’s reasonable rate of return based on their respective expert’s testimony of the appropriate COE as derived by the traditional market-based analysis of standard cost of equity issues, such as proxy groups, growth rates, and dividend yields</w:t>
      </w:r>
      <w:r w:rsidR="0083663D" w:rsidRPr="0029748B">
        <w:rPr>
          <w:sz w:val="26"/>
          <w:szCs w:val="26"/>
        </w:rPr>
        <w:t>.</w:t>
      </w:r>
      <w:r w:rsidRPr="0029748B">
        <w:rPr>
          <w:sz w:val="26"/>
          <w:szCs w:val="26"/>
          <w:vertAlign w:val="superscript"/>
        </w:rPr>
        <w:footnoteReference w:id="8"/>
      </w:r>
      <w:r w:rsidRPr="0029748B">
        <w:rPr>
          <w:sz w:val="26"/>
          <w:szCs w:val="26"/>
        </w:rPr>
        <w:t xml:space="preserve">  Based on a market-based analyses, I&amp;E’s expert recommended a market-based COE of 9.23% and an overall rate of return of 8.12%, while the OCA’s expert recommended a market-based COE of 8.37% and an overall rate of return of 7.89%.  </w:t>
      </w:r>
      <w:r w:rsidRPr="0029748B">
        <w:rPr>
          <w:i/>
          <w:iCs/>
          <w:sz w:val="26"/>
          <w:szCs w:val="26"/>
        </w:rPr>
        <w:t>See Id</w:t>
      </w:r>
      <w:r w:rsidRPr="0029748B">
        <w:rPr>
          <w:sz w:val="26"/>
          <w:szCs w:val="26"/>
        </w:rPr>
        <w:t xml:space="preserve">; </w:t>
      </w:r>
      <w:r w:rsidRPr="0029748B">
        <w:rPr>
          <w:i/>
          <w:iCs/>
          <w:sz w:val="26"/>
          <w:szCs w:val="26"/>
        </w:rPr>
        <w:t>see also</w:t>
      </w:r>
      <w:r w:rsidRPr="0029748B">
        <w:rPr>
          <w:sz w:val="26"/>
          <w:szCs w:val="26"/>
        </w:rPr>
        <w:t xml:space="preserve"> I&amp;E M.B. at 38-39, 59-63; </w:t>
      </w:r>
      <w:r w:rsidRPr="0029748B">
        <w:rPr>
          <w:i/>
          <w:iCs/>
          <w:sz w:val="26"/>
          <w:szCs w:val="26"/>
        </w:rPr>
        <w:t>see also</w:t>
      </w:r>
      <w:r w:rsidRPr="0029748B">
        <w:rPr>
          <w:sz w:val="26"/>
          <w:szCs w:val="26"/>
        </w:rPr>
        <w:t xml:space="preserve"> OCA M.B. at 24-33.  </w:t>
      </w:r>
    </w:p>
    <w:p w14:paraId="4E63B23E" w14:textId="77777777" w:rsidR="00EC4D1C" w:rsidRPr="0029748B" w:rsidRDefault="00EC4D1C" w:rsidP="00EC4D1C">
      <w:pPr>
        <w:widowControl/>
        <w:spacing w:line="360" w:lineRule="auto"/>
        <w:rPr>
          <w:sz w:val="26"/>
          <w:szCs w:val="26"/>
        </w:rPr>
      </w:pPr>
    </w:p>
    <w:p w14:paraId="61B9C226" w14:textId="533EE4B7" w:rsidR="00E07AC9" w:rsidRPr="0029748B" w:rsidRDefault="00E07AC9" w:rsidP="0029748B">
      <w:pPr>
        <w:widowControl/>
        <w:spacing w:line="360" w:lineRule="auto"/>
        <w:ind w:firstLine="1440"/>
        <w:rPr>
          <w:sz w:val="26"/>
          <w:szCs w:val="26"/>
        </w:rPr>
      </w:pPr>
      <w:r w:rsidRPr="0029748B">
        <w:rPr>
          <w:sz w:val="26"/>
          <w:szCs w:val="26"/>
        </w:rPr>
        <w:t>Notwithstanding their experts’ recommendations on market-based COE, based on I&amp;E’s and the OCA’s positions that Twin Lakes is providing inadequate service to customers, as summarized further below under</w:t>
      </w:r>
      <w:r w:rsidR="00182090" w:rsidRPr="0029748B">
        <w:rPr>
          <w:sz w:val="26"/>
          <w:szCs w:val="26"/>
        </w:rPr>
        <w:t xml:space="preserve"> the</w:t>
      </w:r>
      <w:r w:rsidRPr="0029748B">
        <w:rPr>
          <w:sz w:val="26"/>
          <w:szCs w:val="26"/>
        </w:rPr>
        <w:t xml:space="preserve"> “Quality of Service”</w:t>
      </w:r>
      <w:r w:rsidR="00182090" w:rsidRPr="0029748B">
        <w:rPr>
          <w:sz w:val="26"/>
          <w:szCs w:val="26"/>
        </w:rPr>
        <w:t xml:space="preserve"> and “Affordability”</w:t>
      </w:r>
      <w:r w:rsidRPr="0029748B">
        <w:rPr>
          <w:sz w:val="26"/>
          <w:szCs w:val="26"/>
        </w:rPr>
        <w:t xml:space="preserve"> section</w:t>
      </w:r>
      <w:r w:rsidR="00182090" w:rsidRPr="0029748B">
        <w:rPr>
          <w:sz w:val="26"/>
          <w:szCs w:val="26"/>
        </w:rPr>
        <w:t>s</w:t>
      </w:r>
      <w:r w:rsidRPr="0029748B">
        <w:rPr>
          <w:sz w:val="26"/>
          <w:szCs w:val="26"/>
        </w:rPr>
        <w:t xml:space="preserve">, as a remedy, both I&amp;E and the OCA requested that the Commission adopt a cost of common equity of 0% for Twin Lakes.  </w:t>
      </w:r>
      <w:r w:rsidRPr="0029748B">
        <w:rPr>
          <w:i/>
          <w:iCs/>
          <w:sz w:val="26"/>
          <w:szCs w:val="26"/>
        </w:rPr>
        <w:t>See</w:t>
      </w:r>
      <w:r w:rsidR="00093751" w:rsidRPr="008F45D7">
        <w:rPr>
          <w:sz w:val="26"/>
          <w:szCs w:val="26"/>
        </w:rPr>
        <w:t>,</w:t>
      </w:r>
      <w:r w:rsidRPr="0029748B">
        <w:rPr>
          <w:i/>
          <w:iCs/>
          <w:sz w:val="26"/>
          <w:szCs w:val="26"/>
        </w:rPr>
        <w:t xml:space="preserve"> </w:t>
      </w:r>
      <w:r w:rsidRPr="0029748B">
        <w:rPr>
          <w:sz w:val="26"/>
          <w:szCs w:val="26"/>
        </w:rPr>
        <w:t xml:space="preserve">R.D. at 53; </w:t>
      </w:r>
      <w:r w:rsidRPr="0029748B">
        <w:rPr>
          <w:i/>
          <w:iCs/>
          <w:sz w:val="26"/>
          <w:szCs w:val="26"/>
        </w:rPr>
        <w:t>see</w:t>
      </w:r>
      <w:r w:rsidR="00B23C91">
        <w:rPr>
          <w:i/>
          <w:iCs/>
          <w:sz w:val="26"/>
          <w:szCs w:val="26"/>
        </w:rPr>
        <w:t> </w:t>
      </w:r>
      <w:r w:rsidRPr="0029748B">
        <w:rPr>
          <w:i/>
          <w:iCs/>
          <w:sz w:val="26"/>
          <w:szCs w:val="26"/>
        </w:rPr>
        <w:t>also</w:t>
      </w:r>
      <w:r w:rsidR="00093751" w:rsidRPr="008F45D7">
        <w:rPr>
          <w:sz w:val="26"/>
          <w:szCs w:val="26"/>
        </w:rPr>
        <w:t>,</w:t>
      </w:r>
      <w:r w:rsidRPr="0029748B">
        <w:rPr>
          <w:sz w:val="26"/>
          <w:szCs w:val="26"/>
        </w:rPr>
        <w:t xml:space="preserve"> I&amp;E M.B. at 43-58; OCA M.B. at</w:t>
      </w:r>
      <w:r w:rsidR="00C9313E" w:rsidRPr="0029748B">
        <w:rPr>
          <w:sz w:val="26"/>
          <w:szCs w:val="26"/>
        </w:rPr>
        <w:t> </w:t>
      </w:r>
      <w:r w:rsidRPr="0029748B">
        <w:rPr>
          <w:sz w:val="26"/>
          <w:szCs w:val="26"/>
        </w:rPr>
        <w:t>43-45.</w:t>
      </w:r>
    </w:p>
    <w:p w14:paraId="2E5A0C8A" w14:textId="77777777" w:rsidR="00754F7B" w:rsidRPr="0029748B" w:rsidRDefault="00754F7B" w:rsidP="0029748B">
      <w:pPr>
        <w:widowControl/>
        <w:spacing w:line="360" w:lineRule="auto"/>
        <w:ind w:firstLine="1440"/>
        <w:rPr>
          <w:sz w:val="26"/>
          <w:szCs w:val="26"/>
        </w:rPr>
      </w:pPr>
    </w:p>
    <w:p w14:paraId="4F9FD0B7" w14:textId="77777777" w:rsidR="00754F7B" w:rsidRPr="0029748B" w:rsidRDefault="00754F7B" w:rsidP="0029748B">
      <w:pPr>
        <w:widowControl/>
        <w:spacing w:line="360" w:lineRule="auto"/>
        <w:ind w:firstLine="1440"/>
        <w:rPr>
          <w:sz w:val="26"/>
          <w:szCs w:val="26"/>
        </w:rPr>
      </w:pPr>
      <w:r w:rsidRPr="0029748B">
        <w:rPr>
          <w:sz w:val="26"/>
          <w:szCs w:val="26"/>
        </w:rPr>
        <w:t xml:space="preserve">In response, Twin Lakes asserted that I&amp;E and the OCA’s recommendations are unreasonable and inappropriate given the physical condition of the acquired system and the continued efforts by Twin Lakes to work toward ensuring safe and reliable service for its customers. </w:t>
      </w:r>
      <w:r w:rsidR="00093751" w:rsidRPr="0029748B">
        <w:rPr>
          <w:sz w:val="26"/>
          <w:szCs w:val="26"/>
        </w:rPr>
        <w:t xml:space="preserve"> </w:t>
      </w:r>
      <w:r w:rsidRPr="0029748B">
        <w:rPr>
          <w:sz w:val="26"/>
          <w:szCs w:val="26"/>
        </w:rPr>
        <w:t>TLU M.B. at 12; TLU R.B. at 9-11.</w:t>
      </w:r>
      <w:r w:rsidR="00C02BA0">
        <w:rPr>
          <w:sz w:val="26"/>
          <w:szCs w:val="26"/>
        </w:rPr>
        <w:t xml:space="preserve">  </w:t>
      </w:r>
      <w:r w:rsidRPr="0029748B">
        <w:rPr>
          <w:sz w:val="26"/>
          <w:szCs w:val="26"/>
        </w:rPr>
        <w:t xml:space="preserve">Twin Lakes maintained that a 0% COE will have a significant negative impact on the Company and its customers.  Twin Lakes asserted that adoption of the proposed 0% COE would place Twin Lakes at a significant disadvantage in </w:t>
      </w:r>
      <w:r w:rsidR="00CC4E2B" w:rsidRPr="0029748B">
        <w:rPr>
          <w:sz w:val="26"/>
          <w:szCs w:val="26"/>
        </w:rPr>
        <w:t>its</w:t>
      </w:r>
      <w:r w:rsidRPr="0029748B">
        <w:rPr>
          <w:sz w:val="26"/>
          <w:szCs w:val="26"/>
        </w:rPr>
        <w:t xml:space="preserve"> ability to raise capital thereby making it extraordinarily difficult, if not impossible, to finance improvements to maintain safe and </w:t>
      </w:r>
      <w:r w:rsidRPr="0029748B">
        <w:rPr>
          <w:sz w:val="26"/>
          <w:szCs w:val="26"/>
        </w:rPr>
        <w:lastRenderedPageBreak/>
        <w:t>reliable service. Twin Lake</w:t>
      </w:r>
      <w:r w:rsidR="00093751" w:rsidRPr="0029748B">
        <w:rPr>
          <w:sz w:val="26"/>
          <w:szCs w:val="26"/>
        </w:rPr>
        <w:t>s</w:t>
      </w:r>
      <w:r w:rsidRPr="0029748B">
        <w:rPr>
          <w:sz w:val="26"/>
          <w:szCs w:val="26"/>
        </w:rPr>
        <w:t xml:space="preserve"> also maintained that </w:t>
      </w:r>
      <w:r w:rsidR="00001DBE" w:rsidRPr="0029748B">
        <w:rPr>
          <w:sz w:val="26"/>
          <w:szCs w:val="26"/>
        </w:rPr>
        <w:t xml:space="preserve">I&amp;E’s and </w:t>
      </w:r>
      <w:r w:rsidR="00093751" w:rsidRPr="0029748B">
        <w:rPr>
          <w:sz w:val="26"/>
          <w:szCs w:val="26"/>
        </w:rPr>
        <w:t xml:space="preserve">the </w:t>
      </w:r>
      <w:r w:rsidRPr="0029748B">
        <w:rPr>
          <w:sz w:val="26"/>
          <w:szCs w:val="26"/>
        </w:rPr>
        <w:t>OCA’s positions will cause regulatory uncertainty rendering it impossible for a water utility to plan for future investments in infrastructure.  TLU M.B. at 12.</w:t>
      </w:r>
    </w:p>
    <w:p w14:paraId="4116DA5E" w14:textId="77777777" w:rsidR="00754F7B" w:rsidRPr="0029748B" w:rsidRDefault="00754F7B" w:rsidP="0029748B">
      <w:pPr>
        <w:widowControl/>
        <w:spacing w:line="360" w:lineRule="auto"/>
        <w:ind w:firstLine="1440"/>
        <w:rPr>
          <w:sz w:val="26"/>
          <w:szCs w:val="26"/>
        </w:rPr>
      </w:pPr>
    </w:p>
    <w:p w14:paraId="24C4127B" w14:textId="77777777" w:rsidR="00754F7B" w:rsidRPr="0029748B" w:rsidRDefault="00754F7B" w:rsidP="0029748B">
      <w:pPr>
        <w:widowControl/>
        <w:spacing w:line="360" w:lineRule="auto"/>
        <w:ind w:firstLine="1440"/>
        <w:rPr>
          <w:sz w:val="26"/>
          <w:szCs w:val="26"/>
        </w:rPr>
      </w:pPr>
      <w:r w:rsidRPr="0029748B">
        <w:rPr>
          <w:sz w:val="26"/>
          <w:szCs w:val="26"/>
        </w:rPr>
        <w:t>Further, Twin Lakes argued tha</w:t>
      </w:r>
      <w:r w:rsidR="001C79BE" w:rsidRPr="0029748B">
        <w:rPr>
          <w:sz w:val="26"/>
          <w:szCs w:val="26"/>
        </w:rPr>
        <w:t>t</w:t>
      </w:r>
      <w:r w:rsidRPr="0029748B">
        <w:rPr>
          <w:sz w:val="26"/>
          <w:szCs w:val="26"/>
        </w:rPr>
        <w:t xml:space="preserve"> the recommendations by I&amp;E and </w:t>
      </w:r>
      <w:r w:rsidR="00093751" w:rsidRPr="0029748B">
        <w:rPr>
          <w:sz w:val="26"/>
          <w:szCs w:val="26"/>
        </w:rPr>
        <w:t xml:space="preserve">the </w:t>
      </w:r>
      <w:r w:rsidRPr="0029748B">
        <w:rPr>
          <w:sz w:val="26"/>
          <w:szCs w:val="26"/>
        </w:rPr>
        <w:t xml:space="preserve">OCA may cause the Company and other water utilities in Pennsylvania to experience a credit downgrade because credit rating agencies consider, as a significant factor in determining creditworthiness, the political and regulatory environment in which a utility operates. </w:t>
      </w:r>
      <w:r w:rsidR="008252EA" w:rsidRPr="0029748B">
        <w:rPr>
          <w:sz w:val="26"/>
          <w:szCs w:val="26"/>
        </w:rPr>
        <w:t xml:space="preserve"> </w:t>
      </w:r>
      <w:r w:rsidRPr="0029748B">
        <w:rPr>
          <w:sz w:val="26"/>
          <w:szCs w:val="26"/>
        </w:rPr>
        <w:t>Twin Lakes maintained that to retain existing capital and to attract new capital, the authorized rate of return on common equity must always be high enough to satisfy investors’ requirements, including periods of economic uncertainty.  TLU M.B. at 12-13.  Twin Lakes argued that the Commission should reject I&amp;E’s and the OCA’s proposals, and specifically, the proposal of 0% COE, to avoid unintended and deleterious impact to Twin Lakes’ viability and, in general, to the local and state-wide economies.</w:t>
      </w:r>
      <w:r w:rsidR="00BF4BCA" w:rsidRPr="0029748B">
        <w:rPr>
          <w:sz w:val="26"/>
          <w:szCs w:val="26"/>
        </w:rPr>
        <w:t xml:space="preserve"> </w:t>
      </w:r>
      <w:r w:rsidRPr="0029748B">
        <w:rPr>
          <w:sz w:val="26"/>
          <w:szCs w:val="26"/>
        </w:rPr>
        <w:t xml:space="preserve"> TLU M</w:t>
      </w:r>
      <w:r w:rsidR="001C79BE" w:rsidRPr="0029748B">
        <w:rPr>
          <w:sz w:val="26"/>
          <w:szCs w:val="26"/>
        </w:rPr>
        <w:t>.</w:t>
      </w:r>
      <w:r w:rsidRPr="0029748B">
        <w:rPr>
          <w:sz w:val="26"/>
          <w:szCs w:val="26"/>
        </w:rPr>
        <w:t xml:space="preserve">B. </w:t>
      </w:r>
      <w:r w:rsidR="001C79BE" w:rsidRPr="0029748B">
        <w:rPr>
          <w:sz w:val="26"/>
          <w:szCs w:val="26"/>
        </w:rPr>
        <w:t>at</w:t>
      </w:r>
      <w:r w:rsidR="00EA0A47" w:rsidRPr="0029748B">
        <w:rPr>
          <w:sz w:val="26"/>
          <w:szCs w:val="26"/>
        </w:rPr>
        <w:t> </w:t>
      </w:r>
      <w:r w:rsidRPr="0029748B">
        <w:rPr>
          <w:sz w:val="26"/>
          <w:szCs w:val="26"/>
        </w:rPr>
        <w:t>13.</w:t>
      </w:r>
    </w:p>
    <w:p w14:paraId="1105B35B" w14:textId="77777777" w:rsidR="00431A3B" w:rsidRPr="0029748B" w:rsidRDefault="00431A3B" w:rsidP="0029748B">
      <w:pPr>
        <w:widowControl/>
        <w:spacing w:line="360" w:lineRule="auto"/>
        <w:ind w:firstLine="1440"/>
        <w:rPr>
          <w:sz w:val="26"/>
          <w:szCs w:val="26"/>
        </w:rPr>
      </w:pPr>
    </w:p>
    <w:p w14:paraId="22BE6627" w14:textId="77777777" w:rsidR="00BA6738" w:rsidRPr="0029748B" w:rsidRDefault="007A2949" w:rsidP="00D82607">
      <w:pPr>
        <w:pStyle w:val="ListParagraph"/>
        <w:keepNext/>
        <w:widowControl/>
        <w:numPr>
          <w:ilvl w:val="1"/>
          <w:numId w:val="4"/>
        </w:numPr>
        <w:spacing w:line="360" w:lineRule="auto"/>
        <w:ind w:left="1440"/>
        <w:rPr>
          <w:b/>
          <w:color w:val="000000"/>
          <w:sz w:val="26"/>
          <w:szCs w:val="26"/>
        </w:rPr>
      </w:pPr>
      <w:r w:rsidRPr="0029748B">
        <w:rPr>
          <w:b/>
          <w:color w:val="000000"/>
          <w:sz w:val="26"/>
          <w:szCs w:val="26"/>
        </w:rPr>
        <w:t xml:space="preserve">Recommended Decision </w:t>
      </w:r>
    </w:p>
    <w:p w14:paraId="7D61B391" w14:textId="77777777" w:rsidR="007A2949" w:rsidRPr="0029748B" w:rsidRDefault="007A2949" w:rsidP="0029748B">
      <w:pPr>
        <w:keepNext/>
        <w:widowControl/>
        <w:spacing w:line="360" w:lineRule="auto"/>
        <w:ind w:left="720" w:hanging="720"/>
        <w:rPr>
          <w:bCs/>
          <w:color w:val="000000"/>
          <w:sz w:val="26"/>
          <w:szCs w:val="26"/>
        </w:rPr>
      </w:pPr>
    </w:p>
    <w:p w14:paraId="2832B3DE" w14:textId="73D974F5" w:rsidR="00765165" w:rsidRDefault="00765165" w:rsidP="0029748B">
      <w:pPr>
        <w:keepNext/>
        <w:widowControl/>
        <w:spacing w:line="360" w:lineRule="auto"/>
        <w:ind w:firstLine="1440"/>
        <w:rPr>
          <w:sz w:val="26"/>
          <w:szCs w:val="26"/>
        </w:rPr>
      </w:pPr>
      <w:bookmarkStart w:id="33" w:name="_Hlk34901433"/>
      <w:r w:rsidRPr="0029748B">
        <w:rPr>
          <w:sz w:val="26"/>
          <w:szCs w:val="26"/>
        </w:rPr>
        <w:t xml:space="preserve">The ALJ explained that, in utility ratemaking, the concept of rate of return is the revenue an investment generates in the form of net income and is generally expressed as a percentage of the amount of capital invested over a given period. </w:t>
      </w:r>
      <w:r w:rsidR="00BF4BCA" w:rsidRPr="0029748B">
        <w:rPr>
          <w:sz w:val="26"/>
          <w:szCs w:val="26"/>
        </w:rPr>
        <w:t xml:space="preserve"> </w:t>
      </w:r>
      <w:r w:rsidRPr="0029748B">
        <w:rPr>
          <w:sz w:val="26"/>
          <w:szCs w:val="26"/>
        </w:rPr>
        <w:t xml:space="preserve">It is well established that a fair and reasonable overall rate of return allows the utility the opportunity to recover those costs prudently incurred by all classes of capital used to finance the rate base during the prospective period in which its rates will be in effect.  R.D. at 47, 73 (citing </w:t>
      </w:r>
      <w:r w:rsidRPr="0029748B">
        <w:rPr>
          <w:i/>
          <w:iCs/>
          <w:sz w:val="26"/>
          <w:szCs w:val="26"/>
        </w:rPr>
        <w:t xml:space="preserve">Bluefield Water Works &amp; Improvements Co. v. Public Service </w:t>
      </w:r>
      <w:r w:rsidRPr="0029748B">
        <w:rPr>
          <w:i/>
          <w:iCs/>
          <w:sz w:val="26"/>
          <w:szCs w:val="26"/>
        </w:rPr>
        <w:lastRenderedPageBreak/>
        <w:t>Comm. of West Virginia</w:t>
      </w:r>
      <w:r w:rsidRPr="00D82607">
        <w:rPr>
          <w:sz w:val="26"/>
          <w:szCs w:val="26"/>
        </w:rPr>
        <w:t xml:space="preserve">, </w:t>
      </w:r>
      <w:r w:rsidRPr="0029748B">
        <w:rPr>
          <w:sz w:val="26"/>
          <w:szCs w:val="26"/>
        </w:rPr>
        <w:t>292 U.S. 679, 692-93 (1923) (</w:t>
      </w:r>
      <w:r w:rsidRPr="0029748B">
        <w:rPr>
          <w:i/>
          <w:iCs/>
          <w:sz w:val="26"/>
          <w:szCs w:val="26"/>
        </w:rPr>
        <w:t>Bluefield</w:t>
      </w:r>
      <w:r w:rsidRPr="0029748B">
        <w:rPr>
          <w:sz w:val="26"/>
          <w:szCs w:val="26"/>
        </w:rPr>
        <w:t xml:space="preserve">), and </w:t>
      </w:r>
      <w:r w:rsidRPr="0029748B">
        <w:rPr>
          <w:i/>
          <w:iCs/>
          <w:sz w:val="26"/>
          <w:szCs w:val="26"/>
        </w:rPr>
        <w:t>Federal Power Commission v. Hope Natural Gas Co.</w:t>
      </w:r>
      <w:r w:rsidRPr="00D82607">
        <w:rPr>
          <w:sz w:val="26"/>
          <w:szCs w:val="26"/>
        </w:rPr>
        <w:t>,</w:t>
      </w:r>
      <w:r w:rsidRPr="0029748B">
        <w:rPr>
          <w:i/>
          <w:iCs/>
          <w:sz w:val="26"/>
          <w:szCs w:val="26"/>
        </w:rPr>
        <w:t xml:space="preserve"> </w:t>
      </w:r>
      <w:r w:rsidRPr="0029748B">
        <w:rPr>
          <w:sz w:val="26"/>
          <w:szCs w:val="26"/>
        </w:rPr>
        <w:t>320 U.S. 591, 603 (1944) (</w:t>
      </w:r>
      <w:r w:rsidRPr="0029748B">
        <w:rPr>
          <w:i/>
          <w:iCs/>
          <w:sz w:val="26"/>
          <w:szCs w:val="26"/>
        </w:rPr>
        <w:t>Hope Natural Gas</w:t>
      </w:r>
      <w:r w:rsidRPr="0029748B">
        <w:rPr>
          <w:sz w:val="26"/>
          <w:szCs w:val="26"/>
        </w:rPr>
        <w:t>)).</w:t>
      </w:r>
    </w:p>
    <w:p w14:paraId="7868E086" w14:textId="77777777" w:rsidR="00A20800" w:rsidRPr="0029748B" w:rsidRDefault="00A20800" w:rsidP="0029748B">
      <w:pPr>
        <w:keepNext/>
        <w:widowControl/>
        <w:spacing w:line="360" w:lineRule="auto"/>
        <w:ind w:firstLine="1440"/>
        <w:rPr>
          <w:sz w:val="26"/>
          <w:szCs w:val="26"/>
        </w:rPr>
      </w:pPr>
    </w:p>
    <w:p w14:paraId="3C2B1E98" w14:textId="77777777" w:rsidR="00765165" w:rsidRPr="0029748B" w:rsidRDefault="00765165" w:rsidP="0029748B">
      <w:pPr>
        <w:widowControl/>
        <w:spacing w:line="360" w:lineRule="auto"/>
        <w:ind w:firstLine="1440"/>
        <w:rPr>
          <w:sz w:val="26"/>
          <w:szCs w:val="26"/>
        </w:rPr>
      </w:pPr>
      <w:r w:rsidRPr="0029748B">
        <w:rPr>
          <w:sz w:val="26"/>
          <w:szCs w:val="26"/>
        </w:rPr>
        <w:t>At the same time, the ALJ explained that a water utility must abide by Section 1501 of the Code which obligates it to render “adequate, efficient, safe, and reasonable service.”  R.D. at 73 (citing 66 Pa. C.S. § 15.1).  Section 523(a) requires the Commission to consider the efficiency, effectiveness and adequacy of service of each utility when determining just and reasonable rates.  R.D. at 73-74 (citing 66 Pa. C.S. §</w:t>
      </w:r>
      <w:r w:rsidR="00BF4BCA" w:rsidRPr="0029748B">
        <w:rPr>
          <w:sz w:val="26"/>
          <w:szCs w:val="26"/>
        </w:rPr>
        <w:t> </w:t>
      </w:r>
      <w:r w:rsidRPr="0029748B">
        <w:rPr>
          <w:sz w:val="26"/>
          <w:szCs w:val="26"/>
        </w:rPr>
        <w:t>523(a)).  If service is found to be inadequate, the Commission has the authority under Section 526(a) of the Code to disallow a rate increase, in whole or in part.  R.D. at 75 (citing 66 Pa. C.S. § 526(a)).</w:t>
      </w:r>
    </w:p>
    <w:p w14:paraId="36573714" w14:textId="77777777" w:rsidR="00765165" w:rsidRPr="0029748B" w:rsidRDefault="00765165" w:rsidP="0029748B">
      <w:pPr>
        <w:widowControl/>
        <w:spacing w:line="360" w:lineRule="auto"/>
        <w:ind w:firstLine="1440"/>
        <w:rPr>
          <w:sz w:val="26"/>
          <w:szCs w:val="26"/>
        </w:rPr>
      </w:pPr>
    </w:p>
    <w:p w14:paraId="4AE8CC63" w14:textId="77777777" w:rsidR="00765165" w:rsidRPr="0029748B" w:rsidRDefault="00765165" w:rsidP="0029748B">
      <w:pPr>
        <w:widowControl/>
        <w:spacing w:line="360" w:lineRule="auto"/>
        <w:ind w:firstLine="1440"/>
        <w:rPr>
          <w:sz w:val="26"/>
          <w:szCs w:val="26"/>
        </w:rPr>
      </w:pPr>
      <w:r w:rsidRPr="0029748B">
        <w:rPr>
          <w:sz w:val="26"/>
          <w:szCs w:val="26"/>
        </w:rPr>
        <w:t xml:space="preserve">The ALJ noted </w:t>
      </w:r>
      <w:r w:rsidR="00182090" w:rsidRPr="0029748B">
        <w:rPr>
          <w:sz w:val="26"/>
          <w:szCs w:val="26"/>
        </w:rPr>
        <w:t xml:space="preserve">that </w:t>
      </w:r>
      <w:r w:rsidRPr="0029748B">
        <w:rPr>
          <w:sz w:val="26"/>
          <w:szCs w:val="26"/>
        </w:rPr>
        <w:t>the reasons raised by I&amp;E</w:t>
      </w:r>
      <w:r w:rsidR="00182090" w:rsidRPr="0029748B">
        <w:rPr>
          <w:sz w:val="26"/>
          <w:szCs w:val="26"/>
        </w:rPr>
        <w:t xml:space="preserve"> and the OCA</w:t>
      </w:r>
      <w:r w:rsidRPr="0029748B">
        <w:rPr>
          <w:sz w:val="26"/>
          <w:szCs w:val="26"/>
        </w:rPr>
        <w:t xml:space="preserve"> to</w:t>
      </w:r>
      <w:r w:rsidR="00182090" w:rsidRPr="0029748B">
        <w:rPr>
          <w:sz w:val="26"/>
          <w:szCs w:val="26"/>
        </w:rPr>
        <w:t xml:space="preserve"> assess a 0% COE all pertain to</w:t>
      </w:r>
      <w:r w:rsidRPr="0029748B">
        <w:rPr>
          <w:sz w:val="26"/>
          <w:szCs w:val="26"/>
        </w:rPr>
        <w:t xml:space="preserve"> the Company</w:t>
      </w:r>
      <w:r w:rsidR="00182090" w:rsidRPr="0029748B">
        <w:rPr>
          <w:sz w:val="26"/>
          <w:szCs w:val="26"/>
        </w:rPr>
        <w:t>’s</w:t>
      </w:r>
      <w:r w:rsidRPr="0029748B">
        <w:rPr>
          <w:sz w:val="26"/>
          <w:szCs w:val="26"/>
        </w:rPr>
        <w:t xml:space="preserve"> </w:t>
      </w:r>
      <w:r w:rsidR="00182090" w:rsidRPr="0029748B">
        <w:rPr>
          <w:sz w:val="26"/>
          <w:szCs w:val="26"/>
        </w:rPr>
        <w:t xml:space="preserve">unreasonable conduct.  </w:t>
      </w:r>
      <w:r w:rsidRPr="0029748B">
        <w:rPr>
          <w:sz w:val="26"/>
          <w:szCs w:val="26"/>
        </w:rPr>
        <w:t xml:space="preserve"> There are issues with the reliability of service because the system relies on one well and suffers from continued excessive unaccounted for water losses.</w:t>
      </w:r>
      <w:r w:rsidR="00BF4BCA" w:rsidRPr="0029748B">
        <w:rPr>
          <w:sz w:val="26"/>
          <w:szCs w:val="26"/>
        </w:rPr>
        <w:t xml:space="preserve"> </w:t>
      </w:r>
      <w:r w:rsidRPr="0029748B">
        <w:rPr>
          <w:sz w:val="26"/>
          <w:szCs w:val="26"/>
        </w:rPr>
        <w:t xml:space="preserve"> Further, the Company has failed to comply with the terms of prior settlements in the 2011 and 2015 rate cases which would have addressed the reliability and unaccounted for water issues. </w:t>
      </w:r>
      <w:r w:rsidR="00BF4BCA" w:rsidRPr="0029748B">
        <w:rPr>
          <w:sz w:val="26"/>
          <w:szCs w:val="26"/>
        </w:rPr>
        <w:t xml:space="preserve"> </w:t>
      </w:r>
      <w:r w:rsidRPr="0029748B">
        <w:rPr>
          <w:sz w:val="26"/>
          <w:szCs w:val="26"/>
        </w:rPr>
        <w:t xml:space="preserve">The Company had failed to gain access to financing, and it is not persuasive that the parent company, Middlesex, cannot continue to provide debt underwriting for Twin Lakes because it is subject to the cross-subsidization policy of the </w:t>
      </w:r>
      <w:r w:rsidR="008906C8" w:rsidRPr="0029748B">
        <w:rPr>
          <w:sz w:val="26"/>
          <w:szCs w:val="26"/>
        </w:rPr>
        <w:t>New Jersey Board of Public Utilities (</w:t>
      </w:r>
      <w:r w:rsidRPr="0029748B">
        <w:rPr>
          <w:sz w:val="26"/>
          <w:szCs w:val="26"/>
        </w:rPr>
        <w:t>NJBPU</w:t>
      </w:r>
      <w:r w:rsidR="008906C8" w:rsidRPr="0029748B">
        <w:rPr>
          <w:sz w:val="26"/>
          <w:szCs w:val="26"/>
        </w:rPr>
        <w:t>)</w:t>
      </w:r>
      <w:r w:rsidRPr="0029748B">
        <w:rPr>
          <w:sz w:val="26"/>
          <w:szCs w:val="26"/>
        </w:rPr>
        <w:t>.</w:t>
      </w:r>
    </w:p>
    <w:p w14:paraId="5FF5CECD" w14:textId="77777777" w:rsidR="00765165" w:rsidRPr="0029748B" w:rsidRDefault="00765165" w:rsidP="0029748B">
      <w:pPr>
        <w:widowControl/>
        <w:spacing w:line="360" w:lineRule="auto"/>
        <w:ind w:firstLine="1440"/>
        <w:rPr>
          <w:sz w:val="26"/>
          <w:szCs w:val="26"/>
        </w:rPr>
      </w:pPr>
    </w:p>
    <w:p w14:paraId="740B6A55" w14:textId="77777777" w:rsidR="00765165" w:rsidRPr="0029748B" w:rsidRDefault="00765165" w:rsidP="0029748B">
      <w:pPr>
        <w:widowControl/>
        <w:spacing w:line="360" w:lineRule="auto"/>
        <w:ind w:firstLine="1440"/>
        <w:rPr>
          <w:sz w:val="26"/>
          <w:szCs w:val="26"/>
        </w:rPr>
      </w:pPr>
      <w:r w:rsidRPr="0029748B">
        <w:rPr>
          <w:sz w:val="26"/>
          <w:szCs w:val="26"/>
        </w:rPr>
        <w:t xml:space="preserve">The ALJ also agreed with I&amp;E’s assertions that Middlesex’s interpretation of the cross-subsidization policy of the NJBPU is flawed because it does not apply to water providers but instead applies to electric and gas industries.  Further, the ALJ noted the Company did not apply for the PENNVEST loan and grant until August 2019, while it has owned the system for almost a decade.  The ALJ concluded that the affordability of rates is of great concern to Twin Lakes’ customers, noting that the rates are currently at </w:t>
      </w:r>
      <w:r w:rsidRPr="0029748B">
        <w:rPr>
          <w:sz w:val="26"/>
          <w:szCs w:val="26"/>
        </w:rPr>
        <w:lastRenderedPageBreak/>
        <w:t>the high end of affordability for the income level in the community and the Company’s full requested amount would push the rates to unaffordable levels.  R.D. at 74-75.</w:t>
      </w:r>
    </w:p>
    <w:p w14:paraId="74FB333D" w14:textId="77777777" w:rsidR="00765165" w:rsidRPr="0029748B" w:rsidRDefault="00765165" w:rsidP="0029748B">
      <w:pPr>
        <w:widowControl/>
        <w:spacing w:line="360" w:lineRule="auto"/>
        <w:ind w:firstLine="1440"/>
        <w:rPr>
          <w:sz w:val="26"/>
          <w:szCs w:val="26"/>
        </w:rPr>
      </w:pPr>
    </w:p>
    <w:p w14:paraId="63E9AECF" w14:textId="77777777" w:rsidR="00765165" w:rsidRPr="0029748B" w:rsidRDefault="00765165" w:rsidP="0029748B">
      <w:pPr>
        <w:widowControl/>
        <w:spacing w:line="360" w:lineRule="auto"/>
        <w:ind w:firstLine="1440"/>
        <w:rPr>
          <w:bCs/>
          <w:color w:val="000000"/>
          <w:sz w:val="26"/>
          <w:szCs w:val="26"/>
        </w:rPr>
      </w:pPr>
      <w:r w:rsidRPr="0029748B">
        <w:rPr>
          <w:bCs/>
          <w:color w:val="000000"/>
          <w:sz w:val="26"/>
          <w:szCs w:val="26"/>
        </w:rPr>
        <w:t xml:space="preserve">In considering the </w:t>
      </w:r>
      <w:r w:rsidR="00B93C9A" w:rsidRPr="0029748B">
        <w:rPr>
          <w:bCs/>
          <w:color w:val="000000"/>
          <w:sz w:val="26"/>
          <w:szCs w:val="26"/>
        </w:rPr>
        <w:t>P</w:t>
      </w:r>
      <w:r w:rsidRPr="0029748B">
        <w:rPr>
          <w:bCs/>
          <w:color w:val="000000"/>
          <w:sz w:val="26"/>
          <w:szCs w:val="26"/>
        </w:rPr>
        <w:t xml:space="preserve">arties’ competing views on the Company’s proposed COE to calculate the Company’s reasonable rate of return, the ALJ weighed the relative merit of the Company’s proposed COE against I&amp;E and </w:t>
      </w:r>
      <w:r w:rsidR="00BF4BCA" w:rsidRPr="0029748B">
        <w:rPr>
          <w:bCs/>
          <w:color w:val="000000"/>
          <w:sz w:val="26"/>
          <w:szCs w:val="26"/>
        </w:rPr>
        <w:t xml:space="preserve">the </w:t>
      </w:r>
      <w:r w:rsidRPr="0029748B">
        <w:rPr>
          <w:bCs/>
          <w:color w:val="000000"/>
          <w:sz w:val="26"/>
          <w:szCs w:val="26"/>
        </w:rPr>
        <w:t xml:space="preserve">OCA’s market-based proposals of COE.  In addition, the ALJ considered other relevant factors raised by I&amp;E and the OCA, on the premise that a fair </w:t>
      </w:r>
      <w:r w:rsidR="001C79BE" w:rsidRPr="0029748B">
        <w:rPr>
          <w:bCs/>
          <w:color w:val="000000"/>
          <w:sz w:val="26"/>
          <w:szCs w:val="26"/>
        </w:rPr>
        <w:t>r</w:t>
      </w:r>
      <w:r w:rsidRPr="0029748B">
        <w:rPr>
          <w:bCs/>
          <w:color w:val="000000"/>
          <w:sz w:val="26"/>
          <w:szCs w:val="26"/>
        </w:rPr>
        <w:t>ate-of-</w:t>
      </w:r>
      <w:r w:rsidR="001C79BE" w:rsidRPr="0029748B">
        <w:rPr>
          <w:bCs/>
          <w:color w:val="000000"/>
          <w:sz w:val="26"/>
          <w:szCs w:val="26"/>
        </w:rPr>
        <w:t>r</w:t>
      </w:r>
      <w:r w:rsidRPr="0029748B">
        <w:rPr>
          <w:bCs/>
          <w:color w:val="000000"/>
          <w:sz w:val="26"/>
          <w:szCs w:val="26"/>
        </w:rPr>
        <w:t xml:space="preserve">eturn for both the Company and its customers should reflect the Company’s accountability for its own unreasonable, irresponsible, and imprudent conduct which led to Twin Lakes’ provision of inadequate water service to its customers.  The ALJ also considered I&amp;E’s and the OCA’s argument that Twin Lakes’ egregious conduct contributed to the Company’s present request for a rate increase which, if approved, would impact the affordability of water rates for Twin Lakes’ customers. </w:t>
      </w:r>
    </w:p>
    <w:p w14:paraId="16E41A96" w14:textId="77777777" w:rsidR="00765165" w:rsidRPr="0029748B" w:rsidRDefault="00765165" w:rsidP="0029748B">
      <w:pPr>
        <w:widowControl/>
        <w:spacing w:line="360" w:lineRule="auto"/>
        <w:rPr>
          <w:bCs/>
          <w:color w:val="000000"/>
          <w:sz w:val="26"/>
          <w:szCs w:val="26"/>
        </w:rPr>
      </w:pPr>
    </w:p>
    <w:p w14:paraId="47DCA8BC" w14:textId="77777777" w:rsidR="00765165" w:rsidRPr="0029748B" w:rsidRDefault="00765165" w:rsidP="0029748B">
      <w:pPr>
        <w:widowControl/>
        <w:spacing w:line="360" w:lineRule="auto"/>
        <w:ind w:firstLine="1440"/>
        <w:rPr>
          <w:bCs/>
          <w:color w:val="000000"/>
          <w:sz w:val="26"/>
          <w:szCs w:val="26"/>
        </w:rPr>
      </w:pPr>
      <w:r w:rsidRPr="0029748B">
        <w:rPr>
          <w:bCs/>
          <w:color w:val="000000"/>
          <w:sz w:val="26"/>
          <w:szCs w:val="26"/>
        </w:rPr>
        <w:t xml:space="preserve">Specifically, the ALJ’s recommendation on the appropriate calculation of the Company’s reasonable Rate of Return was based on consideration of the Company’s </w:t>
      </w:r>
      <w:r w:rsidR="00182090" w:rsidRPr="0029748B">
        <w:rPr>
          <w:bCs/>
          <w:color w:val="000000"/>
          <w:sz w:val="26"/>
          <w:szCs w:val="26"/>
        </w:rPr>
        <w:t xml:space="preserve">unreasonable </w:t>
      </w:r>
      <w:r w:rsidRPr="0029748B">
        <w:rPr>
          <w:bCs/>
          <w:color w:val="000000"/>
          <w:sz w:val="26"/>
          <w:szCs w:val="26"/>
        </w:rPr>
        <w:t>conduct which impacted Quality of Service and Affordability of Rates.  The ALJ reasoned that the determination of a reasonable rate of return should account for the Company’s egregious conduct and ultimate responsibility for the circumstances which led to the inadequate provision of service and exacerbated the already distressed condition of its distribution system.</w:t>
      </w:r>
    </w:p>
    <w:p w14:paraId="77420FA2" w14:textId="77777777" w:rsidR="00765165" w:rsidRPr="0029748B" w:rsidRDefault="00765165" w:rsidP="0029748B">
      <w:pPr>
        <w:widowControl/>
        <w:spacing w:line="360" w:lineRule="auto"/>
        <w:ind w:firstLine="1440"/>
        <w:rPr>
          <w:bCs/>
          <w:color w:val="000000"/>
          <w:sz w:val="26"/>
          <w:szCs w:val="26"/>
        </w:rPr>
      </w:pPr>
    </w:p>
    <w:p w14:paraId="3C5EA3CD" w14:textId="77777777" w:rsidR="00765165" w:rsidRPr="0029748B" w:rsidRDefault="00765165" w:rsidP="0029748B">
      <w:pPr>
        <w:widowControl/>
        <w:spacing w:line="360" w:lineRule="auto"/>
        <w:ind w:firstLine="1440"/>
        <w:rPr>
          <w:bCs/>
          <w:color w:val="000000"/>
          <w:sz w:val="26"/>
          <w:szCs w:val="26"/>
        </w:rPr>
      </w:pPr>
      <w:r w:rsidRPr="0029748B">
        <w:rPr>
          <w:bCs/>
          <w:color w:val="000000"/>
          <w:sz w:val="26"/>
          <w:szCs w:val="26"/>
        </w:rPr>
        <w:t xml:space="preserve">However, the ALJ also concluded that I&amp;E’s and the OCA’s request for a 0% COE ignored the realities of the challenges Twin Lakes faces in operating the water system at issue in </w:t>
      </w:r>
      <w:r w:rsidR="002B0ECF" w:rsidRPr="0029748B">
        <w:rPr>
          <w:bCs/>
          <w:color w:val="000000"/>
          <w:sz w:val="26"/>
          <w:szCs w:val="26"/>
        </w:rPr>
        <w:t xml:space="preserve">this </w:t>
      </w:r>
      <w:r w:rsidRPr="0029748B">
        <w:rPr>
          <w:bCs/>
          <w:color w:val="000000"/>
          <w:sz w:val="26"/>
          <w:szCs w:val="26"/>
        </w:rPr>
        <w:t xml:space="preserve">proceeding.  The ALJ considered that Twin Lakes </w:t>
      </w:r>
      <w:r w:rsidR="00B47CDA" w:rsidRPr="0029748B">
        <w:rPr>
          <w:bCs/>
          <w:color w:val="000000"/>
          <w:sz w:val="26"/>
          <w:szCs w:val="26"/>
        </w:rPr>
        <w:t>is</w:t>
      </w:r>
      <w:r w:rsidRPr="0029748B">
        <w:rPr>
          <w:bCs/>
          <w:color w:val="000000"/>
          <w:sz w:val="26"/>
          <w:szCs w:val="26"/>
        </w:rPr>
        <w:t xml:space="preserve"> an already distressed system, and that the record reflects that the system is in serious distress.</w:t>
      </w:r>
      <w:r w:rsidR="00BF4BCA" w:rsidRPr="0029748B">
        <w:rPr>
          <w:bCs/>
          <w:color w:val="000000"/>
          <w:sz w:val="26"/>
          <w:szCs w:val="26"/>
        </w:rPr>
        <w:t xml:space="preserve"> </w:t>
      </w:r>
      <w:r w:rsidRPr="0029748B">
        <w:rPr>
          <w:bCs/>
          <w:color w:val="000000"/>
          <w:sz w:val="26"/>
          <w:szCs w:val="26"/>
        </w:rPr>
        <w:t xml:space="preserve"> Therefore, the ALJ rejected </w:t>
      </w:r>
      <w:r w:rsidR="00BF4BCA" w:rsidRPr="0029748B">
        <w:rPr>
          <w:bCs/>
          <w:color w:val="000000"/>
          <w:sz w:val="26"/>
          <w:szCs w:val="26"/>
        </w:rPr>
        <w:t>I</w:t>
      </w:r>
      <w:r w:rsidRPr="0029748B">
        <w:rPr>
          <w:bCs/>
          <w:color w:val="000000"/>
          <w:sz w:val="26"/>
          <w:szCs w:val="26"/>
        </w:rPr>
        <w:t>&amp;E</w:t>
      </w:r>
      <w:r w:rsidR="00B47CDA" w:rsidRPr="0029748B">
        <w:rPr>
          <w:bCs/>
          <w:color w:val="000000"/>
          <w:sz w:val="26"/>
          <w:szCs w:val="26"/>
        </w:rPr>
        <w:t>’s</w:t>
      </w:r>
      <w:r w:rsidRPr="0029748B">
        <w:rPr>
          <w:bCs/>
          <w:color w:val="000000"/>
          <w:sz w:val="26"/>
          <w:szCs w:val="26"/>
        </w:rPr>
        <w:t xml:space="preserve"> and </w:t>
      </w:r>
      <w:r w:rsidR="00BF4BCA" w:rsidRPr="0029748B">
        <w:rPr>
          <w:bCs/>
          <w:color w:val="000000"/>
          <w:sz w:val="26"/>
          <w:szCs w:val="26"/>
        </w:rPr>
        <w:t xml:space="preserve">the </w:t>
      </w:r>
      <w:r w:rsidRPr="0029748B">
        <w:rPr>
          <w:bCs/>
          <w:color w:val="000000"/>
          <w:sz w:val="26"/>
          <w:szCs w:val="26"/>
        </w:rPr>
        <w:t xml:space="preserve">OCA’s proposal for a 0% COE, on the basis </w:t>
      </w:r>
      <w:r w:rsidRPr="0029748B">
        <w:rPr>
          <w:bCs/>
          <w:color w:val="000000"/>
          <w:sz w:val="26"/>
          <w:szCs w:val="26"/>
        </w:rPr>
        <w:lastRenderedPageBreak/>
        <w:t xml:space="preserve">that the Company requires revenue to address any of the necessary capital repairs and improvements. </w:t>
      </w:r>
      <w:r w:rsidR="0042765C" w:rsidRPr="0029748B">
        <w:rPr>
          <w:bCs/>
          <w:color w:val="000000"/>
          <w:sz w:val="26"/>
          <w:szCs w:val="26"/>
        </w:rPr>
        <w:t xml:space="preserve"> </w:t>
      </w:r>
      <w:r w:rsidRPr="0029748B">
        <w:rPr>
          <w:bCs/>
          <w:color w:val="000000"/>
          <w:sz w:val="26"/>
          <w:szCs w:val="26"/>
        </w:rPr>
        <w:t>R.D. at 74.</w:t>
      </w:r>
    </w:p>
    <w:p w14:paraId="15BEC352" w14:textId="77777777" w:rsidR="00765165" w:rsidRPr="0029748B" w:rsidRDefault="00765165" w:rsidP="0029748B">
      <w:pPr>
        <w:widowControl/>
        <w:spacing w:line="360" w:lineRule="auto"/>
        <w:ind w:firstLine="1440"/>
        <w:rPr>
          <w:sz w:val="26"/>
          <w:szCs w:val="26"/>
        </w:rPr>
      </w:pPr>
    </w:p>
    <w:p w14:paraId="5257DE14" w14:textId="77777777" w:rsidR="00765165" w:rsidRPr="0029748B" w:rsidRDefault="00765165" w:rsidP="0029748B">
      <w:pPr>
        <w:widowControl/>
        <w:spacing w:line="360" w:lineRule="auto"/>
        <w:ind w:firstLine="1440"/>
        <w:rPr>
          <w:sz w:val="26"/>
          <w:szCs w:val="26"/>
        </w:rPr>
      </w:pPr>
      <w:r w:rsidRPr="0029748B">
        <w:rPr>
          <w:sz w:val="26"/>
          <w:szCs w:val="26"/>
        </w:rPr>
        <w:t>Based on the foregoing, the ALJ recommended that the Commission reject the Company’s requested return on equity of 11%, because the Company’s conduct contributed to the circumstances leading to the inadequate provision of service and exacerbated the already compromised state of the water system.</w:t>
      </w:r>
      <w:r w:rsidR="0042765C" w:rsidRPr="0029748B">
        <w:rPr>
          <w:sz w:val="26"/>
          <w:szCs w:val="26"/>
        </w:rPr>
        <w:t xml:space="preserve"> </w:t>
      </w:r>
      <w:r w:rsidRPr="0029748B">
        <w:rPr>
          <w:sz w:val="26"/>
          <w:szCs w:val="26"/>
        </w:rPr>
        <w:t xml:space="preserve"> R.D. at 74.  The ALJ recommended that the Commission adopt I&amp;E’s alternative proposal of a 9.23% COE to achieve a reasonable overall rate of return of 8.12% for the Company.  The ALJ explained that the downward departure from the Company’s original request of 11% to I&amp;E’s proposal of a 9.23% CO</w:t>
      </w:r>
      <w:r w:rsidR="00FA6345" w:rsidRPr="0029748B">
        <w:rPr>
          <w:sz w:val="26"/>
          <w:szCs w:val="26"/>
        </w:rPr>
        <w:t>E</w:t>
      </w:r>
      <w:r w:rsidRPr="0029748B">
        <w:rPr>
          <w:sz w:val="26"/>
          <w:szCs w:val="26"/>
        </w:rPr>
        <w:t xml:space="preserve">, is reasonable in consideration of all the factors listed above, while also allowing the Company to recover a reasonable rate of return to address the necessary repairs and improvements to the water distribution system. </w:t>
      </w:r>
      <w:r w:rsidR="0042765C" w:rsidRPr="0029748B">
        <w:rPr>
          <w:sz w:val="26"/>
          <w:szCs w:val="26"/>
        </w:rPr>
        <w:t xml:space="preserve"> </w:t>
      </w:r>
      <w:r w:rsidRPr="0029748B">
        <w:rPr>
          <w:sz w:val="26"/>
          <w:szCs w:val="26"/>
        </w:rPr>
        <w:t>R.D. at 75.</w:t>
      </w:r>
    </w:p>
    <w:p w14:paraId="0FEF9570" w14:textId="77777777" w:rsidR="00765165" w:rsidRPr="0029748B" w:rsidRDefault="00765165" w:rsidP="0093776E">
      <w:pPr>
        <w:widowControl/>
        <w:spacing w:line="360" w:lineRule="auto"/>
        <w:rPr>
          <w:sz w:val="26"/>
          <w:szCs w:val="26"/>
        </w:rPr>
      </w:pPr>
    </w:p>
    <w:bookmarkEnd w:id="33"/>
    <w:p w14:paraId="754499F0" w14:textId="77777777" w:rsidR="00B163A0" w:rsidRPr="0029748B" w:rsidRDefault="00B163A0" w:rsidP="0093776E">
      <w:pPr>
        <w:pStyle w:val="ListParagraph"/>
        <w:keepNext/>
        <w:widowControl/>
        <w:numPr>
          <w:ilvl w:val="1"/>
          <w:numId w:val="4"/>
        </w:numPr>
        <w:spacing w:line="360" w:lineRule="auto"/>
        <w:ind w:left="1440"/>
        <w:rPr>
          <w:b/>
          <w:color w:val="000000"/>
          <w:sz w:val="26"/>
          <w:szCs w:val="26"/>
        </w:rPr>
      </w:pPr>
      <w:r w:rsidRPr="0029748B">
        <w:rPr>
          <w:b/>
          <w:color w:val="000000"/>
          <w:sz w:val="26"/>
          <w:szCs w:val="26"/>
        </w:rPr>
        <w:t xml:space="preserve">Exceptions and Replies </w:t>
      </w:r>
    </w:p>
    <w:p w14:paraId="63D28B7D" w14:textId="77777777" w:rsidR="00B163A0" w:rsidRPr="0029748B" w:rsidRDefault="00B163A0" w:rsidP="0029748B">
      <w:pPr>
        <w:pStyle w:val="ListParagraph"/>
        <w:keepNext/>
        <w:widowControl/>
        <w:spacing w:line="360" w:lineRule="auto"/>
        <w:ind w:left="0" w:firstLine="1440"/>
        <w:rPr>
          <w:b/>
          <w:color w:val="000000"/>
          <w:sz w:val="26"/>
          <w:szCs w:val="26"/>
        </w:rPr>
      </w:pPr>
    </w:p>
    <w:p w14:paraId="1F3E2BA1" w14:textId="77777777" w:rsidR="00303B6D" w:rsidRPr="0029748B" w:rsidRDefault="00303B6D" w:rsidP="0029748B">
      <w:pPr>
        <w:keepNext/>
        <w:widowControl/>
        <w:spacing w:line="360" w:lineRule="auto"/>
        <w:ind w:firstLine="1440"/>
        <w:rPr>
          <w:sz w:val="26"/>
          <w:szCs w:val="26"/>
        </w:rPr>
      </w:pPr>
      <w:r w:rsidRPr="0029748B">
        <w:rPr>
          <w:sz w:val="26"/>
          <w:szCs w:val="26"/>
        </w:rPr>
        <w:t>In its Exception No. 3, the OCA submits that the ALJ erred by adopting a 9.23% return on equity because it does not reflect inadequate service.</w:t>
      </w:r>
      <w:r w:rsidR="0042765C" w:rsidRPr="0029748B">
        <w:rPr>
          <w:sz w:val="26"/>
          <w:szCs w:val="26"/>
        </w:rPr>
        <w:t xml:space="preserve"> </w:t>
      </w:r>
      <w:r w:rsidRPr="0029748B">
        <w:rPr>
          <w:sz w:val="26"/>
          <w:szCs w:val="26"/>
        </w:rPr>
        <w:t xml:space="preserve"> OCA Exc. at 6.</w:t>
      </w:r>
    </w:p>
    <w:p w14:paraId="2F1C8493" w14:textId="77777777" w:rsidR="00303B6D" w:rsidRPr="0029748B" w:rsidRDefault="00303B6D" w:rsidP="0029748B">
      <w:pPr>
        <w:widowControl/>
        <w:spacing w:line="360" w:lineRule="auto"/>
        <w:ind w:firstLine="1440"/>
        <w:rPr>
          <w:sz w:val="26"/>
          <w:szCs w:val="26"/>
        </w:rPr>
      </w:pPr>
    </w:p>
    <w:p w14:paraId="7416C102" w14:textId="77777777" w:rsidR="00303B6D" w:rsidRPr="0029748B" w:rsidRDefault="00303B6D" w:rsidP="0029748B">
      <w:pPr>
        <w:widowControl/>
        <w:spacing w:line="360" w:lineRule="auto"/>
        <w:ind w:firstLine="1440"/>
        <w:rPr>
          <w:sz w:val="26"/>
          <w:szCs w:val="26"/>
        </w:rPr>
      </w:pPr>
      <w:r w:rsidRPr="0029748B">
        <w:rPr>
          <w:sz w:val="26"/>
          <w:szCs w:val="26"/>
        </w:rPr>
        <w:t>The OCA argues that, while it is accurate to state that 9.23% is a “reduced rate of return” as compared to the Company’s request for an 11% return on equity, it is not accurate to conclude that 9.23% reflects any reduction for inadequate service.  The OCA maintains that, because the 9.23% COE is a market-based analysis presented by I&amp;E’s witness</w:t>
      </w:r>
      <w:r w:rsidR="001C79BE" w:rsidRPr="0029748B">
        <w:rPr>
          <w:sz w:val="26"/>
          <w:szCs w:val="26"/>
        </w:rPr>
        <w:t>, it</w:t>
      </w:r>
      <w:r w:rsidRPr="0029748B">
        <w:rPr>
          <w:sz w:val="26"/>
          <w:szCs w:val="26"/>
        </w:rPr>
        <w:t xml:space="preserve"> does not reflect any reduction for inadequate service.</w:t>
      </w:r>
      <w:r w:rsidR="001C79BE" w:rsidRPr="0029748B">
        <w:rPr>
          <w:sz w:val="26"/>
          <w:szCs w:val="26"/>
        </w:rPr>
        <w:t xml:space="preserve"> </w:t>
      </w:r>
      <w:r w:rsidRPr="0029748B">
        <w:rPr>
          <w:sz w:val="26"/>
          <w:szCs w:val="26"/>
        </w:rPr>
        <w:t xml:space="preserve"> OCA Exc. at 6-7.  The OCA argues that the return on equity calculations by I&amp;E’s witness is the traditional analysis done by rate of return experts presenting testimony before the Commission. </w:t>
      </w:r>
      <w:r w:rsidR="0042765C" w:rsidRPr="0029748B">
        <w:rPr>
          <w:sz w:val="26"/>
          <w:szCs w:val="26"/>
        </w:rPr>
        <w:t xml:space="preserve"> </w:t>
      </w:r>
      <w:r w:rsidRPr="0029748B">
        <w:rPr>
          <w:i/>
          <w:iCs/>
          <w:sz w:val="26"/>
          <w:szCs w:val="26"/>
        </w:rPr>
        <w:t>Id</w:t>
      </w:r>
      <w:r w:rsidRPr="0029748B">
        <w:rPr>
          <w:sz w:val="26"/>
          <w:szCs w:val="26"/>
        </w:rPr>
        <w:t>.</w:t>
      </w:r>
      <w:r w:rsidR="00323609" w:rsidRPr="0029748B">
        <w:rPr>
          <w:sz w:val="26"/>
          <w:szCs w:val="26"/>
        </w:rPr>
        <w:t xml:space="preserve">  </w:t>
      </w:r>
      <w:r w:rsidRPr="0029748B">
        <w:rPr>
          <w:sz w:val="26"/>
          <w:szCs w:val="26"/>
        </w:rPr>
        <w:t>The OCA submits that there is nothing in these market-based rate of return analyses that reflects any adjustment for the quality of service issues</w:t>
      </w:r>
      <w:r w:rsidR="001C79BE" w:rsidRPr="0029748B">
        <w:rPr>
          <w:sz w:val="26"/>
          <w:szCs w:val="26"/>
        </w:rPr>
        <w:t xml:space="preserve"> and therefore is unreasonable. </w:t>
      </w:r>
      <w:r w:rsidRPr="0029748B">
        <w:rPr>
          <w:sz w:val="26"/>
          <w:szCs w:val="26"/>
        </w:rPr>
        <w:t xml:space="preserve"> The OCA </w:t>
      </w:r>
      <w:r w:rsidR="007472D3" w:rsidRPr="0029748B">
        <w:rPr>
          <w:sz w:val="26"/>
          <w:szCs w:val="26"/>
        </w:rPr>
        <w:t xml:space="preserve">asserts </w:t>
      </w:r>
      <w:r w:rsidRPr="0029748B">
        <w:rPr>
          <w:sz w:val="26"/>
          <w:szCs w:val="26"/>
        </w:rPr>
        <w:t xml:space="preserve">that the Company’s proposed 11% COE was not based on an expert </w:t>
      </w:r>
      <w:r w:rsidRPr="0029748B">
        <w:rPr>
          <w:sz w:val="26"/>
          <w:szCs w:val="26"/>
        </w:rPr>
        <w:lastRenderedPageBreak/>
        <w:t>market-based analysis and is unsupported by substantial evidence</w:t>
      </w:r>
      <w:r w:rsidR="001C79BE" w:rsidRPr="0029748B">
        <w:rPr>
          <w:sz w:val="26"/>
          <w:szCs w:val="26"/>
        </w:rPr>
        <w:t>.</w:t>
      </w:r>
      <w:r w:rsidRPr="0029748B">
        <w:rPr>
          <w:sz w:val="26"/>
          <w:szCs w:val="26"/>
        </w:rPr>
        <w:t xml:space="preserve">  Therefore, the OCA </w:t>
      </w:r>
      <w:r w:rsidR="001C79BE" w:rsidRPr="0029748B">
        <w:rPr>
          <w:sz w:val="26"/>
          <w:szCs w:val="26"/>
        </w:rPr>
        <w:t xml:space="preserve">argues </w:t>
      </w:r>
      <w:r w:rsidRPr="0029748B">
        <w:rPr>
          <w:sz w:val="26"/>
          <w:szCs w:val="26"/>
        </w:rPr>
        <w:t xml:space="preserve">that the ALJ’s recommended reduction from 11% to 9.23% only reflects a reduction from </w:t>
      </w:r>
      <w:r w:rsidR="002B0ECF" w:rsidRPr="0029748B">
        <w:rPr>
          <w:sz w:val="26"/>
          <w:szCs w:val="26"/>
        </w:rPr>
        <w:t xml:space="preserve">the </w:t>
      </w:r>
      <w:r w:rsidRPr="0029748B">
        <w:rPr>
          <w:sz w:val="26"/>
          <w:szCs w:val="26"/>
        </w:rPr>
        <w:t>Company’s overstated and unsupported 11% COE, and therefore, reflects no reduction for the finding of inadequate provision of service.</w:t>
      </w:r>
      <w:r w:rsidR="0042765C" w:rsidRPr="0029748B">
        <w:rPr>
          <w:sz w:val="26"/>
          <w:szCs w:val="26"/>
        </w:rPr>
        <w:t xml:space="preserve"> </w:t>
      </w:r>
      <w:r w:rsidRPr="0029748B">
        <w:rPr>
          <w:sz w:val="26"/>
          <w:szCs w:val="26"/>
        </w:rPr>
        <w:t xml:space="preserve"> OCA Exc. at 7.</w:t>
      </w:r>
      <w:r w:rsidR="001C79BE" w:rsidRPr="0029748B">
        <w:rPr>
          <w:sz w:val="26"/>
          <w:szCs w:val="26"/>
        </w:rPr>
        <w:t xml:space="preserve">  </w:t>
      </w:r>
    </w:p>
    <w:p w14:paraId="27F7601D" w14:textId="77777777" w:rsidR="00303B6D" w:rsidRPr="0029748B" w:rsidRDefault="00303B6D" w:rsidP="0029748B">
      <w:pPr>
        <w:widowControl/>
        <w:spacing w:line="360" w:lineRule="auto"/>
        <w:ind w:firstLine="1440"/>
        <w:rPr>
          <w:sz w:val="26"/>
          <w:szCs w:val="26"/>
        </w:rPr>
      </w:pPr>
    </w:p>
    <w:p w14:paraId="582F1213" w14:textId="77777777" w:rsidR="00303B6D" w:rsidRPr="0029748B" w:rsidRDefault="00303B6D" w:rsidP="0029748B">
      <w:pPr>
        <w:widowControl/>
        <w:spacing w:line="360" w:lineRule="auto"/>
        <w:ind w:firstLine="1440"/>
        <w:rPr>
          <w:sz w:val="26"/>
          <w:szCs w:val="26"/>
        </w:rPr>
      </w:pPr>
      <w:r w:rsidRPr="0029748B">
        <w:rPr>
          <w:sz w:val="26"/>
          <w:szCs w:val="26"/>
        </w:rPr>
        <w:t xml:space="preserve">The OCA further submits that the ALJ erred by adopting the 9.23% return on equity, rather than 0% return on equity as advocated by I&amp;E </w:t>
      </w:r>
      <w:r w:rsidR="007472D3" w:rsidRPr="0029748B">
        <w:rPr>
          <w:sz w:val="26"/>
          <w:szCs w:val="26"/>
        </w:rPr>
        <w:t xml:space="preserve">and the OCA, </w:t>
      </w:r>
      <w:r w:rsidRPr="0029748B">
        <w:rPr>
          <w:sz w:val="26"/>
          <w:szCs w:val="26"/>
        </w:rPr>
        <w:t>due to the ALJ’s finding of inadequate service.  The OCA submits the ALJ was correct in recognizing the quality of service issues but erred in recommending that the return on equity be 9.23% to reflect the inadequate service.  The OCA reiterates its position, which was rejected by the ALJ, that adopting a 0% return on equity will allow the Company to recover additional revenue above its present revenues, while at the same time reflecting the inadequate service rendered by Twin Lakes.</w:t>
      </w:r>
      <w:r w:rsidR="00A4514B" w:rsidRPr="0029748B">
        <w:rPr>
          <w:sz w:val="26"/>
          <w:szCs w:val="26"/>
        </w:rPr>
        <w:t xml:space="preserve"> </w:t>
      </w:r>
      <w:r w:rsidRPr="0029748B">
        <w:rPr>
          <w:sz w:val="26"/>
          <w:szCs w:val="26"/>
        </w:rPr>
        <w:t xml:space="preserve"> OCA Exc. at 7-8.</w:t>
      </w:r>
    </w:p>
    <w:p w14:paraId="20D53F11" w14:textId="77777777" w:rsidR="001C79BE" w:rsidRPr="0029748B" w:rsidRDefault="001C79BE" w:rsidP="0029748B">
      <w:pPr>
        <w:widowControl/>
        <w:spacing w:line="360" w:lineRule="auto"/>
        <w:ind w:firstLine="1440"/>
        <w:rPr>
          <w:sz w:val="26"/>
          <w:szCs w:val="26"/>
        </w:rPr>
      </w:pPr>
    </w:p>
    <w:p w14:paraId="2FE132B0" w14:textId="77777777" w:rsidR="00303B6D" w:rsidRPr="0029748B" w:rsidRDefault="00303B6D" w:rsidP="0029748B">
      <w:pPr>
        <w:widowControl/>
        <w:spacing w:line="360" w:lineRule="auto"/>
        <w:ind w:firstLine="1440"/>
        <w:rPr>
          <w:sz w:val="26"/>
          <w:szCs w:val="26"/>
        </w:rPr>
      </w:pPr>
      <w:r w:rsidRPr="0029748B">
        <w:rPr>
          <w:sz w:val="26"/>
          <w:szCs w:val="26"/>
        </w:rPr>
        <w:t>Twin Lakes did not file Replies to the OCA’s Exception No. 3.</w:t>
      </w:r>
    </w:p>
    <w:p w14:paraId="6D6256A9" w14:textId="77777777" w:rsidR="00431A3B" w:rsidRPr="0029748B" w:rsidRDefault="00431A3B" w:rsidP="0029748B">
      <w:pPr>
        <w:widowControl/>
        <w:spacing w:line="360" w:lineRule="auto"/>
        <w:ind w:firstLine="1440"/>
        <w:rPr>
          <w:sz w:val="26"/>
          <w:szCs w:val="26"/>
        </w:rPr>
      </w:pPr>
    </w:p>
    <w:p w14:paraId="70A39198" w14:textId="77777777" w:rsidR="007A2949" w:rsidRPr="0029748B" w:rsidRDefault="007A2949" w:rsidP="0093776E">
      <w:pPr>
        <w:pStyle w:val="ListParagraph"/>
        <w:widowControl/>
        <w:numPr>
          <w:ilvl w:val="1"/>
          <w:numId w:val="4"/>
        </w:numPr>
        <w:spacing w:line="360" w:lineRule="auto"/>
        <w:ind w:left="1440"/>
        <w:rPr>
          <w:b/>
          <w:color w:val="000000"/>
          <w:sz w:val="26"/>
          <w:szCs w:val="26"/>
        </w:rPr>
      </w:pPr>
      <w:r w:rsidRPr="0029748B">
        <w:rPr>
          <w:b/>
          <w:color w:val="000000"/>
          <w:sz w:val="26"/>
          <w:szCs w:val="26"/>
        </w:rPr>
        <w:t>Disposition</w:t>
      </w:r>
    </w:p>
    <w:p w14:paraId="4E156C54" w14:textId="77777777" w:rsidR="00034E82" w:rsidRPr="0029748B" w:rsidRDefault="00034E82" w:rsidP="0029748B">
      <w:pPr>
        <w:pStyle w:val="ListParagraph"/>
        <w:widowControl/>
        <w:spacing w:line="360" w:lineRule="auto"/>
        <w:ind w:left="0" w:firstLine="1440"/>
        <w:rPr>
          <w:bCs/>
          <w:color w:val="000000"/>
          <w:sz w:val="26"/>
          <w:szCs w:val="26"/>
        </w:rPr>
      </w:pPr>
    </w:p>
    <w:p w14:paraId="26E9B2F3" w14:textId="12AADC58" w:rsidR="00303B6D" w:rsidRDefault="00303B6D" w:rsidP="0029748B">
      <w:pPr>
        <w:widowControl/>
        <w:spacing w:line="360" w:lineRule="auto"/>
        <w:ind w:firstLine="1440"/>
        <w:rPr>
          <w:sz w:val="26"/>
          <w:szCs w:val="26"/>
        </w:rPr>
      </w:pPr>
      <w:r w:rsidRPr="0029748B">
        <w:rPr>
          <w:sz w:val="26"/>
          <w:szCs w:val="26"/>
        </w:rPr>
        <w:t>We shall deny the OCA’s Exception No. 3 and adopt the ALJ’s recommendation to adopt a 9.23% return on equity, consistent with the following discussion.</w:t>
      </w:r>
    </w:p>
    <w:p w14:paraId="3FD3E9BF" w14:textId="77777777" w:rsidR="00A070CB" w:rsidRPr="0029748B" w:rsidRDefault="00A070CB" w:rsidP="0029748B">
      <w:pPr>
        <w:widowControl/>
        <w:spacing w:line="360" w:lineRule="auto"/>
        <w:ind w:firstLine="1440"/>
        <w:rPr>
          <w:sz w:val="26"/>
          <w:szCs w:val="26"/>
        </w:rPr>
      </w:pPr>
    </w:p>
    <w:p w14:paraId="6E82E559" w14:textId="3FBB0CB1" w:rsidR="00303B6D" w:rsidRPr="00A070CB" w:rsidRDefault="00303B6D" w:rsidP="0029748B">
      <w:pPr>
        <w:widowControl/>
        <w:spacing w:line="360" w:lineRule="auto"/>
        <w:ind w:firstLine="1440"/>
        <w:rPr>
          <w:sz w:val="26"/>
          <w:szCs w:val="26"/>
        </w:rPr>
      </w:pPr>
      <w:r w:rsidRPr="00A070CB">
        <w:rPr>
          <w:sz w:val="26"/>
          <w:szCs w:val="26"/>
        </w:rPr>
        <w:t xml:space="preserve">A public utility seeking a general </w:t>
      </w:r>
      <w:r w:rsidRPr="00A070CB">
        <w:rPr>
          <w:bCs/>
          <w:sz w:val="26"/>
          <w:szCs w:val="26"/>
        </w:rPr>
        <w:t>rate</w:t>
      </w:r>
      <w:r w:rsidRPr="00A070CB">
        <w:rPr>
          <w:sz w:val="26"/>
          <w:szCs w:val="26"/>
        </w:rPr>
        <w:t xml:space="preserve"> increase is entitled to an opportunity to earn a fair </w:t>
      </w:r>
      <w:r w:rsidRPr="00A070CB">
        <w:rPr>
          <w:bCs/>
          <w:sz w:val="26"/>
          <w:szCs w:val="26"/>
        </w:rPr>
        <w:t>rate</w:t>
      </w:r>
      <w:r w:rsidRPr="00A070CB">
        <w:rPr>
          <w:sz w:val="26"/>
          <w:szCs w:val="26"/>
        </w:rPr>
        <w:t xml:space="preserve"> of return on the value of the property dedicated to public service.  </w:t>
      </w:r>
      <w:r w:rsidRPr="00A070CB">
        <w:rPr>
          <w:i/>
          <w:iCs/>
          <w:sz w:val="26"/>
          <w:szCs w:val="26"/>
        </w:rPr>
        <w:t>Pennsylvania Gas and Water Co. v. Pa. PUC</w:t>
      </w:r>
      <w:r w:rsidRPr="00A070CB">
        <w:rPr>
          <w:sz w:val="26"/>
          <w:szCs w:val="26"/>
        </w:rPr>
        <w:t xml:space="preserve">, 341 A.2d 239 (Pa. </w:t>
      </w:r>
      <w:proofErr w:type="spellStart"/>
      <w:r w:rsidRPr="00A070CB">
        <w:rPr>
          <w:sz w:val="26"/>
          <w:szCs w:val="26"/>
        </w:rPr>
        <w:t>Cmwlth</w:t>
      </w:r>
      <w:proofErr w:type="spellEnd"/>
      <w:r w:rsidRPr="00A070CB">
        <w:rPr>
          <w:sz w:val="26"/>
          <w:szCs w:val="26"/>
        </w:rPr>
        <w:t xml:space="preserve">. 1975); </w:t>
      </w:r>
      <w:r w:rsidRPr="00A070CB">
        <w:rPr>
          <w:i/>
          <w:sz w:val="26"/>
          <w:szCs w:val="26"/>
        </w:rPr>
        <w:t xml:space="preserve">Bluefield; </w:t>
      </w:r>
      <w:r w:rsidRPr="00A070CB">
        <w:rPr>
          <w:i/>
          <w:iCs/>
          <w:sz w:val="26"/>
          <w:szCs w:val="26"/>
        </w:rPr>
        <w:t>Hope Natural Gas Co</w:t>
      </w:r>
      <w:r w:rsidRPr="00A070CB">
        <w:rPr>
          <w:sz w:val="26"/>
          <w:szCs w:val="26"/>
        </w:rPr>
        <w:t>.</w:t>
      </w:r>
      <w:r w:rsidR="00323609" w:rsidRPr="00A070CB">
        <w:rPr>
          <w:sz w:val="26"/>
          <w:szCs w:val="26"/>
        </w:rPr>
        <w:t xml:space="preserve">  </w:t>
      </w:r>
      <w:r w:rsidRPr="00A070CB">
        <w:rPr>
          <w:sz w:val="26"/>
          <w:szCs w:val="26"/>
        </w:rPr>
        <w:t>“</w:t>
      </w:r>
      <w:r w:rsidRPr="00281EC6">
        <w:rPr>
          <w:sz w:val="26"/>
          <w:szCs w:val="26"/>
        </w:rPr>
        <w:t xml:space="preserve">When determining the cost of capital, the [Commission] must ‘give consideration to the utilities financial structure, credit standing, dividends, interests, risks, regulatory lag, wasting assets and any peculiar features of the </w:t>
      </w:r>
      <w:r w:rsidRPr="00281EC6">
        <w:rPr>
          <w:sz w:val="26"/>
          <w:szCs w:val="26"/>
        </w:rPr>
        <w:lastRenderedPageBreak/>
        <w:t xml:space="preserve">utility involved.’” </w:t>
      </w:r>
      <w:r w:rsidRPr="00A070CB">
        <w:rPr>
          <w:i/>
          <w:iCs/>
          <w:sz w:val="26"/>
          <w:szCs w:val="26"/>
        </w:rPr>
        <w:t>West Penn Power v. Pa. PUC</w:t>
      </w:r>
      <w:r w:rsidRPr="00A070CB">
        <w:rPr>
          <w:sz w:val="26"/>
          <w:szCs w:val="26"/>
        </w:rPr>
        <w:t xml:space="preserve">, 607 A.2d 1132, 1135 (Pa. </w:t>
      </w:r>
      <w:proofErr w:type="spellStart"/>
      <w:r w:rsidRPr="00A070CB">
        <w:rPr>
          <w:sz w:val="26"/>
          <w:szCs w:val="26"/>
        </w:rPr>
        <w:t>Cmwlth</w:t>
      </w:r>
      <w:proofErr w:type="spellEnd"/>
      <w:r w:rsidRPr="00A070CB">
        <w:rPr>
          <w:sz w:val="26"/>
          <w:szCs w:val="26"/>
        </w:rPr>
        <w:t>. 1992) (</w:t>
      </w:r>
      <w:r w:rsidRPr="00A070CB">
        <w:rPr>
          <w:i/>
          <w:iCs/>
          <w:sz w:val="26"/>
          <w:szCs w:val="26"/>
        </w:rPr>
        <w:t>West Penn</w:t>
      </w:r>
      <w:r w:rsidRPr="00A070CB">
        <w:rPr>
          <w:sz w:val="26"/>
          <w:szCs w:val="26"/>
        </w:rPr>
        <w:t xml:space="preserve">).  </w:t>
      </w:r>
    </w:p>
    <w:p w14:paraId="05E2C702" w14:textId="77777777" w:rsidR="00A070CB" w:rsidRPr="0029748B" w:rsidRDefault="00A070CB" w:rsidP="0029748B">
      <w:pPr>
        <w:widowControl/>
        <w:spacing w:line="360" w:lineRule="auto"/>
        <w:ind w:firstLine="1440"/>
        <w:rPr>
          <w:color w:val="212121"/>
          <w:sz w:val="26"/>
          <w:szCs w:val="26"/>
        </w:rPr>
      </w:pPr>
    </w:p>
    <w:p w14:paraId="1CA1434C" w14:textId="77777777" w:rsidR="00303B6D" w:rsidRDefault="00303B6D" w:rsidP="0029748B">
      <w:pPr>
        <w:widowControl/>
        <w:spacing w:line="360" w:lineRule="auto"/>
        <w:ind w:firstLine="1440"/>
        <w:rPr>
          <w:sz w:val="26"/>
          <w:szCs w:val="26"/>
        </w:rPr>
      </w:pPr>
      <w:r w:rsidRPr="0029748B">
        <w:rPr>
          <w:sz w:val="26"/>
          <w:szCs w:val="26"/>
        </w:rPr>
        <w:t xml:space="preserve">We shall deny the OCA’s Exception No. 3 because we disagree with the OCA’s argument that the ALJ erred by adopting the 9.23% return on equity as part of the ALJ’s recognition of the system’s quality of service issues.  The ALJ’s adoption of the 9.23% return on equity and 8.12% overall rate of return is supported by substantial record evidence, as presented in the testimony of I&amp;E’s expert witness, Mr. Henkel.  Although I&amp;E and the OCA advocated their positions for a 0% return on equity to reflect inadequate service, such a return on equity was not supported by any expert witness testimony on rate of return.  </w:t>
      </w:r>
    </w:p>
    <w:p w14:paraId="719F8A55" w14:textId="77777777" w:rsidR="0093776E" w:rsidRPr="0029748B" w:rsidRDefault="0093776E" w:rsidP="0029748B">
      <w:pPr>
        <w:widowControl/>
        <w:spacing w:line="360" w:lineRule="auto"/>
        <w:ind w:firstLine="1440"/>
        <w:rPr>
          <w:sz w:val="26"/>
          <w:szCs w:val="26"/>
        </w:rPr>
      </w:pPr>
    </w:p>
    <w:p w14:paraId="108AC2E9" w14:textId="77777777" w:rsidR="007472D3" w:rsidRPr="0029748B" w:rsidRDefault="007472D3" w:rsidP="0029748B">
      <w:pPr>
        <w:widowControl/>
        <w:spacing w:line="360" w:lineRule="auto"/>
        <w:ind w:firstLine="1440"/>
        <w:rPr>
          <w:sz w:val="26"/>
          <w:szCs w:val="26"/>
        </w:rPr>
      </w:pPr>
      <w:r w:rsidRPr="0029748B">
        <w:rPr>
          <w:sz w:val="26"/>
          <w:szCs w:val="26"/>
        </w:rPr>
        <w:t xml:space="preserve">Upon review, we find that the testimony and analyses presented by the rate of return experts of I&amp;E and the OCA should be given greater weight than the testimony presented by the Company’s witness, who was not an expert in rate of return.  As between the three disparate proposals for COE, the greater weight of the evidence was presented for the proposals of I&amp;E and the OCA, as opposed to the Company’s support for the requested 11.0% return on equity.  Specifically, Twin Lakes’ witness did not conduct a Discounted Cash Flow (“DCF”) or Capital Asset Pricing Model (“CAPM”) analysis and failed to use a water utility proxy group to establish a benchmark of comparable risk.  The 9.23% cost of equity rate is supported by the reasonable market-based analysis presented by I&amp;E witness Henkel involving traditional cost of equity issues, such as proxy groups, growth rates and dividend yields.  Specifically, I&amp;E’s recommendation of a 9.23% return on equity was based upon a traditional return on equity analysis that employed the DCF method and utilized the CAPM as a check to the DCF results.  </w:t>
      </w:r>
    </w:p>
    <w:p w14:paraId="36642B01" w14:textId="77777777" w:rsidR="007472D3" w:rsidRPr="0029748B" w:rsidRDefault="007472D3" w:rsidP="0029748B">
      <w:pPr>
        <w:widowControl/>
        <w:spacing w:line="360" w:lineRule="auto"/>
        <w:ind w:firstLine="1440"/>
        <w:rPr>
          <w:sz w:val="26"/>
          <w:szCs w:val="26"/>
        </w:rPr>
      </w:pPr>
    </w:p>
    <w:p w14:paraId="3BD28E58" w14:textId="77777777" w:rsidR="00303B6D" w:rsidRPr="0029748B" w:rsidRDefault="007472D3" w:rsidP="0029748B">
      <w:pPr>
        <w:widowControl/>
        <w:spacing w:line="360" w:lineRule="auto"/>
        <w:ind w:firstLine="1440"/>
        <w:rPr>
          <w:sz w:val="26"/>
          <w:szCs w:val="26"/>
        </w:rPr>
      </w:pPr>
      <w:r w:rsidRPr="0029748B">
        <w:rPr>
          <w:sz w:val="26"/>
          <w:szCs w:val="26"/>
        </w:rPr>
        <w:t>In addition to the evidence offered regarding the proposals for the appropriate COE, t</w:t>
      </w:r>
      <w:r w:rsidR="00303B6D" w:rsidRPr="0029748B">
        <w:rPr>
          <w:sz w:val="26"/>
          <w:szCs w:val="26"/>
        </w:rPr>
        <w:t xml:space="preserve">he ALJ considered the evidence relating to the various quality of </w:t>
      </w:r>
      <w:r w:rsidR="00303B6D" w:rsidRPr="0029748B">
        <w:rPr>
          <w:sz w:val="26"/>
          <w:szCs w:val="26"/>
        </w:rPr>
        <w:lastRenderedPageBreak/>
        <w:t xml:space="preserve">service issues in this proceeding and factored such evidence as part of her overall determination of recommending a just and reasonable cost of equity for rate setting purposes in this proceeding, as is permitted under Sections 523 and 526 of the Code.  In considering the quality of service issues, the ALJ also recognized the Company’s need to recover revenue in order to meet ongoing service obligations and also recognized I&amp;E’s alternative position urging the adoption of the 9.23% market-based equity rate should the Commission determine that the Company is entitled to a return on equity.  Therefore, we concur with the ALJ’s rejection of the 0% equity rate advocated by I&amp;E and the OCA.  </w:t>
      </w:r>
    </w:p>
    <w:p w14:paraId="17AB9CAA" w14:textId="77777777" w:rsidR="00303B6D" w:rsidRPr="0029748B" w:rsidRDefault="00303B6D" w:rsidP="0029748B">
      <w:pPr>
        <w:widowControl/>
        <w:spacing w:line="360" w:lineRule="auto"/>
        <w:ind w:firstLine="1440"/>
        <w:rPr>
          <w:sz w:val="26"/>
          <w:szCs w:val="26"/>
        </w:rPr>
      </w:pPr>
    </w:p>
    <w:p w14:paraId="2DA5DF4E" w14:textId="77777777" w:rsidR="00303B6D" w:rsidRPr="0029748B" w:rsidRDefault="00303B6D" w:rsidP="0029748B">
      <w:pPr>
        <w:widowControl/>
        <w:spacing w:line="360" w:lineRule="auto"/>
        <w:ind w:firstLine="1440"/>
        <w:rPr>
          <w:sz w:val="26"/>
          <w:szCs w:val="26"/>
        </w:rPr>
      </w:pPr>
      <w:r w:rsidRPr="0029748B">
        <w:rPr>
          <w:sz w:val="26"/>
          <w:szCs w:val="26"/>
        </w:rPr>
        <w:t xml:space="preserve">We are reminded here that the Commission has broad discretion in determining whether rates are reasonable.  </w:t>
      </w:r>
      <w:proofErr w:type="spellStart"/>
      <w:r w:rsidRPr="0029748B">
        <w:rPr>
          <w:i/>
          <w:iCs/>
          <w:sz w:val="26"/>
          <w:szCs w:val="26"/>
        </w:rPr>
        <w:t>Popowsky</w:t>
      </w:r>
      <w:proofErr w:type="spellEnd"/>
      <w:r w:rsidRPr="0029748B">
        <w:rPr>
          <w:i/>
          <w:iCs/>
          <w:sz w:val="26"/>
          <w:szCs w:val="26"/>
        </w:rPr>
        <w:t xml:space="preserve"> v. Pa. PUC</w:t>
      </w:r>
      <w:r w:rsidRPr="0029748B">
        <w:rPr>
          <w:sz w:val="26"/>
          <w:szCs w:val="26"/>
        </w:rPr>
        <w:t xml:space="preserve">, 683 A. 2d 956, 961 (Pa. </w:t>
      </w:r>
      <w:proofErr w:type="spellStart"/>
      <w:r w:rsidRPr="0029748B">
        <w:rPr>
          <w:sz w:val="26"/>
          <w:szCs w:val="26"/>
        </w:rPr>
        <w:t>Cmwlth</w:t>
      </w:r>
      <w:proofErr w:type="spellEnd"/>
      <w:r w:rsidRPr="0029748B">
        <w:rPr>
          <w:sz w:val="26"/>
          <w:szCs w:val="26"/>
        </w:rPr>
        <w:t>. 1996) (</w:t>
      </w:r>
      <w:proofErr w:type="spellStart"/>
      <w:r w:rsidRPr="0029748B">
        <w:rPr>
          <w:i/>
          <w:iCs/>
          <w:sz w:val="26"/>
          <w:szCs w:val="26"/>
        </w:rPr>
        <w:t>Popowsky</w:t>
      </w:r>
      <w:proofErr w:type="spellEnd"/>
      <w:r w:rsidRPr="0029748B">
        <w:rPr>
          <w:sz w:val="26"/>
          <w:szCs w:val="26"/>
        </w:rPr>
        <w:t xml:space="preserve">) (citing </w:t>
      </w:r>
      <w:r w:rsidRPr="0029748B">
        <w:rPr>
          <w:i/>
          <w:iCs/>
          <w:sz w:val="26"/>
          <w:szCs w:val="26"/>
        </w:rPr>
        <w:t>City of Pittsburgh v. Pa. PUC</w:t>
      </w:r>
      <w:r w:rsidRPr="0029748B">
        <w:rPr>
          <w:sz w:val="26"/>
          <w:szCs w:val="26"/>
        </w:rPr>
        <w:t>, 400 A.2d 672 (Pa.</w:t>
      </w:r>
      <w:r w:rsidR="0093776E">
        <w:rPr>
          <w:sz w:val="26"/>
          <w:szCs w:val="26"/>
        </w:rPr>
        <w:t> </w:t>
      </w:r>
      <w:proofErr w:type="spellStart"/>
      <w:r w:rsidRPr="0029748B">
        <w:rPr>
          <w:sz w:val="26"/>
          <w:szCs w:val="26"/>
        </w:rPr>
        <w:t>Cmwlth</w:t>
      </w:r>
      <w:proofErr w:type="spellEnd"/>
      <w:r w:rsidRPr="0029748B">
        <w:rPr>
          <w:sz w:val="26"/>
          <w:szCs w:val="26"/>
        </w:rPr>
        <w:t xml:space="preserve">. 1979)).  Moreover, the Commonwealth Court has stated: </w:t>
      </w:r>
    </w:p>
    <w:p w14:paraId="4F7479FE" w14:textId="77777777" w:rsidR="00303B6D" w:rsidRPr="0029748B" w:rsidRDefault="00303B6D" w:rsidP="0029748B">
      <w:pPr>
        <w:widowControl/>
        <w:spacing w:line="360" w:lineRule="auto"/>
        <w:rPr>
          <w:sz w:val="26"/>
          <w:szCs w:val="26"/>
        </w:rPr>
      </w:pPr>
    </w:p>
    <w:p w14:paraId="4278EA21" w14:textId="77777777" w:rsidR="00303B6D" w:rsidRPr="0029748B" w:rsidRDefault="00303B6D" w:rsidP="0029748B">
      <w:pPr>
        <w:widowControl/>
        <w:ind w:left="1440" w:right="1440"/>
        <w:rPr>
          <w:sz w:val="26"/>
          <w:szCs w:val="26"/>
        </w:rPr>
      </w:pPr>
      <w:r w:rsidRPr="0029748B">
        <w:rPr>
          <w:color w:val="212121"/>
          <w:sz w:val="26"/>
          <w:szCs w:val="26"/>
        </w:rPr>
        <w:t xml:space="preserve">It is well settled that the establishment of a rate structure, and consequently the establishment of the cost of equity to be included in the rate base of that structure, is an administrative function peculiarly within the expertise of the [Commission]...Moreover, the [Commission] is granted a wide range of discretion as to the extent and type of adjustments it makes to a utilities rate base and these discretionary findings must be accepted unless they are totally without support in the record. </w:t>
      </w:r>
    </w:p>
    <w:p w14:paraId="33BABA32" w14:textId="77777777" w:rsidR="00303B6D" w:rsidRPr="0029748B" w:rsidRDefault="00303B6D" w:rsidP="0029748B">
      <w:pPr>
        <w:widowControl/>
        <w:spacing w:line="360" w:lineRule="auto"/>
        <w:rPr>
          <w:sz w:val="26"/>
          <w:szCs w:val="26"/>
        </w:rPr>
      </w:pPr>
    </w:p>
    <w:p w14:paraId="1D85F193" w14:textId="77777777" w:rsidR="00303B6D" w:rsidRPr="0029748B" w:rsidRDefault="00303B6D" w:rsidP="0029748B">
      <w:pPr>
        <w:widowControl/>
        <w:spacing w:line="360" w:lineRule="auto"/>
        <w:rPr>
          <w:sz w:val="26"/>
          <w:szCs w:val="26"/>
        </w:rPr>
      </w:pPr>
      <w:r w:rsidRPr="0029748B">
        <w:rPr>
          <w:i/>
          <w:iCs/>
          <w:sz w:val="26"/>
          <w:szCs w:val="26"/>
        </w:rPr>
        <w:t>West Penn</w:t>
      </w:r>
      <w:r w:rsidRPr="0029748B">
        <w:rPr>
          <w:sz w:val="26"/>
          <w:szCs w:val="26"/>
        </w:rPr>
        <w:t>, 607 A.2d at 1135.</w:t>
      </w:r>
      <w:r w:rsidR="00323609" w:rsidRPr="0029748B">
        <w:rPr>
          <w:sz w:val="26"/>
          <w:szCs w:val="26"/>
        </w:rPr>
        <w:t xml:space="preserve">  </w:t>
      </w:r>
      <w:r w:rsidRPr="0029748B">
        <w:rPr>
          <w:sz w:val="26"/>
          <w:szCs w:val="26"/>
        </w:rPr>
        <w:t xml:space="preserve">In essence, while quality of service is permitted to be considered, it is but one of many factors to be considered and weighed by the Commission in determining a utility’s rates.  </w:t>
      </w:r>
    </w:p>
    <w:p w14:paraId="36914CF9" w14:textId="77777777" w:rsidR="00303B6D" w:rsidRPr="0029748B" w:rsidRDefault="00303B6D" w:rsidP="0029748B">
      <w:pPr>
        <w:widowControl/>
        <w:spacing w:line="360" w:lineRule="auto"/>
        <w:rPr>
          <w:sz w:val="26"/>
          <w:szCs w:val="26"/>
        </w:rPr>
      </w:pPr>
    </w:p>
    <w:p w14:paraId="7F42CB9D" w14:textId="77777777" w:rsidR="00303B6D" w:rsidRPr="0029748B" w:rsidRDefault="00303B6D" w:rsidP="0029748B">
      <w:pPr>
        <w:widowControl/>
        <w:spacing w:line="360" w:lineRule="auto"/>
        <w:ind w:firstLine="1440"/>
        <w:rPr>
          <w:sz w:val="26"/>
          <w:szCs w:val="26"/>
        </w:rPr>
      </w:pPr>
      <w:r w:rsidRPr="0029748B">
        <w:rPr>
          <w:sz w:val="26"/>
          <w:szCs w:val="26"/>
        </w:rPr>
        <w:t xml:space="preserve">We find that the revenue requirement based on the 9.23% return on equity establishes rates which do not produce excessive returns but which do afford the Company the opportunity to earn a fair and reasonable return on property used and useful </w:t>
      </w:r>
      <w:r w:rsidRPr="0029748B">
        <w:rPr>
          <w:sz w:val="26"/>
          <w:szCs w:val="26"/>
        </w:rPr>
        <w:lastRenderedPageBreak/>
        <w:t xml:space="preserve">in public service.  </w:t>
      </w:r>
      <w:r w:rsidRPr="0029748B">
        <w:rPr>
          <w:i/>
          <w:iCs/>
          <w:sz w:val="26"/>
          <w:szCs w:val="26"/>
        </w:rPr>
        <w:t>Pennsylvania Gas and Water Co. v. Pa. PUC</w:t>
      </w:r>
      <w:r w:rsidRPr="0029748B">
        <w:rPr>
          <w:sz w:val="26"/>
          <w:szCs w:val="26"/>
        </w:rPr>
        <w:t>, 470 A.2d 1066 (Pa.</w:t>
      </w:r>
      <w:r w:rsidR="0093776E">
        <w:rPr>
          <w:sz w:val="26"/>
          <w:szCs w:val="26"/>
        </w:rPr>
        <w:t> </w:t>
      </w:r>
      <w:proofErr w:type="spellStart"/>
      <w:r w:rsidRPr="0029748B">
        <w:rPr>
          <w:sz w:val="26"/>
          <w:szCs w:val="26"/>
        </w:rPr>
        <w:t>Cmwlth</w:t>
      </w:r>
      <w:proofErr w:type="spellEnd"/>
      <w:r w:rsidRPr="0029748B">
        <w:rPr>
          <w:sz w:val="26"/>
          <w:szCs w:val="26"/>
        </w:rPr>
        <w:t>. 1984).</w:t>
      </w:r>
    </w:p>
    <w:p w14:paraId="408A3A19" w14:textId="77777777" w:rsidR="00303B6D" w:rsidRPr="0029748B" w:rsidRDefault="00303B6D" w:rsidP="0029748B">
      <w:pPr>
        <w:pStyle w:val="ListParagraph"/>
        <w:widowControl/>
        <w:spacing w:line="360" w:lineRule="auto"/>
        <w:ind w:left="0" w:firstLine="1440"/>
        <w:rPr>
          <w:bCs/>
          <w:color w:val="000000"/>
          <w:sz w:val="26"/>
          <w:szCs w:val="26"/>
        </w:rPr>
      </w:pPr>
    </w:p>
    <w:p w14:paraId="11E3B8DC" w14:textId="77777777" w:rsidR="00AA5656" w:rsidRDefault="00AA5656" w:rsidP="0029748B">
      <w:pPr>
        <w:pStyle w:val="ListParagraph"/>
        <w:widowControl/>
        <w:spacing w:line="360" w:lineRule="auto"/>
        <w:ind w:left="0" w:firstLine="1440"/>
        <w:rPr>
          <w:bCs/>
          <w:color w:val="000000"/>
          <w:sz w:val="26"/>
          <w:szCs w:val="26"/>
        </w:rPr>
      </w:pPr>
      <w:bookmarkStart w:id="34" w:name="_Hlk34905550"/>
      <w:bookmarkStart w:id="35" w:name="_Hlk34902523"/>
      <w:r w:rsidRPr="0029748B">
        <w:rPr>
          <w:bCs/>
          <w:color w:val="000000"/>
          <w:sz w:val="26"/>
          <w:szCs w:val="26"/>
        </w:rPr>
        <w:t xml:space="preserve">Upon consideration of all the relevant factors, and in weighing the evidence offered in support of the disparate market-based proposals of each </w:t>
      </w:r>
      <w:r w:rsidR="003B2DD6" w:rsidRPr="0029748B">
        <w:rPr>
          <w:bCs/>
          <w:color w:val="000000"/>
          <w:sz w:val="26"/>
          <w:szCs w:val="26"/>
        </w:rPr>
        <w:t>P</w:t>
      </w:r>
      <w:r w:rsidRPr="0029748B">
        <w:rPr>
          <w:bCs/>
          <w:color w:val="000000"/>
          <w:sz w:val="26"/>
          <w:szCs w:val="26"/>
        </w:rPr>
        <w:t>arty, the ALJ determined that I&amp;E’s alternative proposal of 9.</w:t>
      </w:r>
      <w:r w:rsidR="007472D3" w:rsidRPr="0029748B">
        <w:rPr>
          <w:bCs/>
          <w:color w:val="000000"/>
          <w:sz w:val="26"/>
          <w:szCs w:val="26"/>
        </w:rPr>
        <w:t>2</w:t>
      </w:r>
      <w:r w:rsidRPr="0029748B">
        <w:rPr>
          <w:bCs/>
          <w:color w:val="000000"/>
          <w:sz w:val="26"/>
          <w:szCs w:val="26"/>
        </w:rPr>
        <w:t>3% would strike the correct balance between the consumers’ interests in safe, adequate and affordable water service, and the Company’s right to a reasonable return to cover its cost of operation, to achieve a fair Rate</w:t>
      </w:r>
      <w:r w:rsidR="00FF41F8" w:rsidRPr="0029748B">
        <w:rPr>
          <w:bCs/>
          <w:color w:val="000000"/>
          <w:sz w:val="26"/>
          <w:szCs w:val="26"/>
        </w:rPr>
        <w:t xml:space="preserve"> </w:t>
      </w:r>
      <w:r w:rsidRPr="0029748B">
        <w:rPr>
          <w:bCs/>
          <w:color w:val="000000"/>
          <w:sz w:val="26"/>
          <w:szCs w:val="26"/>
        </w:rPr>
        <w:t>of</w:t>
      </w:r>
      <w:r w:rsidR="00FF41F8" w:rsidRPr="0029748B">
        <w:rPr>
          <w:bCs/>
          <w:color w:val="000000"/>
          <w:sz w:val="26"/>
          <w:szCs w:val="26"/>
        </w:rPr>
        <w:t xml:space="preserve"> </w:t>
      </w:r>
      <w:r w:rsidRPr="0029748B">
        <w:rPr>
          <w:bCs/>
          <w:color w:val="000000"/>
          <w:sz w:val="26"/>
          <w:szCs w:val="26"/>
        </w:rPr>
        <w:t xml:space="preserve">Return calculation.  The ALJ concluded that a </w:t>
      </w:r>
      <w:r w:rsidR="007472D3" w:rsidRPr="0029748B">
        <w:rPr>
          <w:bCs/>
          <w:color w:val="000000"/>
          <w:sz w:val="26"/>
          <w:szCs w:val="26"/>
        </w:rPr>
        <w:t>9</w:t>
      </w:r>
      <w:r w:rsidRPr="0029748B">
        <w:rPr>
          <w:bCs/>
          <w:color w:val="000000"/>
          <w:sz w:val="26"/>
          <w:szCs w:val="26"/>
        </w:rPr>
        <w:t>.</w:t>
      </w:r>
      <w:r w:rsidR="007472D3" w:rsidRPr="0029748B">
        <w:rPr>
          <w:bCs/>
          <w:color w:val="000000"/>
          <w:sz w:val="26"/>
          <w:szCs w:val="26"/>
        </w:rPr>
        <w:t>2</w:t>
      </w:r>
      <w:r w:rsidRPr="0029748B">
        <w:rPr>
          <w:bCs/>
          <w:color w:val="000000"/>
          <w:sz w:val="26"/>
          <w:szCs w:val="26"/>
        </w:rPr>
        <w:t>3%</w:t>
      </w:r>
      <w:r w:rsidR="007472D3" w:rsidRPr="0029748B">
        <w:rPr>
          <w:bCs/>
          <w:color w:val="000000"/>
          <w:sz w:val="26"/>
          <w:szCs w:val="26"/>
        </w:rPr>
        <w:t xml:space="preserve"> COE</w:t>
      </w:r>
      <w:r w:rsidRPr="0029748B">
        <w:rPr>
          <w:bCs/>
          <w:color w:val="000000"/>
          <w:sz w:val="26"/>
          <w:szCs w:val="26"/>
        </w:rPr>
        <w:t>, while less than the 11% requested by the Company, would ensure the Company’s ability to take the necessary future steps toward ensuring safe and reliable water service for its customers.</w:t>
      </w:r>
      <w:r w:rsidR="00303B6D" w:rsidRPr="0029748B">
        <w:rPr>
          <w:bCs/>
          <w:color w:val="000000"/>
          <w:sz w:val="26"/>
          <w:szCs w:val="26"/>
        </w:rPr>
        <w:t xml:space="preserve">  We agree. </w:t>
      </w:r>
      <w:bookmarkEnd w:id="34"/>
    </w:p>
    <w:p w14:paraId="68379959" w14:textId="77777777" w:rsidR="0093776E" w:rsidRPr="0029748B" w:rsidRDefault="0093776E" w:rsidP="0029748B">
      <w:pPr>
        <w:pStyle w:val="ListParagraph"/>
        <w:widowControl/>
        <w:spacing w:line="360" w:lineRule="auto"/>
        <w:ind w:left="0" w:firstLine="1440"/>
        <w:rPr>
          <w:bCs/>
          <w:color w:val="000000"/>
          <w:sz w:val="26"/>
          <w:szCs w:val="26"/>
        </w:rPr>
      </w:pPr>
    </w:p>
    <w:p w14:paraId="3802EBD6" w14:textId="6FE973C0" w:rsidR="000507CB" w:rsidRPr="0029748B" w:rsidRDefault="00303B6D" w:rsidP="0029748B">
      <w:pPr>
        <w:widowControl/>
        <w:spacing w:line="360" w:lineRule="auto"/>
        <w:ind w:firstLine="1440"/>
        <w:contextualSpacing/>
        <w:textAlignment w:val="baseline"/>
        <w:rPr>
          <w:color w:val="000000"/>
          <w:sz w:val="26"/>
          <w:szCs w:val="26"/>
        </w:rPr>
      </w:pPr>
      <w:r w:rsidRPr="0029748B">
        <w:rPr>
          <w:color w:val="000000"/>
          <w:sz w:val="26"/>
          <w:szCs w:val="26"/>
        </w:rPr>
        <w:t xml:space="preserve">Based on the foregoing, </w:t>
      </w:r>
      <w:r w:rsidR="003C41BF" w:rsidRPr="0029748B">
        <w:rPr>
          <w:color w:val="000000"/>
          <w:sz w:val="26"/>
          <w:szCs w:val="26"/>
        </w:rPr>
        <w:t xml:space="preserve">we shall adopt the ALJ’s recommendation </w:t>
      </w:r>
      <w:r w:rsidRPr="0029748B">
        <w:rPr>
          <w:color w:val="000000"/>
          <w:sz w:val="26"/>
          <w:szCs w:val="26"/>
        </w:rPr>
        <w:t xml:space="preserve">to factor a </w:t>
      </w:r>
      <w:r w:rsidR="00A070CB">
        <w:rPr>
          <w:color w:val="000000"/>
          <w:sz w:val="26"/>
          <w:szCs w:val="26"/>
        </w:rPr>
        <w:t>9.23%</w:t>
      </w:r>
      <w:r w:rsidRPr="00A070CB">
        <w:rPr>
          <w:color w:val="000000"/>
          <w:sz w:val="26"/>
          <w:szCs w:val="26"/>
        </w:rPr>
        <w:t xml:space="preserve"> COE</w:t>
      </w:r>
      <w:r w:rsidRPr="0029748B">
        <w:rPr>
          <w:color w:val="000000"/>
          <w:sz w:val="26"/>
          <w:szCs w:val="26"/>
        </w:rPr>
        <w:t xml:space="preserve"> to calculate a </w:t>
      </w:r>
      <w:r w:rsidR="007A2949" w:rsidRPr="0029748B">
        <w:rPr>
          <w:color w:val="000000"/>
          <w:sz w:val="26"/>
          <w:szCs w:val="26"/>
        </w:rPr>
        <w:t xml:space="preserve">reasonable </w:t>
      </w:r>
      <w:r w:rsidR="00CD646A" w:rsidRPr="0029748B">
        <w:rPr>
          <w:color w:val="000000"/>
          <w:sz w:val="26"/>
          <w:szCs w:val="26"/>
        </w:rPr>
        <w:t>r</w:t>
      </w:r>
      <w:r w:rsidR="00166110" w:rsidRPr="0029748B">
        <w:rPr>
          <w:color w:val="000000"/>
          <w:sz w:val="26"/>
          <w:szCs w:val="26"/>
        </w:rPr>
        <w:t xml:space="preserve">ate of </w:t>
      </w:r>
      <w:r w:rsidR="00CD646A" w:rsidRPr="0029748B">
        <w:rPr>
          <w:color w:val="000000"/>
          <w:sz w:val="26"/>
          <w:szCs w:val="26"/>
        </w:rPr>
        <w:t>r</w:t>
      </w:r>
      <w:r w:rsidR="00166110" w:rsidRPr="0029748B">
        <w:rPr>
          <w:color w:val="000000"/>
          <w:sz w:val="26"/>
          <w:szCs w:val="26"/>
        </w:rPr>
        <w:t>eturn</w:t>
      </w:r>
      <w:r w:rsidR="00AA5656" w:rsidRPr="0029748B">
        <w:rPr>
          <w:color w:val="000000"/>
          <w:sz w:val="26"/>
          <w:szCs w:val="26"/>
        </w:rPr>
        <w:t xml:space="preserve">, </w:t>
      </w:r>
      <w:r w:rsidR="003C41BF" w:rsidRPr="0029748B">
        <w:rPr>
          <w:color w:val="000000"/>
          <w:sz w:val="26"/>
          <w:szCs w:val="26"/>
        </w:rPr>
        <w:t xml:space="preserve">as </w:t>
      </w:r>
      <w:r w:rsidR="00AA5656" w:rsidRPr="0029748B">
        <w:rPr>
          <w:color w:val="000000"/>
          <w:sz w:val="26"/>
          <w:szCs w:val="26"/>
        </w:rPr>
        <w:t xml:space="preserve">reasonable and </w:t>
      </w:r>
      <w:r w:rsidR="003C41BF" w:rsidRPr="0029748B">
        <w:rPr>
          <w:color w:val="000000"/>
          <w:sz w:val="26"/>
          <w:szCs w:val="26"/>
        </w:rPr>
        <w:t>in the public interest</w:t>
      </w:r>
      <w:r w:rsidRPr="0029748B">
        <w:rPr>
          <w:color w:val="000000"/>
          <w:sz w:val="26"/>
          <w:szCs w:val="26"/>
        </w:rPr>
        <w:t xml:space="preserve">, and therefore, shall deny the OCA’s Exception No. 3, consistent with the discussion herein. </w:t>
      </w:r>
    </w:p>
    <w:bookmarkEnd w:id="35"/>
    <w:p w14:paraId="631E37EC" w14:textId="77777777" w:rsidR="00FF02D1" w:rsidRPr="0029748B" w:rsidRDefault="00FF02D1" w:rsidP="0029748B">
      <w:pPr>
        <w:widowControl/>
        <w:spacing w:line="360" w:lineRule="auto"/>
        <w:ind w:firstLine="1440"/>
        <w:contextualSpacing/>
        <w:textAlignment w:val="baseline"/>
        <w:rPr>
          <w:color w:val="000000"/>
          <w:sz w:val="26"/>
          <w:szCs w:val="26"/>
        </w:rPr>
      </w:pPr>
    </w:p>
    <w:p w14:paraId="19544801" w14:textId="77777777" w:rsidR="00FF02D1" w:rsidRPr="0029748B" w:rsidRDefault="00E07833" w:rsidP="0029748B">
      <w:pPr>
        <w:pStyle w:val="ListParagraph"/>
        <w:keepNext/>
        <w:widowControl/>
        <w:numPr>
          <w:ilvl w:val="0"/>
          <w:numId w:val="4"/>
        </w:numPr>
        <w:spacing w:line="360" w:lineRule="auto"/>
        <w:ind w:left="720" w:hanging="720"/>
        <w:textAlignment w:val="baseline"/>
        <w:outlineLvl w:val="1"/>
        <w:rPr>
          <w:b/>
          <w:color w:val="000000"/>
          <w:sz w:val="26"/>
          <w:szCs w:val="26"/>
        </w:rPr>
      </w:pPr>
      <w:bookmarkStart w:id="36" w:name="_Toc35324694"/>
      <w:bookmarkStart w:id="37" w:name="_Toc35328847"/>
      <w:bookmarkStart w:id="38" w:name="_Toc527618477"/>
      <w:r w:rsidRPr="0029748B">
        <w:rPr>
          <w:b/>
          <w:color w:val="000000"/>
          <w:sz w:val="26"/>
          <w:szCs w:val="26"/>
        </w:rPr>
        <w:t>Quality of Service</w:t>
      </w:r>
      <w:bookmarkEnd w:id="36"/>
      <w:bookmarkEnd w:id="37"/>
      <w:r w:rsidR="00D951C4" w:rsidRPr="0029748B">
        <w:rPr>
          <w:b/>
          <w:color w:val="000000"/>
          <w:sz w:val="26"/>
          <w:szCs w:val="26"/>
        </w:rPr>
        <w:t xml:space="preserve"> </w:t>
      </w:r>
      <w:bookmarkEnd w:id="38"/>
    </w:p>
    <w:p w14:paraId="515B1E16" w14:textId="77777777" w:rsidR="009915C6" w:rsidRPr="0029748B" w:rsidRDefault="009915C6" w:rsidP="0029748B">
      <w:pPr>
        <w:pStyle w:val="ListParagraph"/>
        <w:keepNext/>
        <w:widowControl/>
        <w:spacing w:line="360" w:lineRule="auto"/>
        <w:ind w:left="360"/>
        <w:textAlignment w:val="baseline"/>
        <w:outlineLvl w:val="1"/>
        <w:rPr>
          <w:b/>
          <w:color w:val="000000"/>
          <w:sz w:val="26"/>
          <w:szCs w:val="26"/>
        </w:rPr>
      </w:pPr>
    </w:p>
    <w:p w14:paraId="2F9E1606" w14:textId="77777777" w:rsidR="00D951C4" w:rsidRPr="0029748B" w:rsidRDefault="00D951C4" w:rsidP="0029748B">
      <w:pPr>
        <w:pStyle w:val="ListParagraph"/>
        <w:keepNext/>
        <w:widowControl/>
        <w:numPr>
          <w:ilvl w:val="1"/>
          <w:numId w:val="4"/>
        </w:numPr>
        <w:spacing w:line="360" w:lineRule="auto"/>
        <w:ind w:left="1440"/>
        <w:textAlignment w:val="baseline"/>
        <w:rPr>
          <w:b/>
          <w:bCs/>
          <w:color w:val="000000"/>
          <w:sz w:val="26"/>
          <w:szCs w:val="26"/>
        </w:rPr>
      </w:pPr>
      <w:r w:rsidRPr="0029748B">
        <w:rPr>
          <w:b/>
          <w:bCs/>
          <w:color w:val="000000"/>
          <w:sz w:val="26"/>
          <w:szCs w:val="26"/>
        </w:rPr>
        <w:t>Position of the Parties</w:t>
      </w:r>
    </w:p>
    <w:p w14:paraId="5EBFAA76" w14:textId="77777777" w:rsidR="00077C4E" w:rsidRPr="0029748B" w:rsidRDefault="00077C4E" w:rsidP="0029748B">
      <w:pPr>
        <w:pStyle w:val="ListParagraph"/>
        <w:keepNext/>
        <w:widowControl/>
        <w:spacing w:line="360" w:lineRule="auto"/>
        <w:ind w:left="1440"/>
        <w:textAlignment w:val="baseline"/>
        <w:rPr>
          <w:color w:val="000000"/>
          <w:sz w:val="26"/>
          <w:szCs w:val="26"/>
        </w:rPr>
      </w:pPr>
    </w:p>
    <w:p w14:paraId="79FB593D" w14:textId="77777777" w:rsidR="00077C4E" w:rsidRPr="0029748B" w:rsidRDefault="00077C4E" w:rsidP="0029748B">
      <w:pPr>
        <w:keepNext/>
        <w:widowControl/>
        <w:autoSpaceDE w:val="0"/>
        <w:autoSpaceDN w:val="0"/>
        <w:adjustRightInd w:val="0"/>
        <w:spacing w:line="360" w:lineRule="auto"/>
        <w:ind w:firstLine="1440"/>
        <w:rPr>
          <w:rFonts w:eastAsia="Calibri"/>
          <w:color w:val="000000"/>
          <w:sz w:val="26"/>
          <w:szCs w:val="26"/>
        </w:rPr>
      </w:pPr>
      <w:r w:rsidRPr="0029748B">
        <w:rPr>
          <w:rFonts w:eastAsia="Calibri"/>
          <w:color w:val="000000"/>
          <w:sz w:val="26"/>
          <w:szCs w:val="26"/>
        </w:rPr>
        <w:t xml:space="preserve">In the proceeding below, Twin Lakes maintained that while it admitted to certain quality of service issues, the problems associated with service are vitiated by the extreme burden that Twin Lakes assumed when it acquired a system </w:t>
      </w:r>
      <w:r w:rsidR="00203CE8" w:rsidRPr="0029748B">
        <w:rPr>
          <w:rFonts w:eastAsia="Calibri"/>
          <w:color w:val="000000"/>
          <w:sz w:val="26"/>
          <w:szCs w:val="26"/>
        </w:rPr>
        <w:t>which was</w:t>
      </w:r>
      <w:r w:rsidRPr="0029748B">
        <w:rPr>
          <w:rFonts w:eastAsia="Calibri"/>
          <w:color w:val="000000"/>
          <w:sz w:val="26"/>
          <w:szCs w:val="26"/>
        </w:rPr>
        <w:t xml:space="preserve"> already in need of repair and improvement.  Twin Lakes noted that the </w:t>
      </w:r>
      <w:r w:rsidR="008A6FDE" w:rsidRPr="0029748B">
        <w:rPr>
          <w:rFonts w:eastAsia="Calibri"/>
          <w:color w:val="000000"/>
          <w:sz w:val="26"/>
          <w:szCs w:val="26"/>
        </w:rPr>
        <w:t>P</w:t>
      </w:r>
      <w:r w:rsidRPr="0029748B">
        <w:rPr>
          <w:rFonts w:eastAsia="Calibri"/>
          <w:color w:val="000000"/>
          <w:sz w:val="26"/>
          <w:szCs w:val="26"/>
        </w:rPr>
        <w:t>arties have stipulated to the admission into the record of a Twin Lakes</w:t>
      </w:r>
      <w:r w:rsidR="00203CE8" w:rsidRPr="0029748B">
        <w:rPr>
          <w:rFonts w:eastAsia="Calibri"/>
          <w:color w:val="000000"/>
          <w:sz w:val="26"/>
          <w:szCs w:val="26"/>
        </w:rPr>
        <w:t>’</w:t>
      </w:r>
      <w:r w:rsidRPr="0029748B">
        <w:rPr>
          <w:rFonts w:eastAsia="Calibri"/>
          <w:color w:val="000000"/>
          <w:sz w:val="26"/>
          <w:szCs w:val="26"/>
        </w:rPr>
        <w:t xml:space="preserve"> report regarding </w:t>
      </w:r>
      <w:r w:rsidR="00203CE8" w:rsidRPr="0029748B">
        <w:rPr>
          <w:rFonts w:eastAsia="Calibri"/>
          <w:color w:val="000000"/>
          <w:sz w:val="26"/>
          <w:szCs w:val="26"/>
        </w:rPr>
        <w:t xml:space="preserve">a </w:t>
      </w:r>
      <w:r w:rsidRPr="0029748B">
        <w:rPr>
          <w:rFonts w:eastAsia="Calibri"/>
          <w:color w:val="000000"/>
          <w:sz w:val="26"/>
          <w:szCs w:val="26"/>
        </w:rPr>
        <w:t xml:space="preserve">finding of an elevated lead sample level at one customer location.  Twin Lakes stated that testing was conducted on Well No. 1 and entry point to the system with no finding of lead exceedance levels. </w:t>
      </w:r>
      <w:r w:rsidR="00203CE8" w:rsidRPr="0029748B">
        <w:rPr>
          <w:rFonts w:eastAsia="Calibri"/>
          <w:color w:val="000000"/>
          <w:sz w:val="26"/>
          <w:szCs w:val="26"/>
        </w:rPr>
        <w:t xml:space="preserve"> </w:t>
      </w:r>
      <w:r w:rsidRPr="0029748B">
        <w:rPr>
          <w:rFonts w:eastAsia="Calibri"/>
          <w:color w:val="000000"/>
          <w:sz w:val="26"/>
          <w:szCs w:val="26"/>
        </w:rPr>
        <w:lastRenderedPageBreak/>
        <w:t xml:space="preserve">However, Twin Lakes has agreed with the </w:t>
      </w:r>
      <w:r w:rsidR="008A6FDE" w:rsidRPr="0029748B">
        <w:rPr>
          <w:rFonts w:eastAsia="Calibri"/>
          <w:color w:val="000000"/>
          <w:sz w:val="26"/>
          <w:szCs w:val="26"/>
        </w:rPr>
        <w:t>P</w:t>
      </w:r>
      <w:r w:rsidRPr="0029748B">
        <w:rPr>
          <w:rFonts w:eastAsia="Calibri"/>
          <w:color w:val="000000"/>
          <w:sz w:val="26"/>
          <w:szCs w:val="26"/>
        </w:rPr>
        <w:t xml:space="preserve">arties to a 12-point program in which the Company will conduct various tests annually and report on its findings. </w:t>
      </w:r>
      <w:r w:rsidR="00203CE8" w:rsidRPr="0029748B">
        <w:rPr>
          <w:rFonts w:eastAsia="Calibri"/>
          <w:color w:val="000000"/>
          <w:sz w:val="26"/>
          <w:szCs w:val="26"/>
        </w:rPr>
        <w:t xml:space="preserve"> </w:t>
      </w:r>
      <w:r w:rsidRPr="0029748B">
        <w:rPr>
          <w:rFonts w:eastAsia="Calibri"/>
          <w:color w:val="000000"/>
          <w:sz w:val="26"/>
          <w:szCs w:val="26"/>
        </w:rPr>
        <w:t xml:space="preserve">TLU M.B. at 13. </w:t>
      </w:r>
    </w:p>
    <w:p w14:paraId="3A9B7A56" w14:textId="77777777" w:rsidR="00077C4E" w:rsidRPr="0029748B" w:rsidRDefault="00077C4E" w:rsidP="0029748B">
      <w:pPr>
        <w:widowControl/>
        <w:autoSpaceDE w:val="0"/>
        <w:autoSpaceDN w:val="0"/>
        <w:adjustRightInd w:val="0"/>
        <w:spacing w:line="360" w:lineRule="auto"/>
        <w:ind w:firstLine="1440"/>
        <w:rPr>
          <w:rFonts w:eastAsia="Calibri"/>
          <w:color w:val="000000"/>
          <w:sz w:val="26"/>
          <w:szCs w:val="26"/>
        </w:rPr>
      </w:pPr>
    </w:p>
    <w:p w14:paraId="79B114C6" w14:textId="77777777" w:rsidR="00077C4E" w:rsidRPr="0029748B" w:rsidRDefault="00077C4E" w:rsidP="0029748B">
      <w:pPr>
        <w:widowControl/>
        <w:spacing w:line="360" w:lineRule="auto"/>
        <w:ind w:firstLine="1440"/>
        <w:rPr>
          <w:rFonts w:eastAsia="Calibri"/>
          <w:color w:val="000000"/>
          <w:sz w:val="26"/>
          <w:szCs w:val="26"/>
        </w:rPr>
      </w:pPr>
      <w:r w:rsidRPr="0029748B">
        <w:rPr>
          <w:rFonts w:eastAsia="Calibri"/>
          <w:color w:val="000000"/>
          <w:sz w:val="26"/>
          <w:szCs w:val="26"/>
        </w:rPr>
        <w:t xml:space="preserve">Twin Lakes contended that I&amp;E and the OCA do not consider the operational reality of the Company. </w:t>
      </w:r>
      <w:r w:rsidR="00203CE8" w:rsidRPr="0029748B">
        <w:rPr>
          <w:rFonts w:eastAsia="Calibri"/>
          <w:color w:val="000000"/>
          <w:sz w:val="26"/>
          <w:szCs w:val="26"/>
        </w:rPr>
        <w:t xml:space="preserve"> </w:t>
      </w:r>
      <w:r w:rsidRPr="0029748B">
        <w:rPr>
          <w:rFonts w:eastAsia="Calibri"/>
          <w:color w:val="000000"/>
          <w:sz w:val="26"/>
          <w:szCs w:val="26"/>
        </w:rPr>
        <w:t>Twin Lakes indicated that adopting I&amp;E</w:t>
      </w:r>
      <w:r w:rsidR="00203CE8" w:rsidRPr="0029748B">
        <w:rPr>
          <w:rFonts w:eastAsia="Calibri"/>
          <w:color w:val="000000"/>
          <w:sz w:val="26"/>
          <w:szCs w:val="26"/>
        </w:rPr>
        <w:t>’s</w:t>
      </w:r>
      <w:r w:rsidRPr="0029748B">
        <w:rPr>
          <w:rFonts w:eastAsia="Calibri"/>
          <w:color w:val="000000"/>
          <w:sz w:val="26"/>
          <w:szCs w:val="26"/>
        </w:rPr>
        <w:t xml:space="preserve"> and the OCA</w:t>
      </w:r>
      <w:r w:rsidR="00203CE8" w:rsidRPr="0029748B">
        <w:rPr>
          <w:rFonts w:eastAsia="Calibri"/>
          <w:color w:val="000000"/>
          <w:sz w:val="26"/>
          <w:szCs w:val="26"/>
        </w:rPr>
        <w:t>’s</w:t>
      </w:r>
      <w:r w:rsidRPr="0029748B">
        <w:rPr>
          <w:rFonts w:eastAsia="Calibri"/>
          <w:color w:val="000000"/>
          <w:sz w:val="26"/>
          <w:szCs w:val="26"/>
        </w:rPr>
        <w:t xml:space="preserve"> recommendations increases operational risk to the detriment of Twin Lakes’ customer base.</w:t>
      </w:r>
      <w:r w:rsidR="00203CE8" w:rsidRPr="0029748B">
        <w:rPr>
          <w:rFonts w:eastAsia="Calibri"/>
          <w:color w:val="000000"/>
          <w:sz w:val="26"/>
          <w:szCs w:val="26"/>
        </w:rPr>
        <w:t xml:space="preserve"> </w:t>
      </w:r>
      <w:r w:rsidRPr="0029748B">
        <w:rPr>
          <w:rFonts w:eastAsia="Calibri"/>
          <w:color w:val="000000"/>
          <w:sz w:val="26"/>
          <w:szCs w:val="26"/>
        </w:rPr>
        <w:t xml:space="preserve"> Twin Lakes acknowledged that the</w:t>
      </w:r>
      <w:r w:rsidRPr="0029748B">
        <w:rPr>
          <w:sz w:val="26"/>
          <w:szCs w:val="26"/>
        </w:rPr>
        <w:t xml:space="preserve"> </w:t>
      </w:r>
      <w:r w:rsidRPr="0029748B">
        <w:rPr>
          <w:rFonts w:eastAsia="Calibri"/>
          <w:color w:val="000000"/>
          <w:sz w:val="26"/>
          <w:szCs w:val="26"/>
        </w:rPr>
        <w:t xml:space="preserve">UFW rate continues to increase despite the Company’s replacement and repair work. </w:t>
      </w:r>
    </w:p>
    <w:p w14:paraId="1976E07A" w14:textId="77777777" w:rsidR="00077C4E" w:rsidRPr="0029748B" w:rsidRDefault="00077C4E" w:rsidP="0029748B">
      <w:pPr>
        <w:widowControl/>
        <w:spacing w:line="360" w:lineRule="auto"/>
        <w:ind w:firstLine="1440"/>
        <w:rPr>
          <w:rFonts w:eastAsia="Calibri"/>
          <w:color w:val="000000"/>
          <w:sz w:val="26"/>
          <w:szCs w:val="26"/>
        </w:rPr>
      </w:pPr>
    </w:p>
    <w:p w14:paraId="008E5535" w14:textId="77777777" w:rsidR="00077C4E" w:rsidRPr="0029748B" w:rsidRDefault="00077C4E" w:rsidP="0029748B">
      <w:pPr>
        <w:widowControl/>
        <w:spacing w:line="360" w:lineRule="auto"/>
        <w:ind w:firstLine="1440"/>
        <w:rPr>
          <w:sz w:val="26"/>
          <w:szCs w:val="26"/>
        </w:rPr>
      </w:pPr>
      <w:r w:rsidRPr="0029748B">
        <w:rPr>
          <w:rFonts w:eastAsia="Calibri"/>
          <w:color w:val="000000"/>
          <w:sz w:val="26"/>
          <w:szCs w:val="26"/>
        </w:rPr>
        <w:t>Twin Lakes</w:t>
      </w:r>
      <w:r w:rsidR="00203CE8" w:rsidRPr="0029748B">
        <w:rPr>
          <w:rFonts w:eastAsia="Calibri"/>
          <w:color w:val="000000"/>
          <w:sz w:val="26"/>
          <w:szCs w:val="26"/>
        </w:rPr>
        <w:t>’</w:t>
      </w:r>
      <w:r w:rsidRPr="0029748B">
        <w:rPr>
          <w:rFonts w:eastAsia="Calibri"/>
          <w:color w:val="000000"/>
          <w:sz w:val="26"/>
          <w:szCs w:val="26"/>
        </w:rPr>
        <w:t xml:space="preserve"> continued rise in UFW is an indication that the entire system needs to be replaced.  </w:t>
      </w:r>
      <w:r w:rsidRPr="0029748B">
        <w:rPr>
          <w:sz w:val="26"/>
          <w:szCs w:val="26"/>
        </w:rPr>
        <w:t>TLU St</w:t>
      </w:r>
      <w:r w:rsidR="00B15C1E" w:rsidRPr="0029748B">
        <w:rPr>
          <w:sz w:val="26"/>
          <w:szCs w:val="26"/>
        </w:rPr>
        <w:t>.</w:t>
      </w:r>
      <w:r w:rsidRPr="0029748B">
        <w:rPr>
          <w:sz w:val="26"/>
          <w:szCs w:val="26"/>
        </w:rPr>
        <w:t xml:space="preserve"> No. RFK-2R at 3-4.  </w:t>
      </w:r>
      <w:r w:rsidRPr="0029748B">
        <w:rPr>
          <w:rFonts w:eastAsia="Calibri"/>
          <w:color w:val="000000"/>
          <w:sz w:val="26"/>
          <w:szCs w:val="26"/>
        </w:rPr>
        <w:t>Twin Lakes states that the system is incapable of being pressurized to an acceptable level without an extraordinary amount of leakage, therefor</w:t>
      </w:r>
      <w:r w:rsidR="00203CE8" w:rsidRPr="0029748B">
        <w:rPr>
          <w:rFonts w:eastAsia="Calibri"/>
          <w:color w:val="000000"/>
          <w:sz w:val="26"/>
          <w:szCs w:val="26"/>
        </w:rPr>
        <w:t>e</w:t>
      </w:r>
      <w:r w:rsidRPr="0029748B">
        <w:rPr>
          <w:rFonts w:eastAsia="Calibri"/>
          <w:color w:val="000000"/>
          <w:sz w:val="26"/>
          <w:szCs w:val="26"/>
        </w:rPr>
        <w:t xml:space="preserve"> only a replacement of the entire system would solve the problem of UFW. </w:t>
      </w:r>
      <w:r w:rsidR="00203CE8" w:rsidRPr="0029748B">
        <w:rPr>
          <w:rFonts w:eastAsia="Calibri"/>
          <w:color w:val="000000"/>
          <w:sz w:val="26"/>
          <w:szCs w:val="26"/>
        </w:rPr>
        <w:t xml:space="preserve"> </w:t>
      </w:r>
      <w:r w:rsidRPr="0029748B">
        <w:rPr>
          <w:rFonts w:eastAsia="Calibri"/>
          <w:i/>
          <w:iCs/>
          <w:color w:val="000000"/>
          <w:sz w:val="26"/>
          <w:szCs w:val="26"/>
        </w:rPr>
        <w:t>Id</w:t>
      </w:r>
      <w:r w:rsidRPr="0029748B">
        <w:rPr>
          <w:rFonts w:eastAsia="Calibri"/>
          <w:color w:val="000000"/>
          <w:sz w:val="26"/>
          <w:szCs w:val="26"/>
        </w:rPr>
        <w:t>.  Twin Lakes contended that reliable service cannot be maintained without adequate amounts of purchased power and chemicals.</w:t>
      </w:r>
      <w:r w:rsidR="00203CE8" w:rsidRPr="0029748B">
        <w:rPr>
          <w:rFonts w:eastAsia="Calibri"/>
          <w:color w:val="000000"/>
          <w:sz w:val="26"/>
          <w:szCs w:val="26"/>
        </w:rPr>
        <w:t xml:space="preserve"> </w:t>
      </w:r>
      <w:r w:rsidR="00D70F28" w:rsidRPr="0029748B">
        <w:rPr>
          <w:rFonts w:eastAsia="Calibri"/>
          <w:color w:val="000000"/>
          <w:sz w:val="26"/>
          <w:szCs w:val="26"/>
        </w:rPr>
        <w:t xml:space="preserve"> </w:t>
      </w:r>
      <w:r w:rsidRPr="0029748B">
        <w:rPr>
          <w:rFonts w:eastAsia="Calibri"/>
          <w:color w:val="000000"/>
          <w:sz w:val="26"/>
          <w:szCs w:val="26"/>
        </w:rPr>
        <w:t xml:space="preserve">The Company </w:t>
      </w:r>
      <w:r w:rsidRPr="0029748B">
        <w:rPr>
          <w:sz w:val="26"/>
          <w:szCs w:val="26"/>
        </w:rPr>
        <w:t xml:space="preserve">asserts that it has taken various proactive steps to address the UFW, all while working to ensure the Company’s customers continue to receive </w:t>
      </w:r>
      <w:r w:rsidR="00D70F28" w:rsidRPr="0029748B">
        <w:rPr>
          <w:sz w:val="26"/>
          <w:szCs w:val="26"/>
        </w:rPr>
        <w:t xml:space="preserve">water </w:t>
      </w:r>
      <w:r w:rsidRPr="0029748B">
        <w:rPr>
          <w:sz w:val="26"/>
          <w:szCs w:val="26"/>
        </w:rPr>
        <w:t>service.  TLU M.B. at 14.</w:t>
      </w:r>
    </w:p>
    <w:p w14:paraId="6F677E29" w14:textId="77777777" w:rsidR="00077C4E" w:rsidRPr="0029748B" w:rsidRDefault="00077C4E" w:rsidP="0029748B">
      <w:pPr>
        <w:widowControl/>
        <w:spacing w:line="360" w:lineRule="auto"/>
        <w:ind w:firstLine="1440"/>
        <w:rPr>
          <w:sz w:val="26"/>
          <w:szCs w:val="26"/>
        </w:rPr>
      </w:pPr>
    </w:p>
    <w:p w14:paraId="705FD5AA" w14:textId="77777777" w:rsidR="00077C4E" w:rsidRPr="0029748B" w:rsidRDefault="00077C4E" w:rsidP="0029748B">
      <w:pPr>
        <w:widowControl/>
        <w:autoSpaceDE w:val="0"/>
        <w:autoSpaceDN w:val="0"/>
        <w:adjustRightInd w:val="0"/>
        <w:spacing w:line="360" w:lineRule="auto"/>
        <w:ind w:firstLine="1440"/>
        <w:rPr>
          <w:rFonts w:eastAsia="Calibri"/>
          <w:color w:val="000000"/>
          <w:sz w:val="26"/>
          <w:szCs w:val="26"/>
        </w:rPr>
      </w:pPr>
      <w:r w:rsidRPr="0029748B">
        <w:rPr>
          <w:rFonts w:eastAsia="Calibri"/>
          <w:color w:val="000000"/>
          <w:sz w:val="26"/>
          <w:szCs w:val="26"/>
        </w:rPr>
        <w:t xml:space="preserve">Twin Lakes also noted that the quality of service issues raised by the customers who attended the Public Input Hearings were primarily focused on the Company’s dissemination of boil water advisories, primarily in the summers of 2018 and 2019. </w:t>
      </w:r>
      <w:r w:rsidR="00203CE8" w:rsidRPr="0029748B">
        <w:rPr>
          <w:rFonts w:eastAsia="Calibri"/>
          <w:color w:val="000000"/>
          <w:sz w:val="26"/>
          <w:szCs w:val="26"/>
        </w:rPr>
        <w:t xml:space="preserve"> </w:t>
      </w:r>
      <w:r w:rsidRPr="0029748B">
        <w:rPr>
          <w:rFonts w:eastAsia="Calibri"/>
          <w:color w:val="000000"/>
          <w:sz w:val="26"/>
          <w:szCs w:val="26"/>
        </w:rPr>
        <w:t>The Company stated that all boil water advisories were issued out of an abundance of caution based on its conservative internal policy to protect public health to the greatest extent possible.  TLU M.B. at 14.</w:t>
      </w:r>
    </w:p>
    <w:p w14:paraId="2794E05B" w14:textId="77777777" w:rsidR="00077C4E" w:rsidRPr="0029748B" w:rsidRDefault="00077C4E" w:rsidP="0029748B">
      <w:pPr>
        <w:widowControl/>
        <w:autoSpaceDE w:val="0"/>
        <w:autoSpaceDN w:val="0"/>
        <w:adjustRightInd w:val="0"/>
        <w:spacing w:line="360" w:lineRule="auto"/>
        <w:ind w:firstLine="1440"/>
        <w:rPr>
          <w:rFonts w:eastAsia="Calibri"/>
          <w:color w:val="000000"/>
          <w:sz w:val="26"/>
          <w:szCs w:val="26"/>
        </w:rPr>
      </w:pPr>
      <w:r w:rsidRPr="0029748B">
        <w:rPr>
          <w:rFonts w:eastAsia="Calibri"/>
          <w:color w:val="000000"/>
          <w:sz w:val="26"/>
          <w:szCs w:val="26"/>
        </w:rPr>
        <w:t xml:space="preserve"> </w:t>
      </w:r>
    </w:p>
    <w:p w14:paraId="156FD7CE" w14:textId="77777777" w:rsidR="00077C4E" w:rsidRPr="0029748B" w:rsidRDefault="00077C4E" w:rsidP="0029748B">
      <w:pPr>
        <w:widowControl/>
        <w:autoSpaceDE w:val="0"/>
        <w:autoSpaceDN w:val="0"/>
        <w:adjustRightInd w:val="0"/>
        <w:spacing w:line="360" w:lineRule="auto"/>
        <w:ind w:firstLine="1440"/>
        <w:rPr>
          <w:rFonts w:eastAsia="Calibri"/>
          <w:color w:val="000000"/>
          <w:sz w:val="26"/>
          <w:szCs w:val="26"/>
        </w:rPr>
      </w:pPr>
      <w:r w:rsidRPr="0029748B">
        <w:rPr>
          <w:rFonts w:eastAsia="Calibri"/>
          <w:color w:val="000000"/>
          <w:sz w:val="26"/>
          <w:szCs w:val="26"/>
        </w:rPr>
        <w:t xml:space="preserve">I&amp;E noted that on November 13, 2019, the </w:t>
      </w:r>
      <w:r w:rsidR="007D3998" w:rsidRPr="0029748B">
        <w:rPr>
          <w:rFonts w:eastAsia="Calibri"/>
          <w:color w:val="000000"/>
          <w:sz w:val="26"/>
          <w:szCs w:val="26"/>
        </w:rPr>
        <w:t>Pennsylvania Department of Environmental Protection (</w:t>
      </w:r>
      <w:r w:rsidRPr="0029748B">
        <w:rPr>
          <w:rFonts w:eastAsia="Calibri"/>
          <w:color w:val="000000"/>
          <w:sz w:val="26"/>
          <w:szCs w:val="26"/>
        </w:rPr>
        <w:t>DEP</w:t>
      </w:r>
      <w:r w:rsidR="007D3998" w:rsidRPr="0029748B">
        <w:rPr>
          <w:rFonts w:eastAsia="Calibri"/>
          <w:color w:val="000000"/>
          <w:sz w:val="26"/>
          <w:szCs w:val="26"/>
        </w:rPr>
        <w:t>)</w:t>
      </w:r>
      <w:r w:rsidRPr="0029748B">
        <w:rPr>
          <w:rFonts w:eastAsia="Calibri"/>
          <w:color w:val="000000"/>
          <w:sz w:val="26"/>
          <w:szCs w:val="26"/>
        </w:rPr>
        <w:t xml:space="preserve"> issued a notice detailing elevated levels of lead found in drinking water tap samples taken from the Twin Lakes’ system. </w:t>
      </w:r>
      <w:r w:rsidR="00881721" w:rsidRPr="0029748B">
        <w:rPr>
          <w:rFonts w:eastAsia="Calibri"/>
          <w:color w:val="000000"/>
          <w:sz w:val="26"/>
          <w:szCs w:val="26"/>
        </w:rPr>
        <w:t xml:space="preserve"> </w:t>
      </w:r>
      <w:r w:rsidRPr="0029748B">
        <w:rPr>
          <w:rFonts w:eastAsia="Calibri"/>
          <w:color w:val="000000"/>
          <w:sz w:val="26"/>
          <w:szCs w:val="26"/>
        </w:rPr>
        <w:t xml:space="preserve">I&amp;E maintains that Twin Lakes’ exceedance of the lead action levels is concerning and as a result the Company, </w:t>
      </w:r>
      <w:r w:rsidRPr="0029748B">
        <w:rPr>
          <w:rFonts w:eastAsia="Calibri"/>
          <w:color w:val="000000"/>
          <w:sz w:val="26"/>
          <w:szCs w:val="26"/>
        </w:rPr>
        <w:lastRenderedPageBreak/>
        <w:t xml:space="preserve">I&amp;E, and </w:t>
      </w:r>
      <w:r w:rsidR="00881721" w:rsidRPr="0029748B">
        <w:rPr>
          <w:rFonts w:eastAsia="Calibri"/>
          <w:color w:val="000000"/>
          <w:sz w:val="26"/>
          <w:szCs w:val="26"/>
        </w:rPr>
        <w:t xml:space="preserve">the </w:t>
      </w:r>
      <w:r w:rsidRPr="0029748B">
        <w:rPr>
          <w:rFonts w:eastAsia="Calibri"/>
          <w:color w:val="000000"/>
          <w:sz w:val="26"/>
          <w:szCs w:val="26"/>
        </w:rPr>
        <w:t>OCA entered into a Stipulation detailing the events leading up to and the actions taken since the November 13, 2019, notice issued by the DEP.  I&amp;E also noted that the Stipulation outlines reporting requirements Twin Lakes must adhere to going forward</w:t>
      </w:r>
      <w:r w:rsidR="00881721" w:rsidRPr="0029748B">
        <w:rPr>
          <w:rFonts w:eastAsia="Calibri"/>
          <w:color w:val="000000"/>
          <w:sz w:val="26"/>
          <w:szCs w:val="26"/>
        </w:rPr>
        <w:t>.</w:t>
      </w:r>
      <w:r w:rsidRPr="0029748B">
        <w:rPr>
          <w:rFonts w:eastAsia="Calibri"/>
          <w:color w:val="000000"/>
          <w:sz w:val="26"/>
          <w:szCs w:val="26"/>
        </w:rPr>
        <w:t xml:space="preserve"> Twin Lakes must inform its customers that it will test for lead levels at an individual’s house upon request and Twin Lakes must provide the November 13, 2019 notice and information regarding available testing to all new customers.</w:t>
      </w:r>
      <w:r w:rsidR="009353A3" w:rsidRPr="0029748B">
        <w:rPr>
          <w:rFonts w:eastAsia="Calibri"/>
          <w:color w:val="000000"/>
          <w:sz w:val="26"/>
          <w:szCs w:val="26"/>
        </w:rPr>
        <w:t xml:space="preserve"> </w:t>
      </w:r>
      <w:r w:rsidRPr="0029748B">
        <w:rPr>
          <w:rFonts w:eastAsia="Calibri"/>
          <w:color w:val="000000"/>
          <w:sz w:val="26"/>
          <w:szCs w:val="26"/>
        </w:rPr>
        <w:t xml:space="preserve"> I&amp;E stated that all items included in the Stipulation are intended to ensure that Twin Lakes will take the necessary steps to address the issue and inform customers and the statutory advocates of the developments with respect to lead in the system.  I&amp;E M.B. at 66-67.</w:t>
      </w:r>
    </w:p>
    <w:p w14:paraId="7EB6BE04" w14:textId="77777777" w:rsidR="00077C4E" w:rsidRPr="0029748B" w:rsidRDefault="00077C4E" w:rsidP="0029748B">
      <w:pPr>
        <w:widowControl/>
        <w:autoSpaceDE w:val="0"/>
        <w:autoSpaceDN w:val="0"/>
        <w:adjustRightInd w:val="0"/>
        <w:spacing w:line="360" w:lineRule="auto"/>
        <w:ind w:firstLine="1440"/>
        <w:rPr>
          <w:rFonts w:eastAsia="Calibri"/>
          <w:color w:val="000000"/>
          <w:sz w:val="26"/>
          <w:szCs w:val="26"/>
        </w:rPr>
      </w:pPr>
      <w:r w:rsidRPr="0029748B">
        <w:rPr>
          <w:rFonts w:eastAsia="Calibri"/>
          <w:color w:val="000000"/>
          <w:sz w:val="26"/>
          <w:szCs w:val="26"/>
        </w:rPr>
        <w:t xml:space="preserve"> </w:t>
      </w:r>
    </w:p>
    <w:p w14:paraId="43A4AAE5" w14:textId="77777777" w:rsidR="00077C4E" w:rsidRPr="0029748B" w:rsidRDefault="00077C4E" w:rsidP="0029748B">
      <w:pPr>
        <w:widowControl/>
        <w:spacing w:line="360" w:lineRule="auto"/>
        <w:ind w:firstLine="1440"/>
        <w:rPr>
          <w:rFonts w:eastAsia="Calibri"/>
          <w:color w:val="000000"/>
          <w:sz w:val="26"/>
          <w:szCs w:val="26"/>
        </w:rPr>
      </w:pPr>
      <w:r w:rsidRPr="0029748B">
        <w:rPr>
          <w:rFonts w:eastAsia="Calibri"/>
          <w:color w:val="000000"/>
          <w:sz w:val="26"/>
          <w:szCs w:val="26"/>
        </w:rPr>
        <w:t>I&amp;E contended that</w:t>
      </w:r>
      <w:r w:rsidR="009353A3" w:rsidRPr="0029748B">
        <w:rPr>
          <w:rFonts w:eastAsia="Calibri"/>
          <w:color w:val="000000"/>
          <w:sz w:val="26"/>
          <w:szCs w:val="26"/>
        </w:rPr>
        <w:t>,</w:t>
      </w:r>
      <w:r w:rsidRPr="0029748B">
        <w:rPr>
          <w:rFonts w:eastAsia="Calibri"/>
          <w:color w:val="000000"/>
          <w:sz w:val="26"/>
          <w:szCs w:val="26"/>
        </w:rPr>
        <w:t xml:space="preserve"> with Well No. 1 non-functioning and Well No.</w:t>
      </w:r>
      <w:r w:rsidR="005B29FB" w:rsidRPr="0029748B">
        <w:rPr>
          <w:rFonts w:eastAsia="Calibri"/>
          <w:color w:val="000000"/>
          <w:sz w:val="26"/>
          <w:szCs w:val="26"/>
        </w:rPr>
        <w:t xml:space="preserve"> </w:t>
      </w:r>
      <w:r w:rsidRPr="0029748B">
        <w:rPr>
          <w:rFonts w:eastAsia="Calibri"/>
          <w:color w:val="000000"/>
          <w:sz w:val="26"/>
          <w:szCs w:val="26"/>
        </w:rPr>
        <w:t xml:space="preserve">2 at risk of collapse, continued service to the 114 customers served by Twin Lakes is at major risk.  I&amp;E argued that the over-pumping of Well No. 2 is concerning because it places increased stress on Well No. 2 with no other backup system in place.  I&amp;E further contended that should Well No. 2 collapse, 114 customers served by Twin Lakes are at risk of losing water service altogether. </w:t>
      </w:r>
      <w:r w:rsidR="009353A3" w:rsidRPr="0029748B">
        <w:rPr>
          <w:rFonts w:eastAsia="Calibri"/>
          <w:color w:val="000000"/>
          <w:sz w:val="26"/>
          <w:szCs w:val="26"/>
        </w:rPr>
        <w:t xml:space="preserve"> </w:t>
      </w:r>
      <w:r w:rsidRPr="0029748B">
        <w:rPr>
          <w:rFonts w:eastAsia="Calibri"/>
          <w:color w:val="000000"/>
          <w:sz w:val="26"/>
          <w:szCs w:val="26"/>
        </w:rPr>
        <w:t>I&amp;E M.B. at 64-65.</w:t>
      </w:r>
    </w:p>
    <w:p w14:paraId="1F3CEE62" w14:textId="77777777" w:rsidR="00077C4E" w:rsidRPr="0029748B" w:rsidRDefault="00077C4E" w:rsidP="0029748B">
      <w:pPr>
        <w:widowControl/>
        <w:spacing w:line="360" w:lineRule="auto"/>
        <w:rPr>
          <w:sz w:val="26"/>
          <w:szCs w:val="26"/>
        </w:rPr>
      </w:pPr>
    </w:p>
    <w:p w14:paraId="7F91DB3F" w14:textId="67F94FFF" w:rsidR="00077C4E" w:rsidRDefault="00077C4E" w:rsidP="0029748B">
      <w:pPr>
        <w:widowControl/>
        <w:autoSpaceDE w:val="0"/>
        <w:autoSpaceDN w:val="0"/>
        <w:adjustRightInd w:val="0"/>
        <w:spacing w:line="360" w:lineRule="auto"/>
        <w:ind w:firstLine="1440"/>
        <w:rPr>
          <w:rFonts w:eastAsia="Calibri"/>
          <w:color w:val="000000"/>
          <w:sz w:val="26"/>
          <w:szCs w:val="26"/>
        </w:rPr>
      </w:pPr>
      <w:r w:rsidRPr="0029748B">
        <w:rPr>
          <w:rFonts w:eastAsia="Calibri"/>
          <w:color w:val="000000"/>
          <w:sz w:val="26"/>
          <w:szCs w:val="26"/>
        </w:rPr>
        <w:t>I&amp;E maintained that</w:t>
      </w:r>
      <w:r w:rsidR="009353A3" w:rsidRPr="0029748B">
        <w:rPr>
          <w:rFonts w:eastAsia="Calibri"/>
          <w:color w:val="000000"/>
          <w:sz w:val="26"/>
          <w:szCs w:val="26"/>
        </w:rPr>
        <w:t>,</w:t>
      </w:r>
      <w:r w:rsidRPr="0029748B">
        <w:rPr>
          <w:rFonts w:eastAsia="Calibri"/>
          <w:color w:val="000000"/>
          <w:sz w:val="26"/>
          <w:szCs w:val="26"/>
        </w:rPr>
        <w:t xml:space="preserve"> as far back as 2009 when Middlesex acquired the Company, service issues with the Twin Lakes</w:t>
      </w:r>
      <w:r w:rsidR="009353A3" w:rsidRPr="0029748B">
        <w:rPr>
          <w:rFonts w:eastAsia="Calibri"/>
          <w:color w:val="000000"/>
          <w:sz w:val="26"/>
          <w:szCs w:val="26"/>
        </w:rPr>
        <w:t>’</w:t>
      </w:r>
      <w:r w:rsidRPr="0029748B">
        <w:rPr>
          <w:rFonts w:eastAsia="Calibri"/>
          <w:color w:val="000000"/>
          <w:sz w:val="26"/>
          <w:szCs w:val="26"/>
        </w:rPr>
        <w:t xml:space="preserve"> system have been apparent.  </w:t>
      </w:r>
      <w:r w:rsidRPr="0029748B">
        <w:rPr>
          <w:sz w:val="26"/>
          <w:szCs w:val="26"/>
        </w:rPr>
        <w:t xml:space="preserve">I&amp;E St. No. 3 at 21.  </w:t>
      </w:r>
      <w:r w:rsidRPr="0029748B">
        <w:rPr>
          <w:rFonts w:eastAsia="Calibri"/>
          <w:color w:val="000000"/>
          <w:sz w:val="26"/>
          <w:szCs w:val="26"/>
        </w:rPr>
        <w:t xml:space="preserve">I&amp;E also stated that the three-year phase-in of rates in the 2015 rate case was designed to improve service and reliability as the rate increases were predicated on certain system improvements being made.  I&amp;E indicated that the Company received 50% of the increase in Phase 1 and Phase 2 was to be implemented when Well No. 1 was replaced and placed into service.  I&amp;E also noted that Phase 3 was to be implemented when Well No. 1 was connected to the distribution system, 4,000 feet of main was replaced, certain Twin Lakes owned service lines were replaced, and a new air relief valve was installed.  As I&amp;E noted, Well No. 1 has not been replaced as was required by Phase 2 of the rate increase and is currently approximately </w:t>
      </w:r>
      <w:r w:rsidR="00DD2DD0" w:rsidRPr="0029748B">
        <w:rPr>
          <w:rFonts w:eastAsia="Calibri"/>
          <w:color w:val="000000"/>
          <w:sz w:val="26"/>
          <w:szCs w:val="26"/>
        </w:rPr>
        <w:t xml:space="preserve">only </w:t>
      </w:r>
      <w:r w:rsidRPr="0029748B">
        <w:rPr>
          <w:rFonts w:eastAsia="Calibri"/>
          <w:color w:val="000000"/>
          <w:sz w:val="26"/>
          <w:szCs w:val="26"/>
        </w:rPr>
        <w:t xml:space="preserve">20% complete.  </w:t>
      </w:r>
      <w:r w:rsidRPr="0029748B">
        <w:rPr>
          <w:sz w:val="26"/>
          <w:szCs w:val="26"/>
        </w:rPr>
        <w:t xml:space="preserve">TLU St. No. 3 at 1; I&amp;E Exhibit No. 2, Schedule 7.  </w:t>
      </w:r>
      <w:r w:rsidRPr="0029748B">
        <w:rPr>
          <w:rFonts w:eastAsia="Calibri"/>
          <w:color w:val="000000"/>
          <w:sz w:val="26"/>
          <w:szCs w:val="26"/>
        </w:rPr>
        <w:t xml:space="preserve">Further, I&amp;E maintained that the main </w:t>
      </w:r>
      <w:r w:rsidRPr="0029748B">
        <w:rPr>
          <w:rFonts w:eastAsia="Calibri"/>
          <w:color w:val="000000"/>
          <w:sz w:val="26"/>
          <w:szCs w:val="26"/>
        </w:rPr>
        <w:lastRenderedPageBreak/>
        <w:t>connecting Well No.</w:t>
      </w:r>
      <w:r w:rsidR="005B29FB" w:rsidRPr="0029748B">
        <w:rPr>
          <w:rFonts w:eastAsia="Calibri"/>
          <w:color w:val="000000"/>
          <w:sz w:val="26"/>
          <w:szCs w:val="26"/>
        </w:rPr>
        <w:t xml:space="preserve"> </w:t>
      </w:r>
      <w:r w:rsidRPr="0029748B">
        <w:rPr>
          <w:rFonts w:eastAsia="Calibri"/>
          <w:color w:val="000000"/>
          <w:sz w:val="26"/>
          <w:szCs w:val="26"/>
        </w:rPr>
        <w:t xml:space="preserve">1 with the distribution system and the air relief valve installation have not been completed.  Lastly, I&amp;E indicated that only 2,790 feet of the agreed upon 4,000 feet of main have been replaced. </w:t>
      </w:r>
      <w:r w:rsidR="009353A3" w:rsidRPr="0029748B">
        <w:rPr>
          <w:rFonts w:eastAsia="Calibri"/>
          <w:color w:val="000000"/>
          <w:sz w:val="26"/>
          <w:szCs w:val="26"/>
        </w:rPr>
        <w:t xml:space="preserve"> </w:t>
      </w:r>
      <w:r w:rsidRPr="0029748B">
        <w:rPr>
          <w:sz w:val="26"/>
          <w:szCs w:val="26"/>
        </w:rPr>
        <w:t xml:space="preserve">I&amp;E St. No. 3 at 23-24; </w:t>
      </w:r>
      <w:r w:rsidRPr="0029748B">
        <w:rPr>
          <w:rFonts w:eastAsia="Calibri"/>
          <w:color w:val="000000"/>
          <w:sz w:val="26"/>
          <w:szCs w:val="26"/>
        </w:rPr>
        <w:t xml:space="preserve">I&amp;E M.B. at 65. </w:t>
      </w:r>
    </w:p>
    <w:p w14:paraId="627ED349" w14:textId="77777777" w:rsidR="00A070CB" w:rsidRPr="0029748B" w:rsidRDefault="00A070CB" w:rsidP="0029748B">
      <w:pPr>
        <w:widowControl/>
        <w:autoSpaceDE w:val="0"/>
        <w:autoSpaceDN w:val="0"/>
        <w:adjustRightInd w:val="0"/>
        <w:spacing w:line="360" w:lineRule="auto"/>
        <w:ind w:firstLine="1440"/>
        <w:rPr>
          <w:rFonts w:eastAsia="Calibri"/>
          <w:color w:val="000000"/>
          <w:sz w:val="26"/>
          <w:szCs w:val="26"/>
        </w:rPr>
      </w:pPr>
    </w:p>
    <w:p w14:paraId="0481C07C" w14:textId="77777777" w:rsidR="00077C4E" w:rsidRPr="0029748B" w:rsidRDefault="00077C4E" w:rsidP="0029748B">
      <w:pPr>
        <w:widowControl/>
        <w:spacing w:line="360" w:lineRule="auto"/>
        <w:ind w:firstLine="1440"/>
        <w:rPr>
          <w:rFonts w:eastAsia="Calibri"/>
          <w:color w:val="000000"/>
          <w:sz w:val="26"/>
          <w:szCs w:val="26"/>
        </w:rPr>
      </w:pPr>
      <w:r w:rsidRPr="0029748B">
        <w:rPr>
          <w:rFonts w:eastAsia="Calibri"/>
          <w:color w:val="000000"/>
          <w:sz w:val="26"/>
          <w:szCs w:val="26"/>
        </w:rPr>
        <w:t>I&amp;E asserted that Twin Lakes</w:t>
      </w:r>
      <w:r w:rsidR="009353A3" w:rsidRPr="0029748B">
        <w:rPr>
          <w:rFonts w:eastAsia="Calibri"/>
          <w:color w:val="000000"/>
          <w:sz w:val="26"/>
          <w:szCs w:val="26"/>
        </w:rPr>
        <w:t>’</w:t>
      </w:r>
      <w:r w:rsidRPr="0029748B">
        <w:rPr>
          <w:rFonts w:eastAsia="Calibri"/>
          <w:color w:val="000000"/>
          <w:sz w:val="26"/>
          <w:szCs w:val="26"/>
        </w:rPr>
        <w:t xml:space="preserve"> failure to execute its agreed upon commitments in </w:t>
      </w:r>
      <w:r w:rsidR="000514D9" w:rsidRPr="0029748B">
        <w:rPr>
          <w:rFonts w:eastAsia="Calibri"/>
          <w:color w:val="000000"/>
          <w:sz w:val="26"/>
          <w:szCs w:val="26"/>
        </w:rPr>
        <w:t xml:space="preserve">the 2015 </w:t>
      </w:r>
      <w:r w:rsidR="007C5ADC" w:rsidRPr="0029748B">
        <w:rPr>
          <w:rFonts w:eastAsia="Calibri"/>
          <w:color w:val="000000"/>
          <w:sz w:val="26"/>
          <w:szCs w:val="26"/>
        </w:rPr>
        <w:t xml:space="preserve">rate case </w:t>
      </w:r>
      <w:r w:rsidRPr="0029748B">
        <w:rPr>
          <w:rFonts w:eastAsia="Calibri"/>
          <w:color w:val="000000"/>
          <w:sz w:val="26"/>
          <w:szCs w:val="26"/>
        </w:rPr>
        <w:t>Settlement is concerning.  I&amp;E argued that since the conclusion of the 2015 rate case it appears that there have not been many improvements to the Twin Lakes system.</w:t>
      </w:r>
      <w:r w:rsidR="009353A3" w:rsidRPr="0029748B">
        <w:rPr>
          <w:rFonts w:eastAsia="Calibri"/>
          <w:color w:val="000000"/>
          <w:sz w:val="26"/>
          <w:szCs w:val="26"/>
        </w:rPr>
        <w:t xml:space="preserve"> </w:t>
      </w:r>
      <w:r w:rsidRPr="0029748B">
        <w:rPr>
          <w:rFonts w:eastAsia="Calibri"/>
          <w:color w:val="000000"/>
          <w:sz w:val="26"/>
          <w:szCs w:val="26"/>
        </w:rPr>
        <w:t xml:space="preserve"> I&amp;E contended that unaccounted</w:t>
      </w:r>
      <w:r w:rsidR="00EE708F" w:rsidRPr="0029748B">
        <w:rPr>
          <w:rFonts w:eastAsia="Calibri"/>
          <w:color w:val="000000"/>
          <w:sz w:val="26"/>
          <w:szCs w:val="26"/>
        </w:rPr>
        <w:t>-</w:t>
      </w:r>
      <w:r w:rsidRPr="0029748B">
        <w:rPr>
          <w:rFonts w:eastAsia="Calibri"/>
          <w:color w:val="000000"/>
          <w:sz w:val="26"/>
          <w:szCs w:val="26"/>
        </w:rPr>
        <w:t>for</w:t>
      </w:r>
      <w:r w:rsidR="00EE708F" w:rsidRPr="0029748B">
        <w:rPr>
          <w:rFonts w:eastAsia="Calibri"/>
          <w:color w:val="000000"/>
          <w:sz w:val="26"/>
          <w:szCs w:val="26"/>
        </w:rPr>
        <w:t>-</w:t>
      </w:r>
      <w:r w:rsidRPr="0029748B">
        <w:rPr>
          <w:rFonts w:eastAsia="Calibri"/>
          <w:color w:val="000000"/>
          <w:sz w:val="26"/>
          <w:szCs w:val="26"/>
        </w:rPr>
        <w:t>water levels remain extremely high and the stability of Well No. 2 is in question.</w:t>
      </w:r>
      <w:r w:rsidR="009353A3" w:rsidRPr="0029748B">
        <w:rPr>
          <w:rFonts w:eastAsia="Calibri"/>
          <w:color w:val="000000"/>
          <w:sz w:val="26"/>
          <w:szCs w:val="26"/>
        </w:rPr>
        <w:t xml:space="preserve"> </w:t>
      </w:r>
      <w:r w:rsidRPr="0029748B">
        <w:rPr>
          <w:rFonts w:eastAsia="Calibri"/>
          <w:color w:val="000000"/>
          <w:sz w:val="26"/>
          <w:szCs w:val="26"/>
        </w:rPr>
        <w:t xml:space="preserve"> I&amp;E maintains that Twin Lakes must begin to adhere to its commitments to improve service to these customers.  I&amp;E M.B. at 66.</w:t>
      </w:r>
    </w:p>
    <w:p w14:paraId="00C20EBF" w14:textId="77777777" w:rsidR="00077C4E" w:rsidRPr="0029748B" w:rsidRDefault="00077C4E" w:rsidP="0029748B">
      <w:pPr>
        <w:widowControl/>
        <w:spacing w:line="360" w:lineRule="auto"/>
        <w:rPr>
          <w:rFonts w:eastAsia="Calibri"/>
          <w:color w:val="000000"/>
          <w:sz w:val="26"/>
          <w:szCs w:val="26"/>
        </w:rPr>
      </w:pPr>
    </w:p>
    <w:p w14:paraId="2FBC639E" w14:textId="77777777" w:rsidR="00077C4E" w:rsidRPr="0029748B" w:rsidRDefault="00077C4E" w:rsidP="0029748B">
      <w:pPr>
        <w:widowControl/>
        <w:spacing w:line="360" w:lineRule="auto"/>
        <w:ind w:firstLine="1440"/>
        <w:rPr>
          <w:sz w:val="26"/>
          <w:szCs w:val="26"/>
        </w:rPr>
      </w:pPr>
      <w:r w:rsidRPr="0029748B">
        <w:rPr>
          <w:sz w:val="26"/>
          <w:szCs w:val="26"/>
        </w:rPr>
        <w:t xml:space="preserve">The OCA argued that water service does not need to become a public health risk in order to be found unsuitable for all domestic purposes.  OCA M.B. at 34-35 (citing </w:t>
      </w:r>
      <w:r w:rsidRPr="0029748B">
        <w:rPr>
          <w:i/>
          <w:iCs/>
          <w:sz w:val="26"/>
          <w:szCs w:val="26"/>
        </w:rPr>
        <w:t xml:space="preserve">Pa. PUC v. Lake </w:t>
      </w:r>
      <w:proofErr w:type="spellStart"/>
      <w:r w:rsidRPr="0029748B">
        <w:rPr>
          <w:i/>
          <w:iCs/>
          <w:sz w:val="26"/>
          <w:szCs w:val="26"/>
        </w:rPr>
        <w:t>Latonka</w:t>
      </w:r>
      <w:proofErr w:type="spellEnd"/>
      <w:r w:rsidRPr="0029748B">
        <w:rPr>
          <w:i/>
          <w:iCs/>
          <w:sz w:val="26"/>
          <w:szCs w:val="26"/>
        </w:rPr>
        <w:t xml:space="preserve"> Water Co</w:t>
      </w:r>
      <w:r w:rsidRPr="0029748B">
        <w:rPr>
          <w:sz w:val="26"/>
          <w:szCs w:val="26"/>
        </w:rPr>
        <w:t>., 71 Pa. PUC 507, 522 (1989) (holding that a utility provides inadequate water service even when the water “has non-health, aesthetic quality problems”); citing also</w:t>
      </w:r>
      <w:r w:rsidRPr="0029748B">
        <w:rPr>
          <w:i/>
          <w:iCs/>
          <w:sz w:val="26"/>
          <w:szCs w:val="26"/>
        </w:rPr>
        <w:t xml:space="preserve"> Kessler v. Shickshinny Water Co., </w:t>
      </w:r>
      <w:r w:rsidRPr="0029748B">
        <w:rPr>
          <w:sz w:val="26"/>
          <w:szCs w:val="26"/>
        </w:rPr>
        <w:t>64 Pa. PUC 290, 296-97 (1987) (holding that ground debris in pipes resulting in “dirty, smelly water which was unsatisfactory for virtually every purpose except toilet flushing” violated 66 Pa. C.S. §</w:t>
      </w:r>
      <w:r w:rsidR="009353A3" w:rsidRPr="0029748B">
        <w:rPr>
          <w:sz w:val="26"/>
          <w:szCs w:val="26"/>
        </w:rPr>
        <w:t> </w:t>
      </w:r>
      <w:r w:rsidRPr="0029748B">
        <w:rPr>
          <w:sz w:val="26"/>
          <w:szCs w:val="26"/>
        </w:rPr>
        <w:t xml:space="preserve">1501; citing also </w:t>
      </w:r>
      <w:r w:rsidRPr="0029748B">
        <w:rPr>
          <w:i/>
          <w:iCs/>
          <w:sz w:val="26"/>
          <w:szCs w:val="26"/>
        </w:rPr>
        <w:t>Pa. PUC v. Pa. Gas &amp; Water Co.</w:t>
      </w:r>
      <w:r w:rsidRPr="0029748B">
        <w:rPr>
          <w:sz w:val="26"/>
          <w:szCs w:val="26"/>
        </w:rPr>
        <w:t>, 68 Pa. PUC 191, 1988 Pa. PUC LEXIS 457 (Sept. 30, 1988) (“every customer is entitled to water that is fit for the basic, domestic purposes (e.g., cooking, drinking, washing and bathing…”)</w:t>
      </w:r>
      <w:r w:rsidR="001D479A" w:rsidRPr="0029748B">
        <w:rPr>
          <w:sz w:val="26"/>
          <w:szCs w:val="26"/>
        </w:rPr>
        <w:t>)</w:t>
      </w:r>
      <w:r w:rsidRPr="0029748B">
        <w:rPr>
          <w:sz w:val="26"/>
          <w:szCs w:val="26"/>
        </w:rPr>
        <w:t xml:space="preserve">. </w:t>
      </w:r>
    </w:p>
    <w:p w14:paraId="69468102" w14:textId="77777777" w:rsidR="00077C4E" w:rsidRPr="0029748B" w:rsidRDefault="00077C4E" w:rsidP="0029748B">
      <w:pPr>
        <w:widowControl/>
        <w:spacing w:line="360" w:lineRule="auto"/>
        <w:ind w:firstLine="1440"/>
        <w:rPr>
          <w:sz w:val="26"/>
          <w:szCs w:val="26"/>
        </w:rPr>
      </w:pPr>
      <w:r w:rsidRPr="0029748B">
        <w:rPr>
          <w:sz w:val="26"/>
          <w:szCs w:val="26"/>
        </w:rPr>
        <w:t xml:space="preserve"> </w:t>
      </w:r>
    </w:p>
    <w:p w14:paraId="50D0228C" w14:textId="77777777" w:rsidR="00077C4E" w:rsidRPr="0029748B" w:rsidRDefault="00077C4E" w:rsidP="0029748B">
      <w:pPr>
        <w:widowControl/>
        <w:spacing w:line="360" w:lineRule="auto"/>
        <w:ind w:firstLine="1440"/>
        <w:rPr>
          <w:sz w:val="26"/>
          <w:szCs w:val="26"/>
        </w:rPr>
      </w:pPr>
      <w:r w:rsidRPr="0029748B">
        <w:rPr>
          <w:sz w:val="26"/>
          <w:szCs w:val="26"/>
        </w:rPr>
        <w:t>The OCA contended that high levels of unaccounted</w:t>
      </w:r>
      <w:r w:rsidR="005805C2" w:rsidRPr="0029748B">
        <w:rPr>
          <w:sz w:val="26"/>
          <w:szCs w:val="26"/>
        </w:rPr>
        <w:t>-</w:t>
      </w:r>
      <w:r w:rsidRPr="0029748B">
        <w:rPr>
          <w:sz w:val="26"/>
          <w:szCs w:val="26"/>
        </w:rPr>
        <w:t>for</w:t>
      </w:r>
      <w:r w:rsidR="005805C2" w:rsidRPr="0029748B">
        <w:rPr>
          <w:sz w:val="26"/>
          <w:szCs w:val="26"/>
        </w:rPr>
        <w:t>-</w:t>
      </w:r>
      <w:r w:rsidRPr="0029748B">
        <w:rPr>
          <w:sz w:val="26"/>
          <w:szCs w:val="26"/>
        </w:rPr>
        <w:t>water have been a long-standing problem with the Twin Lakes</w:t>
      </w:r>
      <w:r w:rsidR="009353A3" w:rsidRPr="0029748B">
        <w:rPr>
          <w:sz w:val="26"/>
          <w:szCs w:val="26"/>
        </w:rPr>
        <w:t>’</w:t>
      </w:r>
      <w:r w:rsidRPr="0029748B">
        <w:rPr>
          <w:sz w:val="26"/>
          <w:szCs w:val="26"/>
        </w:rPr>
        <w:t xml:space="preserve"> system.  The OCA’s witness, Mr. Fought, indicated that Twin Lakes’ unaccounted</w:t>
      </w:r>
      <w:r w:rsidR="005805C2" w:rsidRPr="0029748B">
        <w:rPr>
          <w:sz w:val="26"/>
          <w:szCs w:val="26"/>
        </w:rPr>
        <w:t>-</w:t>
      </w:r>
      <w:r w:rsidRPr="0029748B">
        <w:rPr>
          <w:sz w:val="26"/>
          <w:szCs w:val="26"/>
        </w:rPr>
        <w:t>for</w:t>
      </w:r>
      <w:r w:rsidR="005805C2" w:rsidRPr="0029748B">
        <w:rPr>
          <w:sz w:val="26"/>
          <w:szCs w:val="26"/>
        </w:rPr>
        <w:t>-</w:t>
      </w:r>
      <w:r w:rsidRPr="0029748B">
        <w:rPr>
          <w:sz w:val="26"/>
          <w:szCs w:val="26"/>
        </w:rPr>
        <w:t xml:space="preserve">water percentages from 2011-2018 range from 78.4% to 86.7% during that time frame. </w:t>
      </w:r>
      <w:r w:rsidR="009353A3" w:rsidRPr="0029748B">
        <w:rPr>
          <w:sz w:val="26"/>
          <w:szCs w:val="26"/>
        </w:rPr>
        <w:t xml:space="preserve"> </w:t>
      </w:r>
      <w:r w:rsidRPr="0029748B">
        <w:rPr>
          <w:sz w:val="26"/>
          <w:szCs w:val="26"/>
        </w:rPr>
        <w:t xml:space="preserve">OCA St. No. 3 at 6-7; Exhibit TLF-3.  Over the same time frame, </w:t>
      </w:r>
      <w:r w:rsidR="009353A3" w:rsidRPr="0029748B">
        <w:rPr>
          <w:sz w:val="26"/>
          <w:szCs w:val="26"/>
        </w:rPr>
        <w:t xml:space="preserve">the </w:t>
      </w:r>
      <w:r w:rsidRPr="0029748B">
        <w:rPr>
          <w:sz w:val="26"/>
          <w:szCs w:val="26"/>
        </w:rPr>
        <w:t>OCA noted that the parties have tried to address the high levels of unaccounted</w:t>
      </w:r>
      <w:r w:rsidR="005805C2" w:rsidRPr="0029748B">
        <w:rPr>
          <w:sz w:val="26"/>
          <w:szCs w:val="26"/>
        </w:rPr>
        <w:t>-</w:t>
      </w:r>
      <w:r w:rsidRPr="0029748B">
        <w:rPr>
          <w:sz w:val="26"/>
          <w:szCs w:val="26"/>
        </w:rPr>
        <w:t>for</w:t>
      </w:r>
      <w:r w:rsidR="005805C2" w:rsidRPr="0029748B">
        <w:rPr>
          <w:sz w:val="26"/>
          <w:szCs w:val="26"/>
        </w:rPr>
        <w:t>-</w:t>
      </w:r>
      <w:r w:rsidRPr="0029748B">
        <w:rPr>
          <w:sz w:val="26"/>
          <w:szCs w:val="26"/>
        </w:rPr>
        <w:t>water in the 2011 and 2015 Settlements.</w:t>
      </w:r>
      <w:r w:rsidR="005805C2" w:rsidRPr="0029748B">
        <w:rPr>
          <w:sz w:val="26"/>
          <w:szCs w:val="26"/>
        </w:rPr>
        <w:t xml:space="preserve"> </w:t>
      </w:r>
      <w:r w:rsidRPr="0029748B">
        <w:rPr>
          <w:sz w:val="26"/>
          <w:szCs w:val="26"/>
        </w:rPr>
        <w:t xml:space="preserve"> The OCA maintained </w:t>
      </w:r>
      <w:r w:rsidRPr="0029748B">
        <w:rPr>
          <w:sz w:val="26"/>
          <w:szCs w:val="26"/>
        </w:rPr>
        <w:lastRenderedPageBreak/>
        <w:t>in the 2011 Settlement, Twin Lakes agreed to reduce UFW by 10% of the then current level and had 18 months to comply.  2011 Settlement at ¶ 7.c.  The OCA also contended that in the 2015 Settlement, the parties agreed that Twin Lakes would receive an additional $31,250 or 25% of the total increased revenue requirement agreed to by the parties when Twin Lakes completed certain distribution system projects.  2015 Settlement Petition at ¶ 7.c.2.  The OCA asserts that the projects were not completed.  OCA MB at 37-38 (citing OCA St. No. 3 at 4).</w:t>
      </w:r>
    </w:p>
    <w:p w14:paraId="5BCA3DE8" w14:textId="77777777" w:rsidR="00077C4E" w:rsidRPr="0029748B" w:rsidRDefault="00077C4E" w:rsidP="0029748B">
      <w:pPr>
        <w:widowControl/>
        <w:spacing w:line="360" w:lineRule="auto"/>
        <w:ind w:firstLine="1440"/>
        <w:rPr>
          <w:sz w:val="26"/>
          <w:szCs w:val="26"/>
        </w:rPr>
      </w:pPr>
    </w:p>
    <w:p w14:paraId="78B5E071" w14:textId="77777777" w:rsidR="00077C4E" w:rsidRPr="0029748B" w:rsidRDefault="00077C4E" w:rsidP="0029748B">
      <w:pPr>
        <w:widowControl/>
        <w:spacing w:line="360" w:lineRule="auto"/>
        <w:ind w:firstLine="1440"/>
        <w:rPr>
          <w:sz w:val="26"/>
          <w:szCs w:val="26"/>
        </w:rPr>
      </w:pPr>
      <w:r w:rsidRPr="0029748B">
        <w:rPr>
          <w:sz w:val="26"/>
          <w:szCs w:val="26"/>
        </w:rPr>
        <w:t>The OCA maintained that Twin Lakes has failed to improve UFW during this time period.</w:t>
      </w:r>
      <w:r w:rsidR="009353A3" w:rsidRPr="0029748B">
        <w:rPr>
          <w:sz w:val="26"/>
          <w:szCs w:val="26"/>
        </w:rPr>
        <w:t xml:space="preserve"> </w:t>
      </w:r>
      <w:r w:rsidRPr="0029748B">
        <w:rPr>
          <w:sz w:val="26"/>
          <w:szCs w:val="26"/>
        </w:rPr>
        <w:t xml:space="preserve"> Specifically, the OCA noted that the highest level of UFW (86.7%) was in 2014.  Further, the level reported in 2018 (81.5%) was only 1.4% lower than the 2011 level (82.9%) and the 2018 level was part of a three-year upward trend. </w:t>
      </w:r>
      <w:r w:rsidR="001411B3" w:rsidRPr="0029748B">
        <w:rPr>
          <w:sz w:val="26"/>
          <w:szCs w:val="26"/>
        </w:rPr>
        <w:t xml:space="preserve"> </w:t>
      </w:r>
      <w:r w:rsidRPr="0029748B">
        <w:rPr>
          <w:sz w:val="26"/>
          <w:szCs w:val="26"/>
        </w:rPr>
        <w:t xml:space="preserve">OCA M.B. at 39 (citing OCA St. No. 3 at 7).  </w:t>
      </w:r>
    </w:p>
    <w:p w14:paraId="74705638" w14:textId="77777777" w:rsidR="00077C4E" w:rsidRPr="0029748B" w:rsidRDefault="00077C4E" w:rsidP="0029748B">
      <w:pPr>
        <w:widowControl/>
        <w:spacing w:line="360" w:lineRule="auto"/>
        <w:ind w:firstLine="1440"/>
        <w:rPr>
          <w:sz w:val="26"/>
          <w:szCs w:val="26"/>
        </w:rPr>
      </w:pPr>
    </w:p>
    <w:p w14:paraId="14A89643" w14:textId="77777777" w:rsidR="00077C4E" w:rsidRPr="0029748B" w:rsidRDefault="00077C4E" w:rsidP="0029748B">
      <w:pPr>
        <w:widowControl/>
        <w:spacing w:line="360" w:lineRule="auto"/>
        <w:ind w:firstLine="1440"/>
        <w:rPr>
          <w:sz w:val="26"/>
          <w:szCs w:val="26"/>
        </w:rPr>
      </w:pPr>
      <w:r w:rsidRPr="0029748B">
        <w:rPr>
          <w:sz w:val="26"/>
          <w:szCs w:val="26"/>
        </w:rPr>
        <w:t>Moreover, the OCA noted that the Company’s water supply source consists of Well No. 2 with a safe yield of approximately 50 gallons per minute (</w:t>
      </w:r>
      <w:proofErr w:type="spellStart"/>
      <w:r w:rsidRPr="0029748B">
        <w:rPr>
          <w:sz w:val="26"/>
          <w:szCs w:val="26"/>
        </w:rPr>
        <w:t>gpm</w:t>
      </w:r>
      <w:proofErr w:type="spellEnd"/>
      <w:r w:rsidRPr="0029748B">
        <w:rPr>
          <w:sz w:val="26"/>
          <w:szCs w:val="26"/>
        </w:rPr>
        <w:t>) or 72,000 gallons per day (</w:t>
      </w:r>
      <w:proofErr w:type="spellStart"/>
      <w:r w:rsidRPr="0029748B">
        <w:rPr>
          <w:sz w:val="26"/>
          <w:szCs w:val="26"/>
        </w:rPr>
        <w:t>gpd</w:t>
      </w:r>
      <w:proofErr w:type="spellEnd"/>
      <w:r w:rsidRPr="0029748B">
        <w:rPr>
          <w:sz w:val="26"/>
          <w:szCs w:val="26"/>
        </w:rPr>
        <w:t>).  OCA St. 3 at 2.  The OCA indicated that a second well, Well No.</w:t>
      </w:r>
      <w:r w:rsidR="007C4BF9">
        <w:rPr>
          <w:sz w:val="26"/>
          <w:szCs w:val="26"/>
        </w:rPr>
        <w:t> </w:t>
      </w:r>
      <w:r w:rsidRPr="0029748B">
        <w:rPr>
          <w:sz w:val="26"/>
          <w:szCs w:val="26"/>
        </w:rPr>
        <w:t>1, is no longer usable because the well hole collapsed.</w:t>
      </w:r>
      <w:r w:rsidR="001411B3" w:rsidRPr="0029748B">
        <w:rPr>
          <w:sz w:val="26"/>
          <w:szCs w:val="26"/>
        </w:rPr>
        <w:t xml:space="preserve"> </w:t>
      </w:r>
      <w:r w:rsidRPr="0029748B">
        <w:rPr>
          <w:sz w:val="26"/>
          <w:szCs w:val="26"/>
        </w:rPr>
        <w:t xml:space="preserve"> </w:t>
      </w:r>
      <w:r w:rsidRPr="0029748B">
        <w:rPr>
          <w:i/>
          <w:iCs/>
          <w:sz w:val="26"/>
          <w:szCs w:val="26"/>
        </w:rPr>
        <w:t>Id</w:t>
      </w:r>
      <w:r w:rsidRPr="0029748B">
        <w:rPr>
          <w:sz w:val="26"/>
          <w:szCs w:val="26"/>
        </w:rPr>
        <w:t xml:space="preserve">.  While Twin Lakes agreed to replace Well No. 1 as part of the </w:t>
      </w:r>
      <w:r w:rsidR="002C31E5" w:rsidRPr="0029748B">
        <w:rPr>
          <w:sz w:val="26"/>
          <w:szCs w:val="26"/>
        </w:rPr>
        <w:t>2015 S</w:t>
      </w:r>
      <w:r w:rsidRPr="0029748B">
        <w:rPr>
          <w:sz w:val="26"/>
          <w:szCs w:val="26"/>
        </w:rPr>
        <w:t>ettlement</w:t>
      </w:r>
      <w:r w:rsidR="001D479A" w:rsidRPr="0029748B">
        <w:rPr>
          <w:sz w:val="26"/>
          <w:szCs w:val="26"/>
        </w:rPr>
        <w:t xml:space="preserve"> </w:t>
      </w:r>
      <w:r w:rsidR="002C31E5" w:rsidRPr="0029748B">
        <w:rPr>
          <w:sz w:val="26"/>
          <w:szCs w:val="26"/>
        </w:rPr>
        <w:t xml:space="preserve">of the </w:t>
      </w:r>
      <w:r w:rsidRPr="0029748B">
        <w:rPr>
          <w:sz w:val="26"/>
          <w:szCs w:val="26"/>
        </w:rPr>
        <w:t xml:space="preserve">base rate case, the Company has failed to replace the well or replace the mains also agreed to in the 2015 </w:t>
      </w:r>
      <w:r w:rsidR="002C31E5" w:rsidRPr="0029748B">
        <w:rPr>
          <w:sz w:val="26"/>
          <w:szCs w:val="26"/>
        </w:rPr>
        <w:t>S</w:t>
      </w:r>
      <w:r w:rsidRPr="0029748B">
        <w:rPr>
          <w:sz w:val="26"/>
          <w:szCs w:val="26"/>
        </w:rPr>
        <w:t>ettlement.  OCA M.B. at 40 (citing Joint Petition for Settlement of Rate Investigation (2015 Settlement) at ¶ 7.b.</w:t>
      </w:r>
      <w:r w:rsidR="002C31E5" w:rsidRPr="0029748B">
        <w:rPr>
          <w:sz w:val="26"/>
          <w:szCs w:val="26"/>
        </w:rPr>
        <w:t xml:space="preserve"> </w:t>
      </w:r>
      <w:r w:rsidR="00555997">
        <w:rPr>
          <w:sz w:val="26"/>
          <w:szCs w:val="26"/>
        </w:rPr>
        <w:t xml:space="preserve"> </w:t>
      </w:r>
      <w:r w:rsidRPr="0029748B">
        <w:rPr>
          <w:i/>
          <w:iCs/>
          <w:sz w:val="26"/>
          <w:szCs w:val="26"/>
        </w:rPr>
        <w:t>P</w:t>
      </w:r>
      <w:r w:rsidR="00590B4D">
        <w:rPr>
          <w:i/>
          <w:iCs/>
          <w:sz w:val="26"/>
          <w:szCs w:val="26"/>
        </w:rPr>
        <w:t>ennsylvania Public Utility Commission</w:t>
      </w:r>
      <w:r w:rsidR="00555997">
        <w:rPr>
          <w:i/>
          <w:iCs/>
          <w:sz w:val="26"/>
          <w:szCs w:val="26"/>
        </w:rPr>
        <w:t xml:space="preserve"> </w:t>
      </w:r>
      <w:r w:rsidRPr="0029748B">
        <w:rPr>
          <w:i/>
          <w:iCs/>
          <w:sz w:val="26"/>
          <w:szCs w:val="26"/>
        </w:rPr>
        <w:t>v. Twin Lakes Utilities</w:t>
      </w:r>
      <w:r w:rsidRPr="0029748B">
        <w:rPr>
          <w:sz w:val="26"/>
          <w:szCs w:val="26"/>
        </w:rPr>
        <w:t>, Docket No. R</w:t>
      </w:r>
      <w:r w:rsidR="007C7215">
        <w:rPr>
          <w:sz w:val="26"/>
          <w:szCs w:val="26"/>
        </w:rPr>
        <w:noBreakHyphen/>
      </w:r>
      <w:r w:rsidRPr="0029748B">
        <w:rPr>
          <w:sz w:val="26"/>
          <w:szCs w:val="26"/>
        </w:rPr>
        <w:t>2015</w:t>
      </w:r>
      <w:r w:rsidR="007C7215">
        <w:rPr>
          <w:sz w:val="26"/>
          <w:szCs w:val="26"/>
        </w:rPr>
        <w:noBreakHyphen/>
      </w:r>
      <w:r w:rsidRPr="0029748B">
        <w:rPr>
          <w:sz w:val="26"/>
          <w:szCs w:val="26"/>
        </w:rPr>
        <w:t>2506337 Recommended Decision at 27 (May 9, 2016); citing also OCA St. 3 at</w:t>
      </w:r>
      <w:r w:rsidR="007C7215">
        <w:rPr>
          <w:sz w:val="26"/>
          <w:szCs w:val="26"/>
        </w:rPr>
        <w:t> </w:t>
      </w:r>
      <w:r w:rsidRPr="0029748B">
        <w:rPr>
          <w:sz w:val="26"/>
          <w:szCs w:val="26"/>
        </w:rPr>
        <w:t>3-4; Exhibit TLF</w:t>
      </w:r>
      <w:r w:rsidR="00EA0A47" w:rsidRPr="0029748B">
        <w:rPr>
          <w:sz w:val="26"/>
          <w:szCs w:val="26"/>
        </w:rPr>
        <w:noBreakHyphen/>
      </w:r>
      <w:r w:rsidRPr="0029748B">
        <w:rPr>
          <w:sz w:val="26"/>
          <w:szCs w:val="26"/>
        </w:rPr>
        <w:t>1).</w:t>
      </w:r>
    </w:p>
    <w:p w14:paraId="22993BD1" w14:textId="77777777" w:rsidR="00077C4E" w:rsidRPr="0029748B" w:rsidRDefault="00077C4E" w:rsidP="0029748B">
      <w:pPr>
        <w:widowControl/>
        <w:spacing w:line="360" w:lineRule="auto"/>
        <w:ind w:firstLine="1440"/>
        <w:rPr>
          <w:sz w:val="26"/>
          <w:szCs w:val="26"/>
        </w:rPr>
      </w:pPr>
    </w:p>
    <w:p w14:paraId="6B989298" w14:textId="77777777" w:rsidR="00077C4E" w:rsidRPr="0029748B" w:rsidRDefault="00077C4E" w:rsidP="0029748B">
      <w:pPr>
        <w:widowControl/>
        <w:spacing w:line="360" w:lineRule="auto"/>
        <w:ind w:firstLine="1440"/>
        <w:rPr>
          <w:sz w:val="26"/>
          <w:szCs w:val="26"/>
        </w:rPr>
      </w:pPr>
      <w:r w:rsidRPr="0029748B">
        <w:rPr>
          <w:sz w:val="26"/>
          <w:szCs w:val="26"/>
        </w:rPr>
        <w:t>The OCA argued that the water supply situation presents a clear, immediate problem regarding the reliability of the water supply due to the over pumping of Well No.</w:t>
      </w:r>
      <w:r w:rsidR="00555997">
        <w:rPr>
          <w:sz w:val="26"/>
          <w:szCs w:val="26"/>
        </w:rPr>
        <w:t> </w:t>
      </w:r>
      <w:r w:rsidRPr="0029748B">
        <w:rPr>
          <w:sz w:val="26"/>
          <w:szCs w:val="26"/>
        </w:rPr>
        <w:t xml:space="preserve">2 because of Well No. 1 being permanently out of service.  The OCA asserted that Well No. 2 is in a precarious situation and will need to be rehabilitated after Well No. 1 is </w:t>
      </w:r>
      <w:r w:rsidRPr="0029748B">
        <w:rPr>
          <w:sz w:val="26"/>
          <w:szCs w:val="26"/>
        </w:rPr>
        <w:lastRenderedPageBreak/>
        <w:t xml:space="preserve">replaced.  The OCA maintained that it is not reasonable for the customers to be subject to the proposed rate increase that will do nothing to resolve the water supply situation.  The OCA contended that Twin Lakes’ customers are entitled to safe, adequate and reliable service at their current rates.  The OCA also argued that the absence of any back up water supply is not providing adequate service to those customers. </w:t>
      </w:r>
      <w:r w:rsidR="005D36AB" w:rsidRPr="0029748B">
        <w:rPr>
          <w:sz w:val="26"/>
          <w:szCs w:val="26"/>
        </w:rPr>
        <w:t xml:space="preserve"> </w:t>
      </w:r>
      <w:r w:rsidRPr="0029748B">
        <w:rPr>
          <w:sz w:val="26"/>
          <w:szCs w:val="26"/>
        </w:rPr>
        <w:t>The OCA indicated that if Well No. 2 were to fail, then the customers would be without any source of water that could be distributed to their homes.</w:t>
      </w:r>
      <w:r w:rsidR="005D36AB" w:rsidRPr="0029748B">
        <w:rPr>
          <w:sz w:val="26"/>
          <w:szCs w:val="26"/>
        </w:rPr>
        <w:t xml:space="preserve"> </w:t>
      </w:r>
      <w:r w:rsidRPr="0029748B">
        <w:rPr>
          <w:sz w:val="26"/>
          <w:szCs w:val="26"/>
        </w:rPr>
        <w:t xml:space="preserve"> OCA M.B. at 41-42.</w:t>
      </w:r>
    </w:p>
    <w:p w14:paraId="573CD0F8" w14:textId="77777777" w:rsidR="00077C4E" w:rsidRPr="0029748B" w:rsidRDefault="00077C4E" w:rsidP="0029748B">
      <w:pPr>
        <w:widowControl/>
        <w:spacing w:line="360" w:lineRule="auto"/>
        <w:ind w:firstLine="1440"/>
        <w:rPr>
          <w:sz w:val="26"/>
          <w:szCs w:val="26"/>
        </w:rPr>
      </w:pPr>
    </w:p>
    <w:p w14:paraId="5329AEC2" w14:textId="77777777" w:rsidR="00077C4E" w:rsidRPr="0029748B" w:rsidRDefault="00077C4E" w:rsidP="0029748B">
      <w:pPr>
        <w:widowControl/>
        <w:spacing w:line="360" w:lineRule="auto"/>
        <w:ind w:firstLine="1440"/>
        <w:rPr>
          <w:sz w:val="26"/>
          <w:szCs w:val="26"/>
        </w:rPr>
      </w:pPr>
      <w:r w:rsidRPr="0029748B">
        <w:rPr>
          <w:sz w:val="26"/>
          <w:szCs w:val="26"/>
        </w:rPr>
        <w:t>The OCA also discussed the elevated lead level</w:t>
      </w:r>
      <w:r w:rsidR="005443BA" w:rsidRPr="0029748B">
        <w:rPr>
          <w:sz w:val="26"/>
          <w:szCs w:val="26"/>
        </w:rPr>
        <w:t>s</w:t>
      </w:r>
      <w:r w:rsidRPr="0029748B">
        <w:rPr>
          <w:sz w:val="26"/>
          <w:szCs w:val="26"/>
        </w:rPr>
        <w:t xml:space="preserve"> that were discovered by the DEP in November 2019. </w:t>
      </w:r>
      <w:r w:rsidR="005D36AB" w:rsidRPr="0029748B">
        <w:rPr>
          <w:sz w:val="26"/>
          <w:szCs w:val="26"/>
        </w:rPr>
        <w:t xml:space="preserve"> </w:t>
      </w:r>
      <w:r w:rsidRPr="0029748B">
        <w:rPr>
          <w:sz w:val="26"/>
          <w:szCs w:val="26"/>
        </w:rPr>
        <w:t xml:space="preserve">The OCA noted that these issues were addressed by its witness, Mr. Fought, with a series of recommendations that require the Company to inform its customers of the availability of testing for lead levels at an individual’s home, the steps that customers can take to reduce exposure to lead in drinking water and permit the </w:t>
      </w:r>
      <w:r w:rsidR="005443BA" w:rsidRPr="0029748B">
        <w:rPr>
          <w:sz w:val="26"/>
          <w:szCs w:val="26"/>
        </w:rPr>
        <w:t>P</w:t>
      </w:r>
      <w:r w:rsidRPr="0029748B">
        <w:rPr>
          <w:sz w:val="26"/>
          <w:szCs w:val="26"/>
        </w:rPr>
        <w:t xml:space="preserve">arties to receive information on testing and other steps that Twin Lakes will take to comply with the DEP regulations regarding the lead action level exceedance.  The OCA indicated that these recommendations were reflected in the Stipulation of the </w:t>
      </w:r>
      <w:r w:rsidR="005D36AB" w:rsidRPr="0029748B">
        <w:rPr>
          <w:sz w:val="26"/>
          <w:szCs w:val="26"/>
        </w:rPr>
        <w:t>P</w:t>
      </w:r>
      <w:r w:rsidRPr="0029748B">
        <w:rPr>
          <w:sz w:val="26"/>
          <w:szCs w:val="26"/>
        </w:rPr>
        <w:t xml:space="preserve">arties, which was approved on December 18, 2019. </w:t>
      </w:r>
      <w:r w:rsidR="005D36AB" w:rsidRPr="0029748B">
        <w:rPr>
          <w:sz w:val="26"/>
          <w:szCs w:val="26"/>
        </w:rPr>
        <w:t xml:space="preserve"> </w:t>
      </w:r>
      <w:r w:rsidRPr="0029748B">
        <w:rPr>
          <w:sz w:val="26"/>
          <w:szCs w:val="26"/>
        </w:rPr>
        <w:t>OCA M.B. at 42 (citing OCA St. No. 3SR at</w:t>
      </w:r>
      <w:r w:rsidR="00EA0A47" w:rsidRPr="0029748B">
        <w:rPr>
          <w:sz w:val="26"/>
          <w:szCs w:val="26"/>
        </w:rPr>
        <w:t> </w:t>
      </w:r>
      <w:r w:rsidRPr="0029748B">
        <w:rPr>
          <w:sz w:val="26"/>
          <w:szCs w:val="26"/>
        </w:rPr>
        <w:t>4-5).</w:t>
      </w:r>
    </w:p>
    <w:p w14:paraId="01221B34" w14:textId="77777777" w:rsidR="00077C4E" w:rsidRPr="0029748B" w:rsidRDefault="00077C4E" w:rsidP="0029748B">
      <w:pPr>
        <w:widowControl/>
        <w:spacing w:line="360" w:lineRule="auto"/>
        <w:ind w:firstLine="1440"/>
        <w:rPr>
          <w:sz w:val="26"/>
          <w:szCs w:val="26"/>
        </w:rPr>
      </w:pPr>
    </w:p>
    <w:p w14:paraId="147A3B63" w14:textId="77777777" w:rsidR="00077C4E" w:rsidRPr="0029748B" w:rsidRDefault="00077C4E" w:rsidP="0029748B">
      <w:pPr>
        <w:widowControl/>
        <w:spacing w:line="360" w:lineRule="auto"/>
        <w:ind w:firstLine="1440"/>
        <w:rPr>
          <w:sz w:val="26"/>
          <w:szCs w:val="26"/>
        </w:rPr>
      </w:pPr>
      <w:r w:rsidRPr="0029748B">
        <w:rPr>
          <w:sz w:val="26"/>
          <w:szCs w:val="26"/>
        </w:rPr>
        <w:t xml:space="preserve">As discussed above in the Rate of Return section, based on I&amp;E’s and the OCA’s positions that Twin Lakes is providing inadequate service to customers, as a remedy, both I&amp;E and the OCA requested that the Commission adopt a cost of common equity of 0% for Twin Lakes.  </w:t>
      </w:r>
      <w:r w:rsidRPr="0029748B">
        <w:rPr>
          <w:i/>
          <w:iCs/>
          <w:sz w:val="26"/>
          <w:szCs w:val="26"/>
        </w:rPr>
        <w:t>See</w:t>
      </w:r>
      <w:r w:rsidR="005D36AB" w:rsidRPr="0029748B">
        <w:rPr>
          <w:i/>
          <w:iCs/>
          <w:sz w:val="26"/>
          <w:szCs w:val="26"/>
        </w:rPr>
        <w:t>,</w:t>
      </w:r>
      <w:r w:rsidRPr="0029748B">
        <w:rPr>
          <w:i/>
          <w:iCs/>
          <w:sz w:val="26"/>
          <w:szCs w:val="26"/>
        </w:rPr>
        <w:t xml:space="preserve"> </w:t>
      </w:r>
      <w:r w:rsidRPr="0029748B">
        <w:rPr>
          <w:sz w:val="26"/>
          <w:szCs w:val="26"/>
        </w:rPr>
        <w:t xml:space="preserve">R.D. at 53; </w:t>
      </w:r>
      <w:r w:rsidRPr="0029748B">
        <w:rPr>
          <w:i/>
          <w:iCs/>
          <w:sz w:val="26"/>
          <w:szCs w:val="26"/>
        </w:rPr>
        <w:t>see also</w:t>
      </w:r>
      <w:r w:rsidR="005D36AB" w:rsidRPr="0029748B">
        <w:rPr>
          <w:i/>
          <w:iCs/>
          <w:sz w:val="26"/>
          <w:szCs w:val="26"/>
        </w:rPr>
        <w:t>,</w:t>
      </w:r>
      <w:r w:rsidRPr="0029748B">
        <w:rPr>
          <w:sz w:val="26"/>
          <w:szCs w:val="26"/>
        </w:rPr>
        <w:t xml:space="preserve"> I&amp;E M.B. at 43-58; OCA M.B. at</w:t>
      </w:r>
      <w:r w:rsidR="00EA0A47" w:rsidRPr="0029748B">
        <w:rPr>
          <w:sz w:val="26"/>
          <w:szCs w:val="26"/>
        </w:rPr>
        <w:t> </w:t>
      </w:r>
      <w:r w:rsidRPr="0029748B">
        <w:rPr>
          <w:sz w:val="26"/>
          <w:szCs w:val="26"/>
        </w:rPr>
        <w:t>43-45.</w:t>
      </w:r>
    </w:p>
    <w:p w14:paraId="3044FFDC" w14:textId="77777777" w:rsidR="00077C4E" w:rsidRPr="0029748B" w:rsidRDefault="00077C4E" w:rsidP="0029748B">
      <w:pPr>
        <w:widowControl/>
        <w:spacing w:line="360" w:lineRule="auto"/>
        <w:ind w:firstLine="1440"/>
        <w:rPr>
          <w:sz w:val="26"/>
          <w:szCs w:val="26"/>
        </w:rPr>
      </w:pPr>
    </w:p>
    <w:p w14:paraId="6218776B" w14:textId="77777777" w:rsidR="00077C4E" w:rsidRPr="0029748B" w:rsidRDefault="00077C4E" w:rsidP="0029748B">
      <w:pPr>
        <w:widowControl/>
        <w:spacing w:line="360" w:lineRule="auto"/>
        <w:ind w:firstLine="1440"/>
        <w:rPr>
          <w:sz w:val="26"/>
          <w:szCs w:val="26"/>
        </w:rPr>
      </w:pPr>
      <w:r w:rsidRPr="0029748B">
        <w:rPr>
          <w:rFonts w:eastAsia="Calibri"/>
          <w:sz w:val="26"/>
          <w:szCs w:val="26"/>
        </w:rPr>
        <w:t xml:space="preserve">The OCA also recommended that the Parties and the Commission turn to finding a long-term solution that would address the quality of service issues in a manner that results in just and reasonable rates to Twin Lakes’ customers.  Specifically, the OCA recommended that a Section 529 proceeding be initiated to permit the investigation into </w:t>
      </w:r>
      <w:r w:rsidRPr="0029748B">
        <w:rPr>
          <w:rFonts w:eastAsia="Calibri"/>
          <w:sz w:val="26"/>
          <w:szCs w:val="26"/>
        </w:rPr>
        <w:lastRenderedPageBreak/>
        <w:t>finding a capable public utility to acquire Twin Lakes.  OCA M.B. at 44-45 (citing 66 Pa. C.S. § 529).</w:t>
      </w:r>
      <w:r w:rsidRPr="0029748B">
        <w:rPr>
          <w:sz w:val="26"/>
          <w:szCs w:val="26"/>
        </w:rPr>
        <w:t xml:space="preserve"> </w:t>
      </w:r>
    </w:p>
    <w:p w14:paraId="5FAA39EB" w14:textId="77777777" w:rsidR="007A2949" w:rsidRPr="0029748B" w:rsidRDefault="007A2949" w:rsidP="0029748B">
      <w:pPr>
        <w:pStyle w:val="ListParagraph"/>
        <w:widowControl/>
        <w:spacing w:line="360" w:lineRule="auto"/>
        <w:ind w:left="1440"/>
        <w:textAlignment w:val="baseline"/>
        <w:rPr>
          <w:color w:val="000000"/>
          <w:sz w:val="26"/>
          <w:szCs w:val="26"/>
        </w:rPr>
      </w:pPr>
    </w:p>
    <w:p w14:paraId="207CE010" w14:textId="77777777" w:rsidR="00D951C4" w:rsidRPr="0029748B" w:rsidRDefault="00D951C4" w:rsidP="00A20800">
      <w:pPr>
        <w:pStyle w:val="ListParagraph"/>
        <w:keepNext/>
        <w:widowControl/>
        <w:numPr>
          <w:ilvl w:val="1"/>
          <w:numId w:val="4"/>
        </w:numPr>
        <w:spacing w:line="360" w:lineRule="auto"/>
        <w:ind w:left="1440"/>
        <w:textAlignment w:val="baseline"/>
        <w:rPr>
          <w:b/>
          <w:bCs/>
          <w:color w:val="000000"/>
          <w:sz w:val="26"/>
          <w:szCs w:val="26"/>
        </w:rPr>
      </w:pPr>
      <w:r w:rsidRPr="0029748B">
        <w:rPr>
          <w:b/>
          <w:bCs/>
          <w:color w:val="000000"/>
          <w:sz w:val="26"/>
          <w:szCs w:val="26"/>
        </w:rPr>
        <w:t>Recommended Decision</w:t>
      </w:r>
    </w:p>
    <w:p w14:paraId="71AC8AAB" w14:textId="77777777" w:rsidR="007A2949" w:rsidRPr="0029748B" w:rsidRDefault="007A2949" w:rsidP="00A20800">
      <w:pPr>
        <w:pStyle w:val="ListParagraph"/>
        <w:keepNext/>
        <w:widowControl/>
        <w:rPr>
          <w:color w:val="000000"/>
          <w:sz w:val="26"/>
          <w:szCs w:val="26"/>
        </w:rPr>
      </w:pPr>
    </w:p>
    <w:p w14:paraId="0350BF8E" w14:textId="77777777" w:rsidR="00E1423F" w:rsidRPr="0029748B" w:rsidRDefault="00E1423F" w:rsidP="00A20800">
      <w:pPr>
        <w:keepNext/>
        <w:widowControl/>
        <w:spacing w:line="360" w:lineRule="auto"/>
        <w:ind w:firstLine="1440"/>
        <w:rPr>
          <w:sz w:val="26"/>
          <w:szCs w:val="26"/>
        </w:rPr>
      </w:pPr>
      <w:r w:rsidRPr="0029748B">
        <w:rPr>
          <w:sz w:val="26"/>
          <w:szCs w:val="26"/>
        </w:rPr>
        <w:t>The ALJ stated that, while Twin Lakes asserted it was impossible for it to undertake the needed improvement to the system without the full proposed rate increase in this matter, there is evidence in the record which establishes that the Company’s action</w:t>
      </w:r>
      <w:r w:rsidR="00CD646A" w:rsidRPr="0029748B">
        <w:rPr>
          <w:sz w:val="26"/>
          <w:szCs w:val="26"/>
        </w:rPr>
        <w:t>s</w:t>
      </w:r>
      <w:r w:rsidRPr="0029748B">
        <w:rPr>
          <w:sz w:val="26"/>
          <w:szCs w:val="26"/>
        </w:rPr>
        <w:t xml:space="preserve"> contributed </w:t>
      </w:r>
      <w:r w:rsidR="00CD646A" w:rsidRPr="0029748B">
        <w:rPr>
          <w:sz w:val="26"/>
          <w:szCs w:val="26"/>
        </w:rPr>
        <w:t xml:space="preserve">to </w:t>
      </w:r>
      <w:r w:rsidR="0078611C" w:rsidRPr="0029748B">
        <w:rPr>
          <w:sz w:val="26"/>
          <w:szCs w:val="26"/>
        </w:rPr>
        <w:t xml:space="preserve">the </w:t>
      </w:r>
      <w:r w:rsidR="00CD646A" w:rsidRPr="0029748B">
        <w:rPr>
          <w:sz w:val="26"/>
          <w:szCs w:val="26"/>
        </w:rPr>
        <w:t>condition of the system.</w:t>
      </w:r>
      <w:r w:rsidRPr="0029748B">
        <w:rPr>
          <w:sz w:val="26"/>
          <w:szCs w:val="26"/>
        </w:rPr>
        <w:t xml:space="preserve">  The ALJ noted that the Company has failed to take advantage of the two rate increase</w:t>
      </w:r>
      <w:r w:rsidR="00CD646A" w:rsidRPr="0029748B">
        <w:rPr>
          <w:sz w:val="26"/>
          <w:szCs w:val="26"/>
        </w:rPr>
        <w:t>s</w:t>
      </w:r>
      <w:r w:rsidRPr="0029748B">
        <w:rPr>
          <w:sz w:val="26"/>
          <w:szCs w:val="26"/>
        </w:rPr>
        <w:t xml:space="preserve"> available under the 2015 Settlement.  The ALJ found that, because Twin Lakes elected not to replace Well No. 1, Phase 2 of the 2015 Settlement rates did not go into effect.  In addition, the ALJ found that Twin Lakes did not replace the specific mains required to trigger the rate increase available under Phase 3 of the 2015 Settlement.</w:t>
      </w:r>
      <w:r w:rsidR="00A8465F" w:rsidRPr="0029748B">
        <w:rPr>
          <w:sz w:val="26"/>
          <w:szCs w:val="26"/>
        </w:rPr>
        <w:t xml:space="preserve"> </w:t>
      </w:r>
      <w:r w:rsidRPr="0029748B">
        <w:rPr>
          <w:sz w:val="26"/>
          <w:szCs w:val="26"/>
        </w:rPr>
        <w:t xml:space="preserve"> R.D. at 82.</w:t>
      </w:r>
    </w:p>
    <w:p w14:paraId="4BD160C2" w14:textId="77777777" w:rsidR="00E1423F" w:rsidRPr="0029748B" w:rsidRDefault="00E1423F" w:rsidP="0029748B">
      <w:pPr>
        <w:widowControl/>
        <w:spacing w:line="360" w:lineRule="auto"/>
        <w:ind w:firstLine="1440"/>
        <w:rPr>
          <w:sz w:val="26"/>
          <w:szCs w:val="26"/>
        </w:rPr>
      </w:pPr>
    </w:p>
    <w:p w14:paraId="3A79D8D5" w14:textId="77777777" w:rsidR="00E1423F" w:rsidRPr="0029748B" w:rsidRDefault="00E1423F" w:rsidP="0029748B">
      <w:pPr>
        <w:keepNext/>
        <w:widowControl/>
        <w:spacing w:line="360" w:lineRule="auto"/>
        <w:ind w:firstLine="1440"/>
        <w:rPr>
          <w:sz w:val="26"/>
          <w:szCs w:val="26"/>
        </w:rPr>
      </w:pPr>
      <w:r w:rsidRPr="0029748B">
        <w:rPr>
          <w:sz w:val="26"/>
          <w:szCs w:val="26"/>
        </w:rPr>
        <w:t xml:space="preserve">The ALJ further stated, in pertinent part: </w:t>
      </w:r>
    </w:p>
    <w:p w14:paraId="6F803280" w14:textId="77777777" w:rsidR="00E1423F" w:rsidRPr="0029748B" w:rsidRDefault="00E1423F" w:rsidP="0029748B">
      <w:pPr>
        <w:keepNext/>
        <w:widowControl/>
        <w:spacing w:line="360" w:lineRule="auto"/>
        <w:ind w:firstLine="1440"/>
        <w:rPr>
          <w:sz w:val="26"/>
          <w:szCs w:val="26"/>
        </w:rPr>
      </w:pPr>
    </w:p>
    <w:p w14:paraId="241E5183" w14:textId="77777777" w:rsidR="00E1423F" w:rsidRPr="0029748B" w:rsidRDefault="00E1423F" w:rsidP="0029748B">
      <w:pPr>
        <w:keepNext/>
        <w:widowControl/>
        <w:ind w:left="1440" w:right="1440"/>
        <w:rPr>
          <w:sz w:val="26"/>
          <w:szCs w:val="26"/>
        </w:rPr>
      </w:pPr>
      <w:r w:rsidRPr="0029748B">
        <w:rPr>
          <w:sz w:val="26"/>
          <w:szCs w:val="26"/>
        </w:rPr>
        <w:t xml:space="preserve">Twin Lakes acknowledges that the system needs to be replaced but has </w:t>
      </w:r>
      <w:r w:rsidRPr="0029748B">
        <w:rPr>
          <w:i/>
          <w:iCs/>
          <w:sz w:val="26"/>
          <w:szCs w:val="26"/>
        </w:rPr>
        <w:t>failed to take any measure to improve the conditions</w:t>
      </w:r>
      <w:r w:rsidRPr="0029748B">
        <w:rPr>
          <w:sz w:val="26"/>
          <w:szCs w:val="26"/>
        </w:rPr>
        <w:t xml:space="preserve">. </w:t>
      </w:r>
      <w:r w:rsidRPr="0029748B">
        <w:rPr>
          <w:i/>
          <w:iCs/>
          <w:sz w:val="26"/>
          <w:szCs w:val="26"/>
        </w:rPr>
        <w:t>While there has been some replacement of mains in the system, it clearly has not improved the unaccounted-for water levels which exceed 80% in some years</w:t>
      </w:r>
      <w:r w:rsidRPr="0029748B">
        <w:rPr>
          <w:sz w:val="26"/>
          <w:szCs w:val="26"/>
        </w:rPr>
        <w:t xml:space="preserve">.  </w:t>
      </w:r>
      <w:r w:rsidRPr="0029748B">
        <w:rPr>
          <w:i/>
          <w:iCs/>
          <w:sz w:val="26"/>
          <w:szCs w:val="26"/>
        </w:rPr>
        <w:t>The Company should not be rewarded for its inaction in this case</w:t>
      </w:r>
      <w:r w:rsidRPr="0029748B">
        <w:rPr>
          <w:sz w:val="26"/>
          <w:szCs w:val="26"/>
        </w:rPr>
        <w:t xml:space="preserve">. The customers of Twin Lakes are in danger of having no water if the only well in the system fails. Further, the lead levels in the system have triggered DEP action and the parties have addressed this through Stipulation. The Company has failed to provide adequate and reasonable service in the matter in accordance with Section 1501 of the Public Utility Code. </w:t>
      </w:r>
      <w:r w:rsidRPr="0029748B">
        <w:rPr>
          <w:i/>
          <w:iCs/>
          <w:sz w:val="26"/>
          <w:szCs w:val="26"/>
        </w:rPr>
        <w:t>As such, as has been noted above, Twin Lakes is not entitled to its full requested rate increase</w:t>
      </w:r>
      <w:r w:rsidRPr="0029748B">
        <w:rPr>
          <w:sz w:val="26"/>
          <w:szCs w:val="26"/>
        </w:rPr>
        <w:t xml:space="preserve">.  </w:t>
      </w:r>
    </w:p>
    <w:p w14:paraId="3A29CF8E" w14:textId="77777777" w:rsidR="00E1423F" w:rsidRPr="0029748B" w:rsidRDefault="00E1423F" w:rsidP="0029748B">
      <w:pPr>
        <w:widowControl/>
        <w:spacing w:line="360" w:lineRule="auto"/>
        <w:rPr>
          <w:sz w:val="26"/>
          <w:szCs w:val="26"/>
        </w:rPr>
      </w:pPr>
    </w:p>
    <w:p w14:paraId="710C4091" w14:textId="77777777" w:rsidR="00E1423F" w:rsidRPr="0029748B" w:rsidRDefault="00E1423F" w:rsidP="0029748B">
      <w:pPr>
        <w:widowControl/>
        <w:spacing w:line="360" w:lineRule="auto"/>
        <w:rPr>
          <w:sz w:val="26"/>
          <w:szCs w:val="26"/>
        </w:rPr>
      </w:pPr>
      <w:r w:rsidRPr="0029748B">
        <w:rPr>
          <w:sz w:val="26"/>
          <w:szCs w:val="26"/>
        </w:rPr>
        <w:t>R.D. at 82-83 (emphasis added).</w:t>
      </w:r>
    </w:p>
    <w:p w14:paraId="7E15ED8A" w14:textId="77777777" w:rsidR="00E1423F" w:rsidRPr="0029748B" w:rsidRDefault="00E1423F" w:rsidP="0029748B">
      <w:pPr>
        <w:widowControl/>
        <w:spacing w:line="360" w:lineRule="auto"/>
        <w:rPr>
          <w:sz w:val="26"/>
          <w:szCs w:val="26"/>
        </w:rPr>
      </w:pPr>
    </w:p>
    <w:p w14:paraId="2A46B282" w14:textId="77777777" w:rsidR="00E1423F" w:rsidRPr="0029748B" w:rsidRDefault="00E1423F" w:rsidP="0029748B">
      <w:pPr>
        <w:widowControl/>
        <w:spacing w:line="360" w:lineRule="auto"/>
        <w:ind w:firstLine="1440"/>
        <w:rPr>
          <w:sz w:val="26"/>
          <w:szCs w:val="26"/>
        </w:rPr>
      </w:pPr>
      <w:r w:rsidRPr="0029748B">
        <w:rPr>
          <w:rFonts w:eastAsia="Calibri"/>
          <w:sz w:val="26"/>
          <w:szCs w:val="26"/>
        </w:rPr>
        <w:lastRenderedPageBreak/>
        <w:t>The ALJ’s Recommended Decision did not address the OCA’s recommendation that a Section 529 proceeding be initiated to permit the investigation into finding a capable public utility to acquire Twin Lakes.  OCA M.B. at 44-45 (citing 66 Pa. C.S. § 529).</w:t>
      </w:r>
    </w:p>
    <w:p w14:paraId="753AE3F0" w14:textId="77777777" w:rsidR="00F71496" w:rsidRPr="0029748B" w:rsidRDefault="00F71496" w:rsidP="0029748B">
      <w:pPr>
        <w:pStyle w:val="ListParagraph"/>
        <w:widowControl/>
        <w:spacing w:line="360" w:lineRule="auto"/>
        <w:ind w:left="1440"/>
        <w:textAlignment w:val="baseline"/>
        <w:rPr>
          <w:color w:val="000000"/>
          <w:sz w:val="26"/>
          <w:szCs w:val="26"/>
        </w:rPr>
      </w:pPr>
    </w:p>
    <w:p w14:paraId="6F476FA9" w14:textId="77777777" w:rsidR="00D951C4" w:rsidRPr="0029748B" w:rsidRDefault="00D951C4" w:rsidP="00555997">
      <w:pPr>
        <w:pStyle w:val="ListParagraph"/>
        <w:keepNext/>
        <w:widowControl/>
        <w:numPr>
          <w:ilvl w:val="1"/>
          <w:numId w:val="4"/>
        </w:numPr>
        <w:spacing w:line="360" w:lineRule="auto"/>
        <w:ind w:left="1440"/>
        <w:textAlignment w:val="baseline"/>
        <w:rPr>
          <w:b/>
          <w:bCs/>
          <w:color w:val="000000"/>
          <w:sz w:val="26"/>
          <w:szCs w:val="26"/>
        </w:rPr>
      </w:pPr>
      <w:r w:rsidRPr="0029748B">
        <w:rPr>
          <w:b/>
          <w:bCs/>
          <w:color w:val="000000"/>
          <w:sz w:val="26"/>
          <w:szCs w:val="26"/>
        </w:rPr>
        <w:t>Exceptions and Replies</w:t>
      </w:r>
    </w:p>
    <w:p w14:paraId="2293A1CE" w14:textId="77777777" w:rsidR="007A2949" w:rsidRPr="0029748B" w:rsidRDefault="007A2949" w:rsidP="0029748B">
      <w:pPr>
        <w:keepNext/>
        <w:widowControl/>
        <w:spacing w:line="360" w:lineRule="auto"/>
        <w:textAlignment w:val="baseline"/>
        <w:rPr>
          <w:color w:val="000000"/>
          <w:sz w:val="26"/>
          <w:szCs w:val="26"/>
        </w:rPr>
      </w:pPr>
    </w:p>
    <w:p w14:paraId="14B3159C" w14:textId="77777777" w:rsidR="003F021F" w:rsidRPr="0029748B" w:rsidRDefault="00243675" w:rsidP="00555997">
      <w:pPr>
        <w:keepNext/>
        <w:widowControl/>
        <w:numPr>
          <w:ilvl w:val="0"/>
          <w:numId w:val="7"/>
        </w:numPr>
        <w:spacing w:line="360" w:lineRule="auto"/>
        <w:ind w:left="2160" w:hanging="720"/>
        <w:contextualSpacing/>
        <w:rPr>
          <w:b/>
          <w:bCs/>
          <w:sz w:val="26"/>
          <w:szCs w:val="26"/>
        </w:rPr>
      </w:pPr>
      <w:r w:rsidRPr="0029748B">
        <w:rPr>
          <w:b/>
          <w:bCs/>
          <w:sz w:val="26"/>
          <w:szCs w:val="26"/>
        </w:rPr>
        <w:t xml:space="preserve"> </w:t>
      </w:r>
      <w:r w:rsidR="003F021F" w:rsidRPr="0029748B">
        <w:rPr>
          <w:b/>
          <w:bCs/>
          <w:sz w:val="26"/>
          <w:szCs w:val="26"/>
        </w:rPr>
        <w:t>Twin Lakes Exception No. 1</w:t>
      </w:r>
      <w:r w:rsidR="00F225DB" w:rsidRPr="0029748B">
        <w:rPr>
          <w:b/>
          <w:bCs/>
          <w:sz w:val="26"/>
          <w:szCs w:val="26"/>
        </w:rPr>
        <w:t xml:space="preserve"> and Replies</w:t>
      </w:r>
    </w:p>
    <w:p w14:paraId="3550B6DF" w14:textId="77777777" w:rsidR="003F021F" w:rsidRPr="0029748B" w:rsidRDefault="003F021F" w:rsidP="0029748B">
      <w:pPr>
        <w:keepNext/>
        <w:widowControl/>
        <w:spacing w:line="360" w:lineRule="auto"/>
        <w:rPr>
          <w:sz w:val="26"/>
          <w:szCs w:val="26"/>
        </w:rPr>
      </w:pPr>
    </w:p>
    <w:p w14:paraId="74846180" w14:textId="77777777" w:rsidR="003F021F" w:rsidRPr="0029748B" w:rsidRDefault="003F021F" w:rsidP="0029748B">
      <w:pPr>
        <w:keepNext/>
        <w:widowControl/>
        <w:spacing w:line="360" w:lineRule="auto"/>
        <w:ind w:firstLine="1440"/>
        <w:rPr>
          <w:sz w:val="26"/>
          <w:szCs w:val="26"/>
        </w:rPr>
      </w:pPr>
      <w:r w:rsidRPr="0029748B">
        <w:rPr>
          <w:sz w:val="26"/>
          <w:szCs w:val="26"/>
        </w:rPr>
        <w:t>In Twin Lakes’ Exception No. 1, the Company disputes the ALJ’s statement that the Company “failed to take any measure to improve the conditions.  While there has been some replacement of mains in the system, it clearly has not improved the unaccounted-for water levels which exceed 80% in some years.  The Company should not be rewarded for its inaction in this case.”  TL</w:t>
      </w:r>
      <w:r w:rsidR="00CD646A" w:rsidRPr="0029748B">
        <w:rPr>
          <w:sz w:val="26"/>
          <w:szCs w:val="26"/>
        </w:rPr>
        <w:t>U</w:t>
      </w:r>
      <w:r w:rsidRPr="0029748B">
        <w:rPr>
          <w:sz w:val="26"/>
          <w:szCs w:val="26"/>
        </w:rPr>
        <w:t xml:space="preserve"> Exc. at 1 (citing</w:t>
      </w:r>
      <w:r w:rsidR="00CD646A" w:rsidRPr="0029748B">
        <w:rPr>
          <w:sz w:val="26"/>
          <w:szCs w:val="26"/>
        </w:rPr>
        <w:t>,</w:t>
      </w:r>
      <w:r w:rsidRPr="0029748B">
        <w:rPr>
          <w:sz w:val="26"/>
          <w:szCs w:val="26"/>
        </w:rPr>
        <w:t xml:space="preserve"> R.D. at 82).</w:t>
      </w:r>
    </w:p>
    <w:p w14:paraId="159D5933" w14:textId="77777777" w:rsidR="00CD646A" w:rsidRPr="0029748B" w:rsidRDefault="00CD646A" w:rsidP="0029748B">
      <w:pPr>
        <w:keepNext/>
        <w:widowControl/>
        <w:spacing w:line="360" w:lineRule="auto"/>
        <w:ind w:firstLine="1440"/>
        <w:rPr>
          <w:sz w:val="26"/>
          <w:szCs w:val="26"/>
        </w:rPr>
      </w:pPr>
    </w:p>
    <w:p w14:paraId="5073AA01" w14:textId="77777777" w:rsidR="003F021F" w:rsidRPr="0029748B" w:rsidRDefault="003F021F" w:rsidP="0029748B">
      <w:pPr>
        <w:widowControl/>
        <w:spacing w:line="360" w:lineRule="auto"/>
        <w:ind w:firstLine="1440"/>
        <w:rPr>
          <w:sz w:val="26"/>
          <w:szCs w:val="26"/>
        </w:rPr>
      </w:pPr>
      <w:r w:rsidRPr="0029748B">
        <w:rPr>
          <w:sz w:val="26"/>
          <w:szCs w:val="26"/>
        </w:rPr>
        <w:t>Twin Lakes asserts that the ALJ’s statement is false.  Twin Lakes asserts it has replaced 2,790 feet of main since its last rate proceeding in 2015 and argues that “[</w:t>
      </w:r>
      <w:proofErr w:type="spellStart"/>
      <w:r w:rsidRPr="0029748B">
        <w:rPr>
          <w:sz w:val="26"/>
          <w:szCs w:val="26"/>
        </w:rPr>
        <w:t>i</w:t>
      </w:r>
      <w:proofErr w:type="spellEnd"/>
      <w:r w:rsidRPr="0029748B">
        <w:rPr>
          <w:sz w:val="26"/>
          <w:szCs w:val="26"/>
        </w:rPr>
        <w:t>]t defies logic, basic common sense and practical reality of experience with this system to infer” that if only Twin Lakes has replaced an additional 1,290 feet of main – a condition for Twin Lakes attaining full rate recovery from its 2015 rate case – then all of the system’s operational problems, including UFW would have been resolved.  TL</w:t>
      </w:r>
      <w:r w:rsidR="00CD646A" w:rsidRPr="0029748B">
        <w:rPr>
          <w:sz w:val="26"/>
          <w:szCs w:val="26"/>
        </w:rPr>
        <w:t>U</w:t>
      </w:r>
      <w:r w:rsidRPr="0029748B">
        <w:rPr>
          <w:sz w:val="26"/>
          <w:szCs w:val="26"/>
        </w:rPr>
        <w:t xml:space="preserve"> Exc. at</w:t>
      </w:r>
      <w:r w:rsidR="00EA0A47" w:rsidRPr="0029748B">
        <w:rPr>
          <w:sz w:val="26"/>
          <w:szCs w:val="26"/>
        </w:rPr>
        <w:t> </w:t>
      </w:r>
      <w:r w:rsidRPr="0029748B">
        <w:rPr>
          <w:sz w:val="26"/>
          <w:szCs w:val="26"/>
        </w:rPr>
        <w:t>1</w:t>
      </w:r>
      <w:r w:rsidR="00EA0A47" w:rsidRPr="0029748B">
        <w:rPr>
          <w:sz w:val="26"/>
          <w:szCs w:val="26"/>
        </w:rPr>
        <w:noBreakHyphen/>
      </w:r>
      <w:r w:rsidRPr="0029748B">
        <w:rPr>
          <w:sz w:val="26"/>
          <w:szCs w:val="26"/>
        </w:rPr>
        <w:t>2.</w:t>
      </w:r>
    </w:p>
    <w:p w14:paraId="004DD636" w14:textId="77777777" w:rsidR="000E7F25" w:rsidRPr="0029748B" w:rsidRDefault="000E7F25" w:rsidP="0029748B">
      <w:pPr>
        <w:widowControl/>
        <w:spacing w:line="360" w:lineRule="auto"/>
        <w:ind w:firstLine="1440"/>
        <w:rPr>
          <w:sz w:val="26"/>
          <w:szCs w:val="26"/>
        </w:rPr>
      </w:pPr>
    </w:p>
    <w:p w14:paraId="451F9408" w14:textId="77777777" w:rsidR="003F021F" w:rsidRPr="0029748B" w:rsidRDefault="003F021F" w:rsidP="0029748B">
      <w:pPr>
        <w:widowControl/>
        <w:spacing w:line="360" w:lineRule="auto"/>
        <w:ind w:firstLine="1440"/>
        <w:rPr>
          <w:sz w:val="26"/>
          <w:szCs w:val="26"/>
        </w:rPr>
      </w:pPr>
      <w:r w:rsidRPr="0029748B">
        <w:rPr>
          <w:sz w:val="26"/>
          <w:szCs w:val="26"/>
        </w:rPr>
        <w:t xml:space="preserve">Twin Lakes argues that given the extensive nature of Twin Lakes’ main replacement over the years, the level of UFW in its system since the time of acquisition by Middlesex to present day – by itself – constitutes clear and irrefutable evidence that no amount of main replacement, short of complete system replacement, will resolve Twin </w:t>
      </w:r>
      <w:r w:rsidRPr="0029748B">
        <w:rPr>
          <w:sz w:val="26"/>
          <w:szCs w:val="26"/>
        </w:rPr>
        <w:lastRenderedPageBreak/>
        <w:t>Lakes’ operational problems with respect to UFW.  Twin Lakes provides no record citations in support of this argument.  TL</w:t>
      </w:r>
      <w:r w:rsidR="00CD646A" w:rsidRPr="0029748B">
        <w:rPr>
          <w:sz w:val="26"/>
          <w:szCs w:val="26"/>
        </w:rPr>
        <w:t>U</w:t>
      </w:r>
      <w:r w:rsidRPr="0029748B">
        <w:rPr>
          <w:sz w:val="26"/>
          <w:szCs w:val="26"/>
        </w:rPr>
        <w:t xml:space="preserve"> Exc. at 2. </w:t>
      </w:r>
    </w:p>
    <w:p w14:paraId="677EDC82" w14:textId="77777777" w:rsidR="003F021F" w:rsidRPr="0029748B" w:rsidRDefault="003F021F" w:rsidP="0029748B">
      <w:pPr>
        <w:widowControl/>
        <w:spacing w:line="360" w:lineRule="auto"/>
        <w:ind w:firstLine="1440"/>
        <w:rPr>
          <w:sz w:val="26"/>
          <w:szCs w:val="26"/>
        </w:rPr>
      </w:pPr>
    </w:p>
    <w:p w14:paraId="08DE5B25" w14:textId="6F601E1C" w:rsidR="003F021F" w:rsidRDefault="003F021F" w:rsidP="0029748B">
      <w:pPr>
        <w:widowControl/>
        <w:spacing w:line="360" w:lineRule="auto"/>
        <w:ind w:firstLine="1440"/>
        <w:rPr>
          <w:sz w:val="26"/>
          <w:szCs w:val="26"/>
        </w:rPr>
      </w:pPr>
      <w:r w:rsidRPr="0029748B">
        <w:rPr>
          <w:sz w:val="26"/>
          <w:szCs w:val="26"/>
        </w:rPr>
        <w:t xml:space="preserve">Twin Lakes asserts that it is grounded in the testimony presented by its witness, Mr. Robert </w:t>
      </w:r>
      <w:proofErr w:type="spellStart"/>
      <w:r w:rsidRPr="0029748B">
        <w:rPr>
          <w:sz w:val="26"/>
          <w:szCs w:val="26"/>
        </w:rPr>
        <w:t>Fullag</w:t>
      </w:r>
      <w:r w:rsidR="00323609" w:rsidRPr="0029748B">
        <w:rPr>
          <w:sz w:val="26"/>
          <w:szCs w:val="26"/>
        </w:rPr>
        <w:t>e</w:t>
      </w:r>
      <w:r w:rsidRPr="0029748B">
        <w:rPr>
          <w:sz w:val="26"/>
          <w:szCs w:val="26"/>
        </w:rPr>
        <w:t>r</w:t>
      </w:r>
      <w:proofErr w:type="spellEnd"/>
      <w:r w:rsidRPr="0029748B">
        <w:rPr>
          <w:sz w:val="26"/>
          <w:szCs w:val="26"/>
        </w:rPr>
        <w:t xml:space="preserve">, that the Company has provided adequate and reasonable service in accordance with Section 1501 “notwithstanding the extremely poor condition of the original distribution system” that Middlesex acquired.  Twin Lakes argues that this extremely poor condition of the original system is the root cause of the </w:t>
      </w:r>
      <w:r w:rsidR="009D5B57" w:rsidRPr="0029748B">
        <w:rPr>
          <w:sz w:val="26"/>
          <w:szCs w:val="26"/>
        </w:rPr>
        <w:t>UFW</w:t>
      </w:r>
      <w:r w:rsidRPr="0029748B">
        <w:rPr>
          <w:sz w:val="26"/>
          <w:szCs w:val="26"/>
        </w:rPr>
        <w:t>, the excessive pumping/treating and associated costs, the loss of Well No. 1</w:t>
      </w:r>
      <w:r w:rsidR="00C559B5" w:rsidRPr="0029748B">
        <w:rPr>
          <w:sz w:val="26"/>
          <w:szCs w:val="26"/>
        </w:rPr>
        <w:t>,</w:t>
      </w:r>
      <w:r w:rsidRPr="0029748B">
        <w:rPr>
          <w:sz w:val="26"/>
          <w:szCs w:val="26"/>
        </w:rPr>
        <w:t xml:space="preserve"> and the threat to the continued viability of Well No. 2 due to over-pumping.  TL</w:t>
      </w:r>
      <w:r w:rsidR="00CD646A" w:rsidRPr="0029748B">
        <w:rPr>
          <w:sz w:val="26"/>
          <w:szCs w:val="26"/>
        </w:rPr>
        <w:t>U</w:t>
      </w:r>
      <w:r w:rsidRPr="0029748B">
        <w:rPr>
          <w:sz w:val="26"/>
          <w:szCs w:val="26"/>
        </w:rPr>
        <w:t xml:space="preserve"> Exc. at 2. </w:t>
      </w:r>
      <w:r w:rsidR="009D5B57" w:rsidRPr="0029748B">
        <w:rPr>
          <w:sz w:val="26"/>
          <w:szCs w:val="26"/>
        </w:rPr>
        <w:t xml:space="preserve"> </w:t>
      </w:r>
      <w:r w:rsidRPr="0029748B">
        <w:rPr>
          <w:sz w:val="26"/>
          <w:szCs w:val="26"/>
        </w:rPr>
        <w:t>Twin Lakes asserts that the ALJ’s statement regarding the Company’s “inaction” to improve the system has no basis in fact or on the record.  Twin Lakes argues that the ALJ’s conclusion is clear error and should not serve as a basis for denial of Twin Lakes’ full requested revenue recovery.  TL</w:t>
      </w:r>
      <w:r w:rsidR="00CD646A" w:rsidRPr="0029748B">
        <w:rPr>
          <w:sz w:val="26"/>
          <w:szCs w:val="26"/>
        </w:rPr>
        <w:t>U</w:t>
      </w:r>
      <w:r w:rsidRPr="0029748B">
        <w:rPr>
          <w:sz w:val="26"/>
          <w:szCs w:val="26"/>
        </w:rPr>
        <w:t xml:space="preserve"> Exc. at 2. </w:t>
      </w:r>
    </w:p>
    <w:p w14:paraId="556FFC5A" w14:textId="77777777" w:rsidR="00A20800" w:rsidRPr="0029748B" w:rsidRDefault="00A20800" w:rsidP="0029748B">
      <w:pPr>
        <w:widowControl/>
        <w:spacing w:line="360" w:lineRule="auto"/>
        <w:ind w:firstLine="1440"/>
        <w:rPr>
          <w:sz w:val="26"/>
          <w:szCs w:val="26"/>
        </w:rPr>
      </w:pPr>
    </w:p>
    <w:p w14:paraId="555B4DD7" w14:textId="77777777" w:rsidR="003F021F" w:rsidRPr="0029748B" w:rsidRDefault="003F021F" w:rsidP="0029748B">
      <w:pPr>
        <w:widowControl/>
        <w:spacing w:line="360" w:lineRule="auto"/>
        <w:ind w:firstLine="1440"/>
        <w:rPr>
          <w:sz w:val="26"/>
          <w:szCs w:val="26"/>
        </w:rPr>
      </w:pPr>
      <w:r w:rsidRPr="0029748B">
        <w:rPr>
          <w:sz w:val="26"/>
          <w:szCs w:val="26"/>
        </w:rPr>
        <w:t>I&amp;E and the OCA filed Replies to Twin Lakes’ Exception No. 1.  As discussed further below, the Parties request that the Commission reject Twin Lakes Exception No. 1 and accept the ALJ’s recommendation that Twin Lakes has failed to provide adequate and reliable service and, thus, mitigate the rate increase accordingly.  I&amp;E R. Exc. at 1-5; OCA R. Exc. at 2-4.</w:t>
      </w:r>
    </w:p>
    <w:p w14:paraId="2AC6222D" w14:textId="77777777" w:rsidR="003F021F" w:rsidRPr="0029748B" w:rsidRDefault="003F021F" w:rsidP="0029748B">
      <w:pPr>
        <w:widowControl/>
        <w:spacing w:line="360" w:lineRule="auto"/>
        <w:ind w:firstLine="1440"/>
        <w:rPr>
          <w:sz w:val="26"/>
          <w:szCs w:val="26"/>
        </w:rPr>
      </w:pPr>
    </w:p>
    <w:p w14:paraId="0E19CF80" w14:textId="77777777" w:rsidR="003F021F" w:rsidRPr="0029748B" w:rsidRDefault="003F021F" w:rsidP="0029748B">
      <w:pPr>
        <w:widowControl/>
        <w:spacing w:line="360" w:lineRule="auto"/>
        <w:ind w:firstLine="1440"/>
        <w:rPr>
          <w:rFonts w:eastAsia="Calibri"/>
          <w:color w:val="000000"/>
          <w:sz w:val="26"/>
          <w:szCs w:val="26"/>
        </w:rPr>
      </w:pPr>
      <w:r w:rsidRPr="0029748B">
        <w:rPr>
          <w:rFonts w:eastAsia="Calibri"/>
          <w:sz w:val="26"/>
          <w:szCs w:val="26"/>
        </w:rPr>
        <w:t>In I&amp;E’s Replies, I&amp;E submits that the evidence in this proceeding demonstrates that Twin Lakes is failing to provide its customers with safe and reliable service as required by the Code.  Specifically, I&amp;E submits that the Company reported for the years ended December 31, 2015 through December 31, 2018, UFW percentages averaged 80.5%, an undoubtedly excessive level.  I&amp;E R. Exc. at 1 (citing</w:t>
      </w:r>
      <w:r w:rsidR="00CD646A" w:rsidRPr="0029748B">
        <w:rPr>
          <w:rFonts w:eastAsia="Calibri"/>
          <w:sz w:val="26"/>
          <w:szCs w:val="26"/>
        </w:rPr>
        <w:t xml:space="preserve">, </w:t>
      </w:r>
      <w:r w:rsidRPr="0029748B">
        <w:rPr>
          <w:rFonts w:eastAsia="Calibri"/>
          <w:sz w:val="26"/>
          <w:szCs w:val="26"/>
        </w:rPr>
        <w:t>I&amp;E St. No. 3 at 4).</w:t>
      </w:r>
      <w:r w:rsidR="00323609" w:rsidRPr="0029748B">
        <w:rPr>
          <w:rFonts w:eastAsia="Calibri"/>
          <w:sz w:val="26"/>
          <w:szCs w:val="26"/>
        </w:rPr>
        <w:t xml:space="preserve">  </w:t>
      </w:r>
      <w:r w:rsidRPr="0029748B">
        <w:rPr>
          <w:rFonts w:eastAsia="Calibri"/>
          <w:sz w:val="26"/>
          <w:szCs w:val="26"/>
        </w:rPr>
        <w:t xml:space="preserve">I&amp;E submits that excessive UFW levels are troublesome as it increases expenses </w:t>
      </w:r>
      <w:r w:rsidRPr="0029748B">
        <w:rPr>
          <w:rFonts w:eastAsia="Calibri"/>
          <w:color w:val="000000"/>
          <w:sz w:val="26"/>
          <w:szCs w:val="26"/>
        </w:rPr>
        <w:t xml:space="preserve">incurred by a utility for pumping, treating, and sending out water into its distribution system, thus necessitating higher rates overall.  I&amp;E R. Exc. at 1-2 </w:t>
      </w:r>
      <w:r w:rsidRPr="0029748B">
        <w:rPr>
          <w:rFonts w:eastAsia="Calibri"/>
          <w:sz w:val="26"/>
          <w:szCs w:val="26"/>
        </w:rPr>
        <w:t>(citing</w:t>
      </w:r>
      <w:r w:rsidR="00CD646A" w:rsidRPr="0029748B">
        <w:rPr>
          <w:rFonts w:eastAsia="Calibri"/>
          <w:sz w:val="26"/>
          <w:szCs w:val="26"/>
        </w:rPr>
        <w:t>,</w:t>
      </w:r>
      <w:r w:rsidRPr="0029748B">
        <w:rPr>
          <w:rFonts w:eastAsia="Calibri"/>
          <w:sz w:val="26"/>
          <w:szCs w:val="26"/>
        </w:rPr>
        <w:t xml:space="preserve"> I&amp;E St. No. 3 </w:t>
      </w:r>
      <w:r w:rsidRPr="0029748B">
        <w:rPr>
          <w:rFonts w:eastAsia="Calibri"/>
          <w:sz w:val="26"/>
          <w:szCs w:val="26"/>
        </w:rPr>
        <w:lastRenderedPageBreak/>
        <w:t>at 4).  I&amp;E further submits that e</w:t>
      </w:r>
      <w:r w:rsidRPr="0029748B">
        <w:rPr>
          <w:rFonts w:eastAsia="Calibri"/>
          <w:color w:val="000000"/>
          <w:sz w:val="26"/>
          <w:szCs w:val="26"/>
        </w:rPr>
        <w:t xml:space="preserve">xcessive UFW levels also decrease the amount of water available to customers, especially during peak demand periods, and diminishes overall quality of service.  I&amp;E R. Exc. at 2.  As excessive UFW levels are often related to leaks, they pose problems for customers such as service interruptions and contamination in the water lines.  I&amp;E R. Exc. at 2.  </w:t>
      </w:r>
    </w:p>
    <w:p w14:paraId="0F3A08FE" w14:textId="77777777" w:rsidR="003F021F" w:rsidRPr="0029748B" w:rsidRDefault="003F021F" w:rsidP="0029748B">
      <w:pPr>
        <w:widowControl/>
        <w:spacing w:line="360" w:lineRule="auto"/>
        <w:ind w:firstLine="1440"/>
        <w:rPr>
          <w:rFonts w:eastAsia="Calibri"/>
          <w:color w:val="000000"/>
          <w:sz w:val="26"/>
          <w:szCs w:val="26"/>
        </w:rPr>
      </w:pPr>
    </w:p>
    <w:p w14:paraId="4077A12F" w14:textId="77777777" w:rsidR="003F021F" w:rsidRPr="0029748B" w:rsidRDefault="003F021F" w:rsidP="0029748B">
      <w:pPr>
        <w:widowControl/>
        <w:spacing w:line="360" w:lineRule="auto"/>
        <w:ind w:firstLine="1440"/>
        <w:rPr>
          <w:sz w:val="26"/>
          <w:szCs w:val="26"/>
        </w:rPr>
      </w:pPr>
      <w:r w:rsidRPr="0029748B">
        <w:rPr>
          <w:rFonts w:eastAsia="Calibri"/>
          <w:sz w:val="26"/>
          <w:szCs w:val="26"/>
        </w:rPr>
        <w:t>According to I&amp;E, Twin Lakes has repeatedly agreed to reduce unaccounted-for water and has, thus far, been unsuccessful.  In the 2011 base rate proceeding, as part of the Joint Petition for Settlement, the Company agreed that it would reduce its then current 55% unaccounted</w:t>
      </w:r>
      <w:r w:rsidR="00CA1331" w:rsidRPr="0029748B">
        <w:rPr>
          <w:rFonts w:eastAsia="Calibri"/>
          <w:sz w:val="26"/>
          <w:szCs w:val="26"/>
        </w:rPr>
        <w:t>-</w:t>
      </w:r>
      <w:r w:rsidRPr="0029748B">
        <w:rPr>
          <w:rFonts w:eastAsia="Calibri"/>
          <w:sz w:val="26"/>
          <w:szCs w:val="26"/>
        </w:rPr>
        <w:t>for</w:t>
      </w:r>
      <w:r w:rsidR="00CA1331" w:rsidRPr="0029748B">
        <w:rPr>
          <w:rFonts w:eastAsia="Calibri"/>
          <w:sz w:val="26"/>
          <w:szCs w:val="26"/>
        </w:rPr>
        <w:t>-</w:t>
      </w:r>
      <w:r w:rsidRPr="0029748B">
        <w:rPr>
          <w:rFonts w:eastAsia="Calibri"/>
          <w:sz w:val="26"/>
          <w:szCs w:val="26"/>
        </w:rPr>
        <w:t xml:space="preserve">water level by 10% by September 3, 2013.  It further agreed that over the subsequent four-year period, it would continue to reduce UFW levels by 10% each year.  </w:t>
      </w:r>
      <w:r w:rsidRPr="0029748B">
        <w:rPr>
          <w:sz w:val="26"/>
          <w:szCs w:val="26"/>
        </w:rPr>
        <w:t xml:space="preserve">I&amp;E R. Exc. at 2 (citing </w:t>
      </w:r>
      <w:r w:rsidRPr="0029748B">
        <w:rPr>
          <w:i/>
          <w:sz w:val="26"/>
          <w:szCs w:val="26"/>
        </w:rPr>
        <w:t>Pennsylvania Public Utility Commission v. Twin Lakes Utilities, Inc.</w:t>
      </w:r>
      <w:r w:rsidRPr="00555997">
        <w:rPr>
          <w:iCs/>
          <w:sz w:val="26"/>
          <w:szCs w:val="26"/>
        </w:rPr>
        <w:t xml:space="preserve">, </w:t>
      </w:r>
      <w:r w:rsidRPr="0029748B">
        <w:rPr>
          <w:sz w:val="26"/>
          <w:szCs w:val="26"/>
        </w:rPr>
        <w:t xml:space="preserve">Docket No. R-2011-2246415, </w:t>
      </w:r>
      <w:r w:rsidR="00CA1331" w:rsidRPr="0029748B">
        <w:rPr>
          <w:sz w:val="26"/>
          <w:szCs w:val="26"/>
        </w:rPr>
        <w:t>at</w:t>
      </w:r>
      <w:r w:rsidRPr="0029748B">
        <w:rPr>
          <w:sz w:val="26"/>
          <w:szCs w:val="26"/>
        </w:rPr>
        <w:t xml:space="preserve"> 10, 20-21 (Recommended Decision dated January 18, 2012)).  </w:t>
      </w:r>
      <w:r w:rsidRPr="0029748B">
        <w:rPr>
          <w:rFonts w:eastAsia="Calibri"/>
          <w:sz w:val="26"/>
          <w:szCs w:val="26"/>
        </w:rPr>
        <w:t>Yet, instead of decreasing, the unaccounted-for</w:t>
      </w:r>
      <w:r w:rsidR="00A261C8" w:rsidRPr="0029748B">
        <w:rPr>
          <w:rFonts w:eastAsia="Calibri"/>
          <w:sz w:val="26"/>
          <w:szCs w:val="26"/>
        </w:rPr>
        <w:t>-</w:t>
      </w:r>
      <w:r w:rsidRPr="0029748B">
        <w:rPr>
          <w:rFonts w:eastAsia="Calibri"/>
          <w:sz w:val="26"/>
          <w:szCs w:val="26"/>
        </w:rPr>
        <w:t>water levels continued to rise</w:t>
      </w:r>
      <w:r w:rsidRPr="0029748B">
        <w:rPr>
          <w:rFonts w:eastAsia="Calibri"/>
          <w:color w:val="000000"/>
          <w:sz w:val="26"/>
          <w:szCs w:val="26"/>
        </w:rPr>
        <w:t xml:space="preserve"> significantly over the subsequent years, ranging from </w:t>
      </w:r>
      <w:bookmarkStart w:id="39" w:name="_Hlk28585569"/>
      <w:r w:rsidRPr="0029748B">
        <w:rPr>
          <w:rFonts w:eastAsia="Calibri"/>
          <w:color w:val="000000"/>
          <w:sz w:val="26"/>
          <w:szCs w:val="26"/>
        </w:rPr>
        <w:t>78.7% to 82.9% in 2015-2018</w:t>
      </w:r>
      <w:bookmarkEnd w:id="39"/>
      <w:r w:rsidRPr="0029748B">
        <w:rPr>
          <w:rFonts w:eastAsia="Calibri"/>
          <w:sz w:val="26"/>
          <w:szCs w:val="26"/>
        </w:rPr>
        <w:t>.  I&amp;E R. Exc. at 2 (citing</w:t>
      </w:r>
      <w:r w:rsidR="00452FF9" w:rsidRPr="0029748B">
        <w:rPr>
          <w:rFonts w:eastAsia="Calibri"/>
          <w:sz w:val="26"/>
          <w:szCs w:val="26"/>
        </w:rPr>
        <w:t>,</w:t>
      </w:r>
      <w:r w:rsidRPr="0029748B">
        <w:rPr>
          <w:rFonts w:eastAsia="Calibri"/>
          <w:sz w:val="26"/>
          <w:szCs w:val="26"/>
        </w:rPr>
        <w:t xml:space="preserve"> </w:t>
      </w:r>
      <w:r w:rsidRPr="0029748B">
        <w:rPr>
          <w:sz w:val="26"/>
          <w:szCs w:val="26"/>
        </w:rPr>
        <w:t>I&amp;E St. No. 3 at</w:t>
      </w:r>
      <w:r w:rsidR="00555997">
        <w:rPr>
          <w:sz w:val="26"/>
          <w:szCs w:val="26"/>
        </w:rPr>
        <w:t> </w:t>
      </w:r>
      <w:r w:rsidRPr="0029748B">
        <w:rPr>
          <w:sz w:val="26"/>
          <w:szCs w:val="26"/>
        </w:rPr>
        <w:t>5</w:t>
      </w:r>
      <w:r w:rsidR="00555997">
        <w:rPr>
          <w:sz w:val="26"/>
          <w:szCs w:val="26"/>
        </w:rPr>
        <w:noBreakHyphen/>
      </w:r>
      <w:r w:rsidRPr="0029748B">
        <w:rPr>
          <w:sz w:val="26"/>
          <w:szCs w:val="26"/>
        </w:rPr>
        <w:t xml:space="preserve">6).  </w:t>
      </w:r>
    </w:p>
    <w:p w14:paraId="486F68A8" w14:textId="77777777" w:rsidR="003F021F" w:rsidRPr="0029748B" w:rsidRDefault="003F021F" w:rsidP="0029748B">
      <w:pPr>
        <w:widowControl/>
        <w:spacing w:line="360" w:lineRule="auto"/>
        <w:ind w:firstLine="1440"/>
        <w:rPr>
          <w:sz w:val="26"/>
          <w:szCs w:val="26"/>
        </w:rPr>
      </w:pPr>
    </w:p>
    <w:p w14:paraId="750ED40A" w14:textId="77777777" w:rsidR="003F021F" w:rsidRPr="0029748B" w:rsidRDefault="00CD646A" w:rsidP="0029748B">
      <w:pPr>
        <w:widowControl/>
        <w:spacing w:line="360" w:lineRule="auto"/>
        <w:ind w:firstLine="1440"/>
        <w:rPr>
          <w:sz w:val="26"/>
          <w:szCs w:val="26"/>
        </w:rPr>
      </w:pPr>
      <w:r w:rsidRPr="0029748B">
        <w:rPr>
          <w:rFonts w:eastAsia="Calibri"/>
          <w:sz w:val="26"/>
          <w:szCs w:val="26"/>
        </w:rPr>
        <w:t>I&amp;E also asserts that</w:t>
      </w:r>
      <w:r w:rsidR="003F021F" w:rsidRPr="0029748B">
        <w:rPr>
          <w:rFonts w:eastAsia="Calibri"/>
          <w:sz w:val="26"/>
          <w:szCs w:val="26"/>
        </w:rPr>
        <w:t>, as part of the Joint Settlement of the 2015 base rate proceeding, the Company agreed to certain measures that would help remedy its excessive unaccounted-for</w:t>
      </w:r>
      <w:r w:rsidR="00794C66" w:rsidRPr="0029748B">
        <w:rPr>
          <w:rFonts w:eastAsia="Calibri"/>
          <w:sz w:val="26"/>
          <w:szCs w:val="26"/>
        </w:rPr>
        <w:t>-</w:t>
      </w:r>
      <w:r w:rsidR="003F021F" w:rsidRPr="0029748B">
        <w:rPr>
          <w:rFonts w:eastAsia="Calibri"/>
          <w:sz w:val="26"/>
          <w:szCs w:val="26"/>
        </w:rPr>
        <w:t xml:space="preserve">water levels.  As part of that Settlement, the Company agreed to a 3-year phase-in of rates.  The triggering event for the year 3 rate increase was the replacement of certain older service lines.  I&amp;E R. Exc. at 2 (citing </w:t>
      </w:r>
      <w:r w:rsidR="003F021F" w:rsidRPr="0029748B">
        <w:rPr>
          <w:i/>
          <w:sz w:val="26"/>
          <w:szCs w:val="26"/>
        </w:rPr>
        <w:t>Pennsylvania Public Utility Commission v. Twin Lakes Utilities, Inc.</w:t>
      </w:r>
      <w:r w:rsidR="003F021F" w:rsidRPr="000F7436">
        <w:rPr>
          <w:iCs/>
          <w:sz w:val="26"/>
          <w:szCs w:val="26"/>
        </w:rPr>
        <w:t>,</w:t>
      </w:r>
      <w:r w:rsidR="003F021F" w:rsidRPr="0029748B">
        <w:rPr>
          <w:i/>
          <w:sz w:val="26"/>
          <w:szCs w:val="26"/>
        </w:rPr>
        <w:t xml:space="preserve"> </w:t>
      </w:r>
      <w:r w:rsidR="003F021F" w:rsidRPr="0029748B">
        <w:rPr>
          <w:sz w:val="26"/>
          <w:szCs w:val="26"/>
        </w:rPr>
        <w:t xml:space="preserve">Docket No. R-2015-2506337, </w:t>
      </w:r>
      <w:r w:rsidR="00C1593B" w:rsidRPr="0029748B">
        <w:rPr>
          <w:sz w:val="26"/>
          <w:szCs w:val="26"/>
        </w:rPr>
        <w:t>at</w:t>
      </w:r>
      <w:r w:rsidR="003F021F" w:rsidRPr="0029748B">
        <w:rPr>
          <w:sz w:val="26"/>
          <w:szCs w:val="26"/>
        </w:rPr>
        <w:t xml:space="preserve"> 9-11, 20-22 (Recommended Decision dated April 21, 2016))</w:t>
      </w:r>
      <w:r w:rsidR="00EA0A47" w:rsidRPr="0029748B">
        <w:rPr>
          <w:sz w:val="26"/>
          <w:szCs w:val="26"/>
        </w:rPr>
        <w:t xml:space="preserve">. </w:t>
      </w:r>
      <w:r w:rsidR="003F021F" w:rsidRPr="0029748B">
        <w:rPr>
          <w:sz w:val="26"/>
          <w:szCs w:val="26"/>
        </w:rPr>
        <w:t xml:space="preserve"> </w:t>
      </w:r>
    </w:p>
    <w:p w14:paraId="54E969C2" w14:textId="77777777" w:rsidR="003F021F" w:rsidRPr="0029748B" w:rsidRDefault="003F021F" w:rsidP="0029748B">
      <w:pPr>
        <w:widowControl/>
        <w:spacing w:line="360" w:lineRule="auto"/>
        <w:ind w:firstLine="1440"/>
        <w:rPr>
          <w:sz w:val="26"/>
          <w:szCs w:val="26"/>
        </w:rPr>
      </w:pPr>
    </w:p>
    <w:p w14:paraId="198B277F" w14:textId="77777777" w:rsidR="003F021F" w:rsidRPr="0029748B" w:rsidRDefault="003F021F" w:rsidP="0029748B">
      <w:pPr>
        <w:widowControl/>
        <w:spacing w:line="360" w:lineRule="auto"/>
        <w:ind w:firstLine="1440"/>
        <w:rPr>
          <w:rFonts w:eastAsia="Calibri"/>
          <w:sz w:val="26"/>
          <w:szCs w:val="26"/>
        </w:rPr>
      </w:pPr>
      <w:r w:rsidRPr="0029748B">
        <w:rPr>
          <w:sz w:val="26"/>
          <w:szCs w:val="26"/>
        </w:rPr>
        <w:t>I&amp;E notes that o</w:t>
      </w:r>
      <w:r w:rsidRPr="0029748B">
        <w:rPr>
          <w:rFonts w:eastAsia="Calibri"/>
          <w:sz w:val="26"/>
          <w:szCs w:val="26"/>
        </w:rPr>
        <w:t xml:space="preserve">f the 4,000 feet of mains the Company agreed to replace in the 2015 proceeding, the Company has only replaced 2,790 feet which has clearly not had a material impact on the UFW levels.  I&amp;E R. Exc. at 2-3 (citing </w:t>
      </w:r>
      <w:r w:rsidRPr="0029748B">
        <w:rPr>
          <w:sz w:val="26"/>
          <w:szCs w:val="26"/>
        </w:rPr>
        <w:t xml:space="preserve">I&amp;E St. No. 3 at 7).  </w:t>
      </w:r>
      <w:r w:rsidRPr="0029748B">
        <w:rPr>
          <w:rFonts w:eastAsia="Calibri"/>
          <w:sz w:val="26"/>
          <w:szCs w:val="26"/>
        </w:rPr>
        <w:t xml:space="preserve">The </w:t>
      </w:r>
      <w:r w:rsidRPr="0029748B">
        <w:rPr>
          <w:rFonts w:eastAsia="Calibri"/>
          <w:sz w:val="26"/>
          <w:szCs w:val="26"/>
        </w:rPr>
        <w:lastRenderedPageBreak/>
        <w:t>amount of UFW water is clearly in excess of what the Commission considers reasonable.  According to I&amp;E, considering the UFW levels along with the lead levels that have triggered DEP action, the ALJ properly concluded that Twin Lakes has failed to provide adequate and reasonable service.  I&amp;E R. Exc. at 3 (citing</w:t>
      </w:r>
      <w:r w:rsidR="00452FF9" w:rsidRPr="0029748B">
        <w:rPr>
          <w:rFonts w:eastAsia="Calibri"/>
          <w:sz w:val="26"/>
          <w:szCs w:val="26"/>
        </w:rPr>
        <w:t>,</w:t>
      </w:r>
      <w:r w:rsidRPr="0029748B">
        <w:rPr>
          <w:rFonts w:eastAsia="Calibri"/>
          <w:sz w:val="26"/>
          <w:szCs w:val="26"/>
        </w:rPr>
        <w:t xml:space="preserve"> R.D. at 83).</w:t>
      </w:r>
    </w:p>
    <w:p w14:paraId="0A76FBD2" w14:textId="77777777" w:rsidR="003F021F" w:rsidRPr="0029748B" w:rsidRDefault="003F021F" w:rsidP="0029748B">
      <w:pPr>
        <w:widowControl/>
        <w:spacing w:line="360" w:lineRule="auto"/>
        <w:ind w:firstLine="1440"/>
        <w:rPr>
          <w:rFonts w:eastAsia="Calibri"/>
          <w:sz w:val="26"/>
          <w:szCs w:val="26"/>
        </w:rPr>
      </w:pPr>
    </w:p>
    <w:p w14:paraId="11A7621C" w14:textId="77777777" w:rsidR="003F021F" w:rsidRPr="0029748B" w:rsidRDefault="003F021F" w:rsidP="0029748B">
      <w:pPr>
        <w:widowControl/>
        <w:spacing w:line="360" w:lineRule="auto"/>
        <w:ind w:firstLine="1440"/>
        <w:rPr>
          <w:rFonts w:eastAsia="Calibri"/>
          <w:sz w:val="26"/>
          <w:szCs w:val="26"/>
        </w:rPr>
      </w:pPr>
      <w:r w:rsidRPr="0029748B">
        <w:rPr>
          <w:rFonts w:eastAsia="Calibri"/>
          <w:sz w:val="26"/>
          <w:szCs w:val="26"/>
        </w:rPr>
        <w:t xml:space="preserve">I&amp;E echoes the concerns expressed by the OCA regarding Twin Lakes’ failure to take the necessary actions to implement the Phase 2 and Phase 3 rate increases provided for in the 2015 </w:t>
      </w:r>
      <w:r w:rsidR="00C85ABE" w:rsidRPr="0029748B">
        <w:rPr>
          <w:rFonts w:eastAsia="Calibri"/>
          <w:sz w:val="26"/>
          <w:szCs w:val="26"/>
        </w:rPr>
        <w:t xml:space="preserve">Settlement of its </w:t>
      </w:r>
      <w:r w:rsidRPr="0029748B">
        <w:rPr>
          <w:rFonts w:eastAsia="Calibri"/>
          <w:sz w:val="26"/>
          <w:szCs w:val="26"/>
        </w:rPr>
        <w:t>rate case</w:t>
      </w:r>
      <w:r w:rsidR="00C85ABE" w:rsidRPr="0029748B">
        <w:rPr>
          <w:rFonts w:eastAsia="Calibri"/>
          <w:sz w:val="26"/>
          <w:szCs w:val="26"/>
        </w:rPr>
        <w:t>.</w:t>
      </w:r>
      <w:r w:rsidRPr="0029748B">
        <w:rPr>
          <w:rFonts w:eastAsia="Calibri"/>
          <w:sz w:val="26"/>
          <w:szCs w:val="26"/>
        </w:rPr>
        <w:t xml:space="preserve">  According to I&amp;E, Twin Lakes has a demonstrable history of failing to implement measures that would reduce UFW on its system.  I&amp;E R. Exc. at 3-4.  In its Exceptions, Twin Lakes states that “…Twin Lakes perceived ‘inaction’ has no basis in fact or in the record.”  I&amp;E R. Exc. at 4 (citing</w:t>
      </w:r>
      <w:r w:rsidR="00452FF9" w:rsidRPr="0029748B">
        <w:rPr>
          <w:rFonts w:eastAsia="Calibri"/>
          <w:sz w:val="26"/>
          <w:szCs w:val="26"/>
        </w:rPr>
        <w:t>,</w:t>
      </w:r>
      <w:r w:rsidRPr="0029748B">
        <w:rPr>
          <w:rFonts w:eastAsia="Calibri"/>
          <w:sz w:val="26"/>
          <w:szCs w:val="26"/>
        </w:rPr>
        <w:t xml:space="preserve"> TL</w:t>
      </w:r>
      <w:r w:rsidR="00452FF9" w:rsidRPr="0029748B">
        <w:rPr>
          <w:rFonts w:eastAsia="Calibri"/>
          <w:sz w:val="26"/>
          <w:szCs w:val="26"/>
        </w:rPr>
        <w:t>U</w:t>
      </w:r>
      <w:r w:rsidRPr="0029748B">
        <w:rPr>
          <w:rFonts w:eastAsia="Calibri"/>
          <w:sz w:val="26"/>
          <w:szCs w:val="26"/>
        </w:rPr>
        <w:t xml:space="preserve"> Exc. at 2).  </w:t>
      </w:r>
    </w:p>
    <w:p w14:paraId="5D6B9633" w14:textId="77777777" w:rsidR="00EA0A47" w:rsidRPr="0029748B" w:rsidRDefault="00EA0A47" w:rsidP="0029748B">
      <w:pPr>
        <w:widowControl/>
        <w:spacing w:line="360" w:lineRule="auto"/>
        <w:ind w:firstLine="1440"/>
        <w:rPr>
          <w:rFonts w:eastAsia="Calibri"/>
          <w:sz w:val="26"/>
          <w:szCs w:val="26"/>
        </w:rPr>
      </w:pPr>
    </w:p>
    <w:p w14:paraId="036E0E0E" w14:textId="77777777" w:rsidR="003F021F" w:rsidRPr="0029748B" w:rsidRDefault="003F021F" w:rsidP="0029748B">
      <w:pPr>
        <w:widowControl/>
        <w:spacing w:line="360" w:lineRule="auto"/>
        <w:ind w:firstLine="1440"/>
        <w:rPr>
          <w:rFonts w:eastAsia="Calibri"/>
          <w:sz w:val="26"/>
          <w:szCs w:val="26"/>
        </w:rPr>
      </w:pPr>
      <w:r w:rsidRPr="0029748B">
        <w:rPr>
          <w:rFonts w:eastAsia="Calibri"/>
          <w:sz w:val="26"/>
          <w:szCs w:val="26"/>
        </w:rPr>
        <w:t xml:space="preserve">According to I&amp;E, Twin Lakes’ assertion is wholly inaccurate as the evidentiary record shows that there is concrete evidence that Twin Lakes was unable to implement either Phase 2 </w:t>
      </w:r>
      <w:r w:rsidR="00BF555D" w:rsidRPr="0029748B">
        <w:rPr>
          <w:rFonts w:eastAsia="Calibri"/>
          <w:sz w:val="26"/>
          <w:szCs w:val="26"/>
        </w:rPr>
        <w:t>or</w:t>
      </w:r>
      <w:r w:rsidRPr="0029748B">
        <w:rPr>
          <w:rFonts w:eastAsia="Calibri"/>
          <w:sz w:val="26"/>
          <w:szCs w:val="26"/>
        </w:rPr>
        <w:t xml:space="preserve"> Phase 3 of its prior rate request because this utility has failed to act to remediate the high levels of UFW.</w:t>
      </w:r>
      <w:r w:rsidR="00CF0537" w:rsidRPr="0029748B">
        <w:rPr>
          <w:rFonts w:eastAsia="Calibri"/>
          <w:sz w:val="26"/>
          <w:szCs w:val="26"/>
        </w:rPr>
        <w:t xml:space="preserve"> </w:t>
      </w:r>
      <w:r w:rsidRPr="0029748B">
        <w:rPr>
          <w:rFonts w:eastAsia="Calibri"/>
          <w:sz w:val="26"/>
          <w:szCs w:val="26"/>
        </w:rPr>
        <w:t xml:space="preserve"> I&amp;E R. Exc. at 4.  According to I&amp;E, in 2015, Twin Lakes affirmatively agreed to an amount of money it apparently believed was sufficient to replace Well No. 1 and certain mains, however, even when that increase was approved by this Commission, the utility still failed to replace the well or the mains.  I&amp;E Exc. at 4.  I&amp;E states that it remains unpersuaded that even if the full increase was granted in this proceeding Twin Lakes would successfully reduce UFW.  I&amp;E R. Exc. at</w:t>
      </w:r>
      <w:r w:rsidR="001512B4">
        <w:rPr>
          <w:rFonts w:eastAsia="Calibri"/>
          <w:sz w:val="26"/>
          <w:szCs w:val="26"/>
        </w:rPr>
        <w:t> </w:t>
      </w:r>
      <w:r w:rsidRPr="0029748B">
        <w:rPr>
          <w:rFonts w:eastAsia="Calibri"/>
          <w:sz w:val="26"/>
          <w:szCs w:val="26"/>
        </w:rPr>
        <w:t>4.  According to I&amp;E, r</w:t>
      </w:r>
      <w:r w:rsidRPr="0029748B">
        <w:rPr>
          <w:sz w:val="26"/>
          <w:szCs w:val="26"/>
        </w:rPr>
        <w:t>equiring ratepayers to pay higher rates when history has shown a reluctance on Twin Lakes part to make the necessary upgrades to its system is contrary to the public interest.  Twin Lakes’ failure to provide safe and reliable service necessitates that this Commission grant less than its full requested increase.</w:t>
      </w:r>
      <w:r w:rsidR="000F05FB" w:rsidRPr="0029748B">
        <w:rPr>
          <w:sz w:val="26"/>
          <w:szCs w:val="26"/>
        </w:rPr>
        <w:t xml:space="preserve">  </w:t>
      </w:r>
      <w:r w:rsidR="000F05FB" w:rsidRPr="0029748B">
        <w:rPr>
          <w:i/>
          <w:iCs/>
          <w:sz w:val="26"/>
          <w:szCs w:val="26"/>
        </w:rPr>
        <w:t>Id.</w:t>
      </w:r>
      <w:r w:rsidR="00AA4957" w:rsidRPr="0029748B" w:rsidDel="00AA4957">
        <w:rPr>
          <w:sz w:val="26"/>
          <w:szCs w:val="26"/>
        </w:rPr>
        <w:t xml:space="preserve"> </w:t>
      </w:r>
    </w:p>
    <w:p w14:paraId="301DD54D" w14:textId="77777777" w:rsidR="003F021F" w:rsidRPr="0029748B" w:rsidRDefault="003F021F" w:rsidP="001512B4">
      <w:pPr>
        <w:widowControl/>
        <w:spacing w:line="360" w:lineRule="auto"/>
        <w:ind w:firstLine="1440"/>
        <w:rPr>
          <w:sz w:val="26"/>
          <w:szCs w:val="26"/>
        </w:rPr>
      </w:pPr>
    </w:p>
    <w:p w14:paraId="038CB6E1" w14:textId="77777777" w:rsidR="003F021F" w:rsidRPr="0029748B" w:rsidRDefault="003F021F" w:rsidP="0029748B">
      <w:pPr>
        <w:widowControl/>
        <w:spacing w:line="360" w:lineRule="auto"/>
        <w:ind w:firstLine="1440"/>
        <w:rPr>
          <w:sz w:val="26"/>
          <w:szCs w:val="26"/>
        </w:rPr>
      </w:pPr>
      <w:r w:rsidRPr="0029748B">
        <w:rPr>
          <w:sz w:val="26"/>
          <w:szCs w:val="26"/>
        </w:rPr>
        <w:t>In the OCA’s Replies to Exceptions, t</w:t>
      </w:r>
      <w:r w:rsidRPr="0029748B">
        <w:rPr>
          <w:rFonts w:eastAsia="Calibri"/>
          <w:sz w:val="26"/>
          <w:szCs w:val="26"/>
        </w:rPr>
        <w:t xml:space="preserve">he OCA submits that the ALJ’s recommendation, taken in context, is intended to convey that the action Twin Lakes has </w:t>
      </w:r>
      <w:r w:rsidRPr="0029748B">
        <w:rPr>
          <w:rFonts w:eastAsia="Calibri"/>
          <w:sz w:val="26"/>
          <w:szCs w:val="26"/>
        </w:rPr>
        <w:lastRenderedPageBreak/>
        <w:t xml:space="preserve">taken has failed to improve the system’s operational deficiencies.  OCA R. Exc. at 2 (citing to R.D. at 82-83).  While the </w:t>
      </w:r>
      <w:r w:rsidRPr="0029748B">
        <w:rPr>
          <w:sz w:val="26"/>
          <w:szCs w:val="26"/>
        </w:rPr>
        <w:t xml:space="preserve">OCA states that it does not disagree with Twin Lakes’ statement that it faces significant operational problems and the need for extensive main replacement, such circumstances do not excuse the fact that Twin Lakes did not comply with the 2015 Settlement that sought to make progress on these operational problems.  It is also important to note that Twin Lakes admitted that by not replacing the amount of main required by the 2015 Settlement, it did not meet the conditions for subsequent phases of the agreed upon rate increase.  OCA R. Exc. at 3.  </w:t>
      </w:r>
    </w:p>
    <w:p w14:paraId="4850894A" w14:textId="77777777" w:rsidR="003F021F" w:rsidRPr="0029748B" w:rsidRDefault="003F021F" w:rsidP="0029748B">
      <w:pPr>
        <w:widowControl/>
        <w:spacing w:line="360" w:lineRule="auto"/>
        <w:ind w:firstLine="1440"/>
        <w:rPr>
          <w:sz w:val="26"/>
          <w:szCs w:val="26"/>
        </w:rPr>
      </w:pPr>
    </w:p>
    <w:p w14:paraId="54AFB486" w14:textId="77777777" w:rsidR="003F021F" w:rsidRPr="0029748B" w:rsidRDefault="003F021F" w:rsidP="0029748B">
      <w:pPr>
        <w:widowControl/>
        <w:spacing w:line="360" w:lineRule="auto"/>
        <w:ind w:firstLine="1440"/>
        <w:rPr>
          <w:sz w:val="26"/>
          <w:szCs w:val="26"/>
        </w:rPr>
      </w:pPr>
      <w:r w:rsidRPr="0029748B">
        <w:rPr>
          <w:sz w:val="26"/>
          <w:szCs w:val="26"/>
        </w:rPr>
        <w:t xml:space="preserve">The OCA notes that the ALJ’s conclusion that Twin Lakes is not providing adequate service is based on more than Twin Lakes not replacing 4,000 feet of distribution lines since the 2015 Settlement.  While Twin Lakes has replaced 2,790 feet of main, this amount of main replacement does not comply with the terms of the 2015 </w:t>
      </w:r>
      <w:r w:rsidR="000B54BC" w:rsidRPr="0029748B">
        <w:rPr>
          <w:sz w:val="26"/>
          <w:szCs w:val="26"/>
        </w:rPr>
        <w:t>S</w:t>
      </w:r>
      <w:r w:rsidRPr="0029748B">
        <w:rPr>
          <w:sz w:val="26"/>
          <w:szCs w:val="26"/>
        </w:rPr>
        <w:t>ettlement to which Twin Lakes agreed.</w:t>
      </w:r>
      <w:r w:rsidR="00323609" w:rsidRPr="0029748B">
        <w:rPr>
          <w:sz w:val="26"/>
          <w:szCs w:val="26"/>
        </w:rPr>
        <w:t xml:space="preserve">  </w:t>
      </w:r>
      <w:r w:rsidRPr="0029748B">
        <w:rPr>
          <w:sz w:val="26"/>
          <w:szCs w:val="26"/>
        </w:rPr>
        <w:t>OCA R. Exc. at 3.  The ALJ noted that there is evidence in the record which establishes the Company has failed to take advantage of rate increase related to the 2015 Settlement – specifically, (1) Twin Lakes did not replace Well No.</w:t>
      </w:r>
      <w:r w:rsidR="00F761EA" w:rsidRPr="0029748B">
        <w:rPr>
          <w:sz w:val="26"/>
          <w:szCs w:val="26"/>
        </w:rPr>
        <w:t xml:space="preserve"> </w:t>
      </w:r>
      <w:r w:rsidRPr="0029748B">
        <w:rPr>
          <w:sz w:val="26"/>
          <w:szCs w:val="26"/>
        </w:rPr>
        <w:t>1 and Phase 2 of the 2015 Settlement rates did not go into effect, and (2) Twin Lakes did not replace the specific mains required to trigger Phase 3 of the 2015 Settlement rates.  According to the OCA, such evidence supports the ALJ’s finding that Twin Lakes’ service is not safe, adequate, and reliable as required by S</w:t>
      </w:r>
      <w:bookmarkStart w:id="40" w:name="_BA_Cite_AB45E3_000037"/>
      <w:bookmarkEnd w:id="40"/>
      <w:r w:rsidRPr="0029748B">
        <w:rPr>
          <w:sz w:val="26"/>
          <w:szCs w:val="26"/>
        </w:rPr>
        <w:t>ection 1501 of the Code.  6</w:t>
      </w:r>
      <w:bookmarkStart w:id="41" w:name="_BA_Cite_AB45E3_000013"/>
      <w:bookmarkEnd w:id="41"/>
      <w:r w:rsidRPr="0029748B">
        <w:rPr>
          <w:sz w:val="26"/>
          <w:szCs w:val="26"/>
        </w:rPr>
        <w:t>6 Pa. C.S. § 1501.  OCA R. Exc. at 3.</w:t>
      </w:r>
    </w:p>
    <w:p w14:paraId="73AD4DF2" w14:textId="77777777" w:rsidR="003F021F" w:rsidRPr="0029748B" w:rsidRDefault="003F021F" w:rsidP="0029748B">
      <w:pPr>
        <w:widowControl/>
        <w:spacing w:line="360" w:lineRule="auto"/>
        <w:ind w:firstLine="1440"/>
        <w:rPr>
          <w:sz w:val="26"/>
          <w:szCs w:val="26"/>
        </w:rPr>
      </w:pPr>
    </w:p>
    <w:p w14:paraId="5A9431E0" w14:textId="77777777" w:rsidR="003F021F" w:rsidRPr="0029748B" w:rsidRDefault="003F021F" w:rsidP="0029748B">
      <w:pPr>
        <w:widowControl/>
        <w:spacing w:line="360" w:lineRule="auto"/>
        <w:ind w:firstLine="1440"/>
        <w:rPr>
          <w:rFonts w:eastAsia="Calibri"/>
          <w:sz w:val="26"/>
          <w:szCs w:val="26"/>
        </w:rPr>
      </w:pPr>
      <w:r w:rsidRPr="0029748B">
        <w:rPr>
          <w:sz w:val="26"/>
          <w:szCs w:val="26"/>
        </w:rPr>
        <w:t>The OCA submits that while it appears that Twin Lakes disagrees with some of the phrasing in the Recommended Decision, the facts regarding the amount of distribution system replaced, its failure to meet the conditions in the 2015 Settlement, and the ALJ’s conclusion that UFW has not been improved, are not in dispute.  OCA R. Exc. at 3-4.</w:t>
      </w:r>
      <w:r w:rsidR="00323609" w:rsidRPr="0029748B">
        <w:rPr>
          <w:sz w:val="26"/>
          <w:szCs w:val="26"/>
        </w:rPr>
        <w:t xml:space="preserve">  </w:t>
      </w:r>
      <w:r w:rsidRPr="0029748B">
        <w:rPr>
          <w:rFonts w:eastAsia="Calibri"/>
          <w:sz w:val="26"/>
          <w:szCs w:val="26"/>
        </w:rPr>
        <w:t xml:space="preserve">The OCA further submits that Twin Lakes’ conclusion that it is providing adequate service is undercut by the remainder of its statement that the distribution system is in extremely poor condition, that there is excessive UFW, excessive pumping/treating </w:t>
      </w:r>
      <w:r w:rsidRPr="0029748B">
        <w:rPr>
          <w:rFonts w:eastAsia="Calibri"/>
          <w:sz w:val="26"/>
          <w:szCs w:val="26"/>
        </w:rPr>
        <w:lastRenderedPageBreak/>
        <w:t>and associated costs, the loss of Well No. 1, and the threat to the viability of Well No. 2 due to over-pumping.  OCA R. Exc. at 4.  The record in this proceeding contains evidence to support all of these problems.  OCA R. Exc. at 4 (citing OCA M.B. at 14, 34, 39-41; OCA R.B. at 17, 18-19; R.D. at 81-83).  The OCA argues that the ALJ correctly found, based on the evidence in this proceeding, that Twin Lakes does not provide adequate service under S</w:t>
      </w:r>
      <w:bookmarkStart w:id="42" w:name="_BA_Cite_AB45E3_000041"/>
      <w:bookmarkEnd w:id="42"/>
      <w:r w:rsidRPr="0029748B">
        <w:rPr>
          <w:rFonts w:eastAsia="Calibri"/>
          <w:sz w:val="26"/>
          <w:szCs w:val="26"/>
        </w:rPr>
        <w:t>ection 1501 of the Code.  OCA R. Exc. at 4 (citing R.D. at</w:t>
      </w:r>
      <w:r w:rsidR="0067108F">
        <w:rPr>
          <w:rFonts w:eastAsia="Calibri"/>
          <w:sz w:val="26"/>
          <w:szCs w:val="26"/>
        </w:rPr>
        <w:t> </w:t>
      </w:r>
      <w:r w:rsidRPr="0029748B">
        <w:rPr>
          <w:rFonts w:eastAsia="Calibri"/>
          <w:sz w:val="26"/>
          <w:szCs w:val="26"/>
        </w:rPr>
        <w:t>82</w:t>
      </w:r>
      <w:r w:rsidR="0067108F">
        <w:rPr>
          <w:rFonts w:eastAsia="Calibri"/>
          <w:sz w:val="26"/>
          <w:szCs w:val="26"/>
        </w:rPr>
        <w:noBreakHyphen/>
      </w:r>
      <w:r w:rsidRPr="0029748B">
        <w:rPr>
          <w:rFonts w:eastAsia="Calibri"/>
          <w:sz w:val="26"/>
          <w:szCs w:val="26"/>
        </w:rPr>
        <w:t xml:space="preserve">83).  </w:t>
      </w:r>
    </w:p>
    <w:p w14:paraId="024A4D0C" w14:textId="77777777" w:rsidR="003F021F" w:rsidRPr="0029748B" w:rsidRDefault="003F021F" w:rsidP="0029748B">
      <w:pPr>
        <w:widowControl/>
        <w:rPr>
          <w:sz w:val="26"/>
          <w:szCs w:val="26"/>
        </w:rPr>
      </w:pPr>
    </w:p>
    <w:p w14:paraId="777A83B2" w14:textId="77777777" w:rsidR="003F021F" w:rsidRPr="0029748B" w:rsidRDefault="003F021F" w:rsidP="004E5F98">
      <w:pPr>
        <w:keepNext/>
        <w:keepLines/>
        <w:widowControl/>
        <w:spacing w:before="40"/>
        <w:ind w:left="2160" w:hanging="720"/>
        <w:outlineLvl w:val="4"/>
        <w:rPr>
          <w:b/>
          <w:sz w:val="26"/>
          <w:szCs w:val="26"/>
        </w:rPr>
      </w:pPr>
      <w:r w:rsidRPr="0029748B">
        <w:rPr>
          <w:b/>
          <w:sz w:val="26"/>
          <w:szCs w:val="26"/>
        </w:rPr>
        <w:t>b.</w:t>
      </w:r>
      <w:r w:rsidRPr="0029748B">
        <w:rPr>
          <w:b/>
          <w:sz w:val="26"/>
          <w:szCs w:val="26"/>
        </w:rPr>
        <w:tab/>
        <w:t>Twin Lakes Exception No. 3</w:t>
      </w:r>
      <w:r w:rsidR="00F225DB" w:rsidRPr="0029748B">
        <w:rPr>
          <w:b/>
          <w:sz w:val="26"/>
          <w:szCs w:val="26"/>
        </w:rPr>
        <w:t xml:space="preserve"> and Replies</w:t>
      </w:r>
    </w:p>
    <w:p w14:paraId="321B48AA" w14:textId="77777777" w:rsidR="003F021F" w:rsidRPr="0029748B" w:rsidRDefault="003F021F" w:rsidP="0029748B">
      <w:pPr>
        <w:widowControl/>
        <w:rPr>
          <w:sz w:val="26"/>
          <w:szCs w:val="26"/>
        </w:rPr>
      </w:pPr>
    </w:p>
    <w:p w14:paraId="5BBF7C0C" w14:textId="77777777" w:rsidR="003F021F" w:rsidRPr="0029748B" w:rsidRDefault="003F021F" w:rsidP="0029748B">
      <w:pPr>
        <w:widowControl/>
        <w:rPr>
          <w:sz w:val="26"/>
          <w:szCs w:val="26"/>
        </w:rPr>
      </w:pPr>
    </w:p>
    <w:p w14:paraId="5C06AD7A" w14:textId="77777777" w:rsidR="003F021F" w:rsidRPr="0029748B" w:rsidRDefault="003F021F" w:rsidP="0029748B">
      <w:pPr>
        <w:widowControl/>
        <w:spacing w:line="360" w:lineRule="auto"/>
        <w:ind w:firstLine="1440"/>
        <w:rPr>
          <w:sz w:val="26"/>
          <w:szCs w:val="26"/>
        </w:rPr>
      </w:pPr>
      <w:r w:rsidRPr="0029748B">
        <w:rPr>
          <w:sz w:val="26"/>
          <w:szCs w:val="26"/>
        </w:rPr>
        <w:t>In its Exception No. 3, Twin Lakes refers to its first Exception and asserts it has provided adequate and reasonable service in accordance with Section 1501 of the Code “given the extremely poor condition of the system.”  The Company also asserts that it has “continually attempted to upgrade its system” and if it had not lived up to its regulatory bargain, its customers would not have a generally consistent water supply at the present time.  TL</w:t>
      </w:r>
      <w:r w:rsidR="00452FF9" w:rsidRPr="0029748B">
        <w:rPr>
          <w:sz w:val="26"/>
          <w:szCs w:val="26"/>
        </w:rPr>
        <w:t>U</w:t>
      </w:r>
      <w:r w:rsidRPr="0029748B">
        <w:rPr>
          <w:sz w:val="26"/>
          <w:szCs w:val="26"/>
        </w:rPr>
        <w:t xml:space="preserve"> Exc. at 5.  </w:t>
      </w:r>
    </w:p>
    <w:p w14:paraId="073A085A" w14:textId="77777777" w:rsidR="003F021F" w:rsidRPr="0029748B" w:rsidRDefault="003F021F" w:rsidP="0029748B">
      <w:pPr>
        <w:widowControl/>
        <w:spacing w:line="360" w:lineRule="auto"/>
        <w:ind w:firstLine="1440"/>
        <w:rPr>
          <w:sz w:val="26"/>
          <w:szCs w:val="26"/>
        </w:rPr>
      </w:pPr>
    </w:p>
    <w:p w14:paraId="585F0ECE" w14:textId="77777777" w:rsidR="003F021F" w:rsidRPr="0029748B" w:rsidRDefault="003F021F" w:rsidP="0029748B">
      <w:pPr>
        <w:widowControl/>
        <w:spacing w:line="360" w:lineRule="auto"/>
        <w:ind w:firstLine="1440"/>
        <w:rPr>
          <w:sz w:val="26"/>
          <w:szCs w:val="26"/>
        </w:rPr>
      </w:pPr>
      <w:r w:rsidRPr="0029748B">
        <w:rPr>
          <w:sz w:val="26"/>
          <w:szCs w:val="26"/>
        </w:rPr>
        <w:t>Twin Lakes cites to all of the quality of service issues facing the system present</w:t>
      </w:r>
      <w:r w:rsidR="00041579" w:rsidRPr="0029748B">
        <w:rPr>
          <w:sz w:val="26"/>
          <w:szCs w:val="26"/>
        </w:rPr>
        <w:t>ly</w:t>
      </w:r>
      <w:r w:rsidRPr="0029748B">
        <w:rPr>
          <w:sz w:val="26"/>
          <w:szCs w:val="26"/>
        </w:rPr>
        <w:t xml:space="preserve"> and submits that it “will face the certain guarantee of regulatory resistance to the opportunity to earn a just and reasonable return” on the necessary investments on the grounds of inadequate service and unaffordability.  Twin Lakes argues that the R.D. makes it certain that if Twin Lakes makes the necessary investments and seeks rate recovery, it will be met with unreasonable resistance.  TL</w:t>
      </w:r>
      <w:r w:rsidR="00452FF9" w:rsidRPr="0029748B">
        <w:rPr>
          <w:sz w:val="26"/>
          <w:szCs w:val="26"/>
        </w:rPr>
        <w:t>U</w:t>
      </w:r>
      <w:r w:rsidRPr="0029748B">
        <w:rPr>
          <w:sz w:val="26"/>
          <w:szCs w:val="26"/>
        </w:rPr>
        <w:t xml:space="preserve"> Exc. at 5.  </w:t>
      </w:r>
    </w:p>
    <w:p w14:paraId="51C7D1D2" w14:textId="77777777" w:rsidR="003F021F" w:rsidRPr="0029748B" w:rsidRDefault="003F021F" w:rsidP="0029748B">
      <w:pPr>
        <w:widowControl/>
        <w:spacing w:line="360" w:lineRule="auto"/>
        <w:ind w:firstLine="1440"/>
        <w:rPr>
          <w:sz w:val="26"/>
          <w:szCs w:val="26"/>
        </w:rPr>
      </w:pPr>
    </w:p>
    <w:p w14:paraId="79C94F16" w14:textId="77777777" w:rsidR="003F021F" w:rsidRPr="0029748B" w:rsidRDefault="003F021F" w:rsidP="0029748B">
      <w:pPr>
        <w:widowControl/>
        <w:spacing w:line="360" w:lineRule="auto"/>
        <w:ind w:firstLine="1440"/>
        <w:rPr>
          <w:sz w:val="26"/>
          <w:szCs w:val="26"/>
        </w:rPr>
      </w:pPr>
      <w:r w:rsidRPr="0029748B">
        <w:rPr>
          <w:sz w:val="26"/>
          <w:szCs w:val="26"/>
        </w:rPr>
        <w:t xml:space="preserve">Given the deteriorating conditions of the system since the time of acquisition, Twin Lakes submits that its efforts to resuscitate a seriously troubled water system “has finally reached a point of unsustainability because its customers, according to I&amp;E and [the] OCA, can no longer support a fully functional public water utility.”  Thus, Twin Lakes concurs with the OCA’s recommendation that the Parties and the </w:t>
      </w:r>
      <w:r w:rsidRPr="0029748B">
        <w:rPr>
          <w:sz w:val="26"/>
          <w:szCs w:val="26"/>
        </w:rPr>
        <w:lastRenderedPageBreak/>
        <w:t>Commission turn to finding a long-term solution that can address the quality of service issues in a manner that results in just and reasonable rates to the Twin Lake customers.  Twin Lakes joins with the OCA in their recommendation to initiate a Section 529 proceeding and strongly encourages the Commission to initiate a Section 529 proceeding as part of its final order in this proceeding.  TL</w:t>
      </w:r>
      <w:r w:rsidR="00452FF9" w:rsidRPr="0029748B">
        <w:rPr>
          <w:sz w:val="26"/>
          <w:szCs w:val="26"/>
        </w:rPr>
        <w:t>U</w:t>
      </w:r>
      <w:r w:rsidRPr="0029748B">
        <w:rPr>
          <w:sz w:val="26"/>
          <w:szCs w:val="26"/>
        </w:rPr>
        <w:t xml:space="preserve"> Exc. at 5-6.  </w:t>
      </w:r>
    </w:p>
    <w:p w14:paraId="3AEBEB1D" w14:textId="77777777" w:rsidR="003F021F" w:rsidRPr="0029748B" w:rsidRDefault="003F021F" w:rsidP="007C4BF9">
      <w:pPr>
        <w:widowControl/>
        <w:spacing w:line="360" w:lineRule="auto"/>
        <w:rPr>
          <w:sz w:val="26"/>
          <w:szCs w:val="26"/>
        </w:rPr>
      </w:pPr>
    </w:p>
    <w:p w14:paraId="07A79593" w14:textId="77777777" w:rsidR="003F021F" w:rsidRPr="0029748B" w:rsidRDefault="003F021F" w:rsidP="0029748B">
      <w:pPr>
        <w:widowControl/>
        <w:spacing w:line="360" w:lineRule="auto"/>
        <w:ind w:firstLine="1440"/>
        <w:rPr>
          <w:sz w:val="26"/>
          <w:szCs w:val="26"/>
        </w:rPr>
      </w:pPr>
      <w:r w:rsidRPr="0029748B">
        <w:rPr>
          <w:sz w:val="26"/>
          <w:szCs w:val="26"/>
        </w:rPr>
        <w:t xml:space="preserve">I&amp;E and the OCA filed Replies to Twin Lakes’ Exception No. 3, as discussed below.  </w:t>
      </w:r>
      <w:r w:rsidR="007E63AF" w:rsidRPr="0029748B">
        <w:rPr>
          <w:sz w:val="26"/>
          <w:szCs w:val="26"/>
        </w:rPr>
        <w:t>T</w:t>
      </w:r>
      <w:r w:rsidRPr="0029748B">
        <w:rPr>
          <w:sz w:val="26"/>
          <w:szCs w:val="26"/>
        </w:rPr>
        <w:t>he Parties again request that the Commission reject Twin Lakes Exception No. 3 and accept the ALJ’s recommendation that Twin Lakes has failed to provide adequate and reliable service and, thus, mitigate the rate increase accordingly.  I&amp;E R. Exc. at 7-9; OCA R. Exc. at 7-8.</w:t>
      </w:r>
    </w:p>
    <w:p w14:paraId="4321DA4E" w14:textId="77777777" w:rsidR="003F021F" w:rsidRPr="0029748B" w:rsidRDefault="003F021F" w:rsidP="0029748B">
      <w:pPr>
        <w:widowControl/>
        <w:spacing w:line="360" w:lineRule="auto"/>
        <w:ind w:firstLine="1440"/>
        <w:rPr>
          <w:sz w:val="26"/>
          <w:szCs w:val="26"/>
        </w:rPr>
      </w:pPr>
    </w:p>
    <w:p w14:paraId="04C0BB21" w14:textId="77777777" w:rsidR="003F021F" w:rsidRPr="0029748B" w:rsidRDefault="003F021F" w:rsidP="0029748B">
      <w:pPr>
        <w:widowControl/>
        <w:spacing w:line="360" w:lineRule="auto"/>
        <w:ind w:firstLine="1440"/>
        <w:rPr>
          <w:rFonts w:eastAsia="Calibri"/>
          <w:sz w:val="26"/>
          <w:szCs w:val="26"/>
        </w:rPr>
      </w:pPr>
      <w:r w:rsidRPr="0029748B">
        <w:rPr>
          <w:sz w:val="26"/>
          <w:szCs w:val="26"/>
        </w:rPr>
        <w:t xml:space="preserve">In I&amp;E’s Replies, I&amp;E submits </w:t>
      </w:r>
      <w:r w:rsidRPr="0029748B">
        <w:rPr>
          <w:rFonts w:eastAsia="Calibri"/>
          <w:sz w:val="26"/>
          <w:szCs w:val="26"/>
        </w:rPr>
        <w:t xml:space="preserve">that the system is in poor condition given that Well No. 1 failed </w:t>
      </w:r>
      <w:r w:rsidR="00B35EA7" w:rsidRPr="0029748B">
        <w:rPr>
          <w:rFonts w:eastAsia="Calibri"/>
          <w:sz w:val="26"/>
          <w:szCs w:val="26"/>
        </w:rPr>
        <w:t>and</w:t>
      </w:r>
      <w:r w:rsidR="00E70BEF" w:rsidRPr="0029748B">
        <w:rPr>
          <w:rFonts w:eastAsia="Calibri"/>
          <w:sz w:val="26"/>
          <w:szCs w:val="26"/>
        </w:rPr>
        <w:t>, that</w:t>
      </w:r>
      <w:r w:rsidRPr="0029748B">
        <w:rPr>
          <w:rFonts w:eastAsia="Calibri"/>
          <w:sz w:val="26"/>
          <w:szCs w:val="26"/>
        </w:rPr>
        <w:t xml:space="preserve"> Well No. 2 is in danger of failing and needs </w:t>
      </w:r>
      <w:r w:rsidR="00E70BEF" w:rsidRPr="0029748B">
        <w:rPr>
          <w:rFonts w:eastAsia="Calibri"/>
          <w:sz w:val="26"/>
          <w:szCs w:val="26"/>
        </w:rPr>
        <w:t xml:space="preserve">to be </w:t>
      </w:r>
      <w:r w:rsidRPr="0029748B">
        <w:rPr>
          <w:rFonts w:eastAsia="Calibri"/>
          <w:sz w:val="26"/>
          <w:szCs w:val="26"/>
        </w:rPr>
        <w:t xml:space="preserve">replaced, and </w:t>
      </w:r>
      <w:r w:rsidR="00E70BEF" w:rsidRPr="0029748B">
        <w:rPr>
          <w:rFonts w:eastAsia="Calibri"/>
          <w:sz w:val="26"/>
          <w:szCs w:val="26"/>
        </w:rPr>
        <w:t>that UFW</w:t>
      </w:r>
      <w:r w:rsidRPr="0029748B">
        <w:rPr>
          <w:rFonts w:eastAsia="Calibri"/>
          <w:sz w:val="26"/>
          <w:szCs w:val="26"/>
        </w:rPr>
        <w:t xml:space="preserve"> levels are excessively high.  However, even when given the opportunity to implement rate increases, the utility did not carry out the measures it agreed to carry out to curb the unaccounted-for water problems.  Additionally, the Company has failed to proactively remedy these concerns.  Despite being aware of its ongoing service issues, the Company waited until August 2019 to apply for a PENNVEST loan to fund system improvements.  I&amp;E questioned the Company’s </w:t>
      </w:r>
      <w:r w:rsidR="00E70BEF" w:rsidRPr="0029748B">
        <w:rPr>
          <w:rFonts w:eastAsia="Calibri"/>
          <w:sz w:val="26"/>
          <w:szCs w:val="26"/>
        </w:rPr>
        <w:t xml:space="preserve">about the </w:t>
      </w:r>
      <w:r w:rsidRPr="0029748B">
        <w:rPr>
          <w:rFonts w:eastAsia="Calibri"/>
          <w:sz w:val="26"/>
          <w:szCs w:val="26"/>
        </w:rPr>
        <w:t xml:space="preserve">delay in </w:t>
      </w:r>
      <w:r w:rsidR="00E70BEF" w:rsidRPr="0029748B">
        <w:rPr>
          <w:rFonts w:eastAsia="Calibri"/>
          <w:sz w:val="26"/>
          <w:szCs w:val="26"/>
        </w:rPr>
        <w:t xml:space="preserve">its </w:t>
      </w:r>
      <w:r w:rsidRPr="0029748B">
        <w:rPr>
          <w:rFonts w:eastAsia="Calibri"/>
          <w:sz w:val="26"/>
          <w:szCs w:val="26"/>
        </w:rPr>
        <w:t>testimony, but the Company failed to respond</w:t>
      </w:r>
      <w:r w:rsidR="00E70BEF" w:rsidRPr="0029748B">
        <w:rPr>
          <w:rFonts w:eastAsia="Calibri"/>
          <w:sz w:val="26"/>
          <w:szCs w:val="26"/>
        </w:rPr>
        <w:t>.</w:t>
      </w:r>
      <w:r w:rsidRPr="0029748B">
        <w:rPr>
          <w:rFonts w:eastAsia="Calibri"/>
          <w:sz w:val="26"/>
          <w:szCs w:val="26"/>
        </w:rPr>
        <w:t xml:space="preserve"> </w:t>
      </w:r>
      <w:r w:rsidR="00E70BEF" w:rsidRPr="0029748B">
        <w:rPr>
          <w:rFonts w:eastAsia="Calibri"/>
          <w:sz w:val="26"/>
          <w:szCs w:val="26"/>
        </w:rPr>
        <w:t>T</w:t>
      </w:r>
      <w:r w:rsidRPr="0029748B">
        <w:rPr>
          <w:rFonts w:eastAsia="Calibri"/>
          <w:sz w:val="26"/>
          <w:szCs w:val="26"/>
        </w:rPr>
        <w:t xml:space="preserve">herefore, the reasons for the delay are still unknown.  According to I&amp;E, to assert now that Twin Lakes will remedy the problems if simply given a higher level of rate relief is, at best, speculative considering past history has shown an unwillingness to correct these problems even when provided with rate relief. </w:t>
      </w:r>
      <w:r w:rsidR="00E70BEF" w:rsidRPr="0029748B">
        <w:rPr>
          <w:rFonts w:eastAsia="Calibri"/>
          <w:sz w:val="26"/>
          <w:szCs w:val="26"/>
        </w:rPr>
        <w:t xml:space="preserve"> </w:t>
      </w:r>
      <w:r w:rsidRPr="0029748B">
        <w:rPr>
          <w:rFonts w:eastAsia="Calibri"/>
          <w:sz w:val="26"/>
          <w:szCs w:val="26"/>
        </w:rPr>
        <w:t>I&amp;E R. Exc. at 7-8.</w:t>
      </w:r>
    </w:p>
    <w:p w14:paraId="70D79DD4" w14:textId="77777777" w:rsidR="003F021F" w:rsidRPr="0029748B" w:rsidRDefault="003F021F" w:rsidP="0029748B">
      <w:pPr>
        <w:widowControl/>
        <w:spacing w:line="360" w:lineRule="auto"/>
        <w:ind w:firstLine="1440"/>
        <w:rPr>
          <w:rFonts w:eastAsia="Calibri"/>
          <w:sz w:val="26"/>
          <w:szCs w:val="26"/>
        </w:rPr>
      </w:pPr>
    </w:p>
    <w:p w14:paraId="1ACEBABD" w14:textId="367C75B5" w:rsidR="003F021F" w:rsidRDefault="003F021F" w:rsidP="0029748B">
      <w:pPr>
        <w:widowControl/>
        <w:spacing w:line="360" w:lineRule="auto"/>
        <w:ind w:firstLine="1440"/>
        <w:rPr>
          <w:sz w:val="26"/>
          <w:szCs w:val="26"/>
        </w:rPr>
      </w:pPr>
      <w:r w:rsidRPr="0029748B">
        <w:rPr>
          <w:rFonts w:eastAsia="Calibri"/>
          <w:sz w:val="26"/>
          <w:szCs w:val="26"/>
        </w:rPr>
        <w:t>I&amp;E further replies that it would not oppose</w:t>
      </w:r>
      <w:r w:rsidR="002C0A74" w:rsidRPr="0029748B">
        <w:rPr>
          <w:rFonts w:eastAsia="Calibri"/>
          <w:sz w:val="26"/>
          <w:szCs w:val="26"/>
        </w:rPr>
        <w:t xml:space="preserve"> </w:t>
      </w:r>
      <w:r w:rsidRPr="0029748B">
        <w:rPr>
          <w:rFonts w:eastAsia="Calibri"/>
          <w:sz w:val="26"/>
          <w:szCs w:val="26"/>
        </w:rPr>
        <w:t xml:space="preserve">a Section 529 proceeding be initiated for Twin Lakes as I&amp;E stated in testimony it would be within the public interest to keep rates affordable for Twin Lakes’ customers and explore other possibilities such as </w:t>
      </w:r>
      <w:r w:rsidRPr="0029748B">
        <w:rPr>
          <w:rFonts w:eastAsia="Calibri"/>
          <w:sz w:val="26"/>
          <w:szCs w:val="26"/>
        </w:rPr>
        <w:lastRenderedPageBreak/>
        <w:t>a sale to another investor-owned utility or a Section 529 proceeding.</w:t>
      </w:r>
      <w:r w:rsidRPr="0029748B">
        <w:rPr>
          <w:sz w:val="26"/>
          <w:szCs w:val="26"/>
        </w:rPr>
        <w:t xml:space="preserve"> I&amp;E R. Exc. at 8-9 (citing I&amp;E St. No. 2 at 39).</w:t>
      </w:r>
    </w:p>
    <w:p w14:paraId="5FBC6097" w14:textId="77777777" w:rsidR="00A070CB" w:rsidRPr="0029748B" w:rsidRDefault="00A070CB" w:rsidP="0029748B">
      <w:pPr>
        <w:widowControl/>
        <w:spacing w:line="360" w:lineRule="auto"/>
        <w:ind w:firstLine="1440"/>
        <w:rPr>
          <w:sz w:val="26"/>
          <w:szCs w:val="26"/>
        </w:rPr>
      </w:pPr>
    </w:p>
    <w:p w14:paraId="04BB2325" w14:textId="77777777" w:rsidR="003F021F" w:rsidRPr="0029748B" w:rsidRDefault="00452FF9" w:rsidP="004E5F98">
      <w:pPr>
        <w:widowControl/>
        <w:spacing w:line="360" w:lineRule="auto"/>
        <w:ind w:firstLine="1440"/>
        <w:rPr>
          <w:sz w:val="26"/>
          <w:szCs w:val="26"/>
        </w:rPr>
      </w:pPr>
      <w:r w:rsidRPr="0029748B">
        <w:rPr>
          <w:sz w:val="26"/>
          <w:szCs w:val="26"/>
        </w:rPr>
        <w:t>In the OCA’s Replies, t</w:t>
      </w:r>
      <w:r w:rsidR="003F021F" w:rsidRPr="0029748B">
        <w:rPr>
          <w:sz w:val="26"/>
          <w:szCs w:val="26"/>
        </w:rPr>
        <w:t>he OCA submits that in</w:t>
      </w:r>
      <w:r w:rsidR="003F021F" w:rsidRPr="0029748B">
        <w:rPr>
          <w:rFonts w:eastAsia="Calibri"/>
          <w:sz w:val="26"/>
          <w:szCs w:val="26"/>
        </w:rPr>
        <w:t xml:space="preserve"> addition to UFW above 80%, Twin Lakes has no back-up water supply (and its primary well, Well No. 2, is in danger of being over-pumped), and it has exceeded the lead action level in its 2019 monitoring, which requires it to perform additional monitoring and possibly a corrosion control study that may lead to the addition of corrosion control.  OCA R. Exc. at 7 (citing OCA M.B. at 35-43; OCA R.B. at 17-22).  In addition, Twin Lakes acknowledged in its 2019 Application to Abandon </w:t>
      </w:r>
      <w:r w:rsidR="007A73D0" w:rsidRPr="0029748B">
        <w:rPr>
          <w:rFonts w:eastAsia="Calibri"/>
          <w:sz w:val="26"/>
          <w:szCs w:val="26"/>
        </w:rPr>
        <w:t xml:space="preserve">water service </w:t>
      </w:r>
      <w:r w:rsidR="003F021F" w:rsidRPr="0029748B">
        <w:rPr>
          <w:rFonts w:eastAsia="Calibri"/>
          <w:sz w:val="26"/>
          <w:szCs w:val="26"/>
        </w:rPr>
        <w:t xml:space="preserve">that it cannot make the necessary </w:t>
      </w:r>
      <w:r w:rsidR="003F021F" w:rsidRPr="0029748B">
        <w:rPr>
          <w:sz w:val="26"/>
          <w:szCs w:val="26"/>
        </w:rPr>
        <w:t xml:space="preserve">improvements at a reasonable cost to its 114 customers.  Accordingly, the OCA submits that the ALJ properly found that Twin Lakes is not providing adequate service under the requirements of the Code. </w:t>
      </w:r>
      <w:r w:rsidR="00713874" w:rsidRPr="0029748B">
        <w:rPr>
          <w:sz w:val="26"/>
          <w:szCs w:val="26"/>
        </w:rPr>
        <w:t xml:space="preserve"> </w:t>
      </w:r>
      <w:r w:rsidR="003F021F" w:rsidRPr="0029748B">
        <w:rPr>
          <w:sz w:val="26"/>
          <w:szCs w:val="26"/>
        </w:rPr>
        <w:t xml:space="preserve">OCA R. Exc. at 7-8.  As a long-term solution, the OCA reiterates its position that the initiation of a 529 proceeding would allow a capable public utility to acquire Twin Lakes and help resolve the operational deficiencies present in this case and provide Twin Lakes’ customers with reasonable and just rates in compliance with the Code and the Commission’s </w:t>
      </w:r>
      <w:r w:rsidR="005D6615" w:rsidRPr="0029748B">
        <w:rPr>
          <w:sz w:val="26"/>
          <w:szCs w:val="26"/>
        </w:rPr>
        <w:t>R</w:t>
      </w:r>
      <w:r w:rsidR="003F021F" w:rsidRPr="0029748B">
        <w:rPr>
          <w:sz w:val="26"/>
          <w:szCs w:val="26"/>
        </w:rPr>
        <w:t>egulations.</w:t>
      </w:r>
      <w:r w:rsidR="005D6615" w:rsidRPr="0029748B">
        <w:rPr>
          <w:sz w:val="26"/>
          <w:szCs w:val="26"/>
        </w:rPr>
        <w:t xml:space="preserve"> </w:t>
      </w:r>
      <w:r w:rsidR="003F021F" w:rsidRPr="0029748B">
        <w:rPr>
          <w:sz w:val="26"/>
          <w:szCs w:val="26"/>
        </w:rPr>
        <w:t xml:space="preserve"> OCA R. Exc. at 8. </w:t>
      </w:r>
    </w:p>
    <w:p w14:paraId="1A3FF7DE" w14:textId="77777777" w:rsidR="003F021F" w:rsidRPr="0029748B" w:rsidRDefault="003F021F" w:rsidP="004E5F98">
      <w:pPr>
        <w:widowControl/>
        <w:spacing w:line="360" w:lineRule="auto"/>
        <w:rPr>
          <w:sz w:val="26"/>
          <w:szCs w:val="26"/>
        </w:rPr>
      </w:pPr>
    </w:p>
    <w:p w14:paraId="2314C6AF" w14:textId="77777777" w:rsidR="003F021F" w:rsidRPr="0029748B" w:rsidRDefault="003F021F" w:rsidP="004E5F98">
      <w:pPr>
        <w:keepLines/>
        <w:widowControl/>
        <w:spacing w:line="360" w:lineRule="auto"/>
        <w:ind w:left="2160" w:hanging="720"/>
        <w:outlineLvl w:val="4"/>
        <w:rPr>
          <w:b/>
          <w:sz w:val="26"/>
          <w:szCs w:val="26"/>
        </w:rPr>
      </w:pPr>
      <w:r w:rsidRPr="0029748B">
        <w:rPr>
          <w:b/>
          <w:sz w:val="26"/>
          <w:szCs w:val="26"/>
        </w:rPr>
        <w:t>c.</w:t>
      </w:r>
      <w:r w:rsidRPr="0029748B">
        <w:rPr>
          <w:b/>
          <w:sz w:val="26"/>
          <w:szCs w:val="26"/>
        </w:rPr>
        <w:tab/>
        <w:t xml:space="preserve">OCA Exception No. 4  </w:t>
      </w:r>
    </w:p>
    <w:p w14:paraId="6F16E28A" w14:textId="77777777" w:rsidR="003F021F" w:rsidRPr="0029748B" w:rsidRDefault="003F021F" w:rsidP="004E5F98">
      <w:pPr>
        <w:keepLines/>
        <w:widowControl/>
        <w:spacing w:line="360" w:lineRule="auto"/>
        <w:rPr>
          <w:sz w:val="26"/>
          <w:szCs w:val="26"/>
        </w:rPr>
      </w:pPr>
    </w:p>
    <w:p w14:paraId="5BFDC676" w14:textId="58D277C4" w:rsidR="003F021F" w:rsidRDefault="003F021F" w:rsidP="004E5F98">
      <w:pPr>
        <w:widowControl/>
        <w:spacing w:line="360" w:lineRule="auto"/>
        <w:ind w:firstLine="1440"/>
        <w:rPr>
          <w:sz w:val="26"/>
          <w:szCs w:val="26"/>
        </w:rPr>
      </w:pPr>
      <w:r w:rsidRPr="0029748B">
        <w:rPr>
          <w:sz w:val="26"/>
          <w:szCs w:val="26"/>
        </w:rPr>
        <w:t>In its Exception No. 4, the OCA supports the ALJ’s findings with respect to Twin Lakes’ inadequate service but submits that the ALJ’s revenue requirement based on a recommendation of a 9.23% COE does not represent a reasonabl</w:t>
      </w:r>
      <w:r w:rsidR="0005647C" w:rsidRPr="0029748B">
        <w:rPr>
          <w:sz w:val="26"/>
          <w:szCs w:val="26"/>
        </w:rPr>
        <w:t>e</w:t>
      </w:r>
      <w:r w:rsidRPr="0029748B">
        <w:rPr>
          <w:sz w:val="26"/>
          <w:szCs w:val="26"/>
        </w:rPr>
        <w:t xml:space="preserve"> remedy for the inadequate service. </w:t>
      </w:r>
      <w:r w:rsidR="0005647C" w:rsidRPr="0029748B">
        <w:rPr>
          <w:sz w:val="26"/>
          <w:szCs w:val="26"/>
        </w:rPr>
        <w:t xml:space="preserve">OCA Exc. </w:t>
      </w:r>
      <w:r w:rsidR="00AA4957" w:rsidRPr="0029748B">
        <w:rPr>
          <w:sz w:val="26"/>
          <w:szCs w:val="26"/>
        </w:rPr>
        <w:t>a</w:t>
      </w:r>
      <w:r w:rsidR="0005647C" w:rsidRPr="0029748B">
        <w:rPr>
          <w:sz w:val="26"/>
          <w:szCs w:val="26"/>
        </w:rPr>
        <w:t>t</w:t>
      </w:r>
      <w:r w:rsidR="00AA4957" w:rsidRPr="0029748B">
        <w:rPr>
          <w:sz w:val="26"/>
          <w:szCs w:val="26"/>
        </w:rPr>
        <w:t xml:space="preserve"> 8</w:t>
      </w:r>
      <w:r w:rsidR="007C4BF9">
        <w:rPr>
          <w:sz w:val="26"/>
          <w:szCs w:val="26"/>
        </w:rPr>
        <w:t xml:space="preserve"> </w:t>
      </w:r>
      <w:r w:rsidR="0005647C" w:rsidRPr="0029748B">
        <w:rPr>
          <w:sz w:val="26"/>
          <w:szCs w:val="26"/>
        </w:rPr>
        <w:t>(c</w:t>
      </w:r>
      <w:r w:rsidRPr="0029748B">
        <w:rPr>
          <w:sz w:val="26"/>
          <w:szCs w:val="26"/>
        </w:rPr>
        <w:t>iting R.D. at 82</w:t>
      </w:r>
      <w:r w:rsidR="0005647C" w:rsidRPr="0029748B">
        <w:rPr>
          <w:sz w:val="26"/>
          <w:szCs w:val="26"/>
        </w:rPr>
        <w:t>)</w:t>
      </w:r>
      <w:r w:rsidRPr="0029748B">
        <w:rPr>
          <w:sz w:val="26"/>
          <w:szCs w:val="26"/>
        </w:rPr>
        <w:t xml:space="preserve">.  Thus, the OCA’s Exception No. 4 repeats the argument raised in its Exception No. 3, </w:t>
      </w:r>
      <w:r w:rsidR="00323609" w:rsidRPr="0029748B">
        <w:rPr>
          <w:i/>
          <w:iCs/>
          <w:sz w:val="26"/>
          <w:szCs w:val="26"/>
        </w:rPr>
        <w:t>i.e.</w:t>
      </w:r>
      <w:r w:rsidRPr="0029748B">
        <w:rPr>
          <w:sz w:val="26"/>
          <w:szCs w:val="26"/>
        </w:rPr>
        <w:t>, that the ALJ’s adoption of the 9.</w:t>
      </w:r>
      <w:r w:rsidR="007E63AF" w:rsidRPr="0029748B">
        <w:rPr>
          <w:sz w:val="26"/>
          <w:szCs w:val="26"/>
        </w:rPr>
        <w:t>2</w:t>
      </w:r>
      <w:r w:rsidRPr="0029748B">
        <w:rPr>
          <w:sz w:val="26"/>
          <w:szCs w:val="26"/>
        </w:rPr>
        <w:t xml:space="preserve">3% COE is reversible error for failing to factor a finding of inadequate service.  </w:t>
      </w:r>
      <w:r w:rsidR="00375CD6" w:rsidRPr="0029748B">
        <w:rPr>
          <w:sz w:val="26"/>
          <w:szCs w:val="26"/>
        </w:rPr>
        <w:t xml:space="preserve">The </w:t>
      </w:r>
      <w:r w:rsidRPr="0029748B">
        <w:rPr>
          <w:sz w:val="26"/>
          <w:szCs w:val="26"/>
        </w:rPr>
        <w:t xml:space="preserve">OCA asserts that, per the Commission’s authority under Section 526 to reject in whole or in part a requested rate increase, the reasonable and appropriate remedy for the inadequate service findings is to reduce the market-based COE to 0%, as advocated by </w:t>
      </w:r>
      <w:r w:rsidRPr="0029748B">
        <w:rPr>
          <w:sz w:val="26"/>
          <w:szCs w:val="26"/>
        </w:rPr>
        <w:lastRenderedPageBreak/>
        <w:t>the OCA and I&amp;E in this proceeding.  The OCA submits that given the evidence in this proceeding, it is not reasonable to find inadequate service and yet provide no reduction in the revenue requirement to reflect that evidence.  OCA Exc. at 8-9.</w:t>
      </w:r>
    </w:p>
    <w:p w14:paraId="1D497E29" w14:textId="77777777" w:rsidR="00A070CB" w:rsidRPr="0029748B" w:rsidRDefault="00A070CB" w:rsidP="004E5F98">
      <w:pPr>
        <w:widowControl/>
        <w:spacing w:line="360" w:lineRule="auto"/>
        <w:ind w:firstLine="1440"/>
        <w:rPr>
          <w:sz w:val="26"/>
          <w:szCs w:val="26"/>
        </w:rPr>
      </w:pPr>
    </w:p>
    <w:p w14:paraId="4E4DBEDF" w14:textId="77777777" w:rsidR="003F021F" w:rsidRPr="0029748B" w:rsidRDefault="003F021F" w:rsidP="0029748B">
      <w:pPr>
        <w:widowControl/>
        <w:spacing w:line="360" w:lineRule="auto"/>
        <w:ind w:firstLine="1440"/>
        <w:rPr>
          <w:sz w:val="26"/>
          <w:szCs w:val="26"/>
        </w:rPr>
      </w:pPr>
      <w:r w:rsidRPr="0029748B">
        <w:rPr>
          <w:sz w:val="26"/>
          <w:szCs w:val="26"/>
        </w:rPr>
        <w:t>Twin Lakes did not file Replies to the OCA’s Exception No. 4.</w:t>
      </w:r>
    </w:p>
    <w:p w14:paraId="17A053FF" w14:textId="77777777" w:rsidR="003F021F" w:rsidRPr="0029748B" w:rsidRDefault="003F021F" w:rsidP="0029748B">
      <w:pPr>
        <w:widowControl/>
        <w:spacing w:line="360" w:lineRule="auto"/>
        <w:ind w:firstLine="1440"/>
        <w:rPr>
          <w:sz w:val="26"/>
          <w:szCs w:val="26"/>
        </w:rPr>
      </w:pPr>
    </w:p>
    <w:p w14:paraId="7CC30F16" w14:textId="77777777" w:rsidR="00D951C4" w:rsidRPr="0029748B" w:rsidRDefault="00D951C4" w:rsidP="00FF0EFB">
      <w:pPr>
        <w:pStyle w:val="ListParagraph"/>
        <w:widowControl/>
        <w:numPr>
          <w:ilvl w:val="1"/>
          <w:numId w:val="4"/>
        </w:numPr>
        <w:spacing w:line="360" w:lineRule="auto"/>
        <w:ind w:left="1440"/>
        <w:textAlignment w:val="baseline"/>
        <w:rPr>
          <w:b/>
          <w:bCs/>
          <w:color w:val="000000"/>
          <w:sz w:val="26"/>
          <w:szCs w:val="26"/>
        </w:rPr>
      </w:pPr>
      <w:r w:rsidRPr="0029748B">
        <w:rPr>
          <w:b/>
          <w:bCs/>
          <w:color w:val="000000"/>
          <w:sz w:val="26"/>
          <w:szCs w:val="26"/>
        </w:rPr>
        <w:t xml:space="preserve">Disposition </w:t>
      </w:r>
    </w:p>
    <w:p w14:paraId="6226BAB2" w14:textId="77777777" w:rsidR="00633037" w:rsidRPr="0029748B" w:rsidRDefault="00633037" w:rsidP="0029748B">
      <w:pPr>
        <w:pStyle w:val="ListParagraph"/>
        <w:widowControl/>
        <w:spacing w:line="360" w:lineRule="auto"/>
        <w:ind w:left="1440"/>
        <w:textAlignment w:val="baseline"/>
        <w:rPr>
          <w:b/>
          <w:bCs/>
          <w:color w:val="000000"/>
          <w:sz w:val="26"/>
          <w:szCs w:val="26"/>
        </w:rPr>
      </w:pPr>
    </w:p>
    <w:p w14:paraId="02D53AAD" w14:textId="77777777" w:rsidR="00633037" w:rsidRPr="0029748B" w:rsidRDefault="00633037" w:rsidP="0029748B">
      <w:pPr>
        <w:widowControl/>
        <w:spacing w:line="360" w:lineRule="auto"/>
        <w:ind w:firstLine="1440"/>
        <w:rPr>
          <w:sz w:val="26"/>
          <w:szCs w:val="26"/>
        </w:rPr>
      </w:pPr>
      <w:r w:rsidRPr="0029748B">
        <w:rPr>
          <w:sz w:val="26"/>
          <w:szCs w:val="26"/>
        </w:rPr>
        <w:t>We shall deny the Parties</w:t>
      </w:r>
      <w:r w:rsidR="00713874" w:rsidRPr="0029748B">
        <w:rPr>
          <w:sz w:val="26"/>
          <w:szCs w:val="26"/>
        </w:rPr>
        <w:t>’</w:t>
      </w:r>
      <w:r w:rsidRPr="0029748B">
        <w:rPr>
          <w:sz w:val="26"/>
          <w:szCs w:val="26"/>
        </w:rPr>
        <w:t xml:space="preserve"> Exceptions on this issue and adopt the ALJ’s </w:t>
      </w:r>
      <w:r w:rsidR="006E5A1E" w:rsidRPr="0029748B">
        <w:rPr>
          <w:sz w:val="26"/>
          <w:szCs w:val="26"/>
        </w:rPr>
        <w:t>recommendation.</w:t>
      </w:r>
    </w:p>
    <w:p w14:paraId="4938A390" w14:textId="77777777" w:rsidR="00633037" w:rsidRPr="0029748B" w:rsidRDefault="00633037" w:rsidP="0029748B">
      <w:pPr>
        <w:widowControl/>
        <w:spacing w:line="360" w:lineRule="auto"/>
        <w:ind w:firstLine="1440"/>
        <w:rPr>
          <w:sz w:val="26"/>
          <w:szCs w:val="26"/>
        </w:rPr>
      </w:pPr>
    </w:p>
    <w:p w14:paraId="1CE7A54E" w14:textId="2779AA36" w:rsidR="00633037" w:rsidRDefault="00633037" w:rsidP="0029748B">
      <w:pPr>
        <w:widowControl/>
        <w:spacing w:line="360" w:lineRule="auto"/>
        <w:ind w:firstLine="1440"/>
        <w:rPr>
          <w:sz w:val="26"/>
          <w:szCs w:val="26"/>
        </w:rPr>
      </w:pPr>
      <w:r w:rsidRPr="0029748B">
        <w:rPr>
          <w:sz w:val="26"/>
          <w:szCs w:val="26"/>
        </w:rPr>
        <w:t xml:space="preserve">We consider the substance of the OCA’s Exception No. 4 to be a repetition of the arguments raised in the OCA’s Exception No. 3.  For the same reasons we denied the OCA’s Exception No. 3 above, we shall deny the OCA’s Exception No. 4. </w:t>
      </w:r>
    </w:p>
    <w:p w14:paraId="01839FC1" w14:textId="77777777" w:rsidR="00A070CB" w:rsidRPr="0029748B" w:rsidRDefault="00A070CB" w:rsidP="0029748B">
      <w:pPr>
        <w:widowControl/>
        <w:spacing w:line="360" w:lineRule="auto"/>
        <w:ind w:firstLine="1440"/>
        <w:rPr>
          <w:sz w:val="26"/>
          <w:szCs w:val="26"/>
        </w:rPr>
      </w:pPr>
    </w:p>
    <w:p w14:paraId="7DBD7195" w14:textId="77777777" w:rsidR="00633037" w:rsidRPr="0029748B" w:rsidRDefault="00633037" w:rsidP="0029748B">
      <w:pPr>
        <w:widowControl/>
        <w:spacing w:line="360" w:lineRule="auto"/>
        <w:ind w:firstLine="1440"/>
        <w:rPr>
          <w:sz w:val="26"/>
          <w:szCs w:val="26"/>
        </w:rPr>
      </w:pPr>
      <w:r w:rsidRPr="0029748B">
        <w:rPr>
          <w:sz w:val="26"/>
          <w:szCs w:val="26"/>
        </w:rPr>
        <w:t xml:space="preserve">We </w:t>
      </w:r>
      <w:r w:rsidR="00713874" w:rsidRPr="0029748B">
        <w:rPr>
          <w:sz w:val="26"/>
          <w:szCs w:val="26"/>
        </w:rPr>
        <w:t xml:space="preserve">also </w:t>
      </w:r>
      <w:r w:rsidRPr="0029748B">
        <w:rPr>
          <w:sz w:val="26"/>
          <w:szCs w:val="26"/>
        </w:rPr>
        <w:t xml:space="preserve">shall deny Twin Lakes Exception No. 1.  Twin Lakes disputes the accuracy of the ALJ’s statement that Twin Lakes has done “nothing” to improve its system, by taking the statement out of context.  In context, the ALJ clearly recognized that Twin Lakes has taken </w:t>
      </w:r>
      <w:r w:rsidRPr="0029748B">
        <w:rPr>
          <w:i/>
          <w:iCs/>
          <w:sz w:val="26"/>
          <w:szCs w:val="26"/>
        </w:rPr>
        <w:t>some</w:t>
      </w:r>
      <w:r w:rsidRPr="0029748B">
        <w:rPr>
          <w:sz w:val="26"/>
          <w:szCs w:val="26"/>
        </w:rPr>
        <w:t xml:space="preserve"> action to</w:t>
      </w:r>
      <w:r w:rsidR="000266DB" w:rsidRPr="0029748B">
        <w:rPr>
          <w:sz w:val="26"/>
          <w:szCs w:val="26"/>
        </w:rPr>
        <w:t>-</w:t>
      </w:r>
      <w:r w:rsidRPr="0029748B">
        <w:rPr>
          <w:sz w:val="26"/>
          <w:szCs w:val="26"/>
        </w:rPr>
        <w:t>date with regard to replacement of mains to meet its service obligation under Section 1501 of the Code; however, the ALJ concluded based on the record evidence that none of the Company’s actions to</w:t>
      </w:r>
      <w:r w:rsidR="000266DB" w:rsidRPr="0029748B">
        <w:rPr>
          <w:sz w:val="26"/>
          <w:szCs w:val="26"/>
        </w:rPr>
        <w:t>-</w:t>
      </w:r>
      <w:r w:rsidRPr="0029748B">
        <w:rPr>
          <w:sz w:val="26"/>
          <w:szCs w:val="26"/>
        </w:rPr>
        <w:t xml:space="preserve">date has improved the UFW on the system.  It is in this context of poor and worsening system conditions, that the ALJ referred to the Company’s “inaction.”  </w:t>
      </w:r>
    </w:p>
    <w:p w14:paraId="67BB4F92" w14:textId="77777777" w:rsidR="00633037" w:rsidRPr="0029748B" w:rsidRDefault="00633037" w:rsidP="0029748B">
      <w:pPr>
        <w:widowControl/>
        <w:spacing w:line="360" w:lineRule="auto"/>
        <w:ind w:firstLine="1440"/>
        <w:rPr>
          <w:sz w:val="26"/>
          <w:szCs w:val="26"/>
        </w:rPr>
      </w:pPr>
    </w:p>
    <w:p w14:paraId="17E88A5B" w14:textId="77777777" w:rsidR="00633037" w:rsidRPr="0029748B" w:rsidRDefault="00633037" w:rsidP="0029748B">
      <w:pPr>
        <w:widowControl/>
        <w:spacing w:line="360" w:lineRule="auto"/>
        <w:ind w:firstLine="1440"/>
        <w:rPr>
          <w:sz w:val="26"/>
          <w:szCs w:val="26"/>
        </w:rPr>
      </w:pPr>
      <w:r w:rsidRPr="0029748B">
        <w:rPr>
          <w:sz w:val="26"/>
          <w:szCs w:val="26"/>
        </w:rPr>
        <w:t xml:space="preserve">We also shall deny Twin Lakes Exception No. 3.  We acknowledge the ALJ’s various findings with respect to the quality of service issues with Twin Lakes’ system.  We note that both </w:t>
      </w:r>
      <w:r w:rsidR="00452FF9" w:rsidRPr="0029748B">
        <w:rPr>
          <w:sz w:val="26"/>
          <w:szCs w:val="26"/>
        </w:rPr>
        <w:t xml:space="preserve">the </w:t>
      </w:r>
      <w:r w:rsidRPr="0029748B">
        <w:rPr>
          <w:sz w:val="26"/>
          <w:szCs w:val="26"/>
        </w:rPr>
        <w:t xml:space="preserve">OCA and Twin Lakes have recommended that we initiate a Section 529 investigation by referral to I&amp;E.  Further, I&amp;E indicated in its Replies to Exceptions that it does not oppose a Section 529 investigation.  While the ALJ did not </w:t>
      </w:r>
      <w:r w:rsidRPr="0029748B">
        <w:rPr>
          <w:sz w:val="26"/>
          <w:szCs w:val="26"/>
        </w:rPr>
        <w:lastRenderedPageBreak/>
        <w:t>make a recommendation on this issue, I&amp;E is a party to this proceeding, and did not oppose or recommend initiation of Section 529 proceeding under 66 Pa. C.S. 529(</w:t>
      </w:r>
      <w:proofErr w:type="spellStart"/>
      <w:r w:rsidRPr="0029748B">
        <w:rPr>
          <w:sz w:val="26"/>
          <w:szCs w:val="26"/>
        </w:rPr>
        <w:t>i</w:t>
      </w:r>
      <w:proofErr w:type="spellEnd"/>
      <w:r w:rsidRPr="0029748B">
        <w:rPr>
          <w:sz w:val="26"/>
          <w:szCs w:val="26"/>
        </w:rPr>
        <w:t>).</w:t>
      </w:r>
    </w:p>
    <w:p w14:paraId="4F107144" w14:textId="77777777" w:rsidR="00633037" w:rsidRDefault="00633037" w:rsidP="0029748B">
      <w:pPr>
        <w:widowControl/>
        <w:spacing w:line="360" w:lineRule="auto"/>
        <w:rPr>
          <w:sz w:val="26"/>
          <w:szCs w:val="26"/>
        </w:rPr>
      </w:pPr>
      <w:r w:rsidRPr="0029748B">
        <w:rPr>
          <w:sz w:val="26"/>
          <w:szCs w:val="26"/>
        </w:rPr>
        <w:t xml:space="preserve">Based on the Company’s increased revenue </w:t>
      </w:r>
      <w:r w:rsidRPr="0029748B">
        <w:rPr>
          <w:i/>
          <w:iCs/>
          <w:sz w:val="26"/>
          <w:szCs w:val="26"/>
        </w:rPr>
        <w:t>via</w:t>
      </w:r>
      <w:r w:rsidRPr="0029748B">
        <w:rPr>
          <w:sz w:val="26"/>
          <w:szCs w:val="26"/>
        </w:rPr>
        <w:t xml:space="preserve"> the rate increase </w:t>
      </w:r>
      <w:r w:rsidR="00452FF9" w:rsidRPr="0029748B">
        <w:rPr>
          <w:sz w:val="26"/>
          <w:szCs w:val="26"/>
        </w:rPr>
        <w:t xml:space="preserve">granted </w:t>
      </w:r>
      <w:r w:rsidRPr="0029748B">
        <w:rPr>
          <w:sz w:val="26"/>
          <w:szCs w:val="26"/>
        </w:rPr>
        <w:t xml:space="preserve">in this proceeding, and the record evidence of Twin Lakes’ prospective opportunity to secure </w:t>
      </w:r>
      <w:r w:rsidR="00452FF9" w:rsidRPr="0029748B">
        <w:rPr>
          <w:sz w:val="26"/>
          <w:szCs w:val="26"/>
        </w:rPr>
        <w:t xml:space="preserve">PENNVEST loans </w:t>
      </w:r>
      <w:r w:rsidRPr="0029748B">
        <w:rPr>
          <w:sz w:val="26"/>
          <w:szCs w:val="26"/>
        </w:rPr>
        <w:t xml:space="preserve">for the necessary improvements, we conclude </w:t>
      </w:r>
      <w:r w:rsidR="006D2B91" w:rsidRPr="0029748B">
        <w:rPr>
          <w:sz w:val="26"/>
          <w:szCs w:val="26"/>
        </w:rPr>
        <w:t>that</w:t>
      </w:r>
      <w:r w:rsidRPr="0029748B">
        <w:rPr>
          <w:sz w:val="26"/>
          <w:szCs w:val="26"/>
        </w:rPr>
        <w:t xml:space="preserve"> initiation of a Section 529 proceeding is not warranted at this time. </w:t>
      </w:r>
    </w:p>
    <w:p w14:paraId="44D61DFC" w14:textId="77777777" w:rsidR="001F3D1B" w:rsidRPr="0029748B" w:rsidRDefault="001F3D1B" w:rsidP="0029748B">
      <w:pPr>
        <w:widowControl/>
        <w:spacing w:line="360" w:lineRule="auto"/>
        <w:rPr>
          <w:sz w:val="26"/>
          <w:szCs w:val="26"/>
        </w:rPr>
      </w:pPr>
    </w:p>
    <w:p w14:paraId="6549360B" w14:textId="77777777" w:rsidR="00633037" w:rsidRPr="0029748B" w:rsidRDefault="00633037" w:rsidP="0029748B">
      <w:pPr>
        <w:widowControl/>
        <w:spacing w:line="360" w:lineRule="auto"/>
        <w:ind w:firstLine="1440"/>
        <w:rPr>
          <w:sz w:val="26"/>
          <w:szCs w:val="26"/>
        </w:rPr>
      </w:pPr>
      <w:r w:rsidRPr="0029748B">
        <w:rPr>
          <w:sz w:val="26"/>
          <w:szCs w:val="26"/>
        </w:rPr>
        <w:t>Accordingly, we shall adopt the ALJ’s recommendations for the revenue requirement in this proceeding as being the basis for establishing just and reasonable rates.  In our opinion, the ALJ’s recommendations achieve the result of a just and reasonable rate increase to assist the Company’s financial health so that it may meet its service obligations under Section 1501 of the Code.</w:t>
      </w:r>
    </w:p>
    <w:p w14:paraId="44AB3A9C" w14:textId="77777777" w:rsidR="00633037" w:rsidRPr="0029748B" w:rsidRDefault="00633037" w:rsidP="0029748B">
      <w:pPr>
        <w:widowControl/>
        <w:spacing w:line="360" w:lineRule="auto"/>
        <w:ind w:firstLine="1440"/>
        <w:rPr>
          <w:sz w:val="26"/>
          <w:szCs w:val="26"/>
        </w:rPr>
      </w:pPr>
    </w:p>
    <w:p w14:paraId="77F43AC0" w14:textId="77777777" w:rsidR="00633037" w:rsidRPr="0029748B" w:rsidRDefault="00633037" w:rsidP="0029748B">
      <w:pPr>
        <w:widowControl/>
        <w:spacing w:line="360" w:lineRule="auto"/>
        <w:ind w:firstLine="1440"/>
        <w:rPr>
          <w:sz w:val="26"/>
          <w:szCs w:val="26"/>
        </w:rPr>
      </w:pPr>
      <w:r w:rsidRPr="0029748B">
        <w:rPr>
          <w:sz w:val="26"/>
          <w:szCs w:val="26"/>
        </w:rPr>
        <w:t xml:space="preserve">We note that, while our present grant of a rate increase is not tied to any specified system improvement by Twin Lakes, it should not be construed to suggest that the Company will not be held accountable for its commitments to the necessary planned repairs and improvements to the system.  For example, in the 2015 </w:t>
      </w:r>
      <w:r w:rsidR="00713874" w:rsidRPr="0029748B">
        <w:rPr>
          <w:sz w:val="26"/>
          <w:szCs w:val="26"/>
        </w:rPr>
        <w:t xml:space="preserve">Settlement of its </w:t>
      </w:r>
      <w:r w:rsidRPr="0029748B">
        <w:rPr>
          <w:sz w:val="26"/>
          <w:szCs w:val="26"/>
        </w:rPr>
        <w:t>rate case, the two rate increases were specifically tied to the Company’s achievement of certain system improvements.  However, the undisputed evidence in this proceeding is that the Company failed to achieve the system improvements and, thus, failed to obtain the awarded rate increases.</w:t>
      </w:r>
    </w:p>
    <w:p w14:paraId="6F7ECDE9" w14:textId="77777777" w:rsidR="00633037" w:rsidRPr="0029748B" w:rsidRDefault="00633037" w:rsidP="0029748B">
      <w:pPr>
        <w:widowControl/>
        <w:spacing w:line="360" w:lineRule="auto"/>
        <w:ind w:firstLine="1440"/>
        <w:rPr>
          <w:sz w:val="26"/>
          <w:szCs w:val="26"/>
        </w:rPr>
      </w:pPr>
    </w:p>
    <w:p w14:paraId="6EAE4EB7" w14:textId="77777777" w:rsidR="00633037" w:rsidRPr="0029748B" w:rsidRDefault="00633037" w:rsidP="0029748B">
      <w:pPr>
        <w:widowControl/>
        <w:spacing w:line="360" w:lineRule="auto"/>
        <w:ind w:firstLine="1440"/>
        <w:rPr>
          <w:sz w:val="26"/>
          <w:szCs w:val="26"/>
        </w:rPr>
      </w:pPr>
      <w:r w:rsidRPr="0029748B">
        <w:rPr>
          <w:sz w:val="26"/>
          <w:szCs w:val="26"/>
        </w:rPr>
        <w:t xml:space="preserve">In the present case, we are granting the Company a just and reasonable rate increase without tying it to the Company’s completion of a system improvement.  This is done, in part, in recognition that a utility’s financial health is an important factor in the quality of service rendered by the utility.  However, the Company is advised that, in view of the Company’s past failure to meet commitments, the Commission will take all </w:t>
      </w:r>
      <w:r w:rsidR="00E05AAF" w:rsidRPr="0029748B">
        <w:rPr>
          <w:sz w:val="26"/>
          <w:szCs w:val="26"/>
        </w:rPr>
        <w:t xml:space="preserve">the </w:t>
      </w:r>
      <w:r w:rsidRPr="0029748B">
        <w:rPr>
          <w:sz w:val="26"/>
          <w:szCs w:val="26"/>
        </w:rPr>
        <w:t>necessary steps to require the Company’s compliance with its obligations under the Code, to ensure that Twin Lakes’ customers are provided safe and reliable water service.</w:t>
      </w:r>
    </w:p>
    <w:p w14:paraId="300EB20D" w14:textId="77777777" w:rsidR="00633037" w:rsidRPr="0029748B" w:rsidRDefault="00633037" w:rsidP="0029748B">
      <w:pPr>
        <w:widowControl/>
        <w:spacing w:line="360" w:lineRule="auto"/>
        <w:ind w:firstLine="1440"/>
        <w:rPr>
          <w:sz w:val="26"/>
          <w:szCs w:val="26"/>
        </w:rPr>
      </w:pPr>
    </w:p>
    <w:p w14:paraId="3ED16208" w14:textId="77777777" w:rsidR="00633037" w:rsidRPr="0029748B" w:rsidRDefault="00633037" w:rsidP="0029748B">
      <w:pPr>
        <w:widowControl/>
        <w:spacing w:line="360" w:lineRule="auto"/>
        <w:ind w:firstLine="1440"/>
        <w:rPr>
          <w:sz w:val="26"/>
          <w:szCs w:val="26"/>
        </w:rPr>
      </w:pPr>
      <w:r w:rsidRPr="0029748B">
        <w:rPr>
          <w:sz w:val="26"/>
          <w:szCs w:val="26"/>
        </w:rPr>
        <w:t>We note here our serious concern regarding the evidence of record revealing the poor and worsening condition of the system operated by Twin Lakes.  It is undisputed in the record that the system’s Well No. 1 is collapsed and non-usable and Well No. 2’s operational viability is at risk due to the stress on it caused by over-pumping.  The UFW levels ranged from 78.7%-82.9% in 2015-2</w:t>
      </w:r>
      <w:r w:rsidR="00AB1CE5" w:rsidRPr="0029748B">
        <w:rPr>
          <w:sz w:val="26"/>
          <w:szCs w:val="26"/>
        </w:rPr>
        <w:t>0</w:t>
      </w:r>
      <w:r w:rsidRPr="0029748B">
        <w:rPr>
          <w:sz w:val="26"/>
          <w:szCs w:val="26"/>
        </w:rPr>
        <w:t xml:space="preserve">18.  </w:t>
      </w:r>
      <w:r w:rsidR="00452FF9" w:rsidRPr="0029748B">
        <w:rPr>
          <w:i/>
          <w:iCs/>
          <w:sz w:val="26"/>
          <w:szCs w:val="26"/>
        </w:rPr>
        <w:t>See,</w:t>
      </w:r>
      <w:r w:rsidR="00452FF9" w:rsidRPr="0029748B">
        <w:rPr>
          <w:sz w:val="26"/>
          <w:szCs w:val="26"/>
        </w:rPr>
        <w:t xml:space="preserve"> </w:t>
      </w:r>
      <w:r w:rsidR="00D8731A" w:rsidRPr="0029748B">
        <w:rPr>
          <w:sz w:val="26"/>
          <w:szCs w:val="26"/>
        </w:rPr>
        <w:t xml:space="preserve">ALJ’s </w:t>
      </w:r>
      <w:r w:rsidR="00E91175" w:rsidRPr="0029748B">
        <w:rPr>
          <w:sz w:val="26"/>
          <w:szCs w:val="26"/>
        </w:rPr>
        <w:t>Finding of Fact (</w:t>
      </w:r>
      <w:r w:rsidRPr="0029748B">
        <w:rPr>
          <w:sz w:val="26"/>
          <w:szCs w:val="26"/>
        </w:rPr>
        <w:t>FOF</w:t>
      </w:r>
      <w:r w:rsidR="00E91175" w:rsidRPr="0029748B">
        <w:rPr>
          <w:sz w:val="26"/>
          <w:szCs w:val="26"/>
        </w:rPr>
        <w:t>)</w:t>
      </w:r>
      <w:r w:rsidRPr="0029748B">
        <w:rPr>
          <w:sz w:val="26"/>
          <w:szCs w:val="26"/>
        </w:rPr>
        <w:t xml:space="preserve"> No</w:t>
      </w:r>
      <w:r w:rsidR="00452FF9" w:rsidRPr="0029748B">
        <w:rPr>
          <w:sz w:val="26"/>
          <w:szCs w:val="26"/>
        </w:rPr>
        <w:t>s. 6-12, 15, 24-25.</w:t>
      </w:r>
      <w:r w:rsidRPr="0029748B">
        <w:rPr>
          <w:sz w:val="26"/>
          <w:szCs w:val="26"/>
        </w:rPr>
        <w:t xml:space="preserve">  We caution Twin Lakes that we fully expect it to meet its future service obligations under Section 1501 of the Code.</w:t>
      </w:r>
    </w:p>
    <w:p w14:paraId="01AAA76C" w14:textId="77777777" w:rsidR="00633037" w:rsidRPr="0029748B" w:rsidRDefault="00633037" w:rsidP="0029748B">
      <w:pPr>
        <w:widowControl/>
        <w:spacing w:line="360" w:lineRule="auto"/>
        <w:ind w:firstLine="1440"/>
        <w:rPr>
          <w:sz w:val="26"/>
          <w:szCs w:val="26"/>
        </w:rPr>
      </w:pPr>
    </w:p>
    <w:p w14:paraId="0AE59DE6" w14:textId="77777777" w:rsidR="00633037" w:rsidRPr="0029748B" w:rsidRDefault="00633037" w:rsidP="0029748B">
      <w:pPr>
        <w:widowControl/>
        <w:spacing w:line="360" w:lineRule="auto"/>
        <w:ind w:firstLine="1440"/>
        <w:rPr>
          <w:sz w:val="26"/>
          <w:szCs w:val="26"/>
        </w:rPr>
      </w:pPr>
      <w:r w:rsidRPr="0029748B">
        <w:rPr>
          <w:sz w:val="26"/>
          <w:szCs w:val="26"/>
        </w:rPr>
        <w:t>At the same time, we acknowledge that Twin Lakes has taken affirmative steps toward the necessary repairs and improvements to its system.  The record reflects that Twin Lakes has applied for a PENNVEST loan to help fund system improvements and has developed a $4.8 million, five-year capital improvement plan that is comprised of the following projects that Twin Lakes deems necessary to provide safe, adequate and proper service:</w:t>
      </w:r>
    </w:p>
    <w:p w14:paraId="25E734DC" w14:textId="77777777" w:rsidR="00633037" w:rsidRPr="0029748B" w:rsidRDefault="00633037" w:rsidP="0029748B">
      <w:pPr>
        <w:widowControl/>
        <w:numPr>
          <w:ilvl w:val="0"/>
          <w:numId w:val="8"/>
        </w:numPr>
        <w:ind w:right="1440"/>
        <w:contextualSpacing/>
        <w:rPr>
          <w:sz w:val="26"/>
          <w:szCs w:val="26"/>
        </w:rPr>
      </w:pPr>
      <w:r w:rsidRPr="0029748B">
        <w:rPr>
          <w:sz w:val="26"/>
          <w:szCs w:val="26"/>
        </w:rPr>
        <w:t xml:space="preserve">Completion of Well No. 1 replacement project, including design, permitting, well-site rights acquisition and construction of treatment, pumping, storage, associated controls and emergency standby power in 2021.  Estimated Completion Cost $1.6 million.  Amount expended through March 31, 2019 and recorded to the CWIP account:  $611,375. </w:t>
      </w:r>
    </w:p>
    <w:p w14:paraId="31E39E26" w14:textId="77777777" w:rsidR="00633037" w:rsidRPr="0029748B" w:rsidRDefault="00633037" w:rsidP="0029748B">
      <w:pPr>
        <w:widowControl/>
        <w:ind w:left="1800" w:right="1440"/>
        <w:contextualSpacing/>
        <w:rPr>
          <w:sz w:val="26"/>
          <w:szCs w:val="26"/>
        </w:rPr>
      </w:pPr>
    </w:p>
    <w:p w14:paraId="0436F847" w14:textId="77777777" w:rsidR="00633037" w:rsidRPr="0029748B" w:rsidRDefault="00633037" w:rsidP="0029748B">
      <w:pPr>
        <w:widowControl/>
        <w:numPr>
          <w:ilvl w:val="0"/>
          <w:numId w:val="8"/>
        </w:numPr>
        <w:ind w:right="1440"/>
        <w:contextualSpacing/>
        <w:rPr>
          <w:sz w:val="26"/>
          <w:szCs w:val="26"/>
        </w:rPr>
      </w:pPr>
      <w:r w:rsidRPr="0029748B">
        <w:rPr>
          <w:sz w:val="26"/>
          <w:szCs w:val="26"/>
        </w:rPr>
        <w:t xml:space="preserve">Simultaneous replacement of the remaining distribution system mains and services beginning in 2020 and continuing through 2024.  Estimated Cost $2.8 million. </w:t>
      </w:r>
    </w:p>
    <w:p w14:paraId="4BDF7D2B" w14:textId="77777777" w:rsidR="00633037" w:rsidRPr="0029748B" w:rsidRDefault="00633037" w:rsidP="0029748B">
      <w:pPr>
        <w:widowControl/>
        <w:ind w:right="1440"/>
        <w:rPr>
          <w:sz w:val="26"/>
          <w:szCs w:val="26"/>
        </w:rPr>
      </w:pPr>
    </w:p>
    <w:p w14:paraId="57D1B3BF" w14:textId="77777777" w:rsidR="00633037" w:rsidRPr="0029748B" w:rsidRDefault="00633037" w:rsidP="0029748B">
      <w:pPr>
        <w:widowControl/>
        <w:numPr>
          <w:ilvl w:val="0"/>
          <w:numId w:val="8"/>
        </w:numPr>
        <w:ind w:right="1440"/>
        <w:contextualSpacing/>
        <w:rPr>
          <w:sz w:val="26"/>
          <w:szCs w:val="26"/>
        </w:rPr>
      </w:pPr>
      <w:r w:rsidRPr="0029748B">
        <w:rPr>
          <w:sz w:val="26"/>
          <w:szCs w:val="26"/>
        </w:rPr>
        <w:t xml:space="preserve">Upon completion of the replacement for Well No. 1, rehabilitate the entire Well No. 2 station facility, including design, permitting and construction of treatment, pumping, storage, associated controls and emergency standby power in 2021.  Estimated cost:  $400,000. </w:t>
      </w:r>
    </w:p>
    <w:p w14:paraId="22E995BB" w14:textId="77777777" w:rsidR="00633037" w:rsidRPr="0029748B" w:rsidRDefault="00633037" w:rsidP="0029748B">
      <w:pPr>
        <w:widowControl/>
        <w:spacing w:line="360" w:lineRule="auto"/>
        <w:rPr>
          <w:sz w:val="26"/>
          <w:szCs w:val="26"/>
        </w:rPr>
      </w:pPr>
    </w:p>
    <w:p w14:paraId="7621FD9F" w14:textId="77777777" w:rsidR="00633037" w:rsidRPr="0029748B" w:rsidRDefault="00633037" w:rsidP="0029748B">
      <w:pPr>
        <w:widowControl/>
        <w:spacing w:line="360" w:lineRule="auto"/>
        <w:rPr>
          <w:sz w:val="26"/>
          <w:szCs w:val="26"/>
        </w:rPr>
      </w:pPr>
      <w:r w:rsidRPr="0029748B">
        <w:rPr>
          <w:sz w:val="26"/>
          <w:szCs w:val="26"/>
        </w:rPr>
        <w:t xml:space="preserve">R.D. at 8-9, FOF Nos. 11-12, citing Testimony of Robert K. </w:t>
      </w:r>
      <w:proofErr w:type="spellStart"/>
      <w:r w:rsidRPr="0029748B">
        <w:rPr>
          <w:sz w:val="26"/>
          <w:szCs w:val="26"/>
        </w:rPr>
        <w:t>Fullag</w:t>
      </w:r>
      <w:r w:rsidR="00323609" w:rsidRPr="0029748B">
        <w:rPr>
          <w:sz w:val="26"/>
          <w:szCs w:val="26"/>
        </w:rPr>
        <w:t>e</w:t>
      </w:r>
      <w:r w:rsidRPr="0029748B">
        <w:rPr>
          <w:sz w:val="26"/>
          <w:szCs w:val="26"/>
        </w:rPr>
        <w:t>r</w:t>
      </w:r>
      <w:proofErr w:type="spellEnd"/>
      <w:r w:rsidRPr="0029748B">
        <w:rPr>
          <w:sz w:val="26"/>
          <w:szCs w:val="26"/>
        </w:rPr>
        <w:t>, TLU St. No. 3 at 3.</w:t>
      </w:r>
    </w:p>
    <w:p w14:paraId="110BC309" w14:textId="77777777" w:rsidR="00633037" w:rsidRPr="0029748B" w:rsidRDefault="00633037" w:rsidP="0029748B">
      <w:pPr>
        <w:widowControl/>
        <w:spacing w:line="360" w:lineRule="auto"/>
        <w:rPr>
          <w:sz w:val="26"/>
          <w:szCs w:val="26"/>
        </w:rPr>
      </w:pPr>
    </w:p>
    <w:p w14:paraId="0B45F6EE" w14:textId="77777777" w:rsidR="00633037" w:rsidRPr="0029748B" w:rsidRDefault="00633037" w:rsidP="0029748B">
      <w:pPr>
        <w:widowControl/>
        <w:spacing w:line="360" w:lineRule="auto"/>
        <w:ind w:firstLine="1440"/>
        <w:rPr>
          <w:sz w:val="26"/>
          <w:szCs w:val="26"/>
        </w:rPr>
      </w:pPr>
      <w:r w:rsidRPr="0029748B">
        <w:rPr>
          <w:sz w:val="26"/>
          <w:szCs w:val="26"/>
        </w:rPr>
        <w:t>We approve of Twin Lakes’ stated commitment to active measures to improve its system.  However, given the Company’s demonstrated failure to fulfill the prior agreed upon improvements, we intend that Twin Lakes’ progress toward system repairs and improvements should be monitored by TUS and I&amp;E.</w:t>
      </w:r>
    </w:p>
    <w:p w14:paraId="161EC6F4" w14:textId="77777777" w:rsidR="00633037" w:rsidRPr="0029748B" w:rsidRDefault="00633037" w:rsidP="0029748B">
      <w:pPr>
        <w:widowControl/>
        <w:spacing w:line="360" w:lineRule="auto"/>
        <w:ind w:firstLine="1440"/>
        <w:rPr>
          <w:sz w:val="26"/>
          <w:szCs w:val="26"/>
        </w:rPr>
      </w:pPr>
    </w:p>
    <w:p w14:paraId="35C344D9" w14:textId="16168796" w:rsidR="00633037" w:rsidRPr="0029748B" w:rsidRDefault="00633037" w:rsidP="0029748B">
      <w:pPr>
        <w:widowControl/>
        <w:spacing w:line="360" w:lineRule="auto"/>
        <w:ind w:firstLine="1440"/>
        <w:rPr>
          <w:sz w:val="26"/>
          <w:szCs w:val="26"/>
        </w:rPr>
      </w:pPr>
      <w:r w:rsidRPr="0029748B">
        <w:rPr>
          <w:sz w:val="26"/>
          <w:szCs w:val="26"/>
        </w:rPr>
        <w:t>Accordingly, we shall direct the Company to file quarterly reports</w:t>
      </w:r>
      <w:r w:rsidR="00D4656F">
        <w:rPr>
          <w:sz w:val="26"/>
          <w:szCs w:val="26"/>
        </w:rPr>
        <w:t xml:space="preserve">, directed to the Secretary of the Commission, </w:t>
      </w:r>
      <w:r w:rsidR="00B60536">
        <w:rPr>
          <w:sz w:val="26"/>
          <w:szCs w:val="26"/>
        </w:rPr>
        <w:t>with a copy t</w:t>
      </w:r>
      <w:r w:rsidR="00097535">
        <w:rPr>
          <w:sz w:val="26"/>
          <w:szCs w:val="26"/>
        </w:rPr>
        <w:t>o</w:t>
      </w:r>
      <w:r w:rsidR="000204F2">
        <w:rPr>
          <w:sz w:val="26"/>
          <w:szCs w:val="26"/>
        </w:rPr>
        <w:t xml:space="preserve"> </w:t>
      </w:r>
      <w:r w:rsidRPr="0029748B">
        <w:rPr>
          <w:sz w:val="26"/>
          <w:szCs w:val="26"/>
        </w:rPr>
        <w:t>TUS</w:t>
      </w:r>
      <w:r w:rsidR="00D4656F">
        <w:rPr>
          <w:sz w:val="26"/>
          <w:szCs w:val="26"/>
        </w:rPr>
        <w:t>,</w:t>
      </w:r>
      <w:r w:rsidRPr="0029748B">
        <w:rPr>
          <w:sz w:val="26"/>
          <w:szCs w:val="26"/>
        </w:rPr>
        <w:t xml:space="preserve"> on the status of the Company’s implementation of the capital improvement plans listed above</w:t>
      </w:r>
      <w:r w:rsidR="006E5A1E" w:rsidRPr="0029748B">
        <w:rPr>
          <w:sz w:val="26"/>
          <w:szCs w:val="26"/>
        </w:rPr>
        <w:t xml:space="preserve">, including any material change impacting the Company’s ability and/or inability to implement the repairs and improvements, </w:t>
      </w:r>
      <w:r w:rsidRPr="0029748B">
        <w:rPr>
          <w:sz w:val="26"/>
          <w:szCs w:val="26"/>
        </w:rPr>
        <w:t>and to serve a copy of such reports on I&amp;E and the OCA.</w:t>
      </w:r>
    </w:p>
    <w:p w14:paraId="1F351A3E" w14:textId="77777777" w:rsidR="00F2262C" w:rsidRPr="0029748B" w:rsidRDefault="00F2262C" w:rsidP="0029748B">
      <w:pPr>
        <w:widowControl/>
        <w:spacing w:line="360" w:lineRule="auto"/>
        <w:textAlignment w:val="baseline"/>
        <w:rPr>
          <w:color w:val="000000"/>
          <w:sz w:val="26"/>
          <w:szCs w:val="26"/>
        </w:rPr>
      </w:pPr>
    </w:p>
    <w:p w14:paraId="533C7518" w14:textId="77777777" w:rsidR="00D951C4" w:rsidRPr="0029748B" w:rsidRDefault="006853A0" w:rsidP="007C4BF9">
      <w:pPr>
        <w:pStyle w:val="ListParagraph"/>
        <w:keepNext/>
        <w:keepLines/>
        <w:widowControl/>
        <w:numPr>
          <w:ilvl w:val="0"/>
          <w:numId w:val="4"/>
        </w:numPr>
        <w:spacing w:line="360" w:lineRule="auto"/>
        <w:ind w:left="720" w:hanging="720"/>
        <w:textAlignment w:val="baseline"/>
        <w:rPr>
          <w:b/>
          <w:bCs/>
          <w:color w:val="000000"/>
          <w:sz w:val="26"/>
          <w:szCs w:val="26"/>
        </w:rPr>
      </w:pPr>
      <w:r w:rsidRPr="0029748B">
        <w:rPr>
          <w:b/>
          <w:bCs/>
          <w:color w:val="000000"/>
          <w:sz w:val="26"/>
          <w:szCs w:val="26"/>
        </w:rPr>
        <w:t>Affordability</w:t>
      </w:r>
      <w:r w:rsidR="00D951C4" w:rsidRPr="0029748B">
        <w:rPr>
          <w:b/>
          <w:bCs/>
          <w:color w:val="000000"/>
          <w:sz w:val="26"/>
          <w:szCs w:val="26"/>
        </w:rPr>
        <w:t xml:space="preserve"> of Rates</w:t>
      </w:r>
    </w:p>
    <w:p w14:paraId="5164F8E0" w14:textId="77777777" w:rsidR="009915C6" w:rsidRPr="0029748B" w:rsidRDefault="009915C6" w:rsidP="007C4BF9">
      <w:pPr>
        <w:pStyle w:val="ListParagraph"/>
        <w:keepNext/>
        <w:keepLines/>
        <w:widowControl/>
        <w:spacing w:line="360" w:lineRule="auto"/>
        <w:ind w:left="360"/>
        <w:textAlignment w:val="baseline"/>
        <w:rPr>
          <w:b/>
          <w:bCs/>
          <w:color w:val="000000"/>
          <w:sz w:val="26"/>
          <w:szCs w:val="26"/>
        </w:rPr>
      </w:pPr>
    </w:p>
    <w:p w14:paraId="29AC9D71" w14:textId="77777777" w:rsidR="00D951C4" w:rsidRPr="0029748B" w:rsidRDefault="00D951C4" w:rsidP="007C4BF9">
      <w:pPr>
        <w:pStyle w:val="ListParagraph"/>
        <w:keepNext/>
        <w:keepLines/>
        <w:widowControl/>
        <w:numPr>
          <w:ilvl w:val="1"/>
          <w:numId w:val="4"/>
        </w:numPr>
        <w:spacing w:line="360" w:lineRule="auto"/>
        <w:ind w:left="1440"/>
        <w:textAlignment w:val="baseline"/>
        <w:rPr>
          <w:b/>
          <w:bCs/>
          <w:color w:val="000000"/>
          <w:sz w:val="26"/>
          <w:szCs w:val="26"/>
        </w:rPr>
      </w:pPr>
      <w:r w:rsidRPr="0029748B">
        <w:rPr>
          <w:b/>
          <w:bCs/>
          <w:color w:val="000000"/>
          <w:sz w:val="26"/>
          <w:szCs w:val="26"/>
        </w:rPr>
        <w:t>Position of the Parties</w:t>
      </w:r>
    </w:p>
    <w:p w14:paraId="5E20B963" w14:textId="77777777" w:rsidR="007A2949" w:rsidRPr="0029748B" w:rsidRDefault="007A2949" w:rsidP="007C4BF9">
      <w:pPr>
        <w:pStyle w:val="ListParagraph"/>
        <w:keepNext/>
        <w:keepLines/>
        <w:widowControl/>
        <w:spacing w:line="360" w:lineRule="auto"/>
        <w:ind w:left="1440"/>
        <w:textAlignment w:val="baseline"/>
        <w:rPr>
          <w:color w:val="000000"/>
          <w:sz w:val="26"/>
          <w:szCs w:val="26"/>
        </w:rPr>
      </w:pPr>
    </w:p>
    <w:p w14:paraId="2874F3CB" w14:textId="77777777" w:rsidR="004655F5" w:rsidRPr="0029748B" w:rsidRDefault="004655F5" w:rsidP="007C4BF9">
      <w:pPr>
        <w:keepNext/>
        <w:keepLines/>
        <w:widowControl/>
        <w:spacing w:line="360" w:lineRule="auto"/>
        <w:ind w:firstLine="1440"/>
        <w:rPr>
          <w:sz w:val="26"/>
          <w:szCs w:val="26"/>
        </w:rPr>
      </w:pPr>
      <w:r w:rsidRPr="0029748B">
        <w:rPr>
          <w:sz w:val="26"/>
          <w:szCs w:val="26"/>
        </w:rPr>
        <w:t>In th</w:t>
      </w:r>
      <w:r w:rsidR="006E5A1E" w:rsidRPr="0029748B">
        <w:rPr>
          <w:sz w:val="26"/>
          <w:szCs w:val="26"/>
        </w:rPr>
        <w:t xml:space="preserve">is </w:t>
      </w:r>
      <w:r w:rsidRPr="0029748B">
        <w:rPr>
          <w:sz w:val="26"/>
          <w:szCs w:val="26"/>
        </w:rPr>
        <w:t xml:space="preserve">proceeding, Twin Lakes argued that the circumstances of this rate </w:t>
      </w:r>
      <w:r w:rsidR="006E5A1E" w:rsidRPr="0029748B">
        <w:rPr>
          <w:sz w:val="26"/>
          <w:szCs w:val="26"/>
        </w:rPr>
        <w:t>case</w:t>
      </w:r>
      <w:r w:rsidRPr="0029748B">
        <w:rPr>
          <w:sz w:val="26"/>
          <w:szCs w:val="26"/>
        </w:rPr>
        <w:t xml:space="preserve"> highlight the classic small water company challenges faced by many similar-sized utilities across the nation.  Twin Lakes stated that with significant capital and operating costs required to sustain service for a relatively small customer base, the issue of affordability takes on increased prominence.  Twin Lakes noted that affordability is a subjective word which the Company acknowledges is a social concern. </w:t>
      </w:r>
      <w:r w:rsidR="004F02A6" w:rsidRPr="0029748B">
        <w:rPr>
          <w:sz w:val="26"/>
          <w:szCs w:val="26"/>
        </w:rPr>
        <w:t xml:space="preserve"> </w:t>
      </w:r>
      <w:r w:rsidR="00AA4957" w:rsidRPr="0029748B">
        <w:rPr>
          <w:sz w:val="26"/>
          <w:szCs w:val="26"/>
        </w:rPr>
        <w:t>R.D. at 83</w:t>
      </w:r>
      <w:r w:rsidR="009E0B1E">
        <w:rPr>
          <w:sz w:val="26"/>
          <w:szCs w:val="26"/>
        </w:rPr>
        <w:t>.</w:t>
      </w:r>
    </w:p>
    <w:p w14:paraId="29B96AA5" w14:textId="77777777" w:rsidR="004655F5" w:rsidRPr="0029748B" w:rsidRDefault="004655F5" w:rsidP="0029748B">
      <w:pPr>
        <w:widowControl/>
        <w:spacing w:line="360" w:lineRule="auto"/>
        <w:ind w:firstLine="1440"/>
        <w:rPr>
          <w:sz w:val="26"/>
          <w:szCs w:val="26"/>
        </w:rPr>
      </w:pPr>
    </w:p>
    <w:p w14:paraId="493D02C0" w14:textId="77777777" w:rsidR="004655F5" w:rsidRPr="0029748B" w:rsidRDefault="004655F5" w:rsidP="0029748B">
      <w:pPr>
        <w:widowControl/>
        <w:spacing w:line="360" w:lineRule="auto"/>
        <w:ind w:firstLine="1440"/>
        <w:rPr>
          <w:sz w:val="26"/>
          <w:szCs w:val="26"/>
        </w:rPr>
      </w:pPr>
      <w:r w:rsidRPr="0029748B">
        <w:rPr>
          <w:sz w:val="26"/>
          <w:szCs w:val="26"/>
        </w:rPr>
        <w:t xml:space="preserve">However, Twin Lakes asserted that the regulatory compact requires that the true cost of service be borne by the customers receiving the service, regardless of the size of the customer base. </w:t>
      </w:r>
      <w:r w:rsidR="004F02A6" w:rsidRPr="0029748B">
        <w:rPr>
          <w:sz w:val="26"/>
          <w:szCs w:val="26"/>
        </w:rPr>
        <w:t xml:space="preserve"> </w:t>
      </w:r>
      <w:r w:rsidRPr="0029748B">
        <w:rPr>
          <w:i/>
          <w:iCs/>
          <w:sz w:val="26"/>
          <w:szCs w:val="26"/>
        </w:rPr>
        <w:t>See</w:t>
      </w:r>
      <w:r w:rsidR="008026C7" w:rsidRPr="00F64855">
        <w:rPr>
          <w:sz w:val="26"/>
          <w:szCs w:val="26"/>
        </w:rPr>
        <w:t>,</w:t>
      </w:r>
      <w:r w:rsidRPr="0029748B">
        <w:rPr>
          <w:i/>
          <w:iCs/>
          <w:sz w:val="26"/>
          <w:szCs w:val="26"/>
        </w:rPr>
        <w:t xml:space="preserve"> </w:t>
      </w:r>
      <w:r w:rsidRPr="0029748B">
        <w:rPr>
          <w:sz w:val="26"/>
          <w:szCs w:val="26"/>
        </w:rPr>
        <w:t>TLU St. No. 1 at 6.  Twin Lakes maintained that the concept of affordability is not contemplated in the regulatory compact.</w:t>
      </w:r>
      <w:r w:rsidR="008026C7" w:rsidRPr="0029748B">
        <w:rPr>
          <w:sz w:val="26"/>
          <w:szCs w:val="26"/>
        </w:rPr>
        <w:t xml:space="preserve"> </w:t>
      </w:r>
      <w:r w:rsidRPr="0029748B">
        <w:rPr>
          <w:sz w:val="26"/>
          <w:szCs w:val="26"/>
        </w:rPr>
        <w:t xml:space="preserve"> Twin Lakes contended that Middlesex has gone beyond what should be reasonably expected of any investor in terms of its ongoing commitment to fund the capital and operating needs of a utility that </w:t>
      </w:r>
      <w:r w:rsidRPr="0029748B">
        <w:rPr>
          <w:sz w:val="26"/>
          <w:szCs w:val="26"/>
        </w:rPr>
        <w:lastRenderedPageBreak/>
        <w:t>has no ability to remain viable on its own.  Twin Lakes indicated that, without an acceptable outcome from this proceeding, Middlesex will no longer be able to make a financial commitment to meeting the Company’s capital and operating needs.</w:t>
      </w:r>
      <w:r w:rsidR="008026C7" w:rsidRPr="0029748B">
        <w:rPr>
          <w:sz w:val="26"/>
          <w:szCs w:val="26"/>
        </w:rPr>
        <w:t xml:space="preserve"> </w:t>
      </w:r>
      <w:r w:rsidRPr="0029748B">
        <w:rPr>
          <w:sz w:val="26"/>
          <w:szCs w:val="26"/>
        </w:rPr>
        <w:t xml:space="preserve"> Twin Lakes also questioned the qualifications of </w:t>
      </w:r>
      <w:r w:rsidR="000219FB" w:rsidRPr="0029748B">
        <w:rPr>
          <w:sz w:val="26"/>
          <w:szCs w:val="26"/>
        </w:rPr>
        <w:t xml:space="preserve">the </w:t>
      </w:r>
      <w:r w:rsidRPr="0029748B">
        <w:rPr>
          <w:sz w:val="26"/>
          <w:szCs w:val="26"/>
        </w:rPr>
        <w:t>OCA’s witness, Ms. Sherwood, to address issues related to the affordability of rates.  TLU M.B. at 15.</w:t>
      </w:r>
    </w:p>
    <w:p w14:paraId="449F4C2D" w14:textId="77777777" w:rsidR="004655F5" w:rsidRPr="0029748B" w:rsidRDefault="004655F5" w:rsidP="0029748B">
      <w:pPr>
        <w:widowControl/>
        <w:spacing w:line="360" w:lineRule="auto"/>
        <w:ind w:firstLine="1440"/>
        <w:rPr>
          <w:sz w:val="26"/>
          <w:szCs w:val="26"/>
        </w:rPr>
      </w:pPr>
    </w:p>
    <w:p w14:paraId="2E3A3EAE" w14:textId="77777777" w:rsidR="004655F5" w:rsidRPr="0029748B" w:rsidRDefault="004655F5" w:rsidP="0029748B">
      <w:pPr>
        <w:widowControl/>
        <w:spacing w:line="360" w:lineRule="auto"/>
        <w:ind w:firstLine="1440"/>
        <w:rPr>
          <w:sz w:val="26"/>
          <w:szCs w:val="26"/>
        </w:rPr>
      </w:pPr>
      <w:r w:rsidRPr="0029748B">
        <w:rPr>
          <w:sz w:val="26"/>
          <w:szCs w:val="26"/>
        </w:rPr>
        <w:t>I&amp;E noted that it addressed the issue of affordability in its discussion regarding the rate of return.</w:t>
      </w:r>
      <w:r w:rsidR="008026C7" w:rsidRPr="0029748B">
        <w:rPr>
          <w:sz w:val="26"/>
          <w:szCs w:val="26"/>
        </w:rPr>
        <w:t xml:space="preserve"> </w:t>
      </w:r>
      <w:r w:rsidRPr="0029748B">
        <w:rPr>
          <w:sz w:val="26"/>
          <w:szCs w:val="26"/>
        </w:rPr>
        <w:t xml:space="preserve"> I&amp;E M.B. at 67.</w:t>
      </w:r>
      <w:r w:rsidR="00323609" w:rsidRPr="0029748B">
        <w:rPr>
          <w:sz w:val="26"/>
          <w:szCs w:val="26"/>
        </w:rPr>
        <w:t xml:space="preserve">  </w:t>
      </w:r>
      <w:r w:rsidRPr="0029748B">
        <w:rPr>
          <w:sz w:val="26"/>
          <w:szCs w:val="26"/>
        </w:rPr>
        <w:t xml:space="preserve">More specifically, I&amp;E argued consumers pay rates which are commensurable with the level of service received. </w:t>
      </w:r>
      <w:r w:rsidR="008026C7" w:rsidRPr="0029748B">
        <w:rPr>
          <w:sz w:val="26"/>
          <w:szCs w:val="26"/>
        </w:rPr>
        <w:t xml:space="preserve"> </w:t>
      </w:r>
      <w:r w:rsidRPr="0029748B">
        <w:rPr>
          <w:sz w:val="26"/>
          <w:szCs w:val="26"/>
        </w:rPr>
        <w:t xml:space="preserve">I&amp;E argues that the disparity is clear between Twin Lakes’ customers rates and the level of water service received.  This is especially concerning given that the Company is requesting that the current average monthly bill for Twin Lakes customers increase from $94.59/month to $248.34/month, which totals approximately $3,000 per year for water service.  I&amp;E St. No. 2 at 25.  I&amp;E argued that this level of a rate increase is unreasonably high.  I&amp;E noted the </w:t>
      </w:r>
      <w:r w:rsidR="000D6A75" w:rsidRPr="0029748B">
        <w:rPr>
          <w:sz w:val="26"/>
          <w:szCs w:val="26"/>
        </w:rPr>
        <w:t>U.S. Environmental Protection Agency (</w:t>
      </w:r>
      <w:r w:rsidRPr="0029748B">
        <w:rPr>
          <w:sz w:val="26"/>
          <w:szCs w:val="26"/>
        </w:rPr>
        <w:t>EPA</w:t>
      </w:r>
      <w:r w:rsidR="000D6A75" w:rsidRPr="0029748B">
        <w:rPr>
          <w:sz w:val="26"/>
          <w:szCs w:val="26"/>
        </w:rPr>
        <w:t>)</w:t>
      </w:r>
      <w:r w:rsidRPr="0029748B">
        <w:rPr>
          <w:sz w:val="26"/>
          <w:szCs w:val="26"/>
        </w:rPr>
        <w:t xml:space="preserve"> states that water/wastewater rates greater than 2 percent of median household income may be difficult for consumer affordability based on data across many federal and state programs.</w:t>
      </w:r>
      <w:r w:rsidRPr="0029748B">
        <w:rPr>
          <w:sz w:val="26"/>
          <w:szCs w:val="26"/>
          <w:vertAlign w:val="superscript"/>
        </w:rPr>
        <w:footnoteReference w:id="9"/>
      </w:r>
      <w:r w:rsidRPr="0029748B">
        <w:rPr>
          <w:sz w:val="26"/>
          <w:szCs w:val="26"/>
        </w:rPr>
        <w:t xml:space="preserve">  </w:t>
      </w:r>
    </w:p>
    <w:p w14:paraId="0B835502" w14:textId="77777777" w:rsidR="004655F5" w:rsidRPr="0029748B" w:rsidRDefault="004655F5" w:rsidP="0029748B">
      <w:pPr>
        <w:widowControl/>
        <w:spacing w:line="360" w:lineRule="auto"/>
        <w:ind w:firstLine="1440"/>
        <w:rPr>
          <w:sz w:val="26"/>
          <w:szCs w:val="26"/>
        </w:rPr>
      </w:pPr>
    </w:p>
    <w:p w14:paraId="4860DF41" w14:textId="5DD89F29" w:rsidR="004655F5" w:rsidRPr="0029748B" w:rsidRDefault="004655F5" w:rsidP="0029748B">
      <w:pPr>
        <w:widowControl/>
        <w:spacing w:line="360" w:lineRule="auto"/>
        <w:ind w:firstLine="1440"/>
        <w:rPr>
          <w:sz w:val="26"/>
          <w:szCs w:val="26"/>
        </w:rPr>
      </w:pPr>
      <w:r w:rsidRPr="0029748B">
        <w:rPr>
          <w:sz w:val="26"/>
          <w:szCs w:val="26"/>
        </w:rPr>
        <w:t xml:space="preserve">I&amp;E stated that Twin Lakes’ service area is within Pike County, Pennsylvania and according to the U.S. Census Bureau, the median household income </w:t>
      </w:r>
      <w:r w:rsidR="001B33ED" w:rsidRPr="0029748B">
        <w:rPr>
          <w:sz w:val="26"/>
          <w:szCs w:val="26"/>
        </w:rPr>
        <w:t xml:space="preserve">(MHI) </w:t>
      </w:r>
      <w:r w:rsidRPr="0029748B">
        <w:rPr>
          <w:sz w:val="26"/>
          <w:szCs w:val="26"/>
        </w:rPr>
        <w:t xml:space="preserve">for residents of Pike County in 2017 was $63,417.  I&amp;E St. No. 2 at 25.  Two percent of $63,417 is $1,268.34, which results in a monthly amount of $105.69. </w:t>
      </w:r>
      <w:r w:rsidR="008026C7" w:rsidRPr="0029748B">
        <w:rPr>
          <w:sz w:val="26"/>
          <w:szCs w:val="26"/>
        </w:rPr>
        <w:t xml:space="preserve"> </w:t>
      </w:r>
      <w:r w:rsidRPr="0029748B">
        <w:rPr>
          <w:sz w:val="26"/>
          <w:szCs w:val="26"/>
        </w:rPr>
        <w:t xml:space="preserve">The current average monthly water bill of a Twin Lakes’ water customer is $94.59.  </w:t>
      </w:r>
      <w:bookmarkStart w:id="43" w:name="_Hlk35092289"/>
      <w:r w:rsidRPr="0029748B">
        <w:rPr>
          <w:i/>
          <w:iCs/>
          <w:sz w:val="26"/>
          <w:szCs w:val="26"/>
        </w:rPr>
        <w:t>Id</w:t>
      </w:r>
      <w:r w:rsidRPr="0029748B">
        <w:rPr>
          <w:sz w:val="26"/>
          <w:szCs w:val="26"/>
        </w:rPr>
        <w:t xml:space="preserve">.  </w:t>
      </w:r>
      <w:bookmarkEnd w:id="43"/>
      <w:r w:rsidRPr="0029748B">
        <w:rPr>
          <w:sz w:val="26"/>
          <w:szCs w:val="26"/>
        </w:rPr>
        <w:t xml:space="preserve">I&amp;E asserted that this means currently an average Twin Lakes’ water customer pays 1.79% of the median annual household income for Pike County residents for water service which is </w:t>
      </w:r>
      <w:r w:rsidRPr="0029748B">
        <w:rPr>
          <w:sz w:val="26"/>
          <w:szCs w:val="26"/>
        </w:rPr>
        <w:lastRenderedPageBreak/>
        <w:t xml:space="preserve">close to the 2% threshold set by the EPA as “difficult for the consumer.”  </w:t>
      </w:r>
      <w:r w:rsidR="00AA4957" w:rsidRPr="0029748B">
        <w:rPr>
          <w:sz w:val="26"/>
          <w:szCs w:val="26"/>
        </w:rPr>
        <w:t>I&amp;E M.B. at</w:t>
      </w:r>
      <w:r w:rsidR="00B23C91">
        <w:rPr>
          <w:sz w:val="26"/>
          <w:szCs w:val="26"/>
        </w:rPr>
        <w:t> </w:t>
      </w:r>
      <w:r w:rsidR="00AA4957" w:rsidRPr="0029748B">
        <w:rPr>
          <w:sz w:val="26"/>
          <w:szCs w:val="26"/>
        </w:rPr>
        <w:t>53-54</w:t>
      </w:r>
      <w:r w:rsidR="009E0B1E">
        <w:rPr>
          <w:sz w:val="26"/>
          <w:szCs w:val="26"/>
        </w:rPr>
        <w:t>.</w:t>
      </w:r>
    </w:p>
    <w:p w14:paraId="47619CED" w14:textId="77777777" w:rsidR="004655F5" w:rsidRPr="0029748B" w:rsidRDefault="004655F5" w:rsidP="0029748B">
      <w:pPr>
        <w:widowControl/>
        <w:spacing w:line="360" w:lineRule="auto"/>
        <w:ind w:firstLine="1440"/>
        <w:rPr>
          <w:sz w:val="26"/>
          <w:szCs w:val="26"/>
        </w:rPr>
      </w:pPr>
    </w:p>
    <w:p w14:paraId="06CE018C" w14:textId="77777777" w:rsidR="004655F5" w:rsidRPr="0029748B" w:rsidRDefault="004655F5" w:rsidP="0029748B">
      <w:pPr>
        <w:widowControl/>
        <w:spacing w:line="360" w:lineRule="auto"/>
        <w:ind w:firstLine="1440"/>
        <w:rPr>
          <w:sz w:val="26"/>
          <w:szCs w:val="26"/>
        </w:rPr>
      </w:pPr>
      <w:r w:rsidRPr="0029748B">
        <w:rPr>
          <w:sz w:val="26"/>
          <w:szCs w:val="26"/>
        </w:rPr>
        <w:t xml:space="preserve">However, based on the Company’s filing and the proposed increase, the average monthly water bill would increase to $248.34.  </w:t>
      </w:r>
      <w:r w:rsidRPr="0029748B">
        <w:rPr>
          <w:i/>
          <w:iCs/>
          <w:sz w:val="26"/>
          <w:szCs w:val="26"/>
        </w:rPr>
        <w:t>Id</w:t>
      </w:r>
      <w:r w:rsidRPr="0029748B">
        <w:rPr>
          <w:sz w:val="26"/>
          <w:szCs w:val="26"/>
        </w:rPr>
        <w:t xml:space="preserve">. </w:t>
      </w:r>
      <w:r w:rsidR="008026C7" w:rsidRPr="0029748B">
        <w:rPr>
          <w:sz w:val="26"/>
          <w:szCs w:val="26"/>
        </w:rPr>
        <w:t xml:space="preserve"> </w:t>
      </w:r>
      <w:r w:rsidRPr="0029748B">
        <w:rPr>
          <w:sz w:val="26"/>
          <w:szCs w:val="26"/>
        </w:rPr>
        <w:t xml:space="preserve">This increase, if approved, is 4.70% of the </w:t>
      </w:r>
      <w:r w:rsidR="00832377" w:rsidRPr="0029748B">
        <w:rPr>
          <w:sz w:val="26"/>
          <w:szCs w:val="26"/>
        </w:rPr>
        <w:t>MHI</w:t>
      </w:r>
      <w:r w:rsidRPr="0029748B">
        <w:rPr>
          <w:sz w:val="26"/>
          <w:szCs w:val="26"/>
        </w:rPr>
        <w:t xml:space="preserve"> and 135% above the threshold defined by the EPA as difficult for the consumer.  I&amp;E St. No. 2 at 26.</w:t>
      </w:r>
      <w:r w:rsidR="00323609" w:rsidRPr="0029748B">
        <w:rPr>
          <w:sz w:val="26"/>
          <w:szCs w:val="26"/>
        </w:rPr>
        <w:t xml:space="preserve">  </w:t>
      </w:r>
      <w:r w:rsidRPr="0029748B">
        <w:rPr>
          <w:sz w:val="26"/>
          <w:szCs w:val="26"/>
        </w:rPr>
        <w:t xml:space="preserve">I&amp;E argued that even if only a portion of the Company’s proposed increase were to be approved by the Commission, it </w:t>
      </w:r>
      <w:r w:rsidR="00781FF1" w:rsidRPr="0029748B">
        <w:rPr>
          <w:sz w:val="26"/>
          <w:szCs w:val="26"/>
        </w:rPr>
        <w:t>would move</w:t>
      </w:r>
      <w:r w:rsidRPr="0029748B">
        <w:rPr>
          <w:sz w:val="26"/>
          <w:szCs w:val="26"/>
        </w:rPr>
        <w:t xml:space="preserve"> Twin Lakes’ customers closer to unaffordability if not making water unaffordable entirely.  I&amp;E M.B. at 53-54.</w:t>
      </w:r>
    </w:p>
    <w:p w14:paraId="281E1C58" w14:textId="77777777" w:rsidR="004655F5" w:rsidRPr="0029748B" w:rsidRDefault="004655F5" w:rsidP="0029748B">
      <w:pPr>
        <w:widowControl/>
        <w:spacing w:line="360" w:lineRule="auto"/>
        <w:ind w:firstLine="1440"/>
        <w:rPr>
          <w:sz w:val="26"/>
          <w:szCs w:val="26"/>
        </w:rPr>
      </w:pPr>
    </w:p>
    <w:p w14:paraId="2632368F" w14:textId="77777777" w:rsidR="004655F5" w:rsidRPr="0029748B" w:rsidRDefault="004655F5" w:rsidP="0029748B">
      <w:pPr>
        <w:widowControl/>
        <w:spacing w:line="360" w:lineRule="auto"/>
        <w:ind w:firstLine="1440"/>
        <w:rPr>
          <w:sz w:val="26"/>
          <w:szCs w:val="26"/>
        </w:rPr>
      </w:pPr>
      <w:r w:rsidRPr="0029748B">
        <w:rPr>
          <w:sz w:val="26"/>
          <w:szCs w:val="26"/>
        </w:rPr>
        <w:t xml:space="preserve">Additionally, I&amp;E noted that Twin Lakes customers made it clear that the bills were unaffordable at the two public input hearings held in the service territory on October 17, 2019. </w:t>
      </w:r>
      <w:r w:rsidR="008026C7" w:rsidRPr="0029748B">
        <w:rPr>
          <w:sz w:val="26"/>
          <w:szCs w:val="26"/>
        </w:rPr>
        <w:t xml:space="preserve"> </w:t>
      </w:r>
      <w:r w:rsidRPr="0029748B">
        <w:rPr>
          <w:sz w:val="26"/>
          <w:szCs w:val="26"/>
        </w:rPr>
        <w:t xml:space="preserve">At these hearings, customers testified about Twin Lakes’ high water rates, especially since many customers are retirees surviving on a limited, fixed income.  I&amp;E St. No. 2 at 26.  Specifically, Ms. Helen Miller testified, “[m]y feeling is that this price is a hardship as it is, and it will be an increased hardship when the rates go up or if they go up substantially or any amount.”  Tr. at 83.  This sentiment was echoed by Mr. </w:t>
      </w:r>
      <w:proofErr w:type="spellStart"/>
      <w:r w:rsidRPr="0029748B">
        <w:rPr>
          <w:sz w:val="26"/>
          <w:szCs w:val="26"/>
        </w:rPr>
        <w:t>Grzegorz</w:t>
      </w:r>
      <w:proofErr w:type="spellEnd"/>
      <w:r w:rsidRPr="0029748B">
        <w:rPr>
          <w:sz w:val="26"/>
          <w:szCs w:val="26"/>
        </w:rPr>
        <w:t xml:space="preserve"> </w:t>
      </w:r>
      <w:proofErr w:type="spellStart"/>
      <w:r w:rsidRPr="0029748B">
        <w:rPr>
          <w:sz w:val="26"/>
          <w:szCs w:val="26"/>
        </w:rPr>
        <w:t>Nieczaj</w:t>
      </w:r>
      <w:proofErr w:type="spellEnd"/>
      <w:r w:rsidRPr="0029748B">
        <w:rPr>
          <w:sz w:val="26"/>
          <w:szCs w:val="26"/>
        </w:rPr>
        <w:t xml:space="preserve"> who stated, “this would be devastating for me if this [rate increase] were to go through.”  Tr. at 101.  Mr. </w:t>
      </w:r>
      <w:proofErr w:type="spellStart"/>
      <w:r w:rsidRPr="0029748B">
        <w:rPr>
          <w:sz w:val="26"/>
          <w:szCs w:val="26"/>
        </w:rPr>
        <w:t>Nieczaj</w:t>
      </w:r>
      <w:proofErr w:type="spellEnd"/>
      <w:r w:rsidRPr="0029748B">
        <w:rPr>
          <w:sz w:val="26"/>
          <w:szCs w:val="26"/>
        </w:rPr>
        <w:t xml:space="preserve"> testified that if the rate increase were to be granted by the Commission he would have to rent or sell his home due to the level of rates.  Tr. at 100.  Ms. Tami DeFrancesco testified, “I do feel that the increase is just unjust and would really be a hardship for many people.” </w:t>
      </w:r>
      <w:r w:rsidR="00574A7E" w:rsidRPr="0029748B">
        <w:rPr>
          <w:sz w:val="26"/>
          <w:szCs w:val="26"/>
        </w:rPr>
        <w:t xml:space="preserve"> </w:t>
      </w:r>
      <w:r w:rsidRPr="0029748B">
        <w:rPr>
          <w:sz w:val="26"/>
          <w:szCs w:val="26"/>
        </w:rPr>
        <w:t>Lastly, Mr. Jeffrey Shatt, testified that his level of service is disproportionate to the amount Twin Lakes’ charges.  Tr. at 86.</w:t>
      </w:r>
    </w:p>
    <w:p w14:paraId="6F63D693" w14:textId="77777777" w:rsidR="004655F5" w:rsidRPr="0029748B" w:rsidRDefault="004655F5" w:rsidP="0029748B">
      <w:pPr>
        <w:widowControl/>
        <w:spacing w:line="360" w:lineRule="auto"/>
        <w:ind w:firstLine="1440"/>
        <w:rPr>
          <w:sz w:val="26"/>
          <w:szCs w:val="26"/>
        </w:rPr>
      </w:pPr>
    </w:p>
    <w:p w14:paraId="642BC24E" w14:textId="68C2C61B" w:rsidR="004655F5" w:rsidRDefault="004655F5" w:rsidP="0029748B">
      <w:pPr>
        <w:widowControl/>
        <w:spacing w:line="360" w:lineRule="auto"/>
        <w:ind w:firstLine="1440"/>
        <w:rPr>
          <w:sz w:val="26"/>
          <w:szCs w:val="26"/>
        </w:rPr>
      </w:pPr>
      <w:r w:rsidRPr="0029748B">
        <w:rPr>
          <w:sz w:val="26"/>
          <w:szCs w:val="26"/>
        </w:rPr>
        <w:t xml:space="preserve">I&amp;E also asserted that high water bills can harm ratepayers by placing downward pressure on property values.  I&amp;E St. No. 2 at 26-27.  In addition to driving property values down, I&amp;E indicated that high water bills make it difficult to rent </w:t>
      </w:r>
      <w:r w:rsidRPr="0029748B">
        <w:rPr>
          <w:sz w:val="26"/>
          <w:szCs w:val="26"/>
        </w:rPr>
        <w:lastRenderedPageBreak/>
        <w:t xml:space="preserve">properties within the Twin Lakes service area.  These issues were not overlooked as they were also addressed by customers at the public input hearings.  Tr. at 95, 100; </w:t>
      </w:r>
      <w:r w:rsidRPr="0029748B">
        <w:rPr>
          <w:i/>
          <w:iCs/>
          <w:sz w:val="26"/>
          <w:szCs w:val="26"/>
        </w:rPr>
        <w:t>see also</w:t>
      </w:r>
      <w:r w:rsidR="008026C7" w:rsidRPr="0029748B">
        <w:rPr>
          <w:i/>
          <w:iCs/>
          <w:sz w:val="26"/>
          <w:szCs w:val="26"/>
        </w:rPr>
        <w:t>,</w:t>
      </w:r>
      <w:r w:rsidRPr="0029748B">
        <w:rPr>
          <w:sz w:val="26"/>
          <w:szCs w:val="26"/>
        </w:rPr>
        <w:t xml:space="preserve"> I&amp;E M.B. at 54-55.</w:t>
      </w:r>
    </w:p>
    <w:p w14:paraId="1336DD3E" w14:textId="77777777" w:rsidR="00A070CB" w:rsidRPr="0029748B" w:rsidRDefault="00A070CB" w:rsidP="0029748B">
      <w:pPr>
        <w:widowControl/>
        <w:spacing w:line="360" w:lineRule="auto"/>
        <w:ind w:firstLine="1440"/>
        <w:rPr>
          <w:sz w:val="26"/>
          <w:szCs w:val="26"/>
        </w:rPr>
      </w:pPr>
    </w:p>
    <w:p w14:paraId="4EA3CF41" w14:textId="77777777" w:rsidR="004655F5" w:rsidRPr="0029748B" w:rsidRDefault="004655F5" w:rsidP="0029748B">
      <w:pPr>
        <w:widowControl/>
        <w:spacing w:line="360" w:lineRule="auto"/>
        <w:ind w:firstLine="1440"/>
        <w:rPr>
          <w:sz w:val="26"/>
          <w:szCs w:val="26"/>
        </w:rPr>
      </w:pPr>
      <w:r w:rsidRPr="0029748B">
        <w:rPr>
          <w:sz w:val="26"/>
          <w:szCs w:val="26"/>
        </w:rPr>
        <w:t xml:space="preserve">The OCA argued that the affordability of rates for the customers is an important consideration in this proceeding. </w:t>
      </w:r>
      <w:r w:rsidR="008026C7" w:rsidRPr="0029748B">
        <w:rPr>
          <w:sz w:val="26"/>
          <w:szCs w:val="26"/>
        </w:rPr>
        <w:t xml:space="preserve"> The</w:t>
      </w:r>
      <w:r w:rsidR="00C405B8" w:rsidRPr="0029748B">
        <w:rPr>
          <w:sz w:val="26"/>
          <w:szCs w:val="26"/>
        </w:rPr>
        <w:t xml:space="preserve"> </w:t>
      </w:r>
      <w:r w:rsidRPr="0029748B">
        <w:rPr>
          <w:sz w:val="26"/>
          <w:szCs w:val="26"/>
        </w:rPr>
        <w:t xml:space="preserve">OCA asserted that the Company’s proposed rates violate ratemaking principles because increasing rates as the Company has proposed, will result in rate shock that violates the important ratemaking principle of gradualism and it is likely that the average $155 monthly increase may not be affordable for some customers.  OCA St. No. 1 at 12.   </w:t>
      </w:r>
      <w:r w:rsidR="00622A1D" w:rsidRPr="0029748B">
        <w:rPr>
          <w:sz w:val="26"/>
          <w:szCs w:val="26"/>
        </w:rPr>
        <w:t>The following chart</w:t>
      </w:r>
      <w:r w:rsidRPr="0029748B">
        <w:rPr>
          <w:sz w:val="26"/>
          <w:szCs w:val="26"/>
        </w:rPr>
        <w:t xml:space="preserve"> shows the impact of the Company’s proposal: </w:t>
      </w:r>
    </w:p>
    <w:p w14:paraId="7D52D0BE" w14:textId="77777777" w:rsidR="004655F5" w:rsidRPr="0029748B" w:rsidRDefault="004655F5" w:rsidP="0029748B">
      <w:pPr>
        <w:widowControl/>
        <w:spacing w:line="360" w:lineRule="auto"/>
        <w:ind w:firstLine="1440"/>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2345"/>
        <w:gridCol w:w="2340"/>
      </w:tblGrid>
      <w:tr w:rsidR="004655F5" w:rsidRPr="0029748B" w14:paraId="74F390D4" w14:textId="77777777" w:rsidTr="004655F5">
        <w:trPr>
          <w:trHeight w:val="205"/>
          <w:jc w:val="center"/>
        </w:trPr>
        <w:tc>
          <w:tcPr>
            <w:tcW w:w="3505" w:type="dxa"/>
            <w:tcBorders>
              <w:top w:val="single" w:sz="4" w:space="0" w:color="auto"/>
              <w:left w:val="single" w:sz="4" w:space="0" w:color="auto"/>
              <w:bottom w:val="single" w:sz="4" w:space="0" w:color="auto"/>
              <w:right w:val="single" w:sz="4" w:space="0" w:color="auto"/>
            </w:tcBorders>
          </w:tcPr>
          <w:p w14:paraId="6D1F0AF2"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p>
        </w:tc>
        <w:tc>
          <w:tcPr>
            <w:tcW w:w="2345" w:type="dxa"/>
            <w:tcBorders>
              <w:top w:val="single" w:sz="4" w:space="0" w:color="auto"/>
              <w:left w:val="single" w:sz="4" w:space="0" w:color="auto"/>
              <w:bottom w:val="single" w:sz="4" w:space="0" w:color="auto"/>
              <w:right w:val="single" w:sz="4" w:space="0" w:color="auto"/>
            </w:tcBorders>
          </w:tcPr>
          <w:p w14:paraId="5AF3E4EB" w14:textId="77777777" w:rsidR="004655F5" w:rsidRPr="0029748B" w:rsidRDefault="004655F5" w:rsidP="0029748B">
            <w:pPr>
              <w:widowControl/>
              <w:autoSpaceDE w:val="0"/>
              <w:autoSpaceDN w:val="0"/>
              <w:adjustRightInd w:val="0"/>
              <w:spacing w:line="276" w:lineRule="auto"/>
              <w:jc w:val="right"/>
              <w:rPr>
                <w:rFonts w:eastAsia="Calibri"/>
                <w:b/>
                <w:bCs/>
                <w:color w:val="000000"/>
                <w:sz w:val="26"/>
                <w:szCs w:val="26"/>
              </w:rPr>
            </w:pPr>
          </w:p>
          <w:p w14:paraId="59A1E0B7" w14:textId="77777777" w:rsidR="004655F5" w:rsidRPr="0029748B" w:rsidRDefault="004655F5" w:rsidP="0029748B">
            <w:pPr>
              <w:widowControl/>
              <w:autoSpaceDE w:val="0"/>
              <w:autoSpaceDN w:val="0"/>
              <w:adjustRightInd w:val="0"/>
              <w:spacing w:line="276" w:lineRule="auto"/>
              <w:jc w:val="right"/>
              <w:rPr>
                <w:rFonts w:eastAsia="Calibri"/>
                <w:b/>
                <w:bCs/>
                <w:color w:val="000000"/>
                <w:sz w:val="26"/>
                <w:szCs w:val="26"/>
              </w:rPr>
            </w:pPr>
            <w:r w:rsidRPr="0029748B">
              <w:rPr>
                <w:rFonts w:eastAsia="Calibri"/>
                <w:b/>
                <w:bCs/>
                <w:color w:val="000000"/>
                <w:sz w:val="26"/>
                <w:szCs w:val="26"/>
              </w:rPr>
              <w:t xml:space="preserve">Current </w:t>
            </w:r>
          </w:p>
        </w:tc>
        <w:tc>
          <w:tcPr>
            <w:tcW w:w="2340" w:type="dxa"/>
            <w:tcBorders>
              <w:top w:val="single" w:sz="4" w:space="0" w:color="auto"/>
              <w:left w:val="single" w:sz="4" w:space="0" w:color="auto"/>
              <w:bottom w:val="single" w:sz="4" w:space="0" w:color="auto"/>
              <w:right w:val="single" w:sz="4" w:space="0" w:color="auto"/>
            </w:tcBorders>
            <w:hideMark/>
          </w:tcPr>
          <w:p w14:paraId="3236A20D" w14:textId="77777777" w:rsidR="004655F5" w:rsidRPr="0029748B" w:rsidRDefault="004655F5" w:rsidP="0029748B">
            <w:pPr>
              <w:widowControl/>
              <w:autoSpaceDE w:val="0"/>
              <w:autoSpaceDN w:val="0"/>
              <w:adjustRightInd w:val="0"/>
              <w:spacing w:line="276" w:lineRule="auto"/>
              <w:jc w:val="right"/>
              <w:rPr>
                <w:rFonts w:eastAsia="Calibri"/>
                <w:b/>
                <w:bCs/>
                <w:color w:val="000000"/>
                <w:sz w:val="26"/>
                <w:szCs w:val="26"/>
              </w:rPr>
            </w:pPr>
            <w:r w:rsidRPr="0029748B">
              <w:rPr>
                <w:rFonts w:eastAsia="Calibri"/>
                <w:b/>
                <w:bCs/>
                <w:color w:val="000000"/>
                <w:sz w:val="26"/>
                <w:szCs w:val="26"/>
              </w:rPr>
              <w:t>Company Proposed</w:t>
            </w:r>
          </w:p>
        </w:tc>
      </w:tr>
      <w:tr w:rsidR="004655F5" w:rsidRPr="0029748B" w14:paraId="6A419F83" w14:textId="77777777" w:rsidTr="004655F5">
        <w:trPr>
          <w:trHeight w:val="486"/>
          <w:jc w:val="center"/>
        </w:trPr>
        <w:tc>
          <w:tcPr>
            <w:tcW w:w="3505" w:type="dxa"/>
            <w:tcBorders>
              <w:top w:val="single" w:sz="4" w:space="0" w:color="auto"/>
              <w:left w:val="single" w:sz="4" w:space="0" w:color="auto"/>
              <w:bottom w:val="single" w:sz="4" w:space="0" w:color="auto"/>
              <w:right w:val="single" w:sz="4" w:space="0" w:color="auto"/>
            </w:tcBorders>
            <w:hideMark/>
          </w:tcPr>
          <w:p w14:paraId="3F08197D"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Customer Charge per month </w:t>
            </w:r>
          </w:p>
        </w:tc>
        <w:tc>
          <w:tcPr>
            <w:tcW w:w="2345" w:type="dxa"/>
            <w:tcBorders>
              <w:top w:val="single" w:sz="4" w:space="0" w:color="auto"/>
              <w:left w:val="single" w:sz="4" w:space="0" w:color="auto"/>
              <w:bottom w:val="single" w:sz="4" w:space="0" w:color="auto"/>
              <w:right w:val="single" w:sz="4" w:space="0" w:color="auto"/>
            </w:tcBorders>
          </w:tcPr>
          <w:p w14:paraId="34C6AFA5"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454D219C"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$60.41</w:t>
            </w:r>
          </w:p>
        </w:tc>
        <w:tc>
          <w:tcPr>
            <w:tcW w:w="2340" w:type="dxa"/>
            <w:tcBorders>
              <w:top w:val="single" w:sz="4" w:space="0" w:color="auto"/>
              <w:left w:val="single" w:sz="4" w:space="0" w:color="auto"/>
              <w:bottom w:val="single" w:sz="4" w:space="0" w:color="auto"/>
              <w:right w:val="single" w:sz="4" w:space="0" w:color="auto"/>
            </w:tcBorders>
          </w:tcPr>
          <w:p w14:paraId="3B0F4141"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53471D73"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$158.61</w:t>
            </w:r>
          </w:p>
        </w:tc>
      </w:tr>
      <w:tr w:rsidR="004655F5" w:rsidRPr="0029748B" w14:paraId="757737BB" w14:textId="77777777" w:rsidTr="004655F5">
        <w:trPr>
          <w:trHeight w:val="205"/>
          <w:jc w:val="center"/>
        </w:trPr>
        <w:tc>
          <w:tcPr>
            <w:tcW w:w="3505" w:type="dxa"/>
            <w:tcBorders>
              <w:top w:val="single" w:sz="4" w:space="0" w:color="auto"/>
              <w:left w:val="single" w:sz="4" w:space="0" w:color="auto"/>
              <w:bottom w:val="single" w:sz="4" w:space="0" w:color="auto"/>
              <w:right w:val="single" w:sz="4" w:space="0" w:color="auto"/>
            </w:tcBorders>
            <w:hideMark/>
          </w:tcPr>
          <w:p w14:paraId="72916384"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Volumetric Charge per 1,000 gallons </w:t>
            </w:r>
          </w:p>
        </w:tc>
        <w:tc>
          <w:tcPr>
            <w:tcW w:w="2345" w:type="dxa"/>
            <w:tcBorders>
              <w:top w:val="single" w:sz="4" w:space="0" w:color="auto"/>
              <w:left w:val="single" w:sz="4" w:space="0" w:color="auto"/>
              <w:bottom w:val="single" w:sz="4" w:space="0" w:color="auto"/>
              <w:right w:val="single" w:sz="4" w:space="0" w:color="auto"/>
            </w:tcBorders>
          </w:tcPr>
          <w:p w14:paraId="4EA3B39E"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792E8731"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$14.60</w:t>
            </w:r>
          </w:p>
        </w:tc>
        <w:tc>
          <w:tcPr>
            <w:tcW w:w="2340" w:type="dxa"/>
            <w:tcBorders>
              <w:top w:val="single" w:sz="4" w:space="0" w:color="auto"/>
              <w:left w:val="single" w:sz="4" w:space="0" w:color="auto"/>
              <w:bottom w:val="single" w:sz="4" w:space="0" w:color="auto"/>
              <w:right w:val="single" w:sz="4" w:space="0" w:color="auto"/>
            </w:tcBorders>
          </w:tcPr>
          <w:p w14:paraId="090557FE"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2D0D620C"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$38.33</w:t>
            </w:r>
          </w:p>
        </w:tc>
      </w:tr>
      <w:tr w:rsidR="004655F5" w:rsidRPr="0029748B" w14:paraId="6D69C067" w14:textId="77777777" w:rsidTr="004655F5">
        <w:trPr>
          <w:trHeight w:val="320"/>
          <w:jc w:val="center"/>
        </w:trPr>
        <w:tc>
          <w:tcPr>
            <w:tcW w:w="3505" w:type="dxa"/>
            <w:tcBorders>
              <w:top w:val="single" w:sz="4" w:space="0" w:color="auto"/>
              <w:left w:val="single" w:sz="4" w:space="0" w:color="auto"/>
              <w:bottom w:val="single" w:sz="4" w:space="0" w:color="auto"/>
              <w:right w:val="single" w:sz="4" w:space="0" w:color="auto"/>
            </w:tcBorders>
            <w:hideMark/>
          </w:tcPr>
          <w:p w14:paraId="79A1E4CF"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Total </w:t>
            </w:r>
            <w:r w:rsidRPr="0029748B">
              <w:rPr>
                <w:rFonts w:eastAsia="Calibri"/>
                <w:b/>
                <w:bCs/>
                <w:color w:val="000000"/>
                <w:sz w:val="26"/>
                <w:szCs w:val="26"/>
              </w:rPr>
              <w:t xml:space="preserve">monthly </w:t>
            </w:r>
            <w:r w:rsidRPr="0029748B">
              <w:rPr>
                <w:rFonts w:eastAsia="Calibri"/>
                <w:color w:val="000000"/>
                <w:sz w:val="26"/>
                <w:szCs w:val="26"/>
              </w:rPr>
              <w:t xml:space="preserve">charges for customer using </w:t>
            </w:r>
            <w:r w:rsidRPr="0029748B">
              <w:rPr>
                <w:rFonts w:eastAsia="Calibri"/>
                <w:b/>
                <w:bCs/>
                <w:color w:val="000000"/>
                <w:sz w:val="26"/>
                <w:szCs w:val="26"/>
              </w:rPr>
              <w:t xml:space="preserve">2,400 </w:t>
            </w:r>
            <w:r w:rsidRPr="0029748B">
              <w:rPr>
                <w:rFonts w:eastAsia="Calibri"/>
                <w:color w:val="000000"/>
                <w:sz w:val="26"/>
                <w:szCs w:val="26"/>
              </w:rPr>
              <w:t xml:space="preserve">gallons per month </w:t>
            </w:r>
          </w:p>
        </w:tc>
        <w:tc>
          <w:tcPr>
            <w:tcW w:w="2345" w:type="dxa"/>
            <w:tcBorders>
              <w:top w:val="single" w:sz="4" w:space="0" w:color="auto"/>
              <w:left w:val="single" w:sz="4" w:space="0" w:color="auto"/>
              <w:bottom w:val="single" w:sz="4" w:space="0" w:color="auto"/>
              <w:right w:val="single" w:sz="4" w:space="0" w:color="auto"/>
            </w:tcBorders>
          </w:tcPr>
          <w:p w14:paraId="52D3DE59"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2505CDA2"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6AAE7666"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$95</w:t>
            </w:r>
          </w:p>
        </w:tc>
        <w:tc>
          <w:tcPr>
            <w:tcW w:w="2340" w:type="dxa"/>
            <w:tcBorders>
              <w:top w:val="single" w:sz="4" w:space="0" w:color="auto"/>
              <w:left w:val="single" w:sz="4" w:space="0" w:color="auto"/>
              <w:bottom w:val="single" w:sz="4" w:space="0" w:color="auto"/>
              <w:right w:val="single" w:sz="4" w:space="0" w:color="auto"/>
            </w:tcBorders>
          </w:tcPr>
          <w:p w14:paraId="420109E3"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3CE51358"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3B23F48E"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$251</w:t>
            </w:r>
          </w:p>
        </w:tc>
      </w:tr>
      <w:tr w:rsidR="004655F5" w:rsidRPr="0029748B" w14:paraId="6CCD81AC" w14:textId="77777777" w:rsidTr="004655F5">
        <w:trPr>
          <w:trHeight w:val="319"/>
          <w:jc w:val="center"/>
        </w:trPr>
        <w:tc>
          <w:tcPr>
            <w:tcW w:w="3505" w:type="dxa"/>
            <w:tcBorders>
              <w:top w:val="single" w:sz="4" w:space="0" w:color="auto"/>
              <w:left w:val="single" w:sz="4" w:space="0" w:color="auto"/>
              <w:bottom w:val="single" w:sz="4" w:space="0" w:color="auto"/>
              <w:right w:val="single" w:sz="4" w:space="0" w:color="auto"/>
            </w:tcBorders>
            <w:hideMark/>
          </w:tcPr>
          <w:p w14:paraId="0D0720F0"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Total </w:t>
            </w:r>
            <w:r w:rsidRPr="0029748B">
              <w:rPr>
                <w:rFonts w:eastAsia="Calibri"/>
                <w:b/>
                <w:bCs/>
                <w:color w:val="000000"/>
                <w:sz w:val="26"/>
                <w:szCs w:val="26"/>
              </w:rPr>
              <w:t xml:space="preserve">annual </w:t>
            </w:r>
            <w:r w:rsidRPr="0029748B">
              <w:rPr>
                <w:rFonts w:eastAsia="Calibri"/>
                <w:color w:val="000000"/>
                <w:sz w:val="26"/>
                <w:szCs w:val="26"/>
              </w:rPr>
              <w:t xml:space="preserve">charges for customer using </w:t>
            </w:r>
            <w:r w:rsidRPr="0029748B">
              <w:rPr>
                <w:rFonts w:eastAsia="Calibri"/>
                <w:b/>
                <w:bCs/>
                <w:color w:val="000000"/>
                <w:sz w:val="26"/>
                <w:szCs w:val="26"/>
              </w:rPr>
              <w:t xml:space="preserve">2,400 </w:t>
            </w:r>
            <w:r w:rsidRPr="0029748B">
              <w:rPr>
                <w:rFonts w:eastAsia="Calibri"/>
                <w:color w:val="000000"/>
                <w:sz w:val="26"/>
                <w:szCs w:val="26"/>
              </w:rPr>
              <w:t xml:space="preserve">gallons per month </w:t>
            </w:r>
          </w:p>
        </w:tc>
        <w:tc>
          <w:tcPr>
            <w:tcW w:w="2345" w:type="dxa"/>
            <w:tcBorders>
              <w:top w:val="single" w:sz="4" w:space="0" w:color="auto"/>
              <w:left w:val="single" w:sz="4" w:space="0" w:color="auto"/>
              <w:bottom w:val="single" w:sz="4" w:space="0" w:color="auto"/>
              <w:right w:val="single" w:sz="4" w:space="0" w:color="auto"/>
            </w:tcBorders>
          </w:tcPr>
          <w:p w14:paraId="658751DB"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135C2104"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506B63DA"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$1,140</w:t>
            </w:r>
          </w:p>
        </w:tc>
        <w:tc>
          <w:tcPr>
            <w:tcW w:w="2340" w:type="dxa"/>
            <w:tcBorders>
              <w:top w:val="single" w:sz="4" w:space="0" w:color="auto"/>
              <w:left w:val="single" w:sz="4" w:space="0" w:color="auto"/>
              <w:bottom w:val="single" w:sz="4" w:space="0" w:color="auto"/>
              <w:right w:val="single" w:sz="4" w:space="0" w:color="auto"/>
            </w:tcBorders>
          </w:tcPr>
          <w:p w14:paraId="42E29463"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09636CEA"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46560368"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$3,012</w:t>
            </w:r>
          </w:p>
        </w:tc>
      </w:tr>
      <w:tr w:rsidR="004655F5" w:rsidRPr="0029748B" w14:paraId="0B3657C4" w14:textId="77777777" w:rsidTr="00A20800">
        <w:trPr>
          <w:trHeight w:val="320"/>
          <w:jc w:val="center"/>
        </w:trPr>
        <w:tc>
          <w:tcPr>
            <w:tcW w:w="3505" w:type="dxa"/>
            <w:tcBorders>
              <w:top w:val="single" w:sz="4" w:space="0" w:color="auto"/>
              <w:left w:val="single" w:sz="4" w:space="0" w:color="auto"/>
              <w:bottom w:val="single" w:sz="4" w:space="0" w:color="auto"/>
              <w:right w:val="single" w:sz="4" w:space="0" w:color="auto"/>
            </w:tcBorders>
            <w:hideMark/>
          </w:tcPr>
          <w:p w14:paraId="22F49BF9"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Total </w:t>
            </w:r>
            <w:r w:rsidRPr="0029748B">
              <w:rPr>
                <w:rFonts w:eastAsia="Calibri"/>
                <w:b/>
                <w:bCs/>
                <w:color w:val="000000"/>
                <w:sz w:val="26"/>
                <w:szCs w:val="26"/>
              </w:rPr>
              <w:t xml:space="preserve">monthly </w:t>
            </w:r>
            <w:r w:rsidRPr="0029748B">
              <w:rPr>
                <w:rFonts w:eastAsia="Calibri"/>
                <w:color w:val="000000"/>
                <w:sz w:val="26"/>
                <w:szCs w:val="26"/>
              </w:rPr>
              <w:t xml:space="preserve">charges for customer using </w:t>
            </w:r>
            <w:r w:rsidRPr="0029748B">
              <w:rPr>
                <w:rFonts w:eastAsia="Calibri"/>
                <w:b/>
                <w:bCs/>
                <w:color w:val="000000"/>
                <w:sz w:val="26"/>
                <w:szCs w:val="26"/>
              </w:rPr>
              <w:t xml:space="preserve">5,000 </w:t>
            </w:r>
            <w:r w:rsidRPr="0029748B">
              <w:rPr>
                <w:rFonts w:eastAsia="Calibri"/>
                <w:color w:val="000000"/>
                <w:sz w:val="26"/>
                <w:szCs w:val="26"/>
              </w:rPr>
              <w:t xml:space="preserve">gallons per month </w:t>
            </w:r>
          </w:p>
        </w:tc>
        <w:tc>
          <w:tcPr>
            <w:tcW w:w="2345" w:type="dxa"/>
            <w:tcBorders>
              <w:top w:val="single" w:sz="4" w:space="0" w:color="auto"/>
              <w:left w:val="single" w:sz="4" w:space="0" w:color="auto"/>
              <w:bottom w:val="single" w:sz="4" w:space="0" w:color="auto"/>
              <w:right w:val="single" w:sz="4" w:space="0" w:color="auto"/>
            </w:tcBorders>
          </w:tcPr>
          <w:p w14:paraId="1D1055EF"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16BD6753"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7B31A926"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$133</w:t>
            </w:r>
          </w:p>
        </w:tc>
        <w:tc>
          <w:tcPr>
            <w:tcW w:w="2340" w:type="dxa"/>
            <w:tcBorders>
              <w:top w:val="single" w:sz="4" w:space="0" w:color="auto"/>
              <w:left w:val="single" w:sz="4" w:space="0" w:color="auto"/>
              <w:bottom w:val="single" w:sz="4" w:space="0" w:color="auto"/>
              <w:right w:val="single" w:sz="4" w:space="0" w:color="auto"/>
            </w:tcBorders>
          </w:tcPr>
          <w:p w14:paraId="3B331A61"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3287D394"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1FCCB487"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$350</w:t>
            </w:r>
          </w:p>
        </w:tc>
      </w:tr>
      <w:tr w:rsidR="004655F5" w:rsidRPr="0029748B" w14:paraId="4578B7EB" w14:textId="77777777" w:rsidTr="004655F5">
        <w:trPr>
          <w:trHeight w:val="319"/>
          <w:jc w:val="center"/>
        </w:trPr>
        <w:tc>
          <w:tcPr>
            <w:tcW w:w="3505" w:type="dxa"/>
            <w:tcBorders>
              <w:top w:val="single" w:sz="4" w:space="0" w:color="auto"/>
              <w:left w:val="single" w:sz="4" w:space="0" w:color="auto"/>
              <w:bottom w:val="single" w:sz="4" w:space="0" w:color="auto"/>
              <w:right w:val="single" w:sz="4" w:space="0" w:color="auto"/>
            </w:tcBorders>
            <w:hideMark/>
          </w:tcPr>
          <w:p w14:paraId="3ED1C0F0"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Total </w:t>
            </w:r>
            <w:r w:rsidRPr="0029748B">
              <w:rPr>
                <w:rFonts w:eastAsia="Calibri"/>
                <w:b/>
                <w:bCs/>
                <w:color w:val="000000"/>
                <w:sz w:val="26"/>
                <w:szCs w:val="26"/>
              </w:rPr>
              <w:t xml:space="preserve">annual </w:t>
            </w:r>
            <w:r w:rsidRPr="0029748B">
              <w:rPr>
                <w:rFonts w:eastAsia="Calibri"/>
                <w:color w:val="000000"/>
                <w:sz w:val="26"/>
                <w:szCs w:val="26"/>
              </w:rPr>
              <w:t xml:space="preserve">charges for customer using </w:t>
            </w:r>
            <w:r w:rsidRPr="0029748B">
              <w:rPr>
                <w:rFonts w:eastAsia="Calibri"/>
                <w:b/>
                <w:bCs/>
                <w:color w:val="000000"/>
                <w:sz w:val="26"/>
                <w:szCs w:val="26"/>
              </w:rPr>
              <w:t xml:space="preserve">5,000 </w:t>
            </w:r>
            <w:r w:rsidRPr="0029748B">
              <w:rPr>
                <w:rFonts w:eastAsia="Calibri"/>
                <w:color w:val="000000"/>
                <w:sz w:val="26"/>
                <w:szCs w:val="26"/>
              </w:rPr>
              <w:t xml:space="preserve">gallons per month </w:t>
            </w:r>
          </w:p>
        </w:tc>
        <w:tc>
          <w:tcPr>
            <w:tcW w:w="2345" w:type="dxa"/>
            <w:tcBorders>
              <w:top w:val="single" w:sz="4" w:space="0" w:color="auto"/>
              <w:left w:val="single" w:sz="4" w:space="0" w:color="auto"/>
              <w:bottom w:val="single" w:sz="4" w:space="0" w:color="auto"/>
              <w:right w:val="single" w:sz="4" w:space="0" w:color="auto"/>
            </w:tcBorders>
          </w:tcPr>
          <w:p w14:paraId="0FE37CA6"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2531AE65"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7DFC141B"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$1,601</w:t>
            </w:r>
          </w:p>
        </w:tc>
        <w:tc>
          <w:tcPr>
            <w:tcW w:w="2340" w:type="dxa"/>
            <w:tcBorders>
              <w:top w:val="single" w:sz="4" w:space="0" w:color="auto"/>
              <w:left w:val="single" w:sz="4" w:space="0" w:color="auto"/>
              <w:bottom w:val="single" w:sz="4" w:space="0" w:color="auto"/>
              <w:right w:val="single" w:sz="4" w:space="0" w:color="auto"/>
            </w:tcBorders>
          </w:tcPr>
          <w:p w14:paraId="4A9C5196"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69F2B20B"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1EA545F0"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$4,203</w:t>
            </w:r>
          </w:p>
        </w:tc>
      </w:tr>
    </w:tbl>
    <w:p w14:paraId="433480E5" w14:textId="77777777" w:rsidR="004655F5" w:rsidRPr="0029748B" w:rsidRDefault="004655F5" w:rsidP="0029748B">
      <w:pPr>
        <w:widowControl/>
        <w:spacing w:line="360" w:lineRule="auto"/>
        <w:ind w:firstLine="1440"/>
        <w:rPr>
          <w:sz w:val="26"/>
          <w:szCs w:val="26"/>
        </w:rPr>
      </w:pPr>
    </w:p>
    <w:p w14:paraId="5041B8D1" w14:textId="77777777" w:rsidR="004655F5" w:rsidRPr="0029748B" w:rsidRDefault="004655F5" w:rsidP="0029748B">
      <w:pPr>
        <w:widowControl/>
        <w:spacing w:line="360" w:lineRule="auto"/>
        <w:rPr>
          <w:sz w:val="26"/>
          <w:szCs w:val="26"/>
        </w:rPr>
      </w:pPr>
      <w:r w:rsidRPr="0029748B">
        <w:rPr>
          <w:sz w:val="26"/>
          <w:szCs w:val="26"/>
        </w:rPr>
        <w:t>O</w:t>
      </w:r>
      <w:r w:rsidR="00EA0041" w:rsidRPr="0029748B">
        <w:rPr>
          <w:sz w:val="26"/>
          <w:szCs w:val="26"/>
        </w:rPr>
        <w:t>C</w:t>
      </w:r>
      <w:r w:rsidRPr="0029748B">
        <w:rPr>
          <w:sz w:val="26"/>
          <w:szCs w:val="26"/>
        </w:rPr>
        <w:t>A M.B. at 45 (citing compiled from data in OCA St. No. 1 at 10-12)</w:t>
      </w:r>
      <w:r w:rsidR="00622A1D" w:rsidRPr="0029748B">
        <w:rPr>
          <w:sz w:val="26"/>
          <w:szCs w:val="26"/>
        </w:rPr>
        <w:t xml:space="preserve">; </w:t>
      </w:r>
      <w:r w:rsidR="00622A1D" w:rsidRPr="00460F72">
        <w:rPr>
          <w:i/>
          <w:iCs/>
          <w:sz w:val="26"/>
          <w:szCs w:val="26"/>
        </w:rPr>
        <w:t>See</w:t>
      </w:r>
      <w:r w:rsidR="00622A1D" w:rsidRPr="0029748B">
        <w:rPr>
          <w:sz w:val="26"/>
          <w:szCs w:val="26"/>
        </w:rPr>
        <w:t xml:space="preserve"> R.D. at 84.</w:t>
      </w:r>
    </w:p>
    <w:p w14:paraId="045C0BC9" w14:textId="77777777" w:rsidR="004655F5" w:rsidRPr="0029748B" w:rsidRDefault="004655F5" w:rsidP="0029748B">
      <w:pPr>
        <w:widowControl/>
        <w:spacing w:line="360" w:lineRule="auto"/>
        <w:rPr>
          <w:sz w:val="26"/>
          <w:szCs w:val="26"/>
        </w:rPr>
      </w:pPr>
    </w:p>
    <w:p w14:paraId="5A3CDA09" w14:textId="77777777" w:rsidR="001D5C5A" w:rsidRPr="0029748B" w:rsidRDefault="004655F5" w:rsidP="0029748B">
      <w:pPr>
        <w:widowControl/>
        <w:spacing w:line="360" w:lineRule="auto"/>
        <w:ind w:firstLine="1440"/>
        <w:rPr>
          <w:sz w:val="26"/>
          <w:szCs w:val="26"/>
        </w:rPr>
      </w:pPr>
      <w:r w:rsidRPr="0029748B">
        <w:rPr>
          <w:sz w:val="26"/>
          <w:szCs w:val="26"/>
        </w:rPr>
        <w:lastRenderedPageBreak/>
        <w:t xml:space="preserve">The OCA noted that the rate shock would be present not only at the Company’s proposal but also at the OCA’s calculated revenue requirement, with the full cost of capital calculated by Mr. Rothschild and at the zero return on equity to reflect inadequate service, as recommended by </w:t>
      </w:r>
      <w:r w:rsidR="001D5C5A" w:rsidRPr="0029748B">
        <w:rPr>
          <w:sz w:val="26"/>
          <w:szCs w:val="26"/>
        </w:rPr>
        <w:t xml:space="preserve">the </w:t>
      </w:r>
      <w:r w:rsidRPr="0029748B">
        <w:rPr>
          <w:sz w:val="26"/>
          <w:szCs w:val="26"/>
        </w:rPr>
        <w:t>OCA</w:t>
      </w:r>
      <w:r w:rsidR="003F792F" w:rsidRPr="0029748B">
        <w:rPr>
          <w:sz w:val="26"/>
          <w:szCs w:val="26"/>
        </w:rPr>
        <w:t xml:space="preserve">.  </w:t>
      </w:r>
      <w:r w:rsidR="00622A1D" w:rsidRPr="0029748B">
        <w:rPr>
          <w:sz w:val="26"/>
          <w:szCs w:val="26"/>
        </w:rPr>
        <w:t>The chart</w:t>
      </w:r>
      <w:r w:rsidR="003F792F" w:rsidRPr="0029748B">
        <w:rPr>
          <w:sz w:val="26"/>
          <w:szCs w:val="26"/>
        </w:rPr>
        <w:t xml:space="preserve"> below highlights the rates given the different scenarios</w:t>
      </w:r>
      <w:r w:rsidRPr="0029748B">
        <w:rPr>
          <w:sz w:val="26"/>
          <w:szCs w:val="26"/>
        </w:rPr>
        <w:t>:</w:t>
      </w:r>
    </w:p>
    <w:p w14:paraId="7A5BF41F" w14:textId="57388593" w:rsidR="004655F5" w:rsidRPr="0029748B" w:rsidRDefault="004655F5" w:rsidP="00A20800">
      <w:pPr>
        <w:widowControl/>
        <w:spacing w:line="360" w:lineRule="auto"/>
        <w:ind w:firstLine="1440"/>
        <w:rPr>
          <w:rFonts w:eastAsia="Calibri"/>
          <w:color w:val="000000"/>
          <w:sz w:val="26"/>
          <w:szCs w:val="26"/>
        </w:rPr>
      </w:pPr>
      <w:r w:rsidRPr="0029748B">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1710"/>
        <w:gridCol w:w="2345"/>
        <w:gridCol w:w="2250"/>
      </w:tblGrid>
      <w:tr w:rsidR="004655F5" w:rsidRPr="0029748B" w14:paraId="5D9A1C86" w14:textId="77777777" w:rsidTr="004655F5">
        <w:trPr>
          <w:trHeight w:val="320"/>
        </w:trPr>
        <w:tc>
          <w:tcPr>
            <w:tcW w:w="2425" w:type="dxa"/>
            <w:tcBorders>
              <w:top w:val="single" w:sz="4" w:space="0" w:color="auto"/>
              <w:left w:val="single" w:sz="4" w:space="0" w:color="auto"/>
              <w:bottom w:val="single" w:sz="4" w:space="0" w:color="auto"/>
              <w:right w:val="single" w:sz="4" w:space="0" w:color="auto"/>
            </w:tcBorders>
          </w:tcPr>
          <w:p w14:paraId="34B14246" w14:textId="77777777" w:rsidR="004655F5" w:rsidRPr="0029748B" w:rsidRDefault="004655F5" w:rsidP="007C4BF9">
            <w:pPr>
              <w:keepNext/>
              <w:keepLines/>
              <w:widowControl/>
              <w:autoSpaceDE w:val="0"/>
              <w:autoSpaceDN w:val="0"/>
              <w:adjustRightInd w:val="0"/>
              <w:spacing w:line="276" w:lineRule="auto"/>
              <w:rPr>
                <w:rFonts w:eastAsia="Calibri"/>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hideMark/>
          </w:tcPr>
          <w:p w14:paraId="0F483865" w14:textId="77777777" w:rsidR="004655F5" w:rsidRPr="0029748B" w:rsidRDefault="004655F5" w:rsidP="007C4BF9">
            <w:pPr>
              <w:keepNext/>
              <w:keepLines/>
              <w:widowControl/>
              <w:autoSpaceDE w:val="0"/>
              <w:autoSpaceDN w:val="0"/>
              <w:adjustRightInd w:val="0"/>
              <w:spacing w:line="276" w:lineRule="auto"/>
              <w:jc w:val="right"/>
              <w:rPr>
                <w:rFonts w:eastAsia="Calibri"/>
                <w:color w:val="000000"/>
                <w:sz w:val="26"/>
                <w:szCs w:val="26"/>
              </w:rPr>
            </w:pPr>
            <w:r w:rsidRPr="0029748B">
              <w:rPr>
                <w:rFonts w:eastAsia="Calibri"/>
                <w:b/>
                <w:bCs/>
                <w:color w:val="000000"/>
                <w:sz w:val="26"/>
                <w:szCs w:val="26"/>
              </w:rPr>
              <w:t>Current</w:t>
            </w:r>
          </w:p>
        </w:tc>
        <w:tc>
          <w:tcPr>
            <w:tcW w:w="2345" w:type="dxa"/>
            <w:tcBorders>
              <w:top w:val="single" w:sz="4" w:space="0" w:color="auto"/>
              <w:left w:val="single" w:sz="4" w:space="0" w:color="auto"/>
              <w:bottom w:val="single" w:sz="4" w:space="0" w:color="auto"/>
              <w:right w:val="single" w:sz="4" w:space="0" w:color="auto"/>
            </w:tcBorders>
            <w:hideMark/>
          </w:tcPr>
          <w:p w14:paraId="60A840AC" w14:textId="77777777" w:rsidR="004655F5" w:rsidRPr="0029748B" w:rsidRDefault="004655F5" w:rsidP="007C4BF9">
            <w:pPr>
              <w:keepNext/>
              <w:keepLines/>
              <w:widowControl/>
              <w:autoSpaceDE w:val="0"/>
              <w:autoSpaceDN w:val="0"/>
              <w:adjustRightInd w:val="0"/>
              <w:spacing w:line="276" w:lineRule="auto"/>
              <w:jc w:val="right"/>
              <w:rPr>
                <w:rFonts w:eastAsia="Calibri"/>
                <w:color w:val="000000"/>
                <w:sz w:val="26"/>
                <w:szCs w:val="26"/>
              </w:rPr>
            </w:pPr>
            <w:r w:rsidRPr="0029748B">
              <w:rPr>
                <w:rFonts w:eastAsia="Calibri"/>
                <w:b/>
                <w:bCs/>
                <w:color w:val="000000"/>
                <w:sz w:val="26"/>
                <w:szCs w:val="26"/>
              </w:rPr>
              <w:t>At OCA Full Revenue Requirement</w:t>
            </w:r>
          </w:p>
        </w:tc>
        <w:tc>
          <w:tcPr>
            <w:tcW w:w="2250" w:type="dxa"/>
            <w:tcBorders>
              <w:top w:val="single" w:sz="4" w:space="0" w:color="auto"/>
              <w:left w:val="single" w:sz="4" w:space="0" w:color="auto"/>
              <w:bottom w:val="single" w:sz="4" w:space="0" w:color="auto"/>
              <w:right w:val="single" w:sz="4" w:space="0" w:color="auto"/>
            </w:tcBorders>
            <w:hideMark/>
          </w:tcPr>
          <w:p w14:paraId="31C5F95A" w14:textId="77777777" w:rsidR="004655F5" w:rsidRPr="0029748B" w:rsidRDefault="004655F5" w:rsidP="007C4BF9">
            <w:pPr>
              <w:keepNext/>
              <w:keepLines/>
              <w:widowControl/>
              <w:autoSpaceDE w:val="0"/>
              <w:autoSpaceDN w:val="0"/>
              <w:adjustRightInd w:val="0"/>
              <w:spacing w:line="276" w:lineRule="auto"/>
              <w:jc w:val="right"/>
              <w:rPr>
                <w:rFonts w:eastAsia="Calibri"/>
                <w:b/>
                <w:bCs/>
                <w:color w:val="000000"/>
                <w:sz w:val="26"/>
                <w:szCs w:val="26"/>
              </w:rPr>
            </w:pPr>
            <w:r w:rsidRPr="0029748B">
              <w:rPr>
                <w:rFonts w:eastAsia="Calibri"/>
                <w:b/>
                <w:bCs/>
                <w:color w:val="000000"/>
                <w:sz w:val="26"/>
                <w:szCs w:val="26"/>
              </w:rPr>
              <w:t xml:space="preserve">At OCA </w:t>
            </w:r>
          </w:p>
          <w:p w14:paraId="12FBB6A2" w14:textId="77777777" w:rsidR="004655F5" w:rsidRPr="0029748B" w:rsidRDefault="004655F5" w:rsidP="007C4BF9">
            <w:pPr>
              <w:keepNext/>
              <w:keepLines/>
              <w:widowControl/>
              <w:autoSpaceDE w:val="0"/>
              <w:autoSpaceDN w:val="0"/>
              <w:adjustRightInd w:val="0"/>
              <w:spacing w:line="276" w:lineRule="auto"/>
              <w:jc w:val="right"/>
              <w:rPr>
                <w:rFonts w:eastAsia="Calibri"/>
                <w:color w:val="000000"/>
                <w:sz w:val="26"/>
                <w:szCs w:val="26"/>
              </w:rPr>
            </w:pPr>
            <w:r w:rsidRPr="0029748B">
              <w:rPr>
                <w:rFonts w:eastAsia="Calibri"/>
                <w:b/>
                <w:bCs/>
                <w:color w:val="000000"/>
                <w:sz w:val="26"/>
                <w:szCs w:val="26"/>
              </w:rPr>
              <w:t>Revenue Requirement Reflecting Inadequate Service</w:t>
            </w:r>
          </w:p>
        </w:tc>
      </w:tr>
      <w:tr w:rsidR="004655F5" w:rsidRPr="0029748B" w14:paraId="62A38A0D" w14:textId="77777777" w:rsidTr="004655F5">
        <w:trPr>
          <w:trHeight w:val="320"/>
        </w:trPr>
        <w:tc>
          <w:tcPr>
            <w:tcW w:w="2425" w:type="dxa"/>
            <w:tcBorders>
              <w:top w:val="single" w:sz="4" w:space="0" w:color="auto"/>
              <w:left w:val="single" w:sz="4" w:space="0" w:color="auto"/>
              <w:bottom w:val="single" w:sz="4" w:space="0" w:color="auto"/>
              <w:right w:val="single" w:sz="4" w:space="0" w:color="auto"/>
            </w:tcBorders>
            <w:hideMark/>
          </w:tcPr>
          <w:p w14:paraId="7C4518F1"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Total </w:t>
            </w:r>
            <w:r w:rsidRPr="0029748B">
              <w:rPr>
                <w:rFonts w:eastAsia="Calibri"/>
                <w:b/>
                <w:bCs/>
                <w:color w:val="000000"/>
                <w:sz w:val="26"/>
                <w:szCs w:val="26"/>
              </w:rPr>
              <w:t xml:space="preserve">monthly </w:t>
            </w:r>
            <w:r w:rsidRPr="0029748B">
              <w:rPr>
                <w:rFonts w:eastAsia="Calibri"/>
                <w:color w:val="000000"/>
                <w:sz w:val="26"/>
                <w:szCs w:val="26"/>
              </w:rPr>
              <w:t xml:space="preserve">charges for customer using </w:t>
            </w:r>
            <w:r w:rsidRPr="0029748B">
              <w:rPr>
                <w:rFonts w:eastAsia="Calibri"/>
                <w:b/>
                <w:bCs/>
                <w:color w:val="000000"/>
                <w:sz w:val="26"/>
                <w:szCs w:val="26"/>
              </w:rPr>
              <w:t xml:space="preserve">2,400 </w:t>
            </w:r>
            <w:r w:rsidRPr="0029748B">
              <w:rPr>
                <w:rFonts w:eastAsia="Calibri"/>
                <w:color w:val="000000"/>
                <w:sz w:val="26"/>
                <w:szCs w:val="26"/>
              </w:rPr>
              <w:t xml:space="preserve">gallons per month </w:t>
            </w:r>
          </w:p>
        </w:tc>
        <w:tc>
          <w:tcPr>
            <w:tcW w:w="1710" w:type="dxa"/>
            <w:tcBorders>
              <w:top w:val="single" w:sz="4" w:space="0" w:color="auto"/>
              <w:left w:val="single" w:sz="4" w:space="0" w:color="auto"/>
              <w:bottom w:val="single" w:sz="4" w:space="0" w:color="auto"/>
              <w:right w:val="single" w:sz="4" w:space="0" w:color="auto"/>
            </w:tcBorders>
          </w:tcPr>
          <w:p w14:paraId="01DAD4B5"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431EE0AC"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129DF3D1"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509F4E6D"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$95 </w:t>
            </w:r>
          </w:p>
        </w:tc>
        <w:tc>
          <w:tcPr>
            <w:tcW w:w="2345" w:type="dxa"/>
            <w:tcBorders>
              <w:top w:val="single" w:sz="4" w:space="0" w:color="auto"/>
              <w:left w:val="single" w:sz="4" w:space="0" w:color="auto"/>
              <w:bottom w:val="single" w:sz="4" w:space="0" w:color="auto"/>
              <w:right w:val="single" w:sz="4" w:space="0" w:color="auto"/>
            </w:tcBorders>
          </w:tcPr>
          <w:p w14:paraId="0A90799A"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6395BFCA"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02EBA717"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2575D6C1"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$210 </w:t>
            </w:r>
          </w:p>
        </w:tc>
        <w:tc>
          <w:tcPr>
            <w:tcW w:w="2250" w:type="dxa"/>
            <w:tcBorders>
              <w:top w:val="single" w:sz="4" w:space="0" w:color="auto"/>
              <w:left w:val="single" w:sz="4" w:space="0" w:color="auto"/>
              <w:bottom w:val="single" w:sz="4" w:space="0" w:color="auto"/>
              <w:right w:val="single" w:sz="4" w:space="0" w:color="auto"/>
            </w:tcBorders>
          </w:tcPr>
          <w:p w14:paraId="34BC62D6"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3A28897A"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402EF013"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63BCF22D"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$170 </w:t>
            </w:r>
          </w:p>
        </w:tc>
      </w:tr>
      <w:tr w:rsidR="004655F5" w:rsidRPr="0029748B" w14:paraId="31255703" w14:textId="77777777" w:rsidTr="004655F5">
        <w:trPr>
          <w:trHeight w:val="320"/>
        </w:trPr>
        <w:tc>
          <w:tcPr>
            <w:tcW w:w="2425" w:type="dxa"/>
            <w:tcBorders>
              <w:top w:val="single" w:sz="4" w:space="0" w:color="auto"/>
              <w:left w:val="single" w:sz="4" w:space="0" w:color="auto"/>
              <w:bottom w:val="single" w:sz="4" w:space="0" w:color="auto"/>
              <w:right w:val="single" w:sz="4" w:space="0" w:color="auto"/>
            </w:tcBorders>
            <w:hideMark/>
          </w:tcPr>
          <w:p w14:paraId="36F40F88"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Total </w:t>
            </w:r>
            <w:r w:rsidRPr="0029748B">
              <w:rPr>
                <w:rFonts w:eastAsia="Calibri"/>
                <w:b/>
                <w:bCs/>
                <w:color w:val="000000"/>
                <w:sz w:val="26"/>
                <w:szCs w:val="26"/>
              </w:rPr>
              <w:t xml:space="preserve">annual </w:t>
            </w:r>
            <w:r w:rsidRPr="0029748B">
              <w:rPr>
                <w:rFonts w:eastAsia="Calibri"/>
                <w:color w:val="000000"/>
                <w:sz w:val="26"/>
                <w:szCs w:val="26"/>
              </w:rPr>
              <w:t xml:space="preserve">charges for customer using </w:t>
            </w:r>
            <w:r w:rsidRPr="0029748B">
              <w:rPr>
                <w:rFonts w:eastAsia="Calibri"/>
                <w:b/>
                <w:bCs/>
                <w:color w:val="000000"/>
                <w:sz w:val="26"/>
                <w:szCs w:val="26"/>
              </w:rPr>
              <w:t xml:space="preserve">2,400 </w:t>
            </w:r>
            <w:r w:rsidRPr="0029748B">
              <w:rPr>
                <w:rFonts w:eastAsia="Calibri"/>
                <w:color w:val="000000"/>
                <w:sz w:val="26"/>
                <w:szCs w:val="26"/>
              </w:rPr>
              <w:t xml:space="preserve">gallons per month </w:t>
            </w:r>
          </w:p>
        </w:tc>
        <w:tc>
          <w:tcPr>
            <w:tcW w:w="1710" w:type="dxa"/>
            <w:tcBorders>
              <w:top w:val="single" w:sz="4" w:space="0" w:color="auto"/>
              <w:left w:val="single" w:sz="4" w:space="0" w:color="auto"/>
              <w:bottom w:val="single" w:sz="4" w:space="0" w:color="auto"/>
              <w:right w:val="single" w:sz="4" w:space="0" w:color="auto"/>
            </w:tcBorders>
          </w:tcPr>
          <w:p w14:paraId="4C04A315"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68F12BD3"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072B3DA2"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20E82C9F"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$1,145 </w:t>
            </w:r>
          </w:p>
        </w:tc>
        <w:tc>
          <w:tcPr>
            <w:tcW w:w="2345" w:type="dxa"/>
            <w:tcBorders>
              <w:top w:val="single" w:sz="4" w:space="0" w:color="auto"/>
              <w:left w:val="single" w:sz="4" w:space="0" w:color="auto"/>
              <w:bottom w:val="single" w:sz="4" w:space="0" w:color="auto"/>
              <w:right w:val="single" w:sz="4" w:space="0" w:color="auto"/>
            </w:tcBorders>
          </w:tcPr>
          <w:p w14:paraId="06048F28"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77F49844"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7D826561"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0E784409"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$2,520 </w:t>
            </w:r>
          </w:p>
        </w:tc>
        <w:tc>
          <w:tcPr>
            <w:tcW w:w="2250" w:type="dxa"/>
            <w:tcBorders>
              <w:top w:val="single" w:sz="4" w:space="0" w:color="auto"/>
              <w:left w:val="single" w:sz="4" w:space="0" w:color="auto"/>
              <w:bottom w:val="single" w:sz="4" w:space="0" w:color="auto"/>
              <w:right w:val="single" w:sz="4" w:space="0" w:color="auto"/>
            </w:tcBorders>
          </w:tcPr>
          <w:p w14:paraId="36D6C23F"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67E6AE78"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17C02BA8"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42577B63"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$2,042 </w:t>
            </w:r>
          </w:p>
        </w:tc>
      </w:tr>
      <w:tr w:rsidR="004655F5" w:rsidRPr="0029748B" w14:paraId="208235A5" w14:textId="77777777" w:rsidTr="004655F5">
        <w:trPr>
          <w:trHeight w:val="319"/>
        </w:trPr>
        <w:tc>
          <w:tcPr>
            <w:tcW w:w="2425" w:type="dxa"/>
            <w:tcBorders>
              <w:top w:val="single" w:sz="4" w:space="0" w:color="auto"/>
              <w:left w:val="single" w:sz="4" w:space="0" w:color="auto"/>
              <w:bottom w:val="single" w:sz="4" w:space="0" w:color="auto"/>
              <w:right w:val="single" w:sz="4" w:space="0" w:color="auto"/>
            </w:tcBorders>
            <w:hideMark/>
          </w:tcPr>
          <w:p w14:paraId="0087E3F6"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Total </w:t>
            </w:r>
            <w:r w:rsidRPr="0029748B">
              <w:rPr>
                <w:rFonts w:eastAsia="Calibri"/>
                <w:b/>
                <w:bCs/>
                <w:color w:val="000000"/>
                <w:sz w:val="26"/>
                <w:szCs w:val="26"/>
              </w:rPr>
              <w:t xml:space="preserve">monthly </w:t>
            </w:r>
            <w:r w:rsidRPr="0029748B">
              <w:rPr>
                <w:rFonts w:eastAsia="Calibri"/>
                <w:color w:val="000000"/>
                <w:sz w:val="26"/>
                <w:szCs w:val="26"/>
              </w:rPr>
              <w:t xml:space="preserve">charges for customer using </w:t>
            </w:r>
            <w:r w:rsidRPr="0029748B">
              <w:rPr>
                <w:rFonts w:eastAsia="Calibri"/>
                <w:b/>
                <w:bCs/>
                <w:color w:val="000000"/>
                <w:sz w:val="26"/>
                <w:szCs w:val="26"/>
              </w:rPr>
              <w:t xml:space="preserve">5,000 </w:t>
            </w:r>
            <w:r w:rsidRPr="0029748B">
              <w:rPr>
                <w:rFonts w:eastAsia="Calibri"/>
                <w:color w:val="000000"/>
                <w:sz w:val="26"/>
                <w:szCs w:val="26"/>
              </w:rPr>
              <w:t xml:space="preserve">gallons per month </w:t>
            </w:r>
          </w:p>
        </w:tc>
        <w:tc>
          <w:tcPr>
            <w:tcW w:w="1710" w:type="dxa"/>
            <w:tcBorders>
              <w:top w:val="single" w:sz="4" w:space="0" w:color="auto"/>
              <w:left w:val="single" w:sz="4" w:space="0" w:color="auto"/>
              <w:bottom w:val="single" w:sz="4" w:space="0" w:color="auto"/>
              <w:right w:val="single" w:sz="4" w:space="0" w:color="auto"/>
            </w:tcBorders>
          </w:tcPr>
          <w:p w14:paraId="78410DFC"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72C27089"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2864240B"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24C77F9B"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$133 </w:t>
            </w:r>
          </w:p>
        </w:tc>
        <w:tc>
          <w:tcPr>
            <w:tcW w:w="2345" w:type="dxa"/>
            <w:tcBorders>
              <w:top w:val="single" w:sz="4" w:space="0" w:color="auto"/>
              <w:left w:val="single" w:sz="4" w:space="0" w:color="auto"/>
              <w:bottom w:val="single" w:sz="4" w:space="0" w:color="auto"/>
              <w:right w:val="single" w:sz="4" w:space="0" w:color="auto"/>
            </w:tcBorders>
          </w:tcPr>
          <w:p w14:paraId="14772D56"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3B12EF6B"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6077B808"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6BDBF4C7"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$295 </w:t>
            </w:r>
          </w:p>
        </w:tc>
        <w:tc>
          <w:tcPr>
            <w:tcW w:w="2250" w:type="dxa"/>
            <w:tcBorders>
              <w:top w:val="single" w:sz="4" w:space="0" w:color="auto"/>
              <w:left w:val="single" w:sz="4" w:space="0" w:color="auto"/>
              <w:bottom w:val="single" w:sz="4" w:space="0" w:color="auto"/>
              <w:right w:val="single" w:sz="4" w:space="0" w:color="auto"/>
            </w:tcBorders>
          </w:tcPr>
          <w:p w14:paraId="704A6961"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71B9AE70"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7B65F6CB"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11B9D08C"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$239 </w:t>
            </w:r>
          </w:p>
        </w:tc>
      </w:tr>
      <w:tr w:rsidR="004655F5" w:rsidRPr="0029748B" w14:paraId="25AB7270" w14:textId="77777777" w:rsidTr="004655F5">
        <w:trPr>
          <w:trHeight w:val="320"/>
        </w:trPr>
        <w:tc>
          <w:tcPr>
            <w:tcW w:w="2425" w:type="dxa"/>
            <w:tcBorders>
              <w:top w:val="single" w:sz="4" w:space="0" w:color="auto"/>
              <w:left w:val="single" w:sz="4" w:space="0" w:color="auto"/>
              <w:bottom w:val="single" w:sz="4" w:space="0" w:color="auto"/>
              <w:right w:val="single" w:sz="4" w:space="0" w:color="auto"/>
            </w:tcBorders>
            <w:hideMark/>
          </w:tcPr>
          <w:p w14:paraId="3E50C9EB"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Total </w:t>
            </w:r>
            <w:r w:rsidRPr="0029748B">
              <w:rPr>
                <w:rFonts w:eastAsia="Calibri"/>
                <w:b/>
                <w:bCs/>
                <w:color w:val="000000"/>
                <w:sz w:val="26"/>
                <w:szCs w:val="26"/>
              </w:rPr>
              <w:t xml:space="preserve">annual </w:t>
            </w:r>
            <w:r w:rsidRPr="0029748B">
              <w:rPr>
                <w:rFonts w:eastAsia="Calibri"/>
                <w:color w:val="000000"/>
                <w:sz w:val="26"/>
                <w:szCs w:val="26"/>
              </w:rPr>
              <w:t xml:space="preserve">charges for customer using </w:t>
            </w:r>
            <w:r w:rsidRPr="0029748B">
              <w:rPr>
                <w:rFonts w:eastAsia="Calibri"/>
                <w:b/>
                <w:bCs/>
                <w:color w:val="000000"/>
                <w:sz w:val="26"/>
                <w:szCs w:val="26"/>
              </w:rPr>
              <w:t xml:space="preserve">5,000 </w:t>
            </w:r>
            <w:r w:rsidRPr="0029748B">
              <w:rPr>
                <w:rFonts w:eastAsia="Calibri"/>
                <w:color w:val="000000"/>
                <w:sz w:val="26"/>
                <w:szCs w:val="26"/>
              </w:rPr>
              <w:t xml:space="preserve">gallons per month </w:t>
            </w:r>
          </w:p>
        </w:tc>
        <w:tc>
          <w:tcPr>
            <w:tcW w:w="1710" w:type="dxa"/>
            <w:tcBorders>
              <w:top w:val="single" w:sz="4" w:space="0" w:color="auto"/>
              <w:left w:val="single" w:sz="4" w:space="0" w:color="auto"/>
              <w:bottom w:val="single" w:sz="4" w:space="0" w:color="auto"/>
              <w:right w:val="single" w:sz="4" w:space="0" w:color="auto"/>
            </w:tcBorders>
          </w:tcPr>
          <w:p w14:paraId="3C5F0115"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23B94BC3"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169C361C"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01D4817B"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$1,601 </w:t>
            </w:r>
          </w:p>
        </w:tc>
        <w:tc>
          <w:tcPr>
            <w:tcW w:w="2345" w:type="dxa"/>
            <w:tcBorders>
              <w:top w:val="single" w:sz="4" w:space="0" w:color="auto"/>
              <w:left w:val="single" w:sz="4" w:space="0" w:color="auto"/>
              <w:bottom w:val="single" w:sz="4" w:space="0" w:color="auto"/>
              <w:right w:val="single" w:sz="4" w:space="0" w:color="auto"/>
            </w:tcBorders>
          </w:tcPr>
          <w:p w14:paraId="5077ECBA"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23C17963"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505A7EF7"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3AC5A5D1"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$3,540 </w:t>
            </w:r>
          </w:p>
        </w:tc>
        <w:tc>
          <w:tcPr>
            <w:tcW w:w="2250" w:type="dxa"/>
            <w:tcBorders>
              <w:top w:val="single" w:sz="4" w:space="0" w:color="auto"/>
              <w:left w:val="single" w:sz="4" w:space="0" w:color="auto"/>
              <w:bottom w:val="single" w:sz="4" w:space="0" w:color="auto"/>
              <w:right w:val="single" w:sz="4" w:space="0" w:color="auto"/>
            </w:tcBorders>
          </w:tcPr>
          <w:p w14:paraId="4B7725D5"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34F32D3A"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701AE388"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5297D3F6"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$2,863 </w:t>
            </w:r>
          </w:p>
        </w:tc>
      </w:tr>
    </w:tbl>
    <w:p w14:paraId="3D520602" w14:textId="77777777" w:rsidR="004655F5" w:rsidRPr="0029748B" w:rsidRDefault="004655F5" w:rsidP="0029748B">
      <w:pPr>
        <w:widowControl/>
        <w:spacing w:line="360" w:lineRule="auto"/>
        <w:rPr>
          <w:sz w:val="26"/>
          <w:szCs w:val="26"/>
        </w:rPr>
      </w:pPr>
    </w:p>
    <w:p w14:paraId="0EBD53F8" w14:textId="77777777" w:rsidR="004655F5" w:rsidRPr="0029748B" w:rsidRDefault="004655F5" w:rsidP="0029748B">
      <w:pPr>
        <w:widowControl/>
        <w:rPr>
          <w:sz w:val="26"/>
          <w:szCs w:val="26"/>
        </w:rPr>
      </w:pPr>
      <w:r w:rsidRPr="0029748B">
        <w:rPr>
          <w:sz w:val="26"/>
          <w:szCs w:val="26"/>
        </w:rPr>
        <w:t xml:space="preserve">OCA M.B. at 45-46 (citing compiled from </w:t>
      </w:r>
      <w:proofErr w:type="spellStart"/>
      <w:r w:rsidRPr="0029748B">
        <w:rPr>
          <w:sz w:val="26"/>
          <w:szCs w:val="26"/>
        </w:rPr>
        <w:t>Exh</w:t>
      </w:r>
      <w:proofErr w:type="spellEnd"/>
      <w:r w:rsidRPr="0029748B">
        <w:rPr>
          <w:sz w:val="26"/>
          <w:szCs w:val="26"/>
        </w:rPr>
        <w:t xml:space="preserve">. SLS-12 C; OCA St. No. 1 at 12-14); </w:t>
      </w:r>
      <w:r w:rsidRPr="0029748B">
        <w:rPr>
          <w:i/>
          <w:sz w:val="26"/>
          <w:szCs w:val="26"/>
        </w:rPr>
        <w:t xml:space="preserve">see </w:t>
      </w:r>
      <w:r w:rsidRPr="0029748B">
        <w:rPr>
          <w:sz w:val="26"/>
          <w:szCs w:val="26"/>
        </w:rPr>
        <w:t xml:space="preserve">R.D. at 85 (footnotes omitted).  </w:t>
      </w:r>
    </w:p>
    <w:p w14:paraId="104B1163" w14:textId="77777777" w:rsidR="004655F5" w:rsidRPr="0029748B" w:rsidRDefault="004655F5" w:rsidP="007C4BF9">
      <w:pPr>
        <w:widowControl/>
        <w:spacing w:line="480" w:lineRule="auto"/>
        <w:ind w:firstLine="1440"/>
        <w:rPr>
          <w:sz w:val="26"/>
          <w:szCs w:val="26"/>
        </w:rPr>
      </w:pPr>
    </w:p>
    <w:p w14:paraId="2AE6B099" w14:textId="77777777" w:rsidR="004655F5" w:rsidRPr="0029748B" w:rsidRDefault="004655F5" w:rsidP="0029748B">
      <w:pPr>
        <w:widowControl/>
        <w:spacing w:line="360" w:lineRule="auto"/>
        <w:ind w:firstLine="1440"/>
        <w:rPr>
          <w:sz w:val="26"/>
          <w:szCs w:val="26"/>
        </w:rPr>
      </w:pPr>
      <w:r w:rsidRPr="0029748B">
        <w:rPr>
          <w:sz w:val="26"/>
          <w:szCs w:val="26"/>
        </w:rPr>
        <w:t xml:space="preserve">Ms. Sherwood also reviewed Twin Lakes’ proposed rates in comparison to the rates of the major water utilities in the Commonwealth </w:t>
      </w:r>
      <w:r w:rsidR="004931C8" w:rsidRPr="0029748B">
        <w:rPr>
          <w:sz w:val="26"/>
          <w:szCs w:val="26"/>
        </w:rPr>
        <w:t xml:space="preserve">of Pennsylvania </w:t>
      </w:r>
      <w:r w:rsidRPr="0029748B">
        <w:rPr>
          <w:sz w:val="26"/>
          <w:szCs w:val="26"/>
        </w:rPr>
        <w:t xml:space="preserve">and found </w:t>
      </w:r>
      <w:r w:rsidRPr="0029748B">
        <w:rPr>
          <w:sz w:val="26"/>
          <w:szCs w:val="26"/>
        </w:rPr>
        <w:lastRenderedPageBreak/>
        <w:t xml:space="preserve">that the proposed rates are “significantly in excess of the rates assessed by the major water utilities in the Commonwealth.”  </w:t>
      </w:r>
      <w:r w:rsidR="003F792F" w:rsidRPr="0029748B">
        <w:rPr>
          <w:sz w:val="26"/>
          <w:szCs w:val="26"/>
        </w:rPr>
        <w:t>T</w:t>
      </w:r>
      <w:r w:rsidR="004931C8" w:rsidRPr="0029748B">
        <w:rPr>
          <w:sz w:val="26"/>
          <w:szCs w:val="26"/>
        </w:rPr>
        <w:t>able</w:t>
      </w:r>
      <w:r w:rsidR="003F792F" w:rsidRPr="0029748B">
        <w:rPr>
          <w:sz w:val="26"/>
          <w:szCs w:val="26"/>
        </w:rPr>
        <w:t xml:space="preserve"> </w:t>
      </w:r>
      <w:r w:rsidR="00622A1D" w:rsidRPr="0029748B">
        <w:rPr>
          <w:sz w:val="26"/>
          <w:szCs w:val="26"/>
        </w:rPr>
        <w:t>1</w:t>
      </w:r>
      <w:r w:rsidRPr="0029748B">
        <w:rPr>
          <w:sz w:val="26"/>
          <w:szCs w:val="26"/>
        </w:rPr>
        <w:t xml:space="preserve"> reproduced below</w:t>
      </w:r>
      <w:r w:rsidR="004931C8" w:rsidRPr="0029748B">
        <w:rPr>
          <w:sz w:val="26"/>
          <w:szCs w:val="26"/>
        </w:rPr>
        <w:t xml:space="preserve"> shows the comparison</w:t>
      </w:r>
      <w:r w:rsidRPr="0029748B">
        <w:rPr>
          <w:sz w:val="26"/>
          <w:szCs w:val="26"/>
        </w:rPr>
        <w:t xml:space="preserve">: </w:t>
      </w:r>
    </w:p>
    <w:p w14:paraId="6F11A8CF" w14:textId="77777777" w:rsidR="004655F5" w:rsidRDefault="004655F5" w:rsidP="0029748B">
      <w:pPr>
        <w:widowControl/>
        <w:spacing w:line="360" w:lineRule="auto"/>
        <w:rPr>
          <w:sz w:val="26"/>
          <w:szCs w:val="26"/>
        </w:rPr>
      </w:pPr>
    </w:p>
    <w:tbl>
      <w:tblPr>
        <w:tblW w:w="9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7"/>
        <w:gridCol w:w="2339"/>
        <w:gridCol w:w="2879"/>
      </w:tblGrid>
      <w:tr w:rsidR="004655F5" w:rsidRPr="0029748B" w14:paraId="28456D70" w14:textId="77777777" w:rsidTr="00A20800">
        <w:trPr>
          <w:trHeight w:val="338"/>
        </w:trPr>
        <w:tc>
          <w:tcPr>
            <w:tcW w:w="9555" w:type="dxa"/>
            <w:gridSpan w:val="3"/>
            <w:hideMark/>
          </w:tcPr>
          <w:p w14:paraId="13B7F90B" w14:textId="77777777" w:rsidR="004655F5" w:rsidRPr="0029748B" w:rsidRDefault="004655F5" w:rsidP="007C4BF9">
            <w:pPr>
              <w:keepNext/>
              <w:keepLines/>
              <w:widowControl/>
              <w:autoSpaceDE w:val="0"/>
              <w:autoSpaceDN w:val="0"/>
              <w:adjustRightInd w:val="0"/>
              <w:spacing w:line="276" w:lineRule="auto"/>
              <w:jc w:val="center"/>
              <w:rPr>
                <w:rFonts w:eastAsia="Calibri"/>
                <w:color w:val="000000"/>
                <w:sz w:val="26"/>
                <w:szCs w:val="26"/>
              </w:rPr>
            </w:pPr>
            <w:r w:rsidRPr="0029748B">
              <w:rPr>
                <w:rFonts w:eastAsia="Calibri"/>
                <w:b/>
                <w:bCs/>
                <w:color w:val="000000"/>
                <w:sz w:val="26"/>
                <w:szCs w:val="26"/>
              </w:rPr>
              <w:t>Table 1</w:t>
            </w:r>
          </w:p>
          <w:p w14:paraId="13D9DECF" w14:textId="77777777" w:rsidR="004655F5" w:rsidRPr="0029748B" w:rsidRDefault="004655F5" w:rsidP="007C4BF9">
            <w:pPr>
              <w:keepNext/>
              <w:keepLines/>
              <w:widowControl/>
              <w:autoSpaceDE w:val="0"/>
              <w:autoSpaceDN w:val="0"/>
              <w:adjustRightInd w:val="0"/>
              <w:spacing w:line="276" w:lineRule="auto"/>
              <w:jc w:val="center"/>
              <w:rPr>
                <w:rFonts w:eastAsia="Calibri"/>
                <w:color w:val="000000"/>
                <w:sz w:val="26"/>
                <w:szCs w:val="26"/>
              </w:rPr>
            </w:pPr>
            <w:r w:rsidRPr="0029748B">
              <w:rPr>
                <w:rFonts w:eastAsia="Calibri"/>
                <w:b/>
                <w:bCs/>
                <w:color w:val="000000"/>
                <w:sz w:val="26"/>
                <w:szCs w:val="26"/>
              </w:rPr>
              <w:t>Comparison of Residential Rates of Major Pennsylvania Water Utilities</w:t>
            </w:r>
          </w:p>
        </w:tc>
      </w:tr>
      <w:tr w:rsidR="004655F5" w:rsidRPr="0029748B" w14:paraId="146323BD" w14:textId="77777777" w:rsidTr="00A20800">
        <w:trPr>
          <w:trHeight w:val="206"/>
        </w:trPr>
        <w:tc>
          <w:tcPr>
            <w:tcW w:w="4337" w:type="dxa"/>
            <w:hideMark/>
          </w:tcPr>
          <w:p w14:paraId="0A842B0C"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Company </w:t>
            </w:r>
          </w:p>
        </w:tc>
        <w:tc>
          <w:tcPr>
            <w:tcW w:w="2339" w:type="dxa"/>
            <w:hideMark/>
          </w:tcPr>
          <w:p w14:paraId="0B74182C" w14:textId="77777777" w:rsidR="004655F5" w:rsidRPr="0029748B" w:rsidRDefault="004655F5" w:rsidP="007C4BF9">
            <w:pPr>
              <w:keepNext/>
              <w:keepLines/>
              <w:widowControl/>
              <w:autoSpaceDE w:val="0"/>
              <w:autoSpaceDN w:val="0"/>
              <w:adjustRightInd w:val="0"/>
              <w:spacing w:line="276" w:lineRule="auto"/>
              <w:jc w:val="center"/>
              <w:rPr>
                <w:rFonts w:eastAsia="Calibri"/>
                <w:color w:val="000000"/>
                <w:sz w:val="26"/>
                <w:szCs w:val="26"/>
              </w:rPr>
            </w:pPr>
            <w:r w:rsidRPr="0029748B">
              <w:rPr>
                <w:rFonts w:eastAsia="Calibri"/>
                <w:color w:val="000000"/>
                <w:sz w:val="26"/>
                <w:szCs w:val="26"/>
              </w:rPr>
              <w:t>Monthly Customer Charge</w:t>
            </w:r>
          </w:p>
        </w:tc>
        <w:tc>
          <w:tcPr>
            <w:tcW w:w="2879" w:type="dxa"/>
            <w:hideMark/>
          </w:tcPr>
          <w:p w14:paraId="7FCFF4EC" w14:textId="77777777" w:rsidR="004655F5" w:rsidRPr="0029748B" w:rsidRDefault="004655F5" w:rsidP="007C4BF9">
            <w:pPr>
              <w:keepNext/>
              <w:keepLines/>
              <w:widowControl/>
              <w:autoSpaceDE w:val="0"/>
              <w:autoSpaceDN w:val="0"/>
              <w:adjustRightInd w:val="0"/>
              <w:spacing w:line="276" w:lineRule="auto"/>
              <w:jc w:val="center"/>
              <w:rPr>
                <w:rFonts w:eastAsia="Calibri"/>
                <w:color w:val="000000"/>
                <w:sz w:val="26"/>
                <w:szCs w:val="26"/>
              </w:rPr>
            </w:pPr>
            <w:r w:rsidRPr="0029748B">
              <w:rPr>
                <w:rFonts w:eastAsia="Calibri"/>
                <w:color w:val="000000"/>
                <w:sz w:val="26"/>
                <w:szCs w:val="26"/>
              </w:rPr>
              <w:t>Consumption Charge</w:t>
            </w:r>
          </w:p>
          <w:p w14:paraId="67F3F0A0" w14:textId="77777777" w:rsidR="004655F5" w:rsidRPr="0029748B" w:rsidRDefault="004655F5" w:rsidP="007C4BF9">
            <w:pPr>
              <w:keepNext/>
              <w:keepLines/>
              <w:widowControl/>
              <w:autoSpaceDE w:val="0"/>
              <w:autoSpaceDN w:val="0"/>
              <w:adjustRightInd w:val="0"/>
              <w:spacing w:line="276" w:lineRule="auto"/>
              <w:jc w:val="center"/>
              <w:rPr>
                <w:rFonts w:eastAsia="Calibri"/>
                <w:color w:val="000000"/>
                <w:sz w:val="26"/>
                <w:szCs w:val="26"/>
              </w:rPr>
            </w:pPr>
            <w:r w:rsidRPr="0029748B">
              <w:rPr>
                <w:rFonts w:eastAsia="Calibri"/>
                <w:color w:val="000000"/>
                <w:sz w:val="26"/>
                <w:szCs w:val="26"/>
              </w:rPr>
              <w:t>(1,000 gallons)</w:t>
            </w:r>
          </w:p>
        </w:tc>
      </w:tr>
      <w:tr w:rsidR="004655F5" w:rsidRPr="0029748B" w14:paraId="5A685CDB" w14:textId="77777777" w:rsidTr="00A20800">
        <w:trPr>
          <w:trHeight w:val="101"/>
        </w:trPr>
        <w:tc>
          <w:tcPr>
            <w:tcW w:w="4337" w:type="dxa"/>
            <w:hideMark/>
          </w:tcPr>
          <w:p w14:paraId="3A5EB592"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Aqua Pennsylvania, Inc.[1] </w:t>
            </w:r>
          </w:p>
        </w:tc>
        <w:tc>
          <w:tcPr>
            <w:tcW w:w="2339" w:type="dxa"/>
          </w:tcPr>
          <w:p w14:paraId="5E686672" w14:textId="77777777" w:rsidR="004655F5" w:rsidRPr="0029748B" w:rsidRDefault="004655F5" w:rsidP="007C4BF9">
            <w:pPr>
              <w:keepNext/>
              <w:keepLines/>
              <w:widowControl/>
              <w:autoSpaceDE w:val="0"/>
              <w:autoSpaceDN w:val="0"/>
              <w:adjustRightInd w:val="0"/>
              <w:spacing w:line="276" w:lineRule="auto"/>
              <w:jc w:val="right"/>
              <w:rPr>
                <w:rFonts w:eastAsia="Calibri"/>
                <w:color w:val="000000"/>
                <w:sz w:val="26"/>
                <w:szCs w:val="26"/>
              </w:rPr>
            </w:pPr>
          </w:p>
          <w:p w14:paraId="662F1D65" w14:textId="77777777" w:rsidR="004655F5" w:rsidRPr="0029748B" w:rsidRDefault="004655F5" w:rsidP="007C4BF9">
            <w:pPr>
              <w:keepNext/>
              <w:keepLines/>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$18.00 </w:t>
            </w:r>
          </w:p>
        </w:tc>
        <w:tc>
          <w:tcPr>
            <w:tcW w:w="2879" w:type="dxa"/>
          </w:tcPr>
          <w:p w14:paraId="3887A0CE" w14:textId="77777777" w:rsidR="004655F5" w:rsidRPr="0029748B" w:rsidRDefault="004655F5" w:rsidP="007C4BF9">
            <w:pPr>
              <w:keepNext/>
              <w:keepLines/>
              <w:widowControl/>
              <w:autoSpaceDE w:val="0"/>
              <w:autoSpaceDN w:val="0"/>
              <w:adjustRightInd w:val="0"/>
              <w:spacing w:line="276" w:lineRule="auto"/>
              <w:jc w:val="right"/>
              <w:rPr>
                <w:rFonts w:eastAsia="Calibri"/>
                <w:color w:val="000000"/>
                <w:sz w:val="26"/>
                <w:szCs w:val="26"/>
              </w:rPr>
            </w:pPr>
          </w:p>
          <w:p w14:paraId="4630D501" w14:textId="77777777" w:rsidR="004655F5" w:rsidRPr="0029748B" w:rsidRDefault="004655F5" w:rsidP="007C4BF9">
            <w:pPr>
              <w:keepNext/>
              <w:keepLines/>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$10.949[2]/12.608[3] </w:t>
            </w:r>
          </w:p>
        </w:tc>
      </w:tr>
      <w:tr w:rsidR="004655F5" w:rsidRPr="0029748B" w14:paraId="4DE4D754" w14:textId="77777777" w:rsidTr="00A20800">
        <w:trPr>
          <w:trHeight w:val="90"/>
        </w:trPr>
        <w:tc>
          <w:tcPr>
            <w:tcW w:w="4337" w:type="dxa"/>
            <w:hideMark/>
          </w:tcPr>
          <w:p w14:paraId="70BF2110"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Pennsylvania American Water Company </w:t>
            </w:r>
          </w:p>
        </w:tc>
        <w:tc>
          <w:tcPr>
            <w:tcW w:w="2339" w:type="dxa"/>
          </w:tcPr>
          <w:p w14:paraId="6F64450A" w14:textId="77777777" w:rsidR="004655F5" w:rsidRPr="0029748B" w:rsidRDefault="004655F5" w:rsidP="007C4BF9">
            <w:pPr>
              <w:keepNext/>
              <w:keepLines/>
              <w:widowControl/>
              <w:autoSpaceDE w:val="0"/>
              <w:autoSpaceDN w:val="0"/>
              <w:adjustRightInd w:val="0"/>
              <w:spacing w:line="276" w:lineRule="auto"/>
              <w:jc w:val="right"/>
              <w:rPr>
                <w:rFonts w:eastAsia="Calibri"/>
                <w:color w:val="000000"/>
                <w:sz w:val="26"/>
                <w:szCs w:val="26"/>
              </w:rPr>
            </w:pPr>
          </w:p>
          <w:p w14:paraId="74B995ED" w14:textId="77777777" w:rsidR="004655F5" w:rsidRPr="0029748B" w:rsidRDefault="004655F5" w:rsidP="007C4BF9">
            <w:pPr>
              <w:keepNext/>
              <w:keepLines/>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16.50 </w:t>
            </w:r>
          </w:p>
        </w:tc>
        <w:tc>
          <w:tcPr>
            <w:tcW w:w="2879" w:type="dxa"/>
          </w:tcPr>
          <w:p w14:paraId="0EB9AAB3" w14:textId="77777777" w:rsidR="004655F5" w:rsidRPr="0029748B" w:rsidRDefault="004655F5" w:rsidP="007C4BF9">
            <w:pPr>
              <w:keepNext/>
              <w:keepLines/>
              <w:widowControl/>
              <w:autoSpaceDE w:val="0"/>
              <w:autoSpaceDN w:val="0"/>
              <w:adjustRightInd w:val="0"/>
              <w:spacing w:line="276" w:lineRule="auto"/>
              <w:jc w:val="right"/>
              <w:rPr>
                <w:rFonts w:eastAsia="Calibri"/>
                <w:color w:val="000000"/>
                <w:sz w:val="26"/>
                <w:szCs w:val="26"/>
              </w:rPr>
            </w:pPr>
          </w:p>
          <w:p w14:paraId="03D64369" w14:textId="77777777" w:rsidR="004655F5" w:rsidRPr="0029748B" w:rsidRDefault="004655F5" w:rsidP="007C4BF9">
            <w:pPr>
              <w:keepNext/>
              <w:keepLines/>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12.217 </w:t>
            </w:r>
          </w:p>
        </w:tc>
      </w:tr>
      <w:tr w:rsidR="004655F5" w:rsidRPr="0029748B" w14:paraId="443A0038" w14:textId="77777777" w:rsidTr="00A20800">
        <w:trPr>
          <w:trHeight w:val="90"/>
        </w:trPr>
        <w:tc>
          <w:tcPr>
            <w:tcW w:w="4337" w:type="dxa"/>
            <w:hideMark/>
          </w:tcPr>
          <w:p w14:paraId="5F259698"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Suez Water Pennsylvania, Inc. </w:t>
            </w:r>
          </w:p>
        </w:tc>
        <w:tc>
          <w:tcPr>
            <w:tcW w:w="2339" w:type="dxa"/>
          </w:tcPr>
          <w:p w14:paraId="400F2055"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1F5831ED"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14.50 </w:t>
            </w:r>
          </w:p>
        </w:tc>
        <w:tc>
          <w:tcPr>
            <w:tcW w:w="2879" w:type="dxa"/>
          </w:tcPr>
          <w:p w14:paraId="15800ACC"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6C2AE256"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9.0510 </w:t>
            </w:r>
          </w:p>
        </w:tc>
      </w:tr>
      <w:tr w:rsidR="004655F5" w:rsidRPr="0029748B" w14:paraId="64B902FD" w14:textId="77777777" w:rsidTr="00A20800">
        <w:trPr>
          <w:trHeight w:val="101"/>
        </w:trPr>
        <w:tc>
          <w:tcPr>
            <w:tcW w:w="4337" w:type="dxa"/>
            <w:hideMark/>
          </w:tcPr>
          <w:p w14:paraId="00272B4E"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York Water Company </w:t>
            </w:r>
          </w:p>
        </w:tc>
        <w:tc>
          <w:tcPr>
            <w:tcW w:w="2339" w:type="dxa"/>
          </w:tcPr>
          <w:p w14:paraId="79B50355"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304DD655"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16.25 </w:t>
            </w:r>
          </w:p>
        </w:tc>
        <w:tc>
          <w:tcPr>
            <w:tcW w:w="2879" w:type="dxa"/>
          </w:tcPr>
          <w:p w14:paraId="352445E2"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p>
          <w:p w14:paraId="4B99C21F"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color w:val="000000"/>
                <w:sz w:val="26"/>
                <w:szCs w:val="26"/>
              </w:rPr>
              <w:t xml:space="preserve">5.012[4]/8.111[5] </w:t>
            </w:r>
          </w:p>
        </w:tc>
      </w:tr>
      <w:tr w:rsidR="004655F5" w:rsidRPr="0029748B" w14:paraId="657D902C" w14:textId="77777777" w:rsidTr="00A20800">
        <w:trPr>
          <w:trHeight w:val="88"/>
        </w:trPr>
        <w:tc>
          <w:tcPr>
            <w:tcW w:w="4337" w:type="dxa"/>
            <w:hideMark/>
          </w:tcPr>
          <w:p w14:paraId="28B49B0C"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b/>
                <w:bCs/>
                <w:color w:val="000000"/>
                <w:sz w:val="26"/>
                <w:szCs w:val="26"/>
              </w:rPr>
              <w:t xml:space="preserve">Twin Lakes Utilities, Inc. (proposed) </w:t>
            </w:r>
          </w:p>
        </w:tc>
        <w:tc>
          <w:tcPr>
            <w:tcW w:w="2339" w:type="dxa"/>
          </w:tcPr>
          <w:p w14:paraId="33ACEDDB" w14:textId="77777777" w:rsidR="004655F5" w:rsidRPr="0029748B" w:rsidRDefault="004655F5" w:rsidP="0029748B">
            <w:pPr>
              <w:widowControl/>
              <w:autoSpaceDE w:val="0"/>
              <w:autoSpaceDN w:val="0"/>
              <w:adjustRightInd w:val="0"/>
              <w:spacing w:line="276" w:lineRule="auto"/>
              <w:jc w:val="right"/>
              <w:rPr>
                <w:rFonts w:eastAsia="Calibri"/>
                <w:b/>
                <w:bCs/>
                <w:color w:val="000000"/>
                <w:sz w:val="26"/>
                <w:szCs w:val="26"/>
              </w:rPr>
            </w:pPr>
          </w:p>
          <w:p w14:paraId="0C2DC3E0"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b/>
                <w:bCs/>
                <w:color w:val="000000"/>
                <w:sz w:val="26"/>
                <w:szCs w:val="26"/>
              </w:rPr>
              <w:t xml:space="preserve">158.61 </w:t>
            </w:r>
          </w:p>
        </w:tc>
        <w:tc>
          <w:tcPr>
            <w:tcW w:w="2879" w:type="dxa"/>
          </w:tcPr>
          <w:p w14:paraId="52C02FA2" w14:textId="77777777" w:rsidR="004655F5" w:rsidRPr="0029748B" w:rsidRDefault="004655F5" w:rsidP="0029748B">
            <w:pPr>
              <w:widowControl/>
              <w:autoSpaceDE w:val="0"/>
              <w:autoSpaceDN w:val="0"/>
              <w:adjustRightInd w:val="0"/>
              <w:spacing w:line="276" w:lineRule="auto"/>
              <w:jc w:val="right"/>
              <w:rPr>
                <w:rFonts w:eastAsia="Calibri"/>
                <w:b/>
                <w:bCs/>
                <w:color w:val="000000"/>
                <w:sz w:val="26"/>
                <w:szCs w:val="26"/>
              </w:rPr>
            </w:pPr>
          </w:p>
          <w:p w14:paraId="31F029BA" w14:textId="77777777" w:rsidR="004655F5" w:rsidRPr="0029748B" w:rsidRDefault="004655F5" w:rsidP="0029748B">
            <w:pPr>
              <w:widowControl/>
              <w:autoSpaceDE w:val="0"/>
              <w:autoSpaceDN w:val="0"/>
              <w:adjustRightInd w:val="0"/>
              <w:spacing w:line="276" w:lineRule="auto"/>
              <w:jc w:val="right"/>
              <w:rPr>
                <w:rFonts w:eastAsia="Calibri"/>
                <w:color w:val="000000"/>
                <w:sz w:val="26"/>
                <w:szCs w:val="26"/>
              </w:rPr>
            </w:pPr>
            <w:r w:rsidRPr="0029748B">
              <w:rPr>
                <w:rFonts w:eastAsia="Calibri"/>
                <w:b/>
                <w:bCs/>
                <w:color w:val="000000"/>
                <w:sz w:val="26"/>
                <w:szCs w:val="26"/>
              </w:rPr>
              <w:t xml:space="preserve">38.33 </w:t>
            </w:r>
          </w:p>
        </w:tc>
      </w:tr>
      <w:tr w:rsidR="004655F5" w:rsidRPr="0029748B" w14:paraId="44F61319" w14:textId="77777777" w:rsidTr="00A20800">
        <w:trPr>
          <w:trHeight w:val="520"/>
        </w:trPr>
        <w:tc>
          <w:tcPr>
            <w:tcW w:w="9555" w:type="dxa"/>
            <w:gridSpan w:val="3"/>
            <w:hideMark/>
          </w:tcPr>
          <w:p w14:paraId="1D10CC64"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[1] Rate Zone 1. </w:t>
            </w:r>
          </w:p>
          <w:p w14:paraId="287DDB17"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[2] Up to 2,000 gallons. </w:t>
            </w:r>
          </w:p>
          <w:p w14:paraId="7F4AD51F"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[3] Over 2,000 gallons. </w:t>
            </w:r>
          </w:p>
          <w:p w14:paraId="74DF094F"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[4] Gravity System. </w:t>
            </w:r>
          </w:p>
          <w:p w14:paraId="2B751010" w14:textId="77777777" w:rsidR="004655F5" w:rsidRPr="0029748B" w:rsidRDefault="004655F5" w:rsidP="0029748B">
            <w:pPr>
              <w:widowControl/>
              <w:autoSpaceDE w:val="0"/>
              <w:autoSpaceDN w:val="0"/>
              <w:adjustRightInd w:val="0"/>
              <w:spacing w:line="276" w:lineRule="auto"/>
              <w:rPr>
                <w:rFonts w:eastAsia="Calibri"/>
                <w:color w:val="000000"/>
                <w:sz w:val="26"/>
                <w:szCs w:val="26"/>
              </w:rPr>
            </w:pPr>
            <w:r w:rsidRPr="0029748B">
              <w:rPr>
                <w:rFonts w:eastAsia="Calibri"/>
                <w:color w:val="000000"/>
                <w:sz w:val="26"/>
                <w:szCs w:val="26"/>
              </w:rPr>
              <w:t xml:space="preserve">[5] Repumped System. </w:t>
            </w:r>
          </w:p>
        </w:tc>
      </w:tr>
    </w:tbl>
    <w:p w14:paraId="2F478564" w14:textId="77777777" w:rsidR="004655F5" w:rsidRPr="0029748B" w:rsidRDefault="004655F5" w:rsidP="0029748B">
      <w:pPr>
        <w:widowControl/>
        <w:spacing w:line="360" w:lineRule="auto"/>
        <w:rPr>
          <w:sz w:val="26"/>
          <w:szCs w:val="26"/>
        </w:rPr>
      </w:pPr>
    </w:p>
    <w:p w14:paraId="65D528F7" w14:textId="77777777" w:rsidR="004655F5" w:rsidRPr="0029748B" w:rsidRDefault="004655F5" w:rsidP="00B76A7B">
      <w:pPr>
        <w:widowControl/>
        <w:spacing w:line="360" w:lineRule="auto"/>
        <w:rPr>
          <w:sz w:val="26"/>
          <w:szCs w:val="26"/>
        </w:rPr>
      </w:pPr>
      <w:r w:rsidRPr="0029748B">
        <w:rPr>
          <w:sz w:val="26"/>
          <w:szCs w:val="26"/>
        </w:rPr>
        <w:t xml:space="preserve">OCA M.B. at 47 (citing OCA St. No. 1 at 11).  </w:t>
      </w:r>
    </w:p>
    <w:p w14:paraId="3D916B31" w14:textId="77777777" w:rsidR="004655F5" w:rsidRPr="0029748B" w:rsidRDefault="004655F5" w:rsidP="00B76A7B">
      <w:pPr>
        <w:widowControl/>
        <w:spacing w:line="360" w:lineRule="auto"/>
        <w:rPr>
          <w:sz w:val="26"/>
          <w:szCs w:val="26"/>
        </w:rPr>
      </w:pPr>
    </w:p>
    <w:p w14:paraId="0EC9FA04" w14:textId="77777777" w:rsidR="004655F5" w:rsidRPr="0029748B" w:rsidRDefault="004655F5" w:rsidP="0029748B">
      <w:pPr>
        <w:widowControl/>
        <w:spacing w:line="360" w:lineRule="auto"/>
        <w:ind w:firstLine="1440"/>
        <w:rPr>
          <w:sz w:val="26"/>
          <w:szCs w:val="26"/>
        </w:rPr>
      </w:pPr>
      <w:r w:rsidRPr="0029748B">
        <w:rPr>
          <w:sz w:val="26"/>
          <w:szCs w:val="26"/>
        </w:rPr>
        <w:t xml:space="preserve">The OCA asserted that if rates are too high, then not only does that violate the basic principles of rate setting, it will result in customers not being able to afford water utility service.  OCA St. 1 at 13-15.  The OCA’s witness, Ms. Sherwood, found that the proposed rate of $250 per month for a customer using 2,400 gallons per month would be more than 7% of the MHI in Shohola Township. </w:t>
      </w:r>
      <w:r w:rsidR="00BD5EA6" w:rsidRPr="0029748B">
        <w:rPr>
          <w:sz w:val="26"/>
          <w:szCs w:val="26"/>
        </w:rPr>
        <w:t xml:space="preserve"> </w:t>
      </w:r>
      <w:r w:rsidRPr="0029748B">
        <w:rPr>
          <w:sz w:val="26"/>
          <w:szCs w:val="26"/>
        </w:rPr>
        <w:t xml:space="preserve">The OCA noted that Ms. Sherwood reviewed the MHI indicators as used by EPA and PENNVEST. </w:t>
      </w:r>
      <w:r w:rsidR="001F3229" w:rsidRPr="0029748B">
        <w:rPr>
          <w:sz w:val="26"/>
          <w:szCs w:val="26"/>
        </w:rPr>
        <w:t xml:space="preserve"> </w:t>
      </w:r>
      <w:r w:rsidRPr="0029748B">
        <w:rPr>
          <w:sz w:val="26"/>
          <w:szCs w:val="26"/>
        </w:rPr>
        <w:t>She found that EPA reported that an annual bill of greater than 2% of MHI “may be difficult for the consumer.”  OCA St. No. 1 at 13, note 17.</w:t>
      </w:r>
      <w:r w:rsidR="00323609" w:rsidRPr="0029748B">
        <w:rPr>
          <w:sz w:val="26"/>
          <w:szCs w:val="26"/>
        </w:rPr>
        <w:t xml:space="preserve">  </w:t>
      </w:r>
      <w:r w:rsidRPr="0029748B">
        <w:rPr>
          <w:sz w:val="26"/>
          <w:szCs w:val="26"/>
        </w:rPr>
        <w:t xml:space="preserve">PENNVEST calculates affordable rates as </w:t>
      </w:r>
      <w:r w:rsidRPr="0029748B">
        <w:rPr>
          <w:sz w:val="26"/>
          <w:szCs w:val="26"/>
        </w:rPr>
        <w:lastRenderedPageBreak/>
        <w:t xml:space="preserve">being between 1% and 2% of Adjusted MHI (adjusted for inflation) based on the socioeconomic condition of the community.  </w:t>
      </w:r>
      <w:r w:rsidRPr="0029748B">
        <w:rPr>
          <w:i/>
          <w:iCs/>
          <w:sz w:val="26"/>
          <w:szCs w:val="26"/>
        </w:rPr>
        <w:t xml:space="preserve">Id. </w:t>
      </w:r>
      <w:r w:rsidRPr="0029748B">
        <w:rPr>
          <w:sz w:val="26"/>
          <w:szCs w:val="26"/>
        </w:rPr>
        <w:t xml:space="preserve"> </w:t>
      </w:r>
    </w:p>
    <w:p w14:paraId="75891C4E" w14:textId="77777777" w:rsidR="004655F5" w:rsidRPr="0029748B" w:rsidRDefault="004655F5" w:rsidP="0029748B">
      <w:pPr>
        <w:widowControl/>
        <w:spacing w:line="360" w:lineRule="auto"/>
        <w:ind w:firstLine="1440"/>
        <w:rPr>
          <w:sz w:val="26"/>
          <w:szCs w:val="26"/>
        </w:rPr>
      </w:pPr>
    </w:p>
    <w:p w14:paraId="280FC6A9" w14:textId="77777777" w:rsidR="004655F5" w:rsidRPr="0029748B" w:rsidRDefault="004655F5" w:rsidP="0029748B">
      <w:pPr>
        <w:widowControl/>
        <w:spacing w:line="360" w:lineRule="auto"/>
        <w:ind w:firstLine="1440"/>
        <w:rPr>
          <w:sz w:val="26"/>
          <w:szCs w:val="26"/>
        </w:rPr>
      </w:pPr>
      <w:r w:rsidRPr="0029748B">
        <w:rPr>
          <w:sz w:val="26"/>
          <w:szCs w:val="26"/>
        </w:rPr>
        <w:t xml:space="preserve">The OCA stated that its proposed revenue requirement, at full rate of return, the resulting rates would be at 7% of MHI for Shohola Township. </w:t>
      </w:r>
      <w:r w:rsidR="00BD5EA6" w:rsidRPr="0029748B">
        <w:rPr>
          <w:sz w:val="26"/>
          <w:szCs w:val="26"/>
        </w:rPr>
        <w:t xml:space="preserve"> </w:t>
      </w:r>
      <w:r w:rsidRPr="0029748B">
        <w:rPr>
          <w:sz w:val="26"/>
          <w:szCs w:val="26"/>
        </w:rPr>
        <w:t>At the OCA’s revenue requirement reflecting a zero return on equity, the rates would represent 5.5% of MHI in Shohola Township.  The OCA argued there is no resulting level of revenue requirement that would set rates that are anywhere near the normal ranges of affordability.  OCA M.B. at 48.</w:t>
      </w:r>
    </w:p>
    <w:p w14:paraId="004511A6" w14:textId="77777777" w:rsidR="004655F5" w:rsidRPr="0029748B" w:rsidRDefault="004655F5" w:rsidP="0029748B">
      <w:pPr>
        <w:widowControl/>
        <w:spacing w:line="360" w:lineRule="auto"/>
        <w:ind w:firstLine="1440"/>
        <w:rPr>
          <w:sz w:val="26"/>
          <w:szCs w:val="26"/>
        </w:rPr>
      </w:pPr>
    </w:p>
    <w:p w14:paraId="74C2AF05" w14:textId="77777777" w:rsidR="004655F5" w:rsidRPr="0029748B" w:rsidRDefault="004655F5" w:rsidP="0029748B">
      <w:pPr>
        <w:widowControl/>
        <w:spacing w:line="360" w:lineRule="auto"/>
        <w:ind w:firstLine="1440"/>
        <w:rPr>
          <w:sz w:val="26"/>
          <w:szCs w:val="26"/>
        </w:rPr>
      </w:pPr>
      <w:r w:rsidRPr="0029748B">
        <w:rPr>
          <w:sz w:val="26"/>
          <w:szCs w:val="26"/>
        </w:rPr>
        <w:t xml:space="preserve">The OCA indicated that the concerns of gradualism, rate shock and affordability do not go away after this case.  The OCA noted that Twin Lakes is projecting more than $3,100,000 of capital improvements that are not reflected in this rate case.  OCA St. No. 1 at 14.  The OCA also stated that the Company’s PENNVEST filing requested $4,825,000 of capital improvements.  </w:t>
      </w:r>
      <w:r w:rsidRPr="0029748B">
        <w:rPr>
          <w:i/>
          <w:iCs/>
          <w:sz w:val="26"/>
          <w:szCs w:val="26"/>
        </w:rPr>
        <w:t xml:space="preserve">Id. </w:t>
      </w:r>
      <w:r w:rsidRPr="0029748B">
        <w:rPr>
          <w:sz w:val="26"/>
          <w:szCs w:val="26"/>
        </w:rPr>
        <w:t xml:space="preserve">at n.18.  The OCA maintained using the more conservative number of $3,100,000 its witness, Ms. Sherwood, calculated that rate base would increase by 331% and increase Twin Lakes’ cost of service by an additional 173%, using </w:t>
      </w:r>
      <w:r w:rsidR="00B232E8" w:rsidRPr="0029748B">
        <w:rPr>
          <w:sz w:val="26"/>
          <w:szCs w:val="26"/>
        </w:rPr>
        <w:t xml:space="preserve">the </w:t>
      </w:r>
      <w:r w:rsidRPr="0029748B">
        <w:rPr>
          <w:sz w:val="26"/>
          <w:szCs w:val="26"/>
        </w:rPr>
        <w:t>OCA’s recommended 0% return on equity.</w:t>
      </w:r>
      <w:r w:rsidR="00B232E8" w:rsidRPr="0029748B">
        <w:rPr>
          <w:sz w:val="26"/>
          <w:szCs w:val="26"/>
        </w:rPr>
        <w:t xml:space="preserve"> </w:t>
      </w:r>
      <w:r w:rsidRPr="0029748B">
        <w:rPr>
          <w:sz w:val="26"/>
          <w:szCs w:val="26"/>
        </w:rPr>
        <w:t xml:space="preserve"> The OCA submitted that the affordability of the rates resulting from this case should be considered, as well as considering the long-term rate implications, when the Commission makes its determination in this proceeding. </w:t>
      </w:r>
      <w:r w:rsidR="00BD5EA6" w:rsidRPr="0029748B">
        <w:rPr>
          <w:sz w:val="26"/>
          <w:szCs w:val="26"/>
        </w:rPr>
        <w:t xml:space="preserve"> </w:t>
      </w:r>
      <w:r w:rsidRPr="0029748B">
        <w:rPr>
          <w:sz w:val="26"/>
          <w:szCs w:val="26"/>
        </w:rPr>
        <w:t xml:space="preserve">OCA M.B. at 48-49 </w:t>
      </w:r>
    </w:p>
    <w:p w14:paraId="6BC148FA" w14:textId="77777777" w:rsidR="004655F5" w:rsidRPr="0029748B" w:rsidRDefault="004655F5" w:rsidP="0029748B">
      <w:pPr>
        <w:widowControl/>
        <w:spacing w:line="360" w:lineRule="auto"/>
        <w:ind w:firstLine="1440"/>
        <w:rPr>
          <w:sz w:val="26"/>
          <w:szCs w:val="26"/>
        </w:rPr>
      </w:pPr>
    </w:p>
    <w:p w14:paraId="71199847" w14:textId="77777777" w:rsidR="004655F5" w:rsidRPr="0029748B" w:rsidRDefault="004655F5" w:rsidP="0029748B">
      <w:pPr>
        <w:widowControl/>
        <w:spacing w:line="360" w:lineRule="auto"/>
        <w:ind w:firstLine="1440"/>
        <w:rPr>
          <w:sz w:val="26"/>
          <w:szCs w:val="26"/>
        </w:rPr>
      </w:pPr>
      <w:r w:rsidRPr="0029748B">
        <w:rPr>
          <w:sz w:val="26"/>
          <w:szCs w:val="26"/>
        </w:rPr>
        <w:t xml:space="preserve">Lastly, the OCA argued that the situation requires finding a long-term solution and the initiation of a Section 529 proceeding.  OCA M.B. at 49 (citing 66 </w:t>
      </w:r>
      <w:proofErr w:type="spellStart"/>
      <w:r w:rsidRPr="0029748B">
        <w:rPr>
          <w:sz w:val="26"/>
          <w:szCs w:val="26"/>
        </w:rPr>
        <w:t>Pa.C.S</w:t>
      </w:r>
      <w:proofErr w:type="spellEnd"/>
      <w:r w:rsidRPr="0029748B">
        <w:rPr>
          <w:sz w:val="26"/>
          <w:szCs w:val="26"/>
        </w:rPr>
        <w:t>. § 529; OCA St. No. 1 at 14-15).</w:t>
      </w:r>
    </w:p>
    <w:p w14:paraId="7DF3C690" w14:textId="77777777" w:rsidR="004655F5" w:rsidRPr="0029748B" w:rsidRDefault="004655F5" w:rsidP="0029748B">
      <w:pPr>
        <w:pStyle w:val="ListParagraph"/>
        <w:widowControl/>
        <w:spacing w:line="360" w:lineRule="auto"/>
        <w:ind w:left="1440"/>
        <w:textAlignment w:val="baseline"/>
        <w:rPr>
          <w:color w:val="000000"/>
          <w:sz w:val="26"/>
          <w:szCs w:val="26"/>
        </w:rPr>
      </w:pPr>
    </w:p>
    <w:p w14:paraId="0C157C60" w14:textId="77777777" w:rsidR="00D951C4" w:rsidRPr="0029748B" w:rsidRDefault="00D951C4" w:rsidP="00162787">
      <w:pPr>
        <w:pStyle w:val="ListParagraph"/>
        <w:keepNext/>
        <w:keepLines/>
        <w:widowControl/>
        <w:numPr>
          <w:ilvl w:val="1"/>
          <w:numId w:val="4"/>
        </w:numPr>
        <w:spacing w:line="360" w:lineRule="auto"/>
        <w:ind w:left="1440"/>
        <w:textAlignment w:val="baseline"/>
        <w:rPr>
          <w:b/>
          <w:bCs/>
          <w:color w:val="000000"/>
          <w:sz w:val="26"/>
          <w:szCs w:val="26"/>
        </w:rPr>
      </w:pPr>
      <w:r w:rsidRPr="0029748B">
        <w:rPr>
          <w:b/>
          <w:bCs/>
          <w:color w:val="000000"/>
          <w:sz w:val="26"/>
          <w:szCs w:val="26"/>
        </w:rPr>
        <w:lastRenderedPageBreak/>
        <w:t>Recommended Decision</w:t>
      </w:r>
    </w:p>
    <w:p w14:paraId="2F511E4E" w14:textId="77777777" w:rsidR="008D4AE4" w:rsidRPr="0029748B" w:rsidRDefault="008D4AE4" w:rsidP="0029748B">
      <w:pPr>
        <w:pStyle w:val="ListParagraph"/>
        <w:keepNext/>
        <w:keepLines/>
        <w:widowControl/>
        <w:spacing w:line="360" w:lineRule="auto"/>
        <w:ind w:left="360"/>
        <w:textAlignment w:val="baseline"/>
        <w:rPr>
          <w:b/>
          <w:bCs/>
          <w:color w:val="000000"/>
          <w:sz w:val="26"/>
          <w:szCs w:val="26"/>
        </w:rPr>
      </w:pPr>
    </w:p>
    <w:p w14:paraId="56046F5A" w14:textId="77777777" w:rsidR="008D4AE4" w:rsidRPr="0029748B" w:rsidRDefault="008D4AE4" w:rsidP="0029748B">
      <w:pPr>
        <w:keepNext/>
        <w:keepLines/>
        <w:widowControl/>
        <w:spacing w:line="360" w:lineRule="auto"/>
        <w:ind w:firstLine="1440"/>
        <w:rPr>
          <w:sz w:val="26"/>
          <w:szCs w:val="26"/>
        </w:rPr>
      </w:pPr>
      <w:r w:rsidRPr="0029748B">
        <w:rPr>
          <w:sz w:val="26"/>
          <w:szCs w:val="26"/>
        </w:rPr>
        <w:t>The ALJ’s recommendation regarding the affordability of rates treated affordability as a factor in determining the Company’s reasonable Rate of Return.  The ALJ recommended that the Company be denied the full requested rate relief and instead be granted a COE rate of 9.23%, based on the evidence and positions presented by I&amp;E and the OCA on both affordability and quality of service.  Specifically, the ALJ stated that “[p]art of the reason for …[denying the Company’s requested rate of 11%</w:t>
      </w:r>
      <w:r w:rsidR="002343A3" w:rsidRPr="0029748B">
        <w:rPr>
          <w:sz w:val="26"/>
          <w:szCs w:val="26"/>
        </w:rPr>
        <w:t xml:space="preserve"> COE</w:t>
      </w:r>
      <w:r w:rsidRPr="0029748B">
        <w:rPr>
          <w:sz w:val="26"/>
          <w:szCs w:val="26"/>
        </w:rPr>
        <w:t xml:space="preserve"> ] is the concerns with affordability of rates of customers.”  R.D. at 87. </w:t>
      </w:r>
    </w:p>
    <w:p w14:paraId="0330A172" w14:textId="77777777" w:rsidR="008D4AE4" w:rsidRPr="0029748B" w:rsidRDefault="008D4AE4" w:rsidP="0029748B">
      <w:pPr>
        <w:widowControl/>
        <w:spacing w:line="360" w:lineRule="auto"/>
        <w:ind w:firstLine="1440"/>
        <w:rPr>
          <w:sz w:val="26"/>
          <w:szCs w:val="26"/>
        </w:rPr>
      </w:pPr>
    </w:p>
    <w:p w14:paraId="7BAE4C68" w14:textId="77777777" w:rsidR="008D4AE4" w:rsidRPr="0029748B" w:rsidRDefault="008D4AE4" w:rsidP="0029748B">
      <w:pPr>
        <w:widowControl/>
        <w:spacing w:line="360" w:lineRule="auto"/>
        <w:ind w:firstLine="1440"/>
        <w:rPr>
          <w:sz w:val="26"/>
          <w:szCs w:val="26"/>
        </w:rPr>
      </w:pPr>
      <w:r w:rsidRPr="0029748B">
        <w:rPr>
          <w:sz w:val="26"/>
          <w:szCs w:val="26"/>
        </w:rPr>
        <w:t>Recognizing Section 1301</w:t>
      </w:r>
      <w:r w:rsidR="00E90382" w:rsidRPr="0029748B">
        <w:rPr>
          <w:sz w:val="26"/>
          <w:szCs w:val="26"/>
        </w:rPr>
        <w:t>of the Code’s</w:t>
      </w:r>
      <w:r w:rsidRPr="0029748B">
        <w:rPr>
          <w:sz w:val="26"/>
          <w:szCs w:val="26"/>
        </w:rPr>
        <w:t xml:space="preserve"> mandate for utility rates to be set at a just and reasonable level, the ALJ acknowledged Twin Lakes’ argument that affordability is a social concern and part of the problem with small water utilities while also recognizing that it is important the utility has sufficient revenues in order to undertake improvement projects.  The ALJ reasoned, however, that rate shock would be present not only at the Company’s proposed revenue requirement but also with I&amp;E and the OCA’s calculated revenue requirement.  According to the ALJ, if rates are too high, then not only does that violate the basic principles of rate setting, but it also results in customers not being able to afford water utility service.  </w:t>
      </w:r>
      <w:r w:rsidR="00E90382" w:rsidRPr="0029748B">
        <w:rPr>
          <w:sz w:val="26"/>
          <w:szCs w:val="26"/>
        </w:rPr>
        <w:t>Thus,</w:t>
      </w:r>
      <w:r w:rsidRPr="0029748B">
        <w:rPr>
          <w:sz w:val="26"/>
          <w:szCs w:val="26"/>
        </w:rPr>
        <w:t xml:space="preserve"> the ALJ recommended that the Commission adopt the alternative recommendation of I&amp;E to set the return on equity at 9.23%.  R.D. at 87.</w:t>
      </w:r>
    </w:p>
    <w:p w14:paraId="68B62240" w14:textId="77777777" w:rsidR="008D4AE4" w:rsidRPr="0029748B" w:rsidRDefault="008D4AE4" w:rsidP="0029748B">
      <w:pPr>
        <w:widowControl/>
        <w:spacing w:line="360" w:lineRule="auto"/>
        <w:ind w:firstLine="1440"/>
        <w:rPr>
          <w:sz w:val="26"/>
          <w:szCs w:val="26"/>
        </w:rPr>
      </w:pPr>
    </w:p>
    <w:p w14:paraId="2E4CD462" w14:textId="77777777" w:rsidR="008D4AE4" w:rsidRPr="0029748B" w:rsidRDefault="008D4AE4" w:rsidP="0029748B">
      <w:pPr>
        <w:widowControl/>
        <w:spacing w:line="360" w:lineRule="auto"/>
        <w:ind w:firstLine="1440"/>
        <w:rPr>
          <w:sz w:val="26"/>
          <w:szCs w:val="26"/>
        </w:rPr>
      </w:pPr>
      <w:r w:rsidRPr="0029748B">
        <w:rPr>
          <w:sz w:val="26"/>
          <w:szCs w:val="26"/>
        </w:rPr>
        <w:t xml:space="preserve">Finally, as to Twin Lakes objection to the qualifications of </w:t>
      </w:r>
      <w:r w:rsidR="00E90382" w:rsidRPr="0029748B">
        <w:rPr>
          <w:sz w:val="26"/>
          <w:szCs w:val="26"/>
        </w:rPr>
        <w:t xml:space="preserve">the </w:t>
      </w:r>
      <w:r w:rsidRPr="0029748B">
        <w:rPr>
          <w:sz w:val="26"/>
          <w:szCs w:val="26"/>
        </w:rPr>
        <w:t xml:space="preserve">OCA’s witness, Ms. Sherwood, to testify regarding affordability of rates, the ALJ stated she was not persuaded by the argument.  </w:t>
      </w:r>
      <w:r w:rsidRPr="0029748B">
        <w:rPr>
          <w:i/>
          <w:iCs/>
          <w:sz w:val="26"/>
          <w:szCs w:val="26"/>
        </w:rPr>
        <w:t>See</w:t>
      </w:r>
      <w:r w:rsidR="00E90382" w:rsidRPr="0029748B">
        <w:rPr>
          <w:i/>
          <w:iCs/>
          <w:sz w:val="26"/>
          <w:szCs w:val="26"/>
        </w:rPr>
        <w:t>,</w:t>
      </w:r>
      <w:r w:rsidRPr="0029748B">
        <w:rPr>
          <w:sz w:val="26"/>
          <w:szCs w:val="26"/>
        </w:rPr>
        <w:t xml:space="preserve"> R.D. at 83, n. 320.</w:t>
      </w:r>
    </w:p>
    <w:p w14:paraId="547C72FD" w14:textId="77777777" w:rsidR="007A2949" w:rsidRPr="0029748B" w:rsidRDefault="007A2949" w:rsidP="0029748B">
      <w:pPr>
        <w:widowControl/>
        <w:spacing w:line="360" w:lineRule="auto"/>
        <w:textAlignment w:val="baseline"/>
        <w:rPr>
          <w:color w:val="000000"/>
          <w:sz w:val="26"/>
          <w:szCs w:val="26"/>
        </w:rPr>
      </w:pPr>
    </w:p>
    <w:p w14:paraId="45544760" w14:textId="77777777" w:rsidR="00D951C4" w:rsidRPr="0029748B" w:rsidRDefault="00D951C4" w:rsidP="003851DA">
      <w:pPr>
        <w:pStyle w:val="ListParagraph"/>
        <w:keepNext/>
        <w:widowControl/>
        <w:numPr>
          <w:ilvl w:val="1"/>
          <w:numId w:val="4"/>
        </w:numPr>
        <w:spacing w:line="360" w:lineRule="auto"/>
        <w:ind w:left="1440"/>
        <w:textAlignment w:val="baseline"/>
        <w:rPr>
          <w:b/>
          <w:bCs/>
          <w:color w:val="000000"/>
          <w:sz w:val="26"/>
          <w:szCs w:val="26"/>
        </w:rPr>
      </w:pPr>
      <w:r w:rsidRPr="0029748B">
        <w:rPr>
          <w:b/>
          <w:bCs/>
          <w:color w:val="000000"/>
          <w:sz w:val="26"/>
          <w:szCs w:val="26"/>
        </w:rPr>
        <w:lastRenderedPageBreak/>
        <w:t>Exceptions and Replies</w:t>
      </w:r>
    </w:p>
    <w:p w14:paraId="4D430431" w14:textId="77777777" w:rsidR="006E5A1E" w:rsidRPr="0029748B" w:rsidRDefault="006E5A1E" w:rsidP="0029748B">
      <w:pPr>
        <w:pStyle w:val="ListParagraph"/>
        <w:keepNext/>
        <w:widowControl/>
        <w:spacing w:line="360" w:lineRule="auto"/>
        <w:ind w:left="1800"/>
        <w:textAlignment w:val="baseline"/>
        <w:rPr>
          <w:b/>
          <w:bCs/>
          <w:color w:val="000000"/>
          <w:sz w:val="26"/>
          <w:szCs w:val="26"/>
        </w:rPr>
      </w:pPr>
    </w:p>
    <w:p w14:paraId="1F04AF3C" w14:textId="77777777" w:rsidR="003A4CA0" w:rsidRPr="0029748B" w:rsidRDefault="003A4CA0" w:rsidP="00B25A4C">
      <w:pPr>
        <w:pStyle w:val="ListParagraph"/>
        <w:keepNext/>
        <w:keepLines/>
        <w:widowControl/>
        <w:numPr>
          <w:ilvl w:val="3"/>
          <w:numId w:val="4"/>
        </w:numPr>
        <w:spacing w:before="40"/>
        <w:ind w:left="2160" w:hanging="720"/>
        <w:outlineLvl w:val="4"/>
        <w:rPr>
          <w:b/>
          <w:sz w:val="26"/>
          <w:szCs w:val="26"/>
        </w:rPr>
      </w:pPr>
      <w:r w:rsidRPr="0029748B">
        <w:rPr>
          <w:b/>
          <w:sz w:val="26"/>
          <w:szCs w:val="26"/>
        </w:rPr>
        <w:t>Twin Lake</w:t>
      </w:r>
      <w:r w:rsidR="00BA4FB6" w:rsidRPr="0029748B">
        <w:rPr>
          <w:b/>
          <w:sz w:val="26"/>
          <w:szCs w:val="26"/>
        </w:rPr>
        <w:t>s</w:t>
      </w:r>
      <w:r w:rsidRPr="0029748B">
        <w:rPr>
          <w:b/>
          <w:sz w:val="26"/>
          <w:szCs w:val="26"/>
        </w:rPr>
        <w:t xml:space="preserve"> Exception No. 2 </w:t>
      </w:r>
      <w:r w:rsidR="001175B5" w:rsidRPr="0029748B">
        <w:rPr>
          <w:b/>
          <w:sz w:val="26"/>
          <w:szCs w:val="26"/>
        </w:rPr>
        <w:t>and Replies</w:t>
      </w:r>
    </w:p>
    <w:p w14:paraId="11C345B3" w14:textId="77777777" w:rsidR="003A4CA0" w:rsidRPr="0029748B" w:rsidRDefault="003A4CA0" w:rsidP="0029748B">
      <w:pPr>
        <w:keepNext/>
        <w:widowControl/>
        <w:spacing w:line="360" w:lineRule="auto"/>
        <w:rPr>
          <w:sz w:val="26"/>
          <w:szCs w:val="26"/>
        </w:rPr>
      </w:pPr>
    </w:p>
    <w:p w14:paraId="0B55A0A6" w14:textId="77777777" w:rsidR="003A4CA0" w:rsidRPr="0029748B" w:rsidRDefault="003A4CA0" w:rsidP="0029748B">
      <w:pPr>
        <w:keepNext/>
        <w:widowControl/>
        <w:spacing w:line="360" w:lineRule="auto"/>
        <w:ind w:firstLine="1440"/>
        <w:rPr>
          <w:sz w:val="26"/>
          <w:szCs w:val="26"/>
        </w:rPr>
      </w:pPr>
      <w:r w:rsidRPr="0029748B">
        <w:rPr>
          <w:sz w:val="26"/>
          <w:szCs w:val="26"/>
        </w:rPr>
        <w:t>In its Exception No. 2, Twin Lakes argues that the ALJ places the outcome of this rate case on two pillars that inherently contradict one another.  The first pillar is that Twin Lakes has not invested enough to improve its UFW levels and should therefore be denied adequate rate recovery.  The second pillar is that affordability is a factor in setting just and reasonable rates.  According to Twin Lakes, the inescapable end result of the ALJ’s adoption of these two pillars is that the investment of another $3.1 million by the Company to replace the remaining mains and construct a replacement well will only create a higher level of misperceived rate unaffordability for customers.  Based on the ALJ’s adoption of the second pillar, Twin Lakes’ rate request must be denied following such investment.  Based on the ALJ’s adoption of the first pillar, because Twin Lakes has not replaced its remaining mains and constructed the replacement well, its rate request for the actions it has already undertaken must also be denied.</w:t>
      </w:r>
      <w:r w:rsidR="00323609" w:rsidRPr="0029748B">
        <w:rPr>
          <w:sz w:val="26"/>
          <w:szCs w:val="26"/>
        </w:rPr>
        <w:t xml:space="preserve">  </w:t>
      </w:r>
      <w:r w:rsidRPr="0029748B">
        <w:rPr>
          <w:sz w:val="26"/>
          <w:szCs w:val="26"/>
        </w:rPr>
        <w:t>TL</w:t>
      </w:r>
      <w:r w:rsidR="002343A3" w:rsidRPr="0029748B">
        <w:rPr>
          <w:sz w:val="26"/>
          <w:szCs w:val="26"/>
        </w:rPr>
        <w:t>U</w:t>
      </w:r>
      <w:r w:rsidRPr="0029748B">
        <w:rPr>
          <w:sz w:val="26"/>
          <w:szCs w:val="26"/>
        </w:rPr>
        <w:t xml:space="preserve"> Exc. at 3.</w:t>
      </w:r>
    </w:p>
    <w:p w14:paraId="6F00B1C1" w14:textId="77777777" w:rsidR="003A4CA0" w:rsidRPr="0029748B" w:rsidRDefault="003A4CA0" w:rsidP="0029748B">
      <w:pPr>
        <w:widowControl/>
        <w:spacing w:line="360" w:lineRule="auto"/>
        <w:ind w:firstLine="1440"/>
        <w:rPr>
          <w:sz w:val="26"/>
          <w:szCs w:val="26"/>
        </w:rPr>
      </w:pPr>
    </w:p>
    <w:p w14:paraId="08B034D3" w14:textId="77777777" w:rsidR="003A4CA0" w:rsidRPr="0029748B" w:rsidRDefault="003A4CA0" w:rsidP="0029748B">
      <w:pPr>
        <w:widowControl/>
        <w:spacing w:line="360" w:lineRule="auto"/>
        <w:ind w:firstLine="1440"/>
        <w:rPr>
          <w:sz w:val="26"/>
          <w:szCs w:val="26"/>
        </w:rPr>
      </w:pPr>
      <w:r w:rsidRPr="0029748B">
        <w:rPr>
          <w:sz w:val="26"/>
          <w:szCs w:val="26"/>
        </w:rPr>
        <w:t>Twin Lakes argues that should the Commission accept the foregoing reasoning, it would constitute “clear breach, if not complete abandonment, of the regulatory compact itself.”  Twin Lakes argues that</w:t>
      </w:r>
      <w:r w:rsidR="00E90382" w:rsidRPr="0029748B">
        <w:rPr>
          <w:sz w:val="26"/>
          <w:szCs w:val="26"/>
        </w:rPr>
        <w:t>,</w:t>
      </w:r>
      <w:r w:rsidRPr="0029748B">
        <w:rPr>
          <w:sz w:val="26"/>
          <w:szCs w:val="26"/>
        </w:rPr>
        <w:t xml:space="preserve"> if and when</w:t>
      </w:r>
      <w:r w:rsidR="00E90382" w:rsidRPr="0029748B">
        <w:rPr>
          <w:sz w:val="26"/>
          <w:szCs w:val="26"/>
        </w:rPr>
        <w:t>,</w:t>
      </w:r>
      <w:r w:rsidRPr="0029748B">
        <w:rPr>
          <w:sz w:val="26"/>
          <w:szCs w:val="26"/>
        </w:rPr>
        <w:t xml:space="preserve"> it makes investment in its system, it is reasonable for it (and any utility for that matter) to rely on the Commission to be afforded an opportunity to attain a just and reasonable return on the prudently invested capital.  </w:t>
      </w:r>
      <w:r w:rsidR="000F11DC" w:rsidRPr="0029748B">
        <w:rPr>
          <w:sz w:val="26"/>
          <w:szCs w:val="26"/>
        </w:rPr>
        <w:t>Twin Lakes argues that f</w:t>
      </w:r>
      <w:r w:rsidRPr="0029748B">
        <w:rPr>
          <w:sz w:val="26"/>
          <w:szCs w:val="26"/>
        </w:rPr>
        <w:t>or a Commission to set rates that are not just and reasonable and do not support an opportunity to provide an adequate return on capital already invested is antithetical to the regulatory compact relied on by utilities, including Twin Lakes, for decades.  Twin Lakes asserts “It would send a clear, chilling message to Pennsylvania utilities.”  TL</w:t>
      </w:r>
      <w:r w:rsidR="002343A3" w:rsidRPr="0029748B">
        <w:rPr>
          <w:sz w:val="26"/>
          <w:szCs w:val="26"/>
        </w:rPr>
        <w:t>U</w:t>
      </w:r>
      <w:r w:rsidRPr="0029748B">
        <w:rPr>
          <w:sz w:val="26"/>
          <w:szCs w:val="26"/>
        </w:rPr>
        <w:t xml:space="preserve"> Exc. at 3.  </w:t>
      </w:r>
    </w:p>
    <w:p w14:paraId="6AE731EE" w14:textId="77777777" w:rsidR="003A4CA0" w:rsidRPr="0029748B" w:rsidRDefault="003A4CA0" w:rsidP="0029748B">
      <w:pPr>
        <w:widowControl/>
        <w:spacing w:line="360" w:lineRule="auto"/>
        <w:ind w:firstLine="1440"/>
        <w:rPr>
          <w:sz w:val="26"/>
          <w:szCs w:val="26"/>
        </w:rPr>
      </w:pPr>
    </w:p>
    <w:p w14:paraId="427368E7" w14:textId="77777777" w:rsidR="003A4CA0" w:rsidRPr="0029748B" w:rsidRDefault="003A4CA0" w:rsidP="0029748B">
      <w:pPr>
        <w:widowControl/>
        <w:spacing w:line="360" w:lineRule="auto"/>
        <w:ind w:firstLine="1440"/>
        <w:rPr>
          <w:sz w:val="26"/>
          <w:szCs w:val="26"/>
        </w:rPr>
      </w:pPr>
      <w:r w:rsidRPr="0029748B">
        <w:rPr>
          <w:sz w:val="26"/>
          <w:szCs w:val="26"/>
        </w:rPr>
        <w:lastRenderedPageBreak/>
        <w:t xml:space="preserve">Twin Lakes submits that in its Reply Brief it strongly objected to the inclusion of the OCA’s witness testimony stating that the proposed revenue requirement at full rate of return would result in rates that would be at 7% of </w:t>
      </w:r>
      <w:r w:rsidR="00D61D3E" w:rsidRPr="0029748B">
        <w:rPr>
          <w:sz w:val="26"/>
          <w:szCs w:val="26"/>
        </w:rPr>
        <w:t>MHI</w:t>
      </w:r>
      <w:r w:rsidRPr="0029748B">
        <w:rPr>
          <w:sz w:val="26"/>
          <w:szCs w:val="26"/>
        </w:rPr>
        <w:t xml:space="preserve"> because Ms. Sherwood is not a qualified expert in this area.  Twin Lakes argues Ms. Sherwood is not qualified to opine neither on the demographics of the Twin Lakes customers nor their financial capabilities.  Twin Lakes asserts that Ms. Sherwood has no experience with poverty statistics, lacks knowledge as to the method for determining the poverty level or measuring real purchase power.</w:t>
      </w:r>
      <w:r w:rsidR="00323609" w:rsidRPr="0029748B">
        <w:rPr>
          <w:sz w:val="26"/>
          <w:szCs w:val="26"/>
        </w:rPr>
        <w:t xml:space="preserve">  </w:t>
      </w:r>
      <w:r w:rsidRPr="0029748B">
        <w:rPr>
          <w:sz w:val="26"/>
          <w:szCs w:val="26"/>
        </w:rPr>
        <w:t>Twin Lakes argues that Ms. Sherwood’s comparative chart illustrating the residual rates of major Pennsylvania water utilities to Twin Lakes extremely small system is an absurd and illogical non-expert dissertation on rate affordability.  TL</w:t>
      </w:r>
      <w:r w:rsidR="002343A3" w:rsidRPr="0029748B">
        <w:rPr>
          <w:sz w:val="26"/>
          <w:szCs w:val="26"/>
        </w:rPr>
        <w:t>U</w:t>
      </w:r>
      <w:r w:rsidRPr="0029748B">
        <w:rPr>
          <w:sz w:val="26"/>
          <w:szCs w:val="26"/>
        </w:rPr>
        <w:t xml:space="preserve"> Exc. at 3-4. </w:t>
      </w:r>
    </w:p>
    <w:p w14:paraId="608C400E" w14:textId="77777777" w:rsidR="003A4CA0" w:rsidRPr="0029748B" w:rsidRDefault="003A4CA0" w:rsidP="0029748B">
      <w:pPr>
        <w:widowControl/>
        <w:spacing w:line="360" w:lineRule="auto"/>
        <w:ind w:firstLine="1440"/>
        <w:rPr>
          <w:sz w:val="26"/>
          <w:szCs w:val="26"/>
        </w:rPr>
      </w:pPr>
    </w:p>
    <w:p w14:paraId="7F8246A1" w14:textId="77777777" w:rsidR="003A4CA0" w:rsidRPr="0029748B" w:rsidRDefault="003A4CA0" w:rsidP="0029748B">
      <w:pPr>
        <w:widowControl/>
        <w:spacing w:line="360" w:lineRule="auto"/>
        <w:ind w:firstLine="1440"/>
        <w:rPr>
          <w:sz w:val="26"/>
          <w:szCs w:val="26"/>
        </w:rPr>
      </w:pPr>
      <w:r w:rsidRPr="0029748B">
        <w:rPr>
          <w:sz w:val="26"/>
          <w:szCs w:val="26"/>
        </w:rPr>
        <w:t xml:space="preserve">Twin Lakes also argues that the Commission addressed this same affordability issue in a 1993 case, </w:t>
      </w:r>
      <w:r w:rsidRPr="0029748B">
        <w:rPr>
          <w:i/>
          <w:iCs/>
          <w:sz w:val="26"/>
          <w:szCs w:val="26"/>
        </w:rPr>
        <w:t>Pa. PUC v. Pennsylvania Gas &amp; Water Company</w:t>
      </w:r>
      <w:r w:rsidRPr="0029748B">
        <w:rPr>
          <w:sz w:val="26"/>
          <w:szCs w:val="26"/>
        </w:rPr>
        <w:t>, 1993 Pa PUC Lexis 61, 80 (</w:t>
      </w:r>
      <w:r w:rsidRPr="0029748B">
        <w:rPr>
          <w:i/>
          <w:iCs/>
          <w:sz w:val="26"/>
          <w:szCs w:val="26"/>
        </w:rPr>
        <w:t>Pennsylvania Gas &amp; Water Company</w:t>
      </w:r>
      <w:r w:rsidRPr="0029748B">
        <w:rPr>
          <w:sz w:val="26"/>
          <w:szCs w:val="26"/>
        </w:rPr>
        <w:t>), in which the Commission clarified the statutory nature of the regulatory bargain and concluded that the Commission’s obligation to enforce the regulatory bargain precludes reliance on affordability as a factor in setting just and reasonable rates.  TL</w:t>
      </w:r>
      <w:r w:rsidR="002343A3" w:rsidRPr="0029748B">
        <w:rPr>
          <w:sz w:val="26"/>
          <w:szCs w:val="26"/>
        </w:rPr>
        <w:t>U</w:t>
      </w:r>
      <w:r w:rsidRPr="0029748B">
        <w:rPr>
          <w:sz w:val="26"/>
          <w:szCs w:val="26"/>
        </w:rPr>
        <w:t xml:space="preserve"> Exc. at 4.</w:t>
      </w:r>
      <w:r w:rsidR="00323609" w:rsidRPr="0029748B">
        <w:rPr>
          <w:sz w:val="26"/>
          <w:szCs w:val="26"/>
        </w:rPr>
        <w:t xml:space="preserve">  </w:t>
      </w:r>
      <w:r w:rsidRPr="0029748B">
        <w:rPr>
          <w:sz w:val="26"/>
          <w:szCs w:val="26"/>
        </w:rPr>
        <w:t xml:space="preserve">In </w:t>
      </w:r>
      <w:r w:rsidRPr="0029748B">
        <w:rPr>
          <w:i/>
          <w:iCs/>
          <w:sz w:val="26"/>
          <w:szCs w:val="26"/>
        </w:rPr>
        <w:t>Pennsylvania Gas &amp; Water Company</w:t>
      </w:r>
      <w:r w:rsidRPr="0029748B">
        <w:rPr>
          <w:sz w:val="26"/>
          <w:szCs w:val="26"/>
        </w:rPr>
        <w:t xml:space="preserve">, the OCA relied on an unqualified witness to opine on median household income as the basis for determining poverty levels to establish a definition of affordability.  The Commission made clear in </w:t>
      </w:r>
      <w:r w:rsidRPr="0029748B">
        <w:rPr>
          <w:i/>
          <w:iCs/>
          <w:sz w:val="26"/>
          <w:szCs w:val="26"/>
        </w:rPr>
        <w:t xml:space="preserve">Pennsylvania Gas &amp; Water Company </w:t>
      </w:r>
      <w:r w:rsidRPr="0029748B">
        <w:rPr>
          <w:sz w:val="26"/>
          <w:szCs w:val="26"/>
        </w:rPr>
        <w:t>that this reliance should not be condoned.  Likewise, Twin Lakes argues that reliance on Ms. Sherwood’s unqualified opinion should not be condoned here.  TL</w:t>
      </w:r>
      <w:r w:rsidR="002343A3" w:rsidRPr="0029748B">
        <w:rPr>
          <w:sz w:val="26"/>
          <w:szCs w:val="26"/>
        </w:rPr>
        <w:t>U</w:t>
      </w:r>
      <w:r w:rsidRPr="0029748B">
        <w:rPr>
          <w:sz w:val="26"/>
          <w:szCs w:val="26"/>
        </w:rPr>
        <w:t xml:space="preserve"> Exc. at 4.</w:t>
      </w:r>
    </w:p>
    <w:p w14:paraId="43DC7DC2" w14:textId="77777777" w:rsidR="003A4CA0" w:rsidRPr="0029748B" w:rsidRDefault="003A4CA0" w:rsidP="0029748B">
      <w:pPr>
        <w:widowControl/>
        <w:spacing w:line="360" w:lineRule="auto"/>
        <w:ind w:firstLine="1440"/>
        <w:rPr>
          <w:sz w:val="26"/>
          <w:szCs w:val="26"/>
        </w:rPr>
      </w:pPr>
    </w:p>
    <w:p w14:paraId="7CD14B46" w14:textId="77777777" w:rsidR="003A4CA0" w:rsidRPr="0029748B" w:rsidRDefault="003A4CA0" w:rsidP="0029748B">
      <w:pPr>
        <w:widowControl/>
        <w:spacing w:line="360" w:lineRule="auto"/>
        <w:ind w:firstLine="1440"/>
        <w:rPr>
          <w:sz w:val="26"/>
          <w:szCs w:val="26"/>
        </w:rPr>
      </w:pPr>
      <w:r w:rsidRPr="0029748B">
        <w:rPr>
          <w:sz w:val="26"/>
          <w:szCs w:val="26"/>
        </w:rPr>
        <w:t xml:space="preserve">I&amp;E and the OCA filed Replies to Twin Lakes’ Exception No. 2.  For the reasons discussed below, the Parties </w:t>
      </w:r>
      <w:r w:rsidRPr="0029748B">
        <w:rPr>
          <w:rFonts w:eastAsia="Calibri"/>
          <w:sz w:val="26"/>
          <w:szCs w:val="26"/>
        </w:rPr>
        <w:t xml:space="preserve">request that the Commission reject Twin Lakes Exception No. 2 and accept the ALJ’s recommendation and find that Twin Lakes has </w:t>
      </w:r>
      <w:r w:rsidRPr="0029748B">
        <w:rPr>
          <w:rFonts w:eastAsia="Calibri"/>
          <w:sz w:val="26"/>
          <w:szCs w:val="26"/>
        </w:rPr>
        <w:lastRenderedPageBreak/>
        <w:t>failed to support its claim that the ALJ erred when considering affordability.  I&amp;E R. Exc. at 5-7; OCA R. Exc. at 4-7.</w:t>
      </w:r>
    </w:p>
    <w:p w14:paraId="0441A76E" w14:textId="77777777" w:rsidR="003A4CA0" w:rsidRPr="0029748B" w:rsidRDefault="003A4CA0" w:rsidP="0029748B">
      <w:pPr>
        <w:widowControl/>
        <w:spacing w:line="360" w:lineRule="auto"/>
        <w:ind w:firstLine="1440"/>
        <w:rPr>
          <w:sz w:val="26"/>
          <w:szCs w:val="26"/>
        </w:rPr>
      </w:pPr>
    </w:p>
    <w:p w14:paraId="65C0E91F" w14:textId="77777777" w:rsidR="003A4CA0" w:rsidRPr="0029748B" w:rsidRDefault="003A4CA0" w:rsidP="0029748B">
      <w:pPr>
        <w:widowControl/>
        <w:spacing w:line="360" w:lineRule="auto"/>
        <w:ind w:firstLine="1440"/>
        <w:rPr>
          <w:sz w:val="26"/>
          <w:szCs w:val="26"/>
        </w:rPr>
      </w:pPr>
      <w:r w:rsidRPr="0029748B">
        <w:rPr>
          <w:rFonts w:eastAsia="Calibri"/>
          <w:sz w:val="26"/>
          <w:szCs w:val="26"/>
        </w:rPr>
        <w:t xml:space="preserve">In I&amp;E’s Replies, I&amp;E submits that the Company’s failure to provide adequate service while at the same time requesting a significant rate increase (the current average monthly bill would increase from $94.59/month to $248.34/month under the Company’s proposed rates) is not in the public interest.  I&amp;E R. Exc. at 5 (citing I&amp;E St. No. 2 at 25; I&amp;E M.B. at 53).  I&amp;E asserts that Twin Lakes’ argument about the ALJ’s reasoning violating the regulatory compact is nonsensical given that </w:t>
      </w:r>
      <w:r w:rsidRPr="0029748B">
        <w:rPr>
          <w:sz w:val="26"/>
          <w:szCs w:val="26"/>
        </w:rPr>
        <w:t xml:space="preserve">Twin Lakes disregards the fact that the ALJ accepted I&amp;E’s alternate proposal allowing Twin Lakes to earn a 9.23% return on equity.  I&amp;E R. Exc. at 6.  I&amp;E explains that its 9.23% recommendation was based upon a traditional return on equity analysis that employed the DCF method and utilized the CAPM as a check to the DCF results.  </w:t>
      </w:r>
    </w:p>
    <w:p w14:paraId="34BC3303" w14:textId="77777777" w:rsidR="003A4CA0" w:rsidRPr="0029748B" w:rsidRDefault="003A4CA0" w:rsidP="0029748B">
      <w:pPr>
        <w:widowControl/>
        <w:spacing w:line="360" w:lineRule="auto"/>
        <w:ind w:firstLine="1440"/>
        <w:rPr>
          <w:sz w:val="26"/>
          <w:szCs w:val="26"/>
        </w:rPr>
      </w:pPr>
    </w:p>
    <w:p w14:paraId="32FDD162" w14:textId="77777777" w:rsidR="003A4CA0" w:rsidRPr="0029748B" w:rsidRDefault="003A4CA0" w:rsidP="0029748B">
      <w:pPr>
        <w:widowControl/>
        <w:spacing w:line="360" w:lineRule="auto"/>
        <w:ind w:firstLine="1440"/>
        <w:rPr>
          <w:sz w:val="26"/>
          <w:szCs w:val="26"/>
        </w:rPr>
      </w:pPr>
      <w:r w:rsidRPr="0029748B">
        <w:rPr>
          <w:sz w:val="26"/>
          <w:szCs w:val="26"/>
        </w:rPr>
        <w:t>In contrast, Twin Lakes did not offer any evidence to support its proposed 11.00% return on equity claim.  It did not conduct a DCF or CAPM analysis and failed to use a water utility proxy group to establish a benchmark of comparable risk.  Accordingly, I&amp;E submits that the R.D.’s recommendation to accept I&amp;E’s alternate return on equity recommendation was based upon traditional rate of return calculations, which result in just and reasonable rates.  I&amp;E R. Exc. at 6.</w:t>
      </w:r>
    </w:p>
    <w:p w14:paraId="4E566788" w14:textId="77777777" w:rsidR="003A4CA0" w:rsidRPr="0029748B" w:rsidRDefault="003A4CA0" w:rsidP="0029748B">
      <w:pPr>
        <w:widowControl/>
        <w:spacing w:line="360" w:lineRule="auto"/>
        <w:ind w:firstLine="1440"/>
        <w:rPr>
          <w:sz w:val="26"/>
          <w:szCs w:val="26"/>
        </w:rPr>
      </w:pPr>
    </w:p>
    <w:p w14:paraId="63CE9875" w14:textId="77777777" w:rsidR="003A4CA0" w:rsidRDefault="003A4CA0" w:rsidP="0029748B">
      <w:pPr>
        <w:widowControl/>
        <w:spacing w:line="360" w:lineRule="auto"/>
        <w:ind w:firstLine="1440"/>
        <w:rPr>
          <w:sz w:val="26"/>
          <w:szCs w:val="26"/>
        </w:rPr>
      </w:pPr>
      <w:r w:rsidRPr="0029748B">
        <w:rPr>
          <w:sz w:val="26"/>
          <w:szCs w:val="26"/>
        </w:rPr>
        <w:t xml:space="preserve">I&amp;E argues that Twin Lakes’ objection to the OCA’s witness, Ms. Sherwood’s qualifications, to provide expert testimony regarding affordability of rates is inappropriate at this stage of litigation.  I&amp;E asserts that Twin Lakes had an opportunity to either attempt to strike </w:t>
      </w:r>
      <w:r w:rsidR="0009107D" w:rsidRPr="0029748B">
        <w:rPr>
          <w:sz w:val="26"/>
          <w:szCs w:val="26"/>
        </w:rPr>
        <w:t xml:space="preserve">the </w:t>
      </w:r>
      <w:r w:rsidRPr="0029748B">
        <w:rPr>
          <w:sz w:val="26"/>
          <w:szCs w:val="26"/>
        </w:rPr>
        <w:t>OCA’s testimony or cross-examine Ms. Sherwood at the hearing set for this matter; however, counsel for Twin Lakes did neither (in fact, Twin Lakes waived the opportunity to cross-examine Ms. Sherwood).  It is now improper for Twin Lakes’ counsel to argue the credibility of Ms. Sherwood’s testimony at this stage of the rate proceeding.  I&amp;E R. Exc. at 6-7.</w:t>
      </w:r>
    </w:p>
    <w:p w14:paraId="07BBA85C" w14:textId="77777777" w:rsidR="003A4CA0" w:rsidRPr="0029748B" w:rsidRDefault="003A4CA0" w:rsidP="0029748B">
      <w:pPr>
        <w:widowControl/>
        <w:spacing w:line="360" w:lineRule="auto"/>
        <w:ind w:firstLine="1440"/>
        <w:rPr>
          <w:sz w:val="26"/>
          <w:szCs w:val="26"/>
        </w:rPr>
      </w:pPr>
      <w:r w:rsidRPr="0029748B">
        <w:rPr>
          <w:rFonts w:eastAsia="Calibri"/>
          <w:sz w:val="26"/>
          <w:szCs w:val="26"/>
        </w:rPr>
        <w:lastRenderedPageBreak/>
        <w:t>Lastly, I&amp;E argues that Twin Lakes’ reliance on</w:t>
      </w:r>
      <w:r w:rsidRPr="0029748B">
        <w:rPr>
          <w:rFonts w:eastAsia="Calibri"/>
          <w:i/>
          <w:sz w:val="26"/>
          <w:szCs w:val="26"/>
        </w:rPr>
        <w:t xml:space="preserve"> Pennsylvania Gas &amp; Water Company</w:t>
      </w:r>
      <w:r w:rsidRPr="0029748B">
        <w:rPr>
          <w:rFonts w:eastAsia="Calibri"/>
          <w:sz w:val="26"/>
          <w:szCs w:val="26"/>
        </w:rPr>
        <w:t xml:space="preserve">, </w:t>
      </w:r>
      <w:r w:rsidRPr="0029748B">
        <w:rPr>
          <w:rFonts w:eastAsia="Calibri"/>
          <w:i/>
          <w:iCs/>
          <w:sz w:val="26"/>
          <w:szCs w:val="26"/>
        </w:rPr>
        <w:t>supra</w:t>
      </w:r>
      <w:r w:rsidRPr="0029748B">
        <w:rPr>
          <w:rFonts w:eastAsia="Calibri"/>
          <w:sz w:val="26"/>
          <w:szCs w:val="26"/>
        </w:rPr>
        <w:t>, is misplaced</w:t>
      </w:r>
      <w:r w:rsidRPr="0029748B">
        <w:rPr>
          <w:rFonts w:eastAsia="Calibri"/>
          <w:i/>
          <w:sz w:val="26"/>
          <w:szCs w:val="26"/>
        </w:rPr>
        <w:t xml:space="preserve"> </w:t>
      </w:r>
      <w:r w:rsidRPr="0029748B">
        <w:rPr>
          <w:rFonts w:eastAsia="Calibri"/>
          <w:sz w:val="26"/>
          <w:szCs w:val="26"/>
        </w:rPr>
        <w:t>because the Commission is charged with setting rates that are just and reasonable and Code Section 523(a) requires the Commission to take into account the efficiency, effectiveness, and adequacy of service.  According to I&amp;E, the R.D. found that Twin Lakes is not providing adequate service to its customers and therefore, the rates should be set at a reasonable level calculated to reflect the level of service.  As the R.D. correctly points out</w:t>
      </w:r>
      <w:r w:rsidR="002343A3" w:rsidRPr="0029748B">
        <w:rPr>
          <w:rFonts w:eastAsia="Calibri"/>
          <w:sz w:val="26"/>
          <w:szCs w:val="26"/>
        </w:rPr>
        <w:t>,</w:t>
      </w:r>
      <w:r w:rsidRPr="0029748B">
        <w:rPr>
          <w:rFonts w:eastAsia="Calibri"/>
          <w:sz w:val="26"/>
          <w:szCs w:val="26"/>
        </w:rPr>
        <w:t xml:space="preserve"> if rates are set too high not only would it violate the basic principles of rate setting, such as gradualism and avoiding rate shock, but it would also result in customers not being able to afford water service.  I&amp;E R. Exc. at 7 (citing</w:t>
      </w:r>
      <w:r w:rsidR="002343A3" w:rsidRPr="0029748B">
        <w:rPr>
          <w:rFonts w:eastAsia="Calibri"/>
          <w:sz w:val="26"/>
          <w:szCs w:val="26"/>
        </w:rPr>
        <w:t>,</w:t>
      </w:r>
      <w:r w:rsidRPr="0029748B">
        <w:rPr>
          <w:rFonts w:eastAsia="Calibri"/>
          <w:sz w:val="26"/>
          <w:szCs w:val="26"/>
        </w:rPr>
        <w:t xml:space="preserve"> R.D. at 87).  </w:t>
      </w:r>
    </w:p>
    <w:p w14:paraId="45367B75" w14:textId="77777777" w:rsidR="003A4CA0" w:rsidRPr="0029748B" w:rsidRDefault="003A4CA0" w:rsidP="0029748B">
      <w:pPr>
        <w:widowControl/>
        <w:spacing w:line="360" w:lineRule="auto"/>
        <w:ind w:firstLine="1440"/>
        <w:rPr>
          <w:sz w:val="26"/>
          <w:szCs w:val="26"/>
        </w:rPr>
      </w:pPr>
    </w:p>
    <w:p w14:paraId="562B0D85" w14:textId="77777777" w:rsidR="003A4CA0" w:rsidRPr="0029748B" w:rsidRDefault="003A4CA0" w:rsidP="0029748B">
      <w:pPr>
        <w:widowControl/>
        <w:spacing w:line="360" w:lineRule="auto"/>
        <w:ind w:firstLine="1440"/>
        <w:rPr>
          <w:sz w:val="26"/>
          <w:szCs w:val="26"/>
        </w:rPr>
      </w:pPr>
      <w:r w:rsidRPr="0029748B">
        <w:rPr>
          <w:sz w:val="26"/>
          <w:szCs w:val="26"/>
        </w:rPr>
        <w:t>In the OCA’s Replies, the OCA expresses its agreement with the ALJ’s conclusion that affordability is an issue in this case.  OCA R. Exc. at 5.  For example, the OCA emphasizes that a majority of customers who testified at the public input hearings testified that the proposed rate increase would be too high for them to afford, and several noted that they have trouble affording their bills at current rates.  OCA R. Exc. at 5.</w:t>
      </w:r>
    </w:p>
    <w:p w14:paraId="4CB2953C" w14:textId="77777777" w:rsidR="003A4CA0" w:rsidRPr="0029748B" w:rsidRDefault="003A4CA0" w:rsidP="0029748B">
      <w:pPr>
        <w:widowControl/>
        <w:spacing w:line="360" w:lineRule="auto"/>
        <w:ind w:firstLine="1440"/>
        <w:rPr>
          <w:sz w:val="26"/>
          <w:szCs w:val="26"/>
        </w:rPr>
      </w:pPr>
    </w:p>
    <w:p w14:paraId="7A140A8A" w14:textId="77777777" w:rsidR="003A4CA0" w:rsidRPr="0029748B" w:rsidRDefault="003A4CA0" w:rsidP="0029748B">
      <w:pPr>
        <w:widowControl/>
        <w:spacing w:line="360" w:lineRule="auto"/>
        <w:ind w:firstLine="1440"/>
        <w:rPr>
          <w:rFonts w:eastAsia="Calibri"/>
          <w:sz w:val="26"/>
          <w:szCs w:val="26"/>
        </w:rPr>
      </w:pPr>
      <w:r w:rsidRPr="0029748B">
        <w:rPr>
          <w:sz w:val="26"/>
          <w:szCs w:val="26"/>
        </w:rPr>
        <w:t xml:space="preserve">As for Ms. Sherwood’s qualification to opine on poverty statistics, the OCA points out that Ms. Sherwood has more than ten years of experience in the public utility regulatory area.  During that time, she has worked at a regulatory commission and in the private sector addressing many aspects of utility regulation.  In addition, she worked as the lead analyst for the </w:t>
      </w:r>
      <w:proofErr w:type="spellStart"/>
      <w:r w:rsidRPr="0029748B">
        <w:rPr>
          <w:sz w:val="26"/>
          <w:szCs w:val="26"/>
        </w:rPr>
        <w:t>EmPOWER</w:t>
      </w:r>
      <w:proofErr w:type="spellEnd"/>
      <w:r w:rsidRPr="0029748B">
        <w:rPr>
          <w:sz w:val="26"/>
          <w:szCs w:val="26"/>
        </w:rPr>
        <w:t xml:space="preserve"> Maryland limited income programs implemented by the Maryland Department of Housing.  OCA R. Exc. at 5 (citing</w:t>
      </w:r>
      <w:r w:rsidR="002343A3" w:rsidRPr="0029748B">
        <w:rPr>
          <w:sz w:val="26"/>
          <w:szCs w:val="26"/>
        </w:rPr>
        <w:t>,</w:t>
      </w:r>
      <w:r w:rsidRPr="0029748B">
        <w:rPr>
          <w:sz w:val="26"/>
          <w:szCs w:val="26"/>
        </w:rPr>
        <w:t xml:space="preserve"> OCA St. 1, App. A).</w:t>
      </w:r>
      <w:r w:rsidR="00323609" w:rsidRPr="0029748B">
        <w:rPr>
          <w:sz w:val="26"/>
          <w:szCs w:val="26"/>
        </w:rPr>
        <w:t xml:space="preserve">  </w:t>
      </w:r>
      <w:r w:rsidRPr="0029748B">
        <w:rPr>
          <w:sz w:val="26"/>
          <w:szCs w:val="26"/>
        </w:rPr>
        <w:t>Based on her experience, the OCA argues that Ms. Sherwood is qualified to address the level of rates proposed in this case, the median household income statistics from Pike County as well as the indicators used by the EPA and PENNVEST.  OCA R. Exc. at 5-6.  Finally, t</w:t>
      </w:r>
      <w:r w:rsidRPr="0029748B">
        <w:rPr>
          <w:rFonts w:eastAsia="Calibri"/>
          <w:sz w:val="26"/>
          <w:szCs w:val="26"/>
        </w:rPr>
        <w:t xml:space="preserve">he OCA submits that the comparative chart was included by </w:t>
      </w:r>
      <w:r w:rsidR="006D3D1E" w:rsidRPr="0029748B">
        <w:rPr>
          <w:rFonts w:eastAsia="Calibri"/>
          <w:sz w:val="26"/>
          <w:szCs w:val="26"/>
        </w:rPr>
        <w:t xml:space="preserve">the </w:t>
      </w:r>
      <w:r w:rsidRPr="0029748B">
        <w:rPr>
          <w:rFonts w:eastAsia="Calibri"/>
          <w:sz w:val="26"/>
          <w:szCs w:val="26"/>
        </w:rPr>
        <w:t>OCA simply to highlight how excessively high Twin Lakes’ proposed rates are as compared to other water utilities.</w:t>
      </w:r>
      <w:r w:rsidR="00323609" w:rsidRPr="0029748B">
        <w:rPr>
          <w:rFonts w:eastAsia="Calibri"/>
          <w:sz w:val="26"/>
          <w:szCs w:val="26"/>
        </w:rPr>
        <w:t xml:space="preserve">  </w:t>
      </w:r>
      <w:r w:rsidRPr="0029748B">
        <w:rPr>
          <w:rFonts w:eastAsia="Calibri"/>
          <w:sz w:val="26"/>
          <w:szCs w:val="26"/>
        </w:rPr>
        <w:t>OCA R. Exc. at 6.</w:t>
      </w:r>
    </w:p>
    <w:p w14:paraId="6DE557FA" w14:textId="77777777" w:rsidR="006D3D1E" w:rsidRPr="0029748B" w:rsidRDefault="003A4CA0" w:rsidP="0029748B">
      <w:pPr>
        <w:widowControl/>
        <w:spacing w:line="360" w:lineRule="auto"/>
        <w:ind w:firstLine="1440"/>
        <w:rPr>
          <w:sz w:val="26"/>
          <w:szCs w:val="26"/>
        </w:rPr>
      </w:pPr>
      <w:r w:rsidRPr="0029748B">
        <w:rPr>
          <w:sz w:val="26"/>
          <w:szCs w:val="26"/>
        </w:rPr>
        <w:lastRenderedPageBreak/>
        <w:t>The OCA presents counter authority to support that affordability may be considered by the Commission in establishing just and reasonable rates.  OCA R. Exc. at</w:t>
      </w:r>
      <w:r w:rsidR="00B76A7B">
        <w:rPr>
          <w:sz w:val="26"/>
          <w:szCs w:val="26"/>
        </w:rPr>
        <w:t> </w:t>
      </w:r>
      <w:r w:rsidRPr="0029748B">
        <w:rPr>
          <w:sz w:val="26"/>
          <w:szCs w:val="26"/>
        </w:rPr>
        <w:t xml:space="preserve">6.  First, in </w:t>
      </w:r>
      <w:r w:rsidRPr="0029748B">
        <w:rPr>
          <w:i/>
          <w:iCs/>
          <w:sz w:val="26"/>
          <w:szCs w:val="26"/>
        </w:rPr>
        <w:t>Hope Gas</w:t>
      </w:r>
      <w:r w:rsidRPr="0029748B">
        <w:rPr>
          <w:sz w:val="26"/>
          <w:szCs w:val="26"/>
        </w:rPr>
        <w:t xml:space="preserve">, the Court noted“[t]he ratemaking process under the Act, </w:t>
      </w:r>
      <w:r w:rsidRPr="0029748B">
        <w:rPr>
          <w:i/>
          <w:sz w:val="26"/>
          <w:szCs w:val="26"/>
        </w:rPr>
        <w:t>i.e.</w:t>
      </w:r>
      <w:r w:rsidRPr="00B76A7B">
        <w:rPr>
          <w:iCs/>
          <w:sz w:val="26"/>
          <w:szCs w:val="26"/>
        </w:rPr>
        <w:t>,</w:t>
      </w:r>
      <w:r w:rsidRPr="0029748B">
        <w:rPr>
          <w:sz w:val="26"/>
          <w:szCs w:val="26"/>
        </w:rPr>
        <w:t xml:space="preserve"> the fixing of ‘just and reasonable’ rates, involves a balancing of the investor and consumer interests . . . and does not insure that the business shall produce revenues.”  OCA R. Exc. at 6 (citing</w:t>
      </w:r>
      <w:r w:rsidR="002343A3" w:rsidRPr="0029748B">
        <w:rPr>
          <w:sz w:val="26"/>
          <w:szCs w:val="26"/>
        </w:rPr>
        <w:t>,</w:t>
      </w:r>
      <w:r w:rsidRPr="0029748B">
        <w:rPr>
          <w:sz w:val="26"/>
          <w:szCs w:val="26"/>
        </w:rPr>
        <w:t xml:space="preserve"> </w:t>
      </w:r>
      <w:r w:rsidRPr="0029748B">
        <w:rPr>
          <w:i/>
          <w:sz w:val="26"/>
          <w:szCs w:val="26"/>
        </w:rPr>
        <w:t>Hope Gas,</w:t>
      </w:r>
      <w:r w:rsidRPr="0029748B">
        <w:rPr>
          <w:sz w:val="26"/>
          <w:szCs w:val="26"/>
        </w:rPr>
        <w:t xml:space="preserve"> 320 U.S. at 603).</w:t>
      </w:r>
    </w:p>
    <w:p w14:paraId="126CF7CD" w14:textId="77777777" w:rsidR="002343A3" w:rsidRPr="0029748B" w:rsidRDefault="002343A3" w:rsidP="0029748B">
      <w:pPr>
        <w:widowControl/>
        <w:spacing w:line="360" w:lineRule="auto"/>
        <w:ind w:firstLine="1440"/>
        <w:rPr>
          <w:sz w:val="26"/>
          <w:szCs w:val="26"/>
        </w:rPr>
      </w:pPr>
    </w:p>
    <w:p w14:paraId="796B2F30" w14:textId="77777777" w:rsidR="003A4CA0" w:rsidRPr="0029748B" w:rsidRDefault="003A4CA0" w:rsidP="0029748B">
      <w:pPr>
        <w:widowControl/>
        <w:spacing w:line="360" w:lineRule="auto"/>
        <w:ind w:firstLine="1440"/>
        <w:rPr>
          <w:sz w:val="26"/>
          <w:szCs w:val="26"/>
        </w:rPr>
      </w:pPr>
      <w:r w:rsidRPr="0029748B">
        <w:rPr>
          <w:sz w:val="26"/>
          <w:szCs w:val="26"/>
        </w:rPr>
        <w:t xml:space="preserve">Additionally, the OCA notes that in </w:t>
      </w:r>
      <w:r w:rsidRPr="0029748B">
        <w:rPr>
          <w:i/>
          <w:iCs/>
          <w:sz w:val="26"/>
          <w:szCs w:val="26"/>
        </w:rPr>
        <w:t>P</w:t>
      </w:r>
      <w:bookmarkStart w:id="44" w:name="_BA_Cite_AB45E3_000025"/>
      <w:bookmarkEnd w:id="44"/>
      <w:r w:rsidRPr="0029748B">
        <w:rPr>
          <w:i/>
          <w:iCs/>
          <w:sz w:val="26"/>
          <w:szCs w:val="26"/>
        </w:rPr>
        <w:t>a. PUC v. Roaring Creek Water Co.,</w:t>
      </w:r>
      <w:r w:rsidRPr="0029748B">
        <w:rPr>
          <w:sz w:val="26"/>
          <w:szCs w:val="26"/>
        </w:rPr>
        <w:t xml:space="preserve"> 1995 Pa. PUC LEXIS 67 *110-117 (1995) (</w:t>
      </w:r>
      <w:r w:rsidRPr="0029748B">
        <w:rPr>
          <w:i/>
          <w:iCs/>
          <w:sz w:val="26"/>
          <w:szCs w:val="26"/>
        </w:rPr>
        <w:t>Roaring Creek</w:t>
      </w:r>
      <w:r w:rsidRPr="0029748B">
        <w:rPr>
          <w:sz w:val="26"/>
          <w:szCs w:val="26"/>
        </w:rPr>
        <w:t xml:space="preserve">), the Commission addressed the issue of affordability as part of the Company’s water rate case.  </w:t>
      </w:r>
      <w:r w:rsidR="002343A3" w:rsidRPr="0029748B">
        <w:rPr>
          <w:sz w:val="26"/>
          <w:szCs w:val="26"/>
        </w:rPr>
        <w:t xml:space="preserve">There, </w:t>
      </w:r>
      <w:r w:rsidRPr="0029748B">
        <w:rPr>
          <w:sz w:val="26"/>
          <w:szCs w:val="26"/>
        </w:rPr>
        <w:t xml:space="preserve">the OCA emphasized the public input testimony of the Company’s customers who opposed the increase.  </w:t>
      </w:r>
      <w:r w:rsidRPr="0029748B">
        <w:rPr>
          <w:i/>
          <w:iCs/>
          <w:sz w:val="26"/>
          <w:szCs w:val="26"/>
        </w:rPr>
        <w:t>Roaring Creek</w:t>
      </w:r>
      <w:r w:rsidRPr="0029748B">
        <w:rPr>
          <w:sz w:val="26"/>
          <w:szCs w:val="26"/>
        </w:rPr>
        <w:t xml:space="preserve"> at 110.</w:t>
      </w:r>
      <w:r w:rsidR="00323609" w:rsidRPr="0029748B">
        <w:rPr>
          <w:sz w:val="26"/>
          <w:szCs w:val="26"/>
        </w:rPr>
        <w:t xml:space="preserve">  </w:t>
      </w:r>
      <w:r w:rsidR="002343A3" w:rsidRPr="0029748B">
        <w:rPr>
          <w:sz w:val="26"/>
          <w:szCs w:val="26"/>
        </w:rPr>
        <w:t>Ultimately, t</w:t>
      </w:r>
      <w:r w:rsidRPr="0029748B">
        <w:rPr>
          <w:sz w:val="26"/>
          <w:szCs w:val="26"/>
        </w:rPr>
        <w:t xml:space="preserve">he ALJ recommended that the Commission reject the OCA’s proposed remedies regarding affordability </w:t>
      </w:r>
      <w:r w:rsidR="00C3424B" w:rsidRPr="0029748B">
        <w:rPr>
          <w:sz w:val="26"/>
          <w:szCs w:val="26"/>
        </w:rPr>
        <w:t xml:space="preserve">due to the </w:t>
      </w:r>
      <w:r w:rsidRPr="0029748B">
        <w:rPr>
          <w:sz w:val="26"/>
          <w:szCs w:val="26"/>
        </w:rPr>
        <w:t xml:space="preserve">adverse impact </w:t>
      </w:r>
      <w:r w:rsidR="00C3424B" w:rsidRPr="0029748B">
        <w:rPr>
          <w:sz w:val="26"/>
          <w:szCs w:val="26"/>
        </w:rPr>
        <w:t>on</w:t>
      </w:r>
      <w:r w:rsidRPr="0029748B">
        <w:rPr>
          <w:sz w:val="26"/>
          <w:szCs w:val="26"/>
        </w:rPr>
        <w:t xml:space="preserve"> the </w:t>
      </w:r>
      <w:r w:rsidR="00C3424B" w:rsidRPr="0029748B">
        <w:rPr>
          <w:sz w:val="26"/>
          <w:szCs w:val="26"/>
        </w:rPr>
        <w:t>Company but</w:t>
      </w:r>
      <w:r w:rsidR="002343A3" w:rsidRPr="0029748B">
        <w:rPr>
          <w:sz w:val="26"/>
          <w:szCs w:val="26"/>
        </w:rPr>
        <w:t xml:space="preserve"> recommended </w:t>
      </w:r>
      <w:r w:rsidR="00C3424B" w:rsidRPr="0029748B">
        <w:rPr>
          <w:sz w:val="26"/>
          <w:szCs w:val="26"/>
        </w:rPr>
        <w:t>a</w:t>
      </w:r>
      <w:r w:rsidR="002343A3" w:rsidRPr="0029748B">
        <w:rPr>
          <w:sz w:val="26"/>
          <w:szCs w:val="26"/>
        </w:rPr>
        <w:t>dopt</w:t>
      </w:r>
      <w:r w:rsidR="00C3424B" w:rsidRPr="0029748B">
        <w:rPr>
          <w:sz w:val="26"/>
          <w:szCs w:val="26"/>
        </w:rPr>
        <w:t xml:space="preserve">ion of an </w:t>
      </w:r>
      <w:r w:rsidR="002343A3" w:rsidRPr="0029748B">
        <w:rPr>
          <w:sz w:val="26"/>
          <w:szCs w:val="26"/>
        </w:rPr>
        <w:t>alternative means to address the issue of affordability.</w:t>
      </w:r>
      <w:r w:rsidRPr="0029748B">
        <w:rPr>
          <w:sz w:val="26"/>
          <w:szCs w:val="26"/>
        </w:rPr>
        <w:t xml:space="preserve">  </w:t>
      </w:r>
      <w:r w:rsidRPr="0029748B">
        <w:rPr>
          <w:i/>
          <w:iCs/>
          <w:sz w:val="26"/>
          <w:szCs w:val="26"/>
        </w:rPr>
        <w:t>I</w:t>
      </w:r>
      <w:bookmarkStart w:id="45" w:name="_BA_Cite_AB45E3_000019"/>
      <w:bookmarkEnd w:id="45"/>
      <w:r w:rsidRPr="0029748B">
        <w:rPr>
          <w:i/>
          <w:iCs/>
          <w:sz w:val="26"/>
          <w:szCs w:val="26"/>
        </w:rPr>
        <w:t>d.</w:t>
      </w:r>
      <w:r w:rsidRPr="0029748B">
        <w:rPr>
          <w:sz w:val="26"/>
          <w:szCs w:val="26"/>
        </w:rPr>
        <w:t xml:space="preserve"> at 112.  </w:t>
      </w:r>
    </w:p>
    <w:p w14:paraId="1FFE3BBA" w14:textId="77777777" w:rsidR="003A4CA0" w:rsidRPr="0029748B" w:rsidRDefault="003A4CA0" w:rsidP="0029748B">
      <w:pPr>
        <w:widowControl/>
        <w:spacing w:line="360" w:lineRule="auto"/>
        <w:ind w:firstLine="1440"/>
        <w:rPr>
          <w:sz w:val="26"/>
          <w:szCs w:val="26"/>
        </w:rPr>
      </w:pPr>
    </w:p>
    <w:p w14:paraId="774608A3" w14:textId="77777777" w:rsidR="003A4CA0" w:rsidRDefault="003A4CA0" w:rsidP="005D7865">
      <w:pPr>
        <w:widowControl/>
        <w:spacing w:line="360" w:lineRule="auto"/>
        <w:ind w:firstLine="1440"/>
        <w:rPr>
          <w:rFonts w:eastAsia="Calibri"/>
          <w:sz w:val="26"/>
          <w:szCs w:val="26"/>
        </w:rPr>
      </w:pPr>
      <w:r w:rsidRPr="0029748B">
        <w:rPr>
          <w:sz w:val="26"/>
          <w:szCs w:val="26"/>
        </w:rPr>
        <w:t xml:space="preserve">In </w:t>
      </w:r>
      <w:r w:rsidRPr="0029748B">
        <w:rPr>
          <w:i/>
          <w:iCs/>
          <w:sz w:val="26"/>
          <w:szCs w:val="26"/>
        </w:rPr>
        <w:t>Roaring Creek</w:t>
      </w:r>
      <w:r w:rsidRPr="0029748B">
        <w:rPr>
          <w:sz w:val="26"/>
          <w:szCs w:val="26"/>
        </w:rPr>
        <w:t>, the Commission adopted the ALJ’s recommendation that the Company be directed to work with the Bureau of Consumer Services (BCS) to develop a monthly budget plan for residential customers and acknowledged the role of affordability in ratemaking by recommending [t]he Company and BCS work together to consider the feasibility of implementing other measures which would promote the affordability of water service.  The Commission expressly recognized that “</w:t>
      </w:r>
      <w:r w:rsidR="00351FC9" w:rsidRPr="0029748B">
        <w:rPr>
          <w:sz w:val="26"/>
          <w:szCs w:val="26"/>
        </w:rPr>
        <w:t>[t]</w:t>
      </w:r>
      <w:r w:rsidRPr="0029748B">
        <w:rPr>
          <w:sz w:val="26"/>
          <w:szCs w:val="26"/>
        </w:rPr>
        <w:t xml:space="preserve">his approach is in both the shareholders’ and ratepayers’ best interest.  Affordable bills will maximize revenues for the Company and will enable ratepayers to continue to receive an essential service.”  </w:t>
      </w:r>
      <w:r w:rsidRPr="0029748B">
        <w:rPr>
          <w:i/>
          <w:iCs/>
          <w:sz w:val="26"/>
          <w:szCs w:val="26"/>
        </w:rPr>
        <w:t>Id</w:t>
      </w:r>
      <w:r w:rsidRPr="0029748B">
        <w:rPr>
          <w:sz w:val="26"/>
          <w:szCs w:val="26"/>
        </w:rPr>
        <w:t xml:space="preserve">. at 116.  </w:t>
      </w:r>
      <w:r w:rsidR="002343A3" w:rsidRPr="0029748B">
        <w:rPr>
          <w:rFonts w:eastAsia="Calibri"/>
          <w:sz w:val="26"/>
          <w:szCs w:val="26"/>
        </w:rPr>
        <w:t xml:space="preserve">The </w:t>
      </w:r>
      <w:r w:rsidRPr="0029748B">
        <w:rPr>
          <w:rFonts w:eastAsia="Calibri"/>
          <w:sz w:val="26"/>
          <w:szCs w:val="26"/>
        </w:rPr>
        <w:t xml:space="preserve">OCA notes that more recently, the Court stated that the consumers are obliged to rely upon regulatory commissions to protect them from excessive rates and charges.  OCA R. Exc. at 6 (citing </w:t>
      </w:r>
      <w:r w:rsidRPr="0029748B">
        <w:rPr>
          <w:rFonts w:eastAsia="Calibri"/>
          <w:i/>
          <w:iCs/>
          <w:sz w:val="26"/>
          <w:szCs w:val="26"/>
        </w:rPr>
        <w:t>Permian Basin Area Rate Cases</w:t>
      </w:r>
      <w:r w:rsidRPr="00B76A7B">
        <w:rPr>
          <w:rFonts w:eastAsia="Calibri"/>
          <w:sz w:val="26"/>
          <w:szCs w:val="26"/>
        </w:rPr>
        <w:t>,</w:t>
      </w:r>
      <w:r w:rsidRPr="0029748B">
        <w:rPr>
          <w:rFonts w:eastAsia="Calibri"/>
          <w:i/>
          <w:iCs/>
          <w:sz w:val="26"/>
          <w:szCs w:val="26"/>
        </w:rPr>
        <w:t xml:space="preserve"> </w:t>
      </w:r>
      <w:r w:rsidRPr="0029748B">
        <w:rPr>
          <w:rFonts w:eastAsia="Calibri"/>
          <w:sz w:val="26"/>
          <w:szCs w:val="26"/>
        </w:rPr>
        <w:t>3</w:t>
      </w:r>
      <w:bookmarkStart w:id="46" w:name="_BA_Cite_AB45E3_000027"/>
      <w:bookmarkEnd w:id="46"/>
      <w:r w:rsidRPr="0029748B">
        <w:rPr>
          <w:rFonts w:eastAsia="Calibri"/>
          <w:sz w:val="26"/>
          <w:szCs w:val="26"/>
        </w:rPr>
        <w:t>90 U.S. at 794-95 (1968)</w:t>
      </w:r>
      <w:r w:rsidR="00905F9D" w:rsidRPr="0029748B">
        <w:rPr>
          <w:rFonts w:eastAsia="Calibri"/>
          <w:sz w:val="26"/>
          <w:szCs w:val="26"/>
        </w:rPr>
        <w:t>)</w:t>
      </w:r>
      <w:r w:rsidRPr="0029748B">
        <w:rPr>
          <w:rFonts w:eastAsia="Calibri"/>
          <w:sz w:val="26"/>
          <w:szCs w:val="26"/>
        </w:rPr>
        <w:t xml:space="preserve">.  </w:t>
      </w:r>
      <w:r w:rsidRPr="0029748B">
        <w:rPr>
          <w:sz w:val="26"/>
          <w:szCs w:val="26"/>
        </w:rPr>
        <w:t xml:space="preserve">Finally, regarding </w:t>
      </w:r>
      <w:r w:rsidRPr="0029748B">
        <w:rPr>
          <w:rFonts w:eastAsia="Calibri"/>
          <w:sz w:val="26"/>
          <w:szCs w:val="26"/>
        </w:rPr>
        <w:t xml:space="preserve">affordability specifically, the OCA cites </w:t>
      </w:r>
      <w:r w:rsidRPr="0029748B">
        <w:rPr>
          <w:rFonts w:eastAsia="Calibri"/>
          <w:sz w:val="26"/>
          <w:szCs w:val="26"/>
        </w:rPr>
        <w:lastRenderedPageBreak/>
        <w:t>to Code Section 1301, which requires rates to be just and reasonable</w:t>
      </w:r>
      <w:bookmarkStart w:id="47" w:name="_BA_Cite_AB45E3_000043"/>
      <w:bookmarkEnd w:id="47"/>
      <w:r w:rsidRPr="0029748B">
        <w:rPr>
          <w:rFonts w:eastAsia="Calibri"/>
          <w:sz w:val="26"/>
          <w:szCs w:val="26"/>
        </w:rPr>
        <w:t>.  OCA R. Exc. at 6 (citing 6</w:t>
      </w:r>
      <w:bookmarkStart w:id="48" w:name="_BA_Cite_AB45E3_000017"/>
      <w:bookmarkEnd w:id="48"/>
      <w:r w:rsidRPr="0029748B">
        <w:rPr>
          <w:rFonts w:eastAsia="Calibri"/>
          <w:sz w:val="26"/>
          <w:szCs w:val="26"/>
        </w:rPr>
        <w:t xml:space="preserve">6 Pa. C.S. § 1301).  </w:t>
      </w:r>
    </w:p>
    <w:p w14:paraId="54C64CA6" w14:textId="77777777" w:rsidR="00E32F83" w:rsidRPr="0029748B" w:rsidRDefault="00E32F83" w:rsidP="00E32F83">
      <w:pPr>
        <w:widowControl/>
        <w:spacing w:line="360" w:lineRule="auto"/>
        <w:rPr>
          <w:sz w:val="26"/>
          <w:szCs w:val="26"/>
        </w:rPr>
      </w:pPr>
    </w:p>
    <w:p w14:paraId="56776AD3" w14:textId="77777777" w:rsidR="003A4CA0" w:rsidRPr="0029748B" w:rsidRDefault="003A4CA0" w:rsidP="00B76A7B">
      <w:pPr>
        <w:keepNext/>
        <w:keepLines/>
        <w:widowControl/>
        <w:spacing w:before="40"/>
        <w:ind w:left="2160" w:hanging="720"/>
        <w:outlineLvl w:val="4"/>
        <w:rPr>
          <w:b/>
          <w:sz w:val="26"/>
          <w:szCs w:val="26"/>
        </w:rPr>
      </w:pPr>
      <w:r w:rsidRPr="0029748B">
        <w:rPr>
          <w:b/>
          <w:sz w:val="26"/>
          <w:szCs w:val="26"/>
        </w:rPr>
        <w:t>b.</w:t>
      </w:r>
      <w:r w:rsidRPr="0029748B">
        <w:rPr>
          <w:b/>
          <w:sz w:val="26"/>
          <w:szCs w:val="26"/>
        </w:rPr>
        <w:tab/>
        <w:t>OCA Exception No. 5</w:t>
      </w:r>
    </w:p>
    <w:p w14:paraId="3E49F76B" w14:textId="77777777" w:rsidR="003A4CA0" w:rsidRPr="0029748B" w:rsidRDefault="003A4CA0" w:rsidP="0029748B">
      <w:pPr>
        <w:widowControl/>
        <w:spacing w:line="360" w:lineRule="auto"/>
        <w:rPr>
          <w:sz w:val="26"/>
          <w:szCs w:val="26"/>
        </w:rPr>
      </w:pPr>
    </w:p>
    <w:p w14:paraId="36A5AAC0" w14:textId="77777777" w:rsidR="003A4CA0" w:rsidRPr="0029748B" w:rsidRDefault="003A4CA0" w:rsidP="0029748B">
      <w:pPr>
        <w:widowControl/>
        <w:spacing w:line="360" w:lineRule="auto"/>
        <w:ind w:firstLine="1440"/>
        <w:rPr>
          <w:sz w:val="26"/>
          <w:szCs w:val="26"/>
        </w:rPr>
      </w:pPr>
      <w:r w:rsidRPr="0029748B">
        <w:rPr>
          <w:sz w:val="26"/>
          <w:szCs w:val="26"/>
        </w:rPr>
        <w:t>The OCA submits that, while it agrees with the ALJ’s analysis of the affordability issue, it disagrees with the ALJ’s use of the market-based rate of 9.23% COE to remedy the affordability concerns.  The OCA submits that the 0% return on equity, as advocated by the OCA and I&amp;E, reflects both inadequate service and affordability of rates.  The OCA asserts that by assessing a rate of 0% COE, the affordability concerns would be better addressed, but clearly not fully addressed, due to the large increase that would result even under a 0% return on equity.  Recognizing that its recommendation for a long-term solution was not addressed in the Recommended Decision, the OCA further maintains its recommendation for the Commission to initiate a Section 529 proceeding to permit an investigation into finding a capable public utility to acquire Twin Lakes.  OCA Exc. at 10.</w:t>
      </w:r>
    </w:p>
    <w:p w14:paraId="0C944A4A" w14:textId="77777777" w:rsidR="003A4CA0" w:rsidRPr="0029748B" w:rsidRDefault="003A4CA0" w:rsidP="0029748B">
      <w:pPr>
        <w:widowControl/>
        <w:rPr>
          <w:sz w:val="26"/>
          <w:szCs w:val="26"/>
        </w:rPr>
      </w:pPr>
    </w:p>
    <w:p w14:paraId="2FF2B7C0" w14:textId="77777777" w:rsidR="003A4CA0" w:rsidRPr="0029748B" w:rsidRDefault="003A4CA0" w:rsidP="0029748B">
      <w:pPr>
        <w:widowControl/>
        <w:spacing w:line="360" w:lineRule="auto"/>
        <w:ind w:firstLine="1440"/>
        <w:rPr>
          <w:sz w:val="26"/>
          <w:szCs w:val="26"/>
        </w:rPr>
      </w:pPr>
      <w:r w:rsidRPr="0029748B">
        <w:rPr>
          <w:sz w:val="26"/>
          <w:szCs w:val="26"/>
        </w:rPr>
        <w:t>Twin Lakes did not file Replies to the OCA’s Exception No.5.</w:t>
      </w:r>
    </w:p>
    <w:p w14:paraId="0D800371" w14:textId="77777777" w:rsidR="003A4CA0" w:rsidRPr="0029748B" w:rsidRDefault="003A4CA0" w:rsidP="0029748B">
      <w:pPr>
        <w:pStyle w:val="ListParagraph"/>
        <w:widowControl/>
        <w:spacing w:line="360" w:lineRule="auto"/>
        <w:ind w:left="1440"/>
        <w:textAlignment w:val="baseline"/>
        <w:rPr>
          <w:b/>
          <w:bCs/>
          <w:color w:val="000000"/>
          <w:sz w:val="26"/>
          <w:szCs w:val="26"/>
        </w:rPr>
      </w:pPr>
    </w:p>
    <w:p w14:paraId="0310AC7E" w14:textId="77777777" w:rsidR="00D951C4" w:rsidRPr="0029748B" w:rsidRDefault="00D951C4" w:rsidP="005D7865">
      <w:pPr>
        <w:pStyle w:val="ListParagraph"/>
        <w:widowControl/>
        <w:numPr>
          <w:ilvl w:val="1"/>
          <w:numId w:val="4"/>
        </w:numPr>
        <w:spacing w:line="360" w:lineRule="auto"/>
        <w:ind w:left="1440"/>
        <w:textAlignment w:val="baseline"/>
        <w:rPr>
          <w:b/>
          <w:bCs/>
          <w:color w:val="000000"/>
          <w:sz w:val="26"/>
          <w:szCs w:val="26"/>
        </w:rPr>
      </w:pPr>
      <w:r w:rsidRPr="0029748B">
        <w:rPr>
          <w:b/>
          <w:bCs/>
          <w:color w:val="000000"/>
          <w:sz w:val="26"/>
          <w:szCs w:val="26"/>
        </w:rPr>
        <w:t xml:space="preserve">Disposition </w:t>
      </w:r>
    </w:p>
    <w:p w14:paraId="31B61838" w14:textId="77777777" w:rsidR="003A4CA0" w:rsidRPr="0029748B" w:rsidRDefault="003A4CA0" w:rsidP="0029748B">
      <w:pPr>
        <w:pStyle w:val="ListParagraph"/>
        <w:widowControl/>
        <w:spacing w:line="360" w:lineRule="auto"/>
        <w:ind w:left="1440"/>
        <w:textAlignment w:val="baseline"/>
        <w:rPr>
          <w:b/>
          <w:bCs/>
          <w:color w:val="000000"/>
          <w:sz w:val="26"/>
          <w:szCs w:val="26"/>
        </w:rPr>
      </w:pPr>
    </w:p>
    <w:p w14:paraId="31CBE9E6" w14:textId="77777777" w:rsidR="003A4CA0" w:rsidRPr="0029748B" w:rsidRDefault="003A4CA0" w:rsidP="0029748B">
      <w:pPr>
        <w:widowControl/>
        <w:spacing w:line="360" w:lineRule="auto"/>
        <w:ind w:firstLine="1440"/>
        <w:rPr>
          <w:sz w:val="26"/>
          <w:szCs w:val="26"/>
        </w:rPr>
      </w:pPr>
      <w:r w:rsidRPr="0029748B">
        <w:rPr>
          <w:sz w:val="26"/>
          <w:szCs w:val="26"/>
        </w:rPr>
        <w:t>We shall deny Twin Lakes Exception No. 2 and the OCA’s Exception No.</w:t>
      </w:r>
      <w:r w:rsidR="005D7865">
        <w:rPr>
          <w:sz w:val="26"/>
          <w:szCs w:val="26"/>
        </w:rPr>
        <w:t> </w:t>
      </w:r>
      <w:r w:rsidRPr="0029748B">
        <w:rPr>
          <w:sz w:val="26"/>
          <w:szCs w:val="26"/>
        </w:rPr>
        <w:t xml:space="preserve">5.  As discussed above in the Rate of Return section, in our opinion, the ALJ did not err by adopting the 9.23% return on equity.  The ALJ’s adoption of the 9.23% COE yielding an 8.12% overall rate of return was supported by substantial record evidence, as presented in the testimony of I&amp;E’s expert witness, Mr. Henkel.  Specifically, the 9.23% COE rate is supported by substantial record evidence as a reasonable market-based return on equity based on the analysis presented by I&amp;E witness </w:t>
      </w:r>
      <w:r w:rsidR="00905F9D" w:rsidRPr="0029748B">
        <w:rPr>
          <w:sz w:val="26"/>
          <w:szCs w:val="26"/>
        </w:rPr>
        <w:t xml:space="preserve">Mr. </w:t>
      </w:r>
      <w:r w:rsidRPr="0029748B">
        <w:rPr>
          <w:sz w:val="26"/>
          <w:szCs w:val="26"/>
        </w:rPr>
        <w:t xml:space="preserve">Henkel involving standard cost of equity issues, such as proxy groups, growth rates and dividend yields.  </w:t>
      </w:r>
    </w:p>
    <w:p w14:paraId="76D8E6F5" w14:textId="77777777" w:rsidR="003A4CA0" w:rsidRPr="0029748B" w:rsidRDefault="003A4CA0" w:rsidP="0029748B">
      <w:pPr>
        <w:widowControl/>
        <w:spacing w:line="360" w:lineRule="auto"/>
        <w:ind w:firstLine="1440"/>
        <w:rPr>
          <w:sz w:val="26"/>
          <w:szCs w:val="26"/>
        </w:rPr>
      </w:pPr>
      <w:r w:rsidRPr="0029748B">
        <w:rPr>
          <w:sz w:val="26"/>
          <w:szCs w:val="26"/>
        </w:rPr>
        <w:lastRenderedPageBreak/>
        <w:t xml:space="preserve">Although I&amp;E and the OCA advocated their positions for a rate of 0% COE, such a return on equity was not supported by any expert witness testimony on rate of return.  The ALJ considered the evidence relating to the various quality of service and rate affordability issues in this proceeding and she factored in such evidence as part of her overall determination of recommending a just and reasonable cost of equity for rate setting purposes.  </w:t>
      </w:r>
    </w:p>
    <w:p w14:paraId="7A212D00" w14:textId="77777777" w:rsidR="003A4CA0" w:rsidRPr="0029748B" w:rsidRDefault="003A4CA0" w:rsidP="0029748B">
      <w:pPr>
        <w:widowControl/>
        <w:spacing w:line="360" w:lineRule="auto"/>
        <w:ind w:firstLine="1440"/>
        <w:rPr>
          <w:sz w:val="26"/>
          <w:szCs w:val="26"/>
        </w:rPr>
      </w:pPr>
    </w:p>
    <w:p w14:paraId="65C85DB2" w14:textId="77777777" w:rsidR="003A4CA0" w:rsidRPr="0029748B" w:rsidRDefault="003A4CA0" w:rsidP="0029748B">
      <w:pPr>
        <w:widowControl/>
        <w:spacing w:line="360" w:lineRule="auto"/>
        <w:ind w:firstLine="1440"/>
        <w:rPr>
          <w:sz w:val="26"/>
          <w:szCs w:val="26"/>
        </w:rPr>
      </w:pPr>
      <w:r w:rsidRPr="0029748B">
        <w:rPr>
          <w:sz w:val="26"/>
          <w:szCs w:val="26"/>
        </w:rPr>
        <w:t>In considering the quality of service and rate affordability issues, the ALJ also recognized the Company’s need to recover revenue in order to meet ongoing service obligations and also recognized I&amp;E’s alternative position urging the adoption of the 9.23% COE</w:t>
      </w:r>
      <w:r w:rsidR="00C3424B" w:rsidRPr="0029748B">
        <w:rPr>
          <w:sz w:val="26"/>
          <w:szCs w:val="26"/>
        </w:rPr>
        <w:t xml:space="preserve"> </w:t>
      </w:r>
      <w:r w:rsidRPr="0029748B">
        <w:rPr>
          <w:sz w:val="26"/>
          <w:szCs w:val="26"/>
        </w:rPr>
        <w:t>rate should the Commission determine that the Company is entitled to a return on equity.  The ALJ thereby rendered an appropriate balance between the customers</w:t>
      </w:r>
      <w:r w:rsidR="00C3424B" w:rsidRPr="0029748B">
        <w:rPr>
          <w:sz w:val="26"/>
          <w:szCs w:val="26"/>
        </w:rPr>
        <w:t xml:space="preserve">’ right to </w:t>
      </w:r>
      <w:r w:rsidRPr="0029748B">
        <w:rPr>
          <w:sz w:val="26"/>
          <w:szCs w:val="26"/>
        </w:rPr>
        <w:t xml:space="preserve">safe and reliable water service and the Company’s </w:t>
      </w:r>
      <w:r w:rsidR="00C3424B" w:rsidRPr="0029748B">
        <w:rPr>
          <w:sz w:val="26"/>
          <w:szCs w:val="26"/>
        </w:rPr>
        <w:t xml:space="preserve">right to an opportunity to earn a fair and </w:t>
      </w:r>
      <w:r w:rsidRPr="0029748B">
        <w:rPr>
          <w:sz w:val="26"/>
          <w:szCs w:val="26"/>
        </w:rPr>
        <w:t xml:space="preserve">reasonable rate of return. </w:t>
      </w:r>
    </w:p>
    <w:p w14:paraId="52BF69E1" w14:textId="77777777" w:rsidR="003A4CA0" w:rsidRPr="0029748B" w:rsidRDefault="003A4CA0" w:rsidP="0029748B">
      <w:pPr>
        <w:widowControl/>
        <w:spacing w:line="360" w:lineRule="auto"/>
        <w:ind w:firstLine="1440"/>
        <w:rPr>
          <w:sz w:val="26"/>
          <w:szCs w:val="26"/>
        </w:rPr>
      </w:pPr>
    </w:p>
    <w:p w14:paraId="144DAC04" w14:textId="77777777" w:rsidR="003A4CA0" w:rsidRPr="0029748B" w:rsidRDefault="003A4CA0" w:rsidP="0029748B">
      <w:pPr>
        <w:widowControl/>
        <w:spacing w:line="360" w:lineRule="auto"/>
        <w:ind w:firstLine="1440"/>
        <w:rPr>
          <w:sz w:val="26"/>
          <w:szCs w:val="26"/>
        </w:rPr>
      </w:pPr>
      <w:r w:rsidRPr="0029748B">
        <w:rPr>
          <w:sz w:val="26"/>
          <w:szCs w:val="26"/>
        </w:rPr>
        <w:t xml:space="preserve">Accordingly, as stated above, we concur with the ALJ’s rejection of the 0% equity rate advocated by I&amp;E and the OCA.  We find that the revenue requirement based on the rate of 9.23% COE establishes rates which do not produce excessive returns, but which </w:t>
      </w:r>
      <w:r w:rsidR="00C3424B" w:rsidRPr="0029748B">
        <w:rPr>
          <w:sz w:val="26"/>
          <w:szCs w:val="26"/>
        </w:rPr>
        <w:t>a</w:t>
      </w:r>
      <w:r w:rsidRPr="0029748B">
        <w:rPr>
          <w:sz w:val="26"/>
          <w:szCs w:val="26"/>
        </w:rPr>
        <w:t>fford</w:t>
      </w:r>
      <w:r w:rsidR="00C3424B" w:rsidRPr="0029748B">
        <w:rPr>
          <w:sz w:val="26"/>
          <w:szCs w:val="26"/>
        </w:rPr>
        <w:t>s</w:t>
      </w:r>
      <w:r w:rsidRPr="0029748B">
        <w:rPr>
          <w:sz w:val="26"/>
          <w:szCs w:val="26"/>
        </w:rPr>
        <w:t xml:space="preserve"> the Company the opportunity to earn a fair and reasonable return on property used and useful in public service.  </w:t>
      </w:r>
      <w:r w:rsidRPr="0029748B">
        <w:rPr>
          <w:i/>
          <w:iCs/>
          <w:sz w:val="26"/>
          <w:szCs w:val="26"/>
        </w:rPr>
        <w:t>Pennsylvania Gas and Water Co. v. Pa. PUC</w:t>
      </w:r>
      <w:r w:rsidRPr="0029748B">
        <w:rPr>
          <w:sz w:val="26"/>
          <w:szCs w:val="26"/>
        </w:rPr>
        <w:t xml:space="preserve">, 470 A.2d 1066 (Pa. </w:t>
      </w:r>
      <w:proofErr w:type="spellStart"/>
      <w:r w:rsidRPr="0029748B">
        <w:rPr>
          <w:sz w:val="26"/>
          <w:szCs w:val="26"/>
        </w:rPr>
        <w:t>Cmwlth</w:t>
      </w:r>
      <w:proofErr w:type="spellEnd"/>
      <w:r w:rsidRPr="0029748B">
        <w:rPr>
          <w:sz w:val="26"/>
          <w:szCs w:val="26"/>
        </w:rPr>
        <w:t>. 1984).</w:t>
      </w:r>
    </w:p>
    <w:p w14:paraId="02CCCFAD" w14:textId="77777777" w:rsidR="003A4CA0" w:rsidRPr="0029748B" w:rsidRDefault="003A4CA0" w:rsidP="0029748B">
      <w:pPr>
        <w:widowControl/>
        <w:spacing w:line="360" w:lineRule="auto"/>
        <w:ind w:firstLine="1440"/>
        <w:rPr>
          <w:sz w:val="26"/>
          <w:szCs w:val="26"/>
        </w:rPr>
      </w:pPr>
    </w:p>
    <w:p w14:paraId="0647D87F" w14:textId="77777777" w:rsidR="003A4CA0" w:rsidRPr="0029748B" w:rsidRDefault="003A4CA0" w:rsidP="005D7865">
      <w:pPr>
        <w:widowControl/>
        <w:spacing w:line="360" w:lineRule="auto"/>
        <w:ind w:firstLine="1440"/>
        <w:rPr>
          <w:sz w:val="26"/>
          <w:szCs w:val="26"/>
        </w:rPr>
      </w:pPr>
      <w:r w:rsidRPr="0029748B">
        <w:rPr>
          <w:sz w:val="26"/>
          <w:szCs w:val="26"/>
        </w:rPr>
        <w:t>Finally, for the reasons discussed above, we decline to initiate a Section 529 investigation in this proceeding.</w:t>
      </w:r>
    </w:p>
    <w:p w14:paraId="0D493FE8" w14:textId="77777777" w:rsidR="003A4CA0" w:rsidRPr="0029748B" w:rsidRDefault="003A4CA0" w:rsidP="005D7865">
      <w:pPr>
        <w:pStyle w:val="ListParagraph"/>
        <w:widowControl/>
        <w:spacing w:line="360" w:lineRule="auto"/>
        <w:ind w:left="1440"/>
        <w:textAlignment w:val="baseline"/>
        <w:rPr>
          <w:b/>
          <w:bCs/>
          <w:color w:val="000000"/>
          <w:sz w:val="26"/>
          <w:szCs w:val="26"/>
        </w:rPr>
      </w:pPr>
    </w:p>
    <w:p w14:paraId="4E25617E" w14:textId="5CC3334A" w:rsidR="003D4A93" w:rsidRPr="00F419AD" w:rsidRDefault="00861C9F" w:rsidP="008046C8">
      <w:pPr>
        <w:pStyle w:val="ListParagraph"/>
        <w:widowControl/>
        <w:numPr>
          <w:ilvl w:val="0"/>
          <w:numId w:val="24"/>
        </w:numPr>
        <w:spacing w:line="360" w:lineRule="auto"/>
        <w:ind w:left="720"/>
        <w:jc w:val="center"/>
        <w:textAlignment w:val="baseline"/>
        <w:outlineLvl w:val="0"/>
        <w:rPr>
          <w:b/>
          <w:color w:val="000000"/>
          <w:sz w:val="26"/>
          <w:szCs w:val="26"/>
        </w:rPr>
      </w:pPr>
      <w:bookmarkStart w:id="49" w:name="_Toc35324695"/>
      <w:bookmarkStart w:id="50" w:name="_Toc527618478"/>
      <w:bookmarkStart w:id="51" w:name="_Toc35328848"/>
      <w:r w:rsidRPr="00F419AD">
        <w:rPr>
          <w:b/>
          <w:color w:val="000000"/>
          <w:sz w:val="26"/>
          <w:szCs w:val="26"/>
        </w:rPr>
        <w:t>Conclusion</w:t>
      </w:r>
      <w:bookmarkEnd w:id="49"/>
      <w:bookmarkEnd w:id="50"/>
      <w:bookmarkEnd w:id="51"/>
    </w:p>
    <w:p w14:paraId="0B19EE87" w14:textId="77777777" w:rsidR="00092B99" w:rsidRPr="0029748B" w:rsidRDefault="00092B99" w:rsidP="005D7865">
      <w:pPr>
        <w:pStyle w:val="ListParagraph"/>
        <w:widowControl/>
        <w:spacing w:line="360" w:lineRule="auto"/>
        <w:ind w:left="0"/>
        <w:textAlignment w:val="baseline"/>
        <w:rPr>
          <w:b/>
          <w:color w:val="000000"/>
          <w:sz w:val="26"/>
          <w:szCs w:val="26"/>
        </w:rPr>
      </w:pPr>
    </w:p>
    <w:p w14:paraId="7CE07620" w14:textId="77777777" w:rsidR="00092B99" w:rsidRPr="0029748B" w:rsidRDefault="00FC20D7" w:rsidP="005D7865">
      <w:pPr>
        <w:pStyle w:val="ListParagraph"/>
        <w:widowControl/>
        <w:spacing w:line="360" w:lineRule="auto"/>
        <w:ind w:left="0"/>
        <w:textAlignment w:val="baseline"/>
        <w:rPr>
          <w:b/>
          <w:sz w:val="26"/>
          <w:szCs w:val="26"/>
        </w:rPr>
      </w:pPr>
      <w:r w:rsidRPr="0029748B">
        <w:rPr>
          <w:color w:val="000000"/>
          <w:sz w:val="26"/>
          <w:szCs w:val="26"/>
        </w:rPr>
        <w:tab/>
      </w:r>
      <w:r w:rsidRPr="0029748B">
        <w:rPr>
          <w:color w:val="000000"/>
          <w:sz w:val="26"/>
          <w:szCs w:val="26"/>
        </w:rPr>
        <w:tab/>
        <w:t>We have reviewed the record developed in this proceeding, including the ALJs’ Recommended Decision</w:t>
      </w:r>
      <w:r w:rsidR="001776BA" w:rsidRPr="0029748B">
        <w:rPr>
          <w:color w:val="000000"/>
          <w:sz w:val="26"/>
          <w:szCs w:val="26"/>
        </w:rPr>
        <w:t xml:space="preserve">, </w:t>
      </w:r>
      <w:r w:rsidRPr="0029748B">
        <w:rPr>
          <w:color w:val="000000"/>
          <w:sz w:val="26"/>
          <w:szCs w:val="26"/>
        </w:rPr>
        <w:t xml:space="preserve">the Exceptions </w:t>
      </w:r>
      <w:r w:rsidR="001776BA" w:rsidRPr="0029748B">
        <w:rPr>
          <w:color w:val="000000"/>
          <w:sz w:val="26"/>
          <w:szCs w:val="26"/>
        </w:rPr>
        <w:t xml:space="preserve">filed, </w:t>
      </w:r>
      <w:r w:rsidRPr="0029748B">
        <w:rPr>
          <w:color w:val="000000"/>
          <w:sz w:val="26"/>
          <w:szCs w:val="26"/>
        </w:rPr>
        <w:t xml:space="preserve">and Replies filed </w:t>
      </w:r>
      <w:r w:rsidR="001776BA" w:rsidRPr="0029748B">
        <w:rPr>
          <w:color w:val="000000"/>
          <w:sz w:val="26"/>
          <w:szCs w:val="26"/>
        </w:rPr>
        <w:t xml:space="preserve">in response </w:t>
      </w:r>
      <w:r w:rsidRPr="0029748B">
        <w:rPr>
          <w:color w:val="000000"/>
          <w:sz w:val="26"/>
          <w:szCs w:val="26"/>
        </w:rPr>
        <w:lastRenderedPageBreak/>
        <w:t xml:space="preserve">thereto.  Based upon our review of </w:t>
      </w:r>
      <w:r w:rsidR="001776BA" w:rsidRPr="0029748B">
        <w:rPr>
          <w:color w:val="000000"/>
          <w:sz w:val="26"/>
          <w:szCs w:val="26"/>
        </w:rPr>
        <w:t xml:space="preserve">substantial evidence of </w:t>
      </w:r>
      <w:r w:rsidRPr="0029748B">
        <w:rPr>
          <w:color w:val="000000"/>
          <w:sz w:val="26"/>
          <w:szCs w:val="26"/>
        </w:rPr>
        <w:t>record, we</w:t>
      </w:r>
      <w:r w:rsidRPr="0029748B">
        <w:rPr>
          <w:sz w:val="26"/>
          <w:szCs w:val="26"/>
        </w:rPr>
        <w:t xml:space="preserve"> shall</w:t>
      </w:r>
      <w:r w:rsidR="005B5E96" w:rsidRPr="0029748B">
        <w:rPr>
          <w:sz w:val="26"/>
          <w:szCs w:val="26"/>
        </w:rPr>
        <w:t>: (1)</w:t>
      </w:r>
      <w:r w:rsidRPr="0029748B">
        <w:rPr>
          <w:sz w:val="26"/>
          <w:szCs w:val="26"/>
        </w:rPr>
        <w:t xml:space="preserve"> </w:t>
      </w:r>
      <w:r w:rsidR="00861C9F" w:rsidRPr="0029748B">
        <w:rPr>
          <w:sz w:val="26"/>
          <w:szCs w:val="26"/>
        </w:rPr>
        <w:t>grant, in part, and deny, in part, the Exception filed by I&amp;E</w:t>
      </w:r>
      <w:r w:rsidR="006D3D1E" w:rsidRPr="0029748B">
        <w:rPr>
          <w:sz w:val="26"/>
          <w:szCs w:val="26"/>
        </w:rPr>
        <w:t>;</w:t>
      </w:r>
      <w:r w:rsidR="00861C9F" w:rsidRPr="0029748B">
        <w:rPr>
          <w:sz w:val="26"/>
          <w:szCs w:val="26"/>
        </w:rPr>
        <w:t xml:space="preserve"> </w:t>
      </w:r>
      <w:r w:rsidR="005B5E96" w:rsidRPr="0029748B">
        <w:rPr>
          <w:sz w:val="26"/>
          <w:szCs w:val="26"/>
        </w:rPr>
        <w:t xml:space="preserve">(2) </w:t>
      </w:r>
      <w:r w:rsidR="00861C9F" w:rsidRPr="0029748B">
        <w:rPr>
          <w:sz w:val="26"/>
          <w:szCs w:val="26"/>
        </w:rPr>
        <w:t>grant, in part, and deny, in part, the Exceptions filed by the OCA</w:t>
      </w:r>
      <w:r w:rsidR="006D3D1E" w:rsidRPr="0029748B">
        <w:rPr>
          <w:sz w:val="26"/>
          <w:szCs w:val="26"/>
        </w:rPr>
        <w:t>;</w:t>
      </w:r>
      <w:r w:rsidR="00861C9F" w:rsidRPr="0029748B">
        <w:rPr>
          <w:sz w:val="26"/>
          <w:szCs w:val="26"/>
        </w:rPr>
        <w:t xml:space="preserve"> </w:t>
      </w:r>
      <w:r w:rsidR="005B5E96" w:rsidRPr="0029748B">
        <w:rPr>
          <w:sz w:val="26"/>
          <w:szCs w:val="26"/>
        </w:rPr>
        <w:t xml:space="preserve">(3) </w:t>
      </w:r>
      <w:r w:rsidR="00861C9F" w:rsidRPr="0029748B">
        <w:rPr>
          <w:sz w:val="26"/>
          <w:szCs w:val="26"/>
        </w:rPr>
        <w:t>deny the Exceptions filed by Twin Lakes</w:t>
      </w:r>
      <w:r w:rsidR="006D3D1E" w:rsidRPr="0029748B">
        <w:rPr>
          <w:sz w:val="26"/>
          <w:szCs w:val="26"/>
        </w:rPr>
        <w:t>;</w:t>
      </w:r>
      <w:r w:rsidR="00861C9F" w:rsidRPr="0029748B">
        <w:rPr>
          <w:sz w:val="26"/>
          <w:szCs w:val="26"/>
        </w:rPr>
        <w:t xml:space="preserve"> and</w:t>
      </w:r>
      <w:r w:rsidR="005B5E96" w:rsidRPr="0029748B">
        <w:rPr>
          <w:sz w:val="26"/>
          <w:szCs w:val="26"/>
        </w:rPr>
        <w:t>,</w:t>
      </w:r>
      <w:r w:rsidR="00861C9F" w:rsidRPr="0029748B">
        <w:rPr>
          <w:sz w:val="26"/>
          <w:szCs w:val="26"/>
        </w:rPr>
        <w:t xml:space="preserve"> </w:t>
      </w:r>
      <w:r w:rsidR="005B5E96" w:rsidRPr="0029748B">
        <w:rPr>
          <w:sz w:val="26"/>
          <w:szCs w:val="26"/>
        </w:rPr>
        <w:t>(4)</w:t>
      </w:r>
      <w:r w:rsidR="00374618">
        <w:rPr>
          <w:sz w:val="26"/>
          <w:szCs w:val="26"/>
        </w:rPr>
        <w:t> </w:t>
      </w:r>
      <w:r w:rsidRPr="0029748B">
        <w:rPr>
          <w:sz w:val="26"/>
          <w:szCs w:val="26"/>
        </w:rPr>
        <w:t>adopt the</w:t>
      </w:r>
      <w:r w:rsidR="00F07D76" w:rsidRPr="0029748B">
        <w:rPr>
          <w:sz w:val="26"/>
          <w:szCs w:val="26"/>
        </w:rPr>
        <w:t xml:space="preserve"> ALJ</w:t>
      </w:r>
      <w:r w:rsidR="00622A1D" w:rsidRPr="0029748B">
        <w:rPr>
          <w:sz w:val="26"/>
          <w:szCs w:val="26"/>
        </w:rPr>
        <w:t>’s Recommended Decision</w:t>
      </w:r>
      <w:r w:rsidR="00D71F06" w:rsidRPr="0029748B">
        <w:rPr>
          <w:sz w:val="26"/>
          <w:szCs w:val="26"/>
        </w:rPr>
        <w:t xml:space="preserve"> </w:t>
      </w:r>
      <w:r w:rsidR="00F07D76" w:rsidRPr="0029748B">
        <w:rPr>
          <w:sz w:val="26"/>
          <w:szCs w:val="26"/>
        </w:rPr>
        <w:t>as discussed</w:t>
      </w:r>
      <w:r w:rsidR="00861C9F" w:rsidRPr="0029748B">
        <w:rPr>
          <w:sz w:val="26"/>
          <w:szCs w:val="26"/>
        </w:rPr>
        <w:t xml:space="preserve">, and </w:t>
      </w:r>
      <w:r w:rsidR="00431A3B" w:rsidRPr="0029748B">
        <w:rPr>
          <w:sz w:val="26"/>
          <w:szCs w:val="26"/>
        </w:rPr>
        <w:t>a</w:t>
      </w:r>
      <w:r w:rsidR="006D3D1E" w:rsidRPr="0029748B">
        <w:rPr>
          <w:sz w:val="26"/>
          <w:szCs w:val="26"/>
        </w:rPr>
        <w:t>s</w:t>
      </w:r>
      <w:r w:rsidR="00431A3B" w:rsidRPr="0029748B">
        <w:rPr>
          <w:sz w:val="26"/>
          <w:szCs w:val="26"/>
        </w:rPr>
        <w:t xml:space="preserve"> </w:t>
      </w:r>
      <w:r w:rsidR="00861C9F" w:rsidRPr="0029748B">
        <w:rPr>
          <w:sz w:val="26"/>
          <w:szCs w:val="26"/>
        </w:rPr>
        <w:t xml:space="preserve">modified, </w:t>
      </w:r>
      <w:r w:rsidR="00F07D76" w:rsidRPr="0029748B">
        <w:rPr>
          <w:i/>
          <w:iCs/>
          <w:sz w:val="26"/>
          <w:szCs w:val="26"/>
        </w:rPr>
        <w:t>supra</w:t>
      </w:r>
      <w:r w:rsidR="00F07D76" w:rsidRPr="0029748B">
        <w:rPr>
          <w:sz w:val="26"/>
          <w:szCs w:val="26"/>
        </w:rPr>
        <w:t xml:space="preserve">., </w:t>
      </w:r>
      <w:r w:rsidR="00D71F06" w:rsidRPr="0029748B">
        <w:rPr>
          <w:sz w:val="26"/>
          <w:szCs w:val="26"/>
        </w:rPr>
        <w:t>as in the public interest</w:t>
      </w:r>
      <w:r w:rsidR="002C5F9F" w:rsidRPr="0029748B">
        <w:rPr>
          <w:sz w:val="26"/>
          <w:szCs w:val="26"/>
        </w:rPr>
        <w:t xml:space="preserve">, </w:t>
      </w:r>
      <w:r w:rsidRPr="0029748B">
        <w:rPr>
          <w:sz w:val="26"/>
          <w:szCs w:val="26"/>
        </w:rPr>
        <w:t xml:space="preserve">consistent with this Opinion and Order; </w:t>
      </w:r>
      <w:r w:rsidRPr="0029748B">
        <w:rPr>
          <w:b/>
          <w:sz w:val="26"/>
          <w:szCs w:val="26"/>
        </w:rPr>
        <w:t>THEREFORE,</w:t>
      </w:r>
    </w:p>
    <w:p w14:paraId="4A209599" w14:textId="77777777" w:rsidR="006B393A" w:rsidRPr="0029748B" w:rsidRDefault="006B393A" w:rsidP="0029748B">
      <w:pPr>
        <w:widowControl/>
        <w:spacing w:after="200" w:line="360" w:lineRule="auto"/>
        <w:ind w:firstLine="1440"/>
        <w:contextualSpacing/>
        <w:rPr>
          <w:rFonts w:eastAsiaTheme="minorHAnsi"/>
          <w:b/>
          <w:sz w:val="26"/>
          <w:szCs w:val="26"/>
        </w:rPr>
      </w:pPr>
    </w:p>
    <w:p w14:paraId="5F17DEAE" w14:textId="77777777" w:rsidR="006B393A" w:rsidRPr="0029748B" w:rsidRDefault="006B393A" w:rsidP="004D5CB2">
      <w:pPr>
        <w:keepNext/>
        <w:keepLines/>
        <w:widowControl/>
        <w:spacing w:line="360" w:lineRule="auto"/>
        <w:ind w:firstLine="1440"/>
        <w:contextualSpacing/>
        <w:rPr>
          <w:rFonts w:eastAsiaTheme="minorHAnsi"/>
          <w:b/>
          <w:sz w:val="26"/>
          <w:szCs w:val="26"/>
        </w:rPr>
      </w:pPr>
      <w:r w:rsidRPr="0029748B">
        <w:rPr>
          <w:rFonts w:eastAsiaTheme="minorHAnsi"/>
          <w:b/>
          <w:sz w:val="26"/>
          <w:szCs w:val="26"/>
        </w:rPr>
        <w:t>IT IS ORDERED:</w:t>
      </w:r>
    </w:p>
    <w:p w14:paraId="31C699B8" w14:textId="77777777" w:rsidR="006B393A" w:rsidRPr="0029748B" w:rsidRDefault="006B393A" w:rsidP="004D5CB2">
      <w:pPr>
        <w:keepNext/>
        <w:keepLines/>
        <w:widowControl/>
        <w:spacing w:line="360" w:lineRule="auto"/>
        <w:ind w:firstLine="1440"/>
        <w:contextualSpacing/>
        <w:rPr>
          <w:rFonts w:eastAsiaTheme="minorHAnsi"/>
          <w:sz w:val="26"/>
          <w:szCs w:val="26"/>
        </w:rPr>
      </w:pPr>
    </w:p>
    <w:p w14:paraId="2B03FFE3" w14:textId="77777777" w:rsidR="003C6CD4" w:rsidRPr="0029748B" w:rsidRDefault="003C6CD4" w:rsidP="004D5CB2">
      <w:pPr>
        <w:pStyle w:val="ListParagraph"/>
        <w:keepNext/>
        <w:keepLines/>
        <w:widowControl/>
        <w:numPr>
          <w:ilvl w:val="0"/>
          <w:numId w:val="6"/>
        </w:numPr>
        <w:spacing w:line="360" w:lineRule="auto"/>
        <w:ind w:left="0" w:firstLine="1440"/>
        <w:rPr>
          <w:rFonts w:eastAsiaTheme="minorHAnsi"/>
          <w:sz w:val="26"/>
          <w:szCs w:val="26"/>
        </w:rPr>
      </w:pPr>
      <w:r w:rsidRPr="0029748B">
        <w:rPr>
          <w:rFonts w:eastAsiaTheme="minorHAnsi"/>
          <w:sz w:val="26"/>
          <w:szCs w:val="26"/>
        </w:rPr>
        <w:t>That the Exception</w:t>
      </w:r>
      <w:r w:rsidR="008B02DB" w:rsidRPr="0029748B">
        <w:rPr>
          <w:rFonts w:eastAsiaTheme="minorHAnsi"/>
          <w:sz w:val="26"/>
          <w:szCs w:val="26"/>
        </w:rPr>
        <w:t>s</w:t>
      </w:r>
      <w:r w:rsidRPr="0029748B">
        <w:rPr>
          <w:rFonts w:eastAsiaTheme="minorHAnsi"/>
          <w:sz w:val="26"/>
          <w:szCs w:val="26"/>
        </w:rPr>
        <w:t xml:space="preserve"> of the Bureau of Investigation and Enforcement, filed on March 2, 2020, is granted, in part, and denied, in part, consistent with this Opinion and Order.</w:t>
      </w:r>
    </w:p>
    <w:p w14:paraId="537C6B59" w14:textId="77777777" w:rsidR="0040350E" w:rsidRPr="0029748B" w:rsidRDefault="0040350E" w:rsidP="0029748B">
      <w:pPr>
        <w:pStyle w:val="ListParagraph"/>
        <w:widowControl/>
        <w:spacing w:line="360" w:lineRule="auto"/>
        <w:ind w:left="1440"/>
        <w:rPr>
          <w:rFonts w:eastAsiaTheme="minorHAnsi"/>
          <w:sz w:val="26"/>
          <w:szCs w:val="26"/>
        </w:rPr>
      </w:pPr>
    </w:p>
    <w:p w14:paraId="672F24E6" w14:textId="77777777" w:rsidR="003C6CD4" w:rsidRPr="0029748B" w:rsidRDefault="003C6CD4" w:rsidP="0029748B">
      <w:pPr>
        <w:pStyle w:val="ListParagraph"/>
        <w:widowControl/>
        <w:numPr>
          <w:ilvl w:val="0"/>
          <w:numId w:val="6"/>
        </w:numPr>
        <w:spacing w:line="360" w:lineRule="auto"/>
        <w:ind w:left="0" w:firstLine="1440"/>
        <w:rPr>
          <w:rFonts w:eastAsiaTheme="minorHAnsi"/>
          <w:sz w:val="26"/>
          <w:szCs w:val="26"/>
        </w:rPr>
      </w:pPr>
      <w:bookmarkStart w:id="52" w:name="_Hlk527442937"/>
      <w:r w:rsidRPr="0029748B">
        <w:rPr>
          <w:rFonts w:eastAsiaTheme="minorHAnsi"/>
          <w:sz w:val="26"/>
          <w:szCs w:val="26"/>
        </w:rPr>
        <w:t>That the Exceptions of the Office of Consumer Advocate, filed on March 2, 2020, are granted, in part, and denied, in part, consistent with this Opinion and Order.</w:t>
      </w:r>
    </w:p>
    <w:p w14:paraId="16A77728" w14:textId="77777777" w:rsidR="006D3D1E" w:rsidRPr="0029748B" w:rsidRDefault="006D3D1E" w:rsidP="0029748B">
      <w:pPr>
        <w:widowControl/>
        <w:spacing w:line="360" w:lineRule="auto"/>
        <w:rPr>
          <w:rFonts w:eastAsiaTheme="minorHAnsi"/>
          <w:sz w:val="26"/>
          <w:szCs w:val="26"/>
        </w:rPr>
      </w:pPr>
    </w:p>
    <w:p w14:paraId="3192E6B7" w14:textId="77777777" w:rsidR="00B70A2E" w:rsidRPr="0029748B" w:rsidRDefault="003C6CD4" w:rsidP="0029748B">
      <w:pPr>
        <w:pStyle w:val="ListParagraph"/>
        <w:widowControl/>
        <w:numPr>
          <w:ilvl w:val="0"/>
          <w:numId w:val="6"/>
        </w:numPr>
        <w:spacing w:line="360" w:lineRule="auto"/>
        <w:ind w:left="0" w:firstLine="1440"/>
        <w:rPr>
          <w:rFonts w:eastAsiaTheme="minorHAnsi"/>
          <w:sz w:val="26"/>
          <w:szCs w:val="26"/>
        </w:rPr>
      </w:pPr>
      <w:bookmarkStart w:id="53" w:name="_Hlk527442965"/>
      <w:bookmarkEnd w:id="52"/>
      <w:r w:rsidRPr="0029748B">
        <w:rPr>
          <w:rFonts w:eastAsiaTheme="minorHAnsi"/>
          <w:sz w:val="26"/>
          <w:szCs w:val="26"/>
        </w:rPr>
        <w:t>That the Exceptions of Twin Lakes Utilities, Inc., filed on March 2, 2020, are denied, consistent with this Opinion and Order.</w:t>
      </w:r>
      <w:bookmarkEnd w:id="53"/>
    </w:p>
    <w:p w14:paraId="6BA9C242" w14:textId="77777777" w:rsidR="0040350E" w:rsidRPr="0029748B" w:rsidRDefault="0040350E" w:rsidP="0029748B">
      <w:pPr>
        <w:pStyle w:val="ListParagraph"/>
        <w:widowControl/>
        <w:spacing w:line="360" w:lineRule="auto"/>
        <w:ind w:left="1440"/>
        <w:rPr>
          <w:rFonts w:eastAsiaTheme="minorHAnsi"/>
          <w:sz w:val="26"/>
          <w:szCs w:val="26"/>
        </w:rPr>
      </w:pPr>
    </w:p>
    <w:p w14:paraId="6A8E5EA0" w14:textId="77777777" w:rsidR="00861C9F" w:rsidRPr="0029748B" w:rsidRDefault="006B393A" w:rsidP="0029748B">
      <w:pPr>
        <w:pStyle w:val="ListParagraph"/>
        <w:widowControl/>
        <w:numPr>
          <w:ilvl w:val="0"/>
          <w:numId w:val="6"/>
        </w:numPr>
        <w:spacing w:line="360" w:lineRule="auto"/>
        <w:ind w:left="0" w:firstLine="1440"/>
        <w:rPr>
          <w:rFonts w:eastAsiaTheme="minorHAnsi"/>
          <w:sz w:val="26"/>
          <w:szCs w:val="26"/>
        </w:rPr>
      </w:pPr>
      <w:r w:rsidRPr="0029748B">
        <w:rPr>
          <w:rFonts w:eastAsiaTheme="minorHAnsi"/>
          <w:sz w:val="26"/>
          <w:szCs w:val="26"/>
        </w:rPr>
        <w:t xml:space="preserve">That the Recommended Decision of Administrative Law Judge, </w:t>
      </w:r>
      <w:r w:rsidR="00F07D76" w:rsidRPr="0029748B">
        <w:rPr>
          <w:rFonts w:eastAsiaTheme="minorHAnsi"/>
          <w:sz w:val="26"/>
          <w:szCs w:val="26"/>
        </w:rPr>
        <w:t xml:space="preserve">Marta </w:t>
      </w:r>
      <w:proofErr w:type="spellStart"/>
      <w:r w:rsidR="00F07D76" w:rsidRPr="0029748B">
        <w:rPr>
          <w:rFonts w:eastAsiaTheme="minorHAnsi"/>
          <w:sz w:val="26"/>
          <w:szCs w:val="26"/>
        </w:rPr>
        <w:t>Guhl</w:t>
      </w:r>
      <w:proofErr w:type="spellEnd"/>
      <w:r w:rsidRPr="0029748B">
        <w:rPr>
          <w:rFonts w:eastAsiaTheme="minorHAnsi"/>
          <w:sz w:val="26"/>
          <w:szCs w:val="26"/>
        </w:rPr>
        <w:t xml:space="preserve">, issued on </w:t>
      </w:r>
      <w:r w:rsidR="00F329DC" w:rsidRPr="0029748B">
        <w:rPr>
          <w:rFonts w:eastAsiaTheme="minorHAnsi"/>
          <w:sz w:val="26"/>
          <w:szCs w:val="26"/>
        </w:rPr>
        <w:t>February 1</w:t>
      </w:r>
      <w:r w:rsidR="00BD3B56" w:rsidRPr="0029748B">
        <w:rPr>
          <w:rFonts w:eastAsiaTheme="minorHAnsi"/>
          <w:sz w:val="26"/>
          <w:szCs w:val="26"/>
        </w:rPr>
        <w:t>9</w:t>
      </w:r>
      <w:r w:rsidR="00F329DC" w:rsidRPr="0029748B">
        <w:rPr>
          <w:rFonts w:eastAsiaTheme="minorHAnsi"/>
          <w:sz w:val="26"/>
          <w:szCs w:val="26"/>
        </w:rPr>
        <w:t>, 2020,</w:t>
      </w:r>
      <w:r w:rsidRPr="0029748B">
        <w:rPr>
          <w:rFonts w:eastAsiaTheme="minorHAnsi"/>
          <w:sz w:val="26"/>
          <w:szCs w:val="26"/>
        </w:rPr>
        <w:t xml:space="preserve"> is adopted as modified by this Opinion and Order.</w:t>
      </w:r>
    </w:p>
    <w:p w14:paraId="72D11BAE" w14:textId="77777777" w:rsidR="00C3424B" w:rsidRPr="0029748B" w:rsidRDefault="00C3424B" w:rsidP="0029748B">
      <w:pPr>
        <w:pStyle w:val="ListParagraph"/>
        <w:widowControl/>
        <w:rPr>
          <w:rFonts w:eastAsiaTheme="minorHAnsi"/>
          <w:sz w:val="26"/>
          <w:szCs w:val="26"/>
        </w:rPr>
      </w:pPr>
    </w:p>
    <w:p w14:paraId="5B1FD034" w14:textId="77777777" w:rsidR="00E950D5" w:rsidRPr="0029748B" w:rsidRDefault="00E950D5" w:rsidP="0029748B">
      <w:pPr>
        <w:pStyle w:val="ListParagraph"/>
        <w:widowControl/>
        <w:numPr>
          <w:ilvl w:val="0"/>
          <w:numId w:val="6"/>
        </w:numPr>
        <w:spacing w:line="360" w:lineRule="auto"/>
        <w:ind w:left="0" w:firstLine="1440"/>
        <w:rPr>
          <w:rFonts w:eastAsiaTheme="minorHAnsi"/>
          <w:sz w:val="26"/>
          <w:szCs w:val="26"/>
        </w:rPr>
      </w:pPr>
      <w:r w:rsidRPr="0029748B">
        <w:rPr>
          <w:rFonts w:eastAsia="Calibri"/>
          <w:sz w:val="26"/>
          <w:szCs w:val="26"/>
        </w:rPr>
        <w:t xml:space="preserve">That the corrections and modifications directed by this Opinion and Order reflected in </w:t>
      </w:r>
      <w:r w:rsidR="00D052F5" w:rsidRPr="0029748B">
        <w:rPr>
          <w:rFonts w:eastAsia="Calibri"/>
          <w:sz w:val="26"/>
          <w:szCs w:val="26"/>
        </w:rPr>
        <w:t xml:space="preserve">the </w:t>
      </w:r>
      <w:r w:rsidR="00C3424B" w:rsidRPr="0029748B">
        <w:rPr>
          <w:rFonts w:eastAsia="Calibri"/>
          <w:bCs/>
          <w:sz w:val="26"/>
          <w:szCs w:val="26"/>
        </w:rPr>
        <w:t>Twin Lakes Utilities, Inc.</w:t>
      </w:r>
      <w:r w:rsidR="006C73B9" w:rsidRPr="0029748B">
        <w:rPr>
          <w:rFonts w:eastAsia="Calibri"/>
          <w:bCs/>
          <w:sz w:val="26"/>
          <w:szCs w:val="26"/>
        </w:rPr>
        <w:t>,</w:t>
      </w:r>
      <w:r w:rsidR="00C3424B" w:rsidRPr="0029748B">
        <w:rPr>
          <w:rFonts w:eastAsia="Calibri"/>
          <w:bCs/>
          <w:sz w:val="26"/>
          <w:szCs w:val="26"/>
        </w:rPr>
        <w:t xml:space="preserve"> Docket No. R-2019-3010958 (Commission Tables Calculating Allowed Revenue Increase</w:t>
      </w:r>
      <w:r w:rsidR="00D052F5" w:rsidRPr="0029748B">
        <w:rPr>
          <w:rFonts w:eastAsia="Calibri"/>
          <w:bCs/>
          <w:sz w:val="26"/>
          <w:szCs w:val="26"/>
        </w:rPr>
        <w:t xml:space="preserve">), </w:t>
      </w:r>
      <w:bookmarkStart w:id="54" w:name="_Hlk34807848"/>
      <w:r w:rsidRPr="0029748B">
        <w:rPr>
          <w:rFonts w:eastAsia="Calibri"/>
          <w:sz w:val="26"/>
          <w:szCs w:val="26"/>
        </w:rPr>
        <w:t>attached hereto and incorporated herein as “Appendix A,” are adopted as in the public interest.</w:t>
      </w:r>
    </w:p>
    <w:bookmarkEnd w:id="54"/>
    <w:p w14:paraId="6E834D9A" w14:textId="77777777" w:rsidR="009D3E91" w:rsidRPr="0029748B" w:rsidRDefault="009D3E91" w:rsidP="0029748B">
      <w:pPr>
        <w:widowControl/>
        <w:spacing w:line="360" w:lineRule="auto"/>
        <w:rPr>
          <w:rFonts w:eastAsiaTheme="minorHAnsi"/>
          <w:sz w:val="26"/>
          <w:szCs w:val="26"/>
        </w:rPr>
      </w:pPr>
    </w:p>
    <w:p w14:paraId="3E4510AB" w14:textId="77777777" w:rsidR="009D3E91" w:rsidRPr="0029748B" w:rsidRDefault="00861C9F" w:rsidP="0029748B">
      <w:pPr>
        <w:pStyle w:val="ListParagraph"/>
        <w:widowControl/>
        <w:numPr>
          <w:ilvl w:val="0"/>
          <w:numId w:val="6"/>
        </w:numPr>
        <w:spacing w:line="360" w:lineRule="auto"/>
        <w:ind w:left="0" w:firstLine="1440"/>
        <w:rPr>
          <w:rFonts w:eastAsiaTheme="minorHAnsi"/>
          <w:sz w:val="26"/>
          <w:szCs w:val="26"/>
        </w:rPr>
      </w:pPr>
      <w:r w:rsidRPr="0029748B">
        <w:rPr>
          <w:rFonts w:eastAsiaTheme="minorHAnsi"/>
          <w:sz w:val="26"/>
          <w:szCs w:val="26"/>
        </w:rPr>
        <w:lastRenderedPageBreak/>
        <w:t xml:space="preserve">That the Joint Stipulation of </w:t>
      </w:r>
      <w:r w:rsidR="009D3E91" w:rsidRPr="0029748B">
        <w:rPr>
          <w:rFonts w:eastAsiaTheme="minorHAnsi"/>
          <w:sz w:val="26"/>
          <w:szCs w:val="26"/>
        </w:rPr>
        <w:t xml:space="preserve">the active </w:t>
      </w:r>
      <w:r w:rsidR="006C73B9" w:rsidRPr="0029748B">
        <w:rPr>
          <w:rFonts w:eastAsiaTheme="minorHAnsi"/>
          <w:sz w:val="26"/>
          <w:szCs w:val="26"/>
        </w:rPr>
        <w:t>P</w:t>
      </w:r>
      <w:r w:rsidR="009D3E91" w:rsidRPr="0029748B">
        <w:rPr>
          <w:rFonts w:eastAsiaTheme="minorHAnsi"/>
          <w:sz w:val="26"/>
          <w:szCs w:val="26"/>
        </w:rPr>
        <w:t xml:space="preserve">arties, </w:t>
      </w:r>
      <w:r w:rsidRPr="0029748B">
        <w:rPr>
          <w:rFonts w:eastAsiaTheme="minorHAnsi"/>
          <w:sz w:val="26"/>
          <w:szCs w:val="26"/>
        </w:rPr>
        <w:t>Twin Lakes Utilities, Inc.</w:t>
      </w:r>
      <w:r w:rsidR="00BD3B56" w:rsidRPr="0029748B">
        <w:rPr>
          <w:rFonts w:eastAsiaTheme="minorHAnsi"/>
          <w:sz w:val="26"/>
          <w:szCs w:val="26"/>
        </w:rPr>
        <w:t>, the Bureau of Investigation and Enforcement and the Office of Consumer Advocate</w:t>
      </w:r>
      <w:r w:rsidR="009D3E91" w:rsidRPr="0029748B">
        <w:rPr>
          <w:rFonts w:eastAsiaTheme="minorHAnsi"/>
          <w:sz w:val="26"/>
          <w:szCs w:val="26"/>
        </w:rPr>
        <w:t>,</w:t>
      </w:r>
      <w:r w:rsidR="00BD3B56" w:rsidRPr="0029748B">
        <w:rPr>
          <w:rFonts w:eastAsiaTheme="minorHAnsi"/>
          <w:sz w:val="26"/>
          <w:szCs w:val="26"/>
        </w:rPr>
        <w:t xml:space="preserve"> </w:t>
      </w:r>
      <w:r w:rsidR="00053A1E" w:rsidRPr="0029748B">
        <w:rPr>
          <w:rFonts w:eastAsiaTheme="minorHAnsi"/>
          <w:sz w:val="26"/>
          <w:szCs w:val="26"/>
        </w:rPr>
        <w:t>filed on D</w:t>
      </w:r>
      <w:r w:rsidR="009D3E91" w:rsidRPr="0029748B">
        <w:rPr>
          <w:rFonts w:eastAsiaTheme="minorHAnsi"/>
          <w:sz w:val="26"/>
          <w:szCs w:val="26"/>
        </w:rPr>
        <w:t>ecember 18, 2019, attached hereto and incorporated herein as “</w:t>
      </w:r>
      <w:r w:rsidR="00053A1E" w:rsidRPr="0029748B">
        <w:rPr>
          <w:rFonts w:eastAsiaTheme="minorHAnsi"/>
          <w:sz w:val="26"/>
          <w:szCs w:val="26"/>
        </w:rPr>
        <w:t>Exhibit B</w:t>
      </w:r>
      <w:r w:rsidR="009D3E91" w:rsidRPr="0029748B">
        <w:rPr>
          <w:rFonts w:eastAsiaTheme="minorHAnsi"/>
          <w:sz w:val="26"/>
          <w:szCs w:val="26"/>
        </w:rPr>
        <w:t>,” is adopted as in the public interest.</w:t>
      </w:r>
    </w:p>
    <w:p w14:paraId="7A9D568B" w14:textId="77777777" w:rsidR="009D3E91" w:rsidRPr="0029748B" w:rsidRDefault="009D3E91" w:rsidP="0029748B">
      <w:pPr>
        <w:pStyle w:val="ListParagraph"/>
        <w:widowControl/>
        <w:spacing w:line="360" w:lineRule="auto"/>
        <w:ind w:left="1440"/>
        <w:rPr>
          <w:rFonts w:eastAsiaTheme="minorHAnsi"/>
          <w:sz w:val="26"/>
          <w:szCs w:val="26"/>
        </w:rPr>
      </w:pPr>
    </w:p>
    <w:p w14:paraId="010E1E51" w14:textId="77777777" w:rsidR="0040350E" w:rsidRPr="0029748B" w:rsidRDefault="006B393A" w:rsidP="0029748B">
      <w:pPr>
        <w:pStyle w:val="ListParagraph"/>
        <w:widowControl/>
        <w:numPr>
          <w:ilvl w:val="0"/>
          <w:numId w:val="6"/>
        </w:numPr>
        <w:spacing w:line="360" w:lineRule="auto"/>
        <w:ind w:left="0" w:firstLine="1440"/>
        <w:rPr>
          <w:rFonts w:eastAsiaTheme="minorHAnsi"/>
          <w:sz w:val="26"/>
          <w:szCs w:val="26"/>
        </w:rPr>
      </w:pPr>
      <w:r w:rsidRPr="0029748B">
        <w:rPr>
          <w:rFonts w:eastAsiaTheme="minorHAnsi"/>
          <w:sz w:val="26"/>
          <w:szCs w:val="26"/>
        </w:rPr>
        <w:t xml:space="preserve">That </w:t>
      </w:r>
      <w:bookmarkStart w:id="55" w:name="_Hlk527443567"/>
      <w:r w:rsidR="00F07D76" w:rsidRPr="0029748B">
        <w:rPr>
          <w:rFonts w:eastAsiaTheme="minorHAnsi"/>
          <w:sz w:val="26"/>
          <w:szCs w:val="26"/>
        </w:rPr>
        <w:t>Twin Lakes</w:t>
      </w:r>
      <w:r w:rsidRPr="0029748B">
        <w:rPr>
          <w:rFonts w:eastAsiaTheme="minorHAnsi"/>
          <w:sz w:val="26"/>
          <w:szCs w:val="26"/>
        </w:rPr>
        <w:t>, Inc.</w:t>
      </w:r>
      <w:r w:rsidR="00F07D76" w:rsidRPr="0029748B">
        <w:rPr>
          <w:rFonts w:eastAsiaTheme="minorHAnsi"/>
          <w:sz w:val="26"/>
          <w:szCs w:val="26"/>
        </w:rPr>
        <w:t xml:space="preserve">, </w:t>
      </w:r>
      <w:bookmarkEnd w:id="55"/>
      <w:r w:rsidRPr="0029748B">
        <w:rPr>
          <w:rFonts w:eastAsiaTheme="minorHAnsi"/>
          <w:sz w:val="26"/>
          <w:szCs w:val="26"/>
        </w:rPr>
        <w:t xml:space="preserve">shall not place into effect the rates, rules, and regulations contained in </w:t>
      </w:r>
      <w:r w:rsidR="00F329DC" w:rsidRPr="0029748B">
        <w:rPr>
          <w:rFonts w:eastAsiaTheme="minorHAnsi"/>
          <w:sz w:val="26"/>
          <w:szCs w:val="26"/>
        </w:rPr>
        <w:t xml:space="preserve">Supplement No 8, </w:t>
      </w:r>
      <w:r w:rsidRPr="0029748B">
        <w:rPr>
          <w:rFonts w:eastAsiaTheme="minorHAnsi"/>
          <w:sz w:val="26"/>
          <w:szCs w:val="26"/>
        </w:rPr>
        <w:t>Tariff–</w:t>
      </w:r>
      <w:r w:rsidR="00F07D76" w:rsidRPr="0029748B">
        <w:rPr>
          <w:rFonts w:eastAsiaTheme="minorHAnsi"/>
          <w:sz w:val="26"/>
          <w:szCs w:val="26"/>
        </w:rPr>
        <w:t xml:space="preserve">Water </w:t>
      </w:r>
      <w:r w:rsidRPr="0029748B">
        <w:rPr>
          <w:rFonts w:eastAsiaTheme="minorHAnsi"/>
          <w:sz w:val="26"/>
          <w:szCs w:val="26"/>
        </w:rPr>
        <w:t>P</w:t>
      </w:r>
      <w:r w:rsidR="00F329DC" w:rsidRPr="0029748B">
        <w:rPr>
          <w:rFonts w:eastAsiaTheme="minorHAnsi"/>
          <w:sz w:val="26"/>
          <w:szCs w:val="26"/>
        </w:rPr>
        <w:t>a</w:t>
      </w:r>
      <w:r w:rsidRPr="0029748B">
        <w:rPr>
          <w:rFonts w:eastAsiaTheme="minorHAnsi"/>
          <w:sz w:val="26"/>
          <w:szCs w:val="26"/>
        </w:rPr>
        <w:t xml:space="preserve">. P.U.C. No. </w:t>
      </w:r>
      <w:r w:rsidR="00F329DC" w:rsidRPr="0029748B">
        <w:rPr>
          <w:rFonts w:eastAsiaTheme="minorHAnsi"/>
          <w:sz w:val="26"/>
          <w:szCs w:val="26"/>
        </w:rPr>
        <w:t>4</w:t>
      </w:r>
      <w:r w:rsidR="00F07D76" w:rsidRPr="0029748B">
        <w:rPr>
          <w:rFonts w:eastAsiaTheme="minorHAnsi"/>
          <w:sz w:val="26"/>
          <w:szCs w:val="26"/>
        </w:rPr>
        <w:t xml:space="preserve">, </w:t>
      </w:r>
      <w:r w:rsidRPr="0029748B">
        <w:rPr>
          <w:rFonts w:eastAsiaTheme="minorHAnsi"/>
          <w:sz w:val="26"/>
          <w:szCs w:val="26"/>
        </w:rPr>
        <w:t>as filed.</w:t>
      </w:r>
    </w:p>
    <w:p w14:paraId="15ADBACE" w14:textId="77777777" w:rsidR="0040350E" w:rsidRPr="0029748B" w:rsidRDefault="0040350E" w:rsidP="0029748B">
      <w:pPr>
        <w:pStyle w:val="ListParagraph"/>
        <w:widowControl/>
        <w:spacing w:line="360" w:lineRule="auto"/>
        <w:ind w:left="1440"/>
        <w:rPr>
          <w:rFonts w:eastAsiaTheme="minorHAnsi"/>
          <w:sz w:val="26"/>
          <w:szCs w:val="26"/>
        </w:rPr>
      </w:pPr>
    </w:p>
    <w:p w14:paraId="44E43F36" w14:textId="77777777" w:rsidR="003C6CD4" w:rsidRPr="0029748B" w:rsidRDefault="006B393A" w:rsidP="0029748B">
      <w:pPr>
        <w:pStyle w:val="ListParagraph"/>
        <w:widowControl/>
        <w:numPr>
          <w:ilvl w:val="0"/>
          <w:numId w:val="6"/>
        </w:numPr>
        <w:spacing w:line="360" w:lineRule="auto"/>
        <w:ind w:left="0" w:firstLine="1440"/>
        <w:rPr>
          <w:rFonts w:eastAsiaTheme="minorHAnsi"/>
          <w:sz w:val="26"/>
          <w:szCs w:val="26"/>
        </w:rPr>
      </w:pPr>
      <w:r w:rsidRPr="0029748B">
        <w:rPr>
          <w:rFonts w:eastAsiaTheme="minorHAnsi"/>
          <w:sz w:val="26"/>
          <w:szCs w:val="26"/>
        </w:rPr>
        <w:t xml:space="preserve">That </w:t>
      </w:r>
      <w:bookmarkStart w:id="56" w:name="_Hlk527443723"/>
      <w:r w:rsidR="00F07D76" w:rsidRPr="0029748B">
        <w:rPr>
          <w:rFonts w:eastAsiaTheme="minorHAnsi"/>
          <w:sz w:val="26"/>
          <w:szCs w:val="26"/>
        </w:rPr>
        <w:t>Twin Lakes U</w:t>
      </w:r>
      <w:r w:rsidRPr="0029748B">
        <w:rPr>
          <w:rFonts w:eastAsiaTheme="minorHAnsi"/>
          <w:sz w:val="26"/>
          <w:szCs w:val="26"/>
        </w:rPr>
        <w:t>tilities, Inc.</w:t>
      </w:r>
      <w:r w:rsidR="00F07D76" w:rsidRPr="0029748B">
        <w:rPr>
          <w:rFonts w:eastAsiaTheme="minorHAnsi"/>
          <w:sz w:val="26"/>
          <w:szCs w:val="26"/>
        </w:rPr>
        <w:t xml:space="preserve">, </w:t>
      </w:r>
      <w:bookmarkEnd w:id="56"/>
      <w:r w:rsidRPr="0029748B">
        <w:rPr>
          <w:rFonts w:eastAsiaTheme="minorHAnsi"/>
          <w:sz w:val="26"/>
          <w:szCs w:val="26"/>
        </w:rPr>
        <w:t xml:space="preserve">is authorized to file tariffs, tariff supplements and/or tariff revisions, on at least one day’s notice, and pursuant to the provisions of 52 Pa. Code §§ 53.1, </w:t>
      </w:r>
      <w:r w:rsidRPr="0029748B">
        <w:rPr>
          <w:rFonts w:eastAsiaTheme="minorHAnsi"/>
          <w:i/>
          <w:sz w:val="26"/>
          <w:szCs w:val="26"/>
        </w:rPr>
        <w:t>et seq.,</w:t>
      </w:r>
      <w:r w:rsidRPr="0029748B">
        <w:rPr>
          <w:rFonts w:eastAsiaTheme="minorHAnsi"/>
          <w:sz w:val="26"/>
          <w:szCs w:val="26"/>
        </w:rPr>
        <w:t xml:space="preserve"> and 53.101, designed to produce an annual revenue increase of approximately $</w:t>
      </w:r>
      <w:r w:rsidR="00F329DC" w:rsidRPr="0029748B">
        <w:rPr>
          <w:rFonts w:eastAsiaTheme="minorHAnsi"/>
          <w:sz w:val="26"/>
          <w:szCs w:val="26"/>
        </w:rPr>
        <w:t>11</w:t>
      </w:r>
      <w:r w:rsidR="00D052F5" w:rsidRPr="0029748B">
        <w:rPr>
          <w:rFonts w:eastAsiaTheme="minorHAnsi"/>
          <w:sz w:val="26"/>
          <w:szCs w:val="26"/>
        </w:rPr>
        <w:t>7</w:t>
      </w:r>
      <w:r w:rsidR="00F329DC" w:rsidRPr="0029748B">
        <w:rPr>
          <w:rFonts w:eastAsiaTheme="minorHAnsi"/>
          <w:sz w:val="26"/>
          <w:szCs w:val="26"/>
        </w:rPr>
        <w:t>,</w:t>
      </w:r>
      <w:r w:rsidR="00D052F5" w:rsidRPr="0029748B">
        <w:rPr>
          <w:rFonts w:eastAsiaTheme="minorHAnsi"/>
          <w:sz w:val="26"/>
          <w:szCs w:val="26"/>
        </w:rPr>
        <w:t>374</w:t>
      </w:r>
      <w:r w:rsidRPr="0029748B">
        <w:rPr>
          <w:rFonts w:eastAsiaTheme="minorHAnsi"/>
          <w:sz w:val="26"/>
          <w:szCs w:val="26"/>
        </w:rPr>
        <w:t xml:space="preserve">, to become effective for service rendered on and after </w:t>
      </w:r>
      <w:r w:rsidR="001776BA" w:rsidRPr="0029748B">
        <w:rPr>
          <w:rFonts w:eastAsiaTheme="minorHAnsi"/>
          <w:sz w:val="26"/>
          <w:szCs w:val="26"/>
        </w:rPr>
        <w:t>April 19</w:t>
      </w:r>
      <w:r w:rsidR="006C73B9" w:rsidRPr="0029748B">
        <w:rPr>
          <w:rFonts w:eastAsiaTheme="minorHAnsi"/>
          <w:sz w:val="26"/>
          <w:szCs w:val="26"/>
        </w:rPr>
        <w:t>,</w:t>
      </w:r>
      <w:r w:rsidR="001776BA" w:rsidRPr="0029748B">
        <w:rPr>
          <w:rFonts w:eastAsiaTheme="minorHAnsi"/>
          <w:sz w:val="26"/>
          <w:szCs w:val="26"/>
        </w:rPr>
        <w:t xml:space="preserve"> 2020</w:t>
      </w:r>
      <w:r w:rsidRPr="0029748B">
        <w:rPr>
          <w:rFonts w:eastAsiaTheme="minorHAnsi"/>
          <w:sz w:val="26"/>
          <w:szCs w:val="26"/>
        </w:rPr>
        <w:t>.</w:t>
      </w:r>
    </w:p>
    <w:p w14:paraId="0359DFD0" w14:textId="77777777" w:rsidR="0040350E" w:rsidRPr="0029748B" w:rsidRDefault="0040350E" w:rsidP="0029748B">
      <w:pPr>
        <w:pStyle w:val="ListParagraph"/>
        <w:widowControl/>
        <w:spacing w:line="360" w:lineRule="auto"/>
        <w:ind w:left="1440"/>
        <w:rPr>
          <w:rFonts w:eastAsiaTheme="minorHAnsi"/>
          <w:sz w:val="26"/>
          <w:szCs w:val="26"/>
        </w:rPr>
      </w:pPr>
    </w:p>
    <w:p w14:paraId="29EBDA9F" w14:textId="77777777" w:rsidR="006B393A" w:rsidRPr="0029748B" w:rsidRDefault="006B393A" w:rsidP="0029748B">
      <w:pPr>
        <w:pStyle w:val="ListParagraph"/>
        <w:widowControl/>
        <w:numPr>
          <w:ilvl w:val="0"/>
          <w:numId w:val="6"/>
        </w:numPr>
        <w:spacing w:line="360" w:lineRule="auto"/>
        <w:ind w:left="0" w:firstLine="1440"/>
        <w:rPr>
          <w:rFonts w:eastAsiaTheme="minorHAnsi"/>
          <w:sz w:val="26"/>
          <w:szCs w:val="26"/>
        </w:rPr>
      </w:pPr>
      <w:r w:rsidRPr="0029748B">
        <w:rPr>
          <w:rFonts w:eastAsiaTheme="minorHAnsi"/>
          <w:sz w:val="26"/>
          <w:szCs w:val="26"/>
        </w:rPr>
        <w:t xml:space="preserve">That </w:t>
      </w:r>
      <w:r w:rsidR="00F07D76" w:rsidRPr="0029748B">
        <w:rPr>
          <w:rFonts w:eastAsiaTheme="minorHAnsi"/>
          <w:sz w:val="26"/>
          <w:szCs w:val="26"/>
        </w:rPr>
        <w:t>Twin Lakes U</w:t>
      </w:r>
      <w:r w:rsidRPr="0029748B">
        <w:rPr>
          <w:rFonts w:eastAsiaTheme="minorHAnsi"/>
          <w:sz w:val="26"/>
          <w:szCs w:val="26"/>
        </w:rPr>
        <w:t>tilities, Inc.</w:t>
      </w:r>
      <w:r w:rsidR="00F07D76" w:rsidRPr="0029748B">
        <w:rPr>
          <w:rFonts w:eastAsiaTheme="minorHAnsi"/>
          <w:sz w:val="26"/>
          <w:szCs w:val="26"/>
        </w:rPr>
        <w:t xml:space="preserve">, </w:t>
      </w:r>
      <w:r w:rsidRPr="0029748B">
        <w:rPr>
          <w:rFonts w:eastAsiaTheme="minorHAnsi"/>
          <w:sz w:val="26"/>
          <w:szCs w:val="26"/>
        </w:rPr>
        <w:t>shall file detailed calculations with its tariff filing, which shall demonstrate to the Commission’s satisfaction that the filed tariff adjustments comply with the provisions of this final Opinion and Order.</w:t>
      </w:r>
    </w:p>
    <w:p w14:paraId="582ED81B" w14:textId="77777777" w:rsidR="003F37EB" w:rsidRPr="0029748B" w:rsidRDefault="003F37EB" w:rsidP="00B76A7B">
      <w:pPr>
        <w:pStyle w:val="ListParagraph"/>
        <w:widowControl/>
        <w:spacing w:line="360" w:lineRule="auto"/>
        <w:rPr>
          <w:rFonts w:eastAsiaTheme="minorHAnsi"/>
          <w:sz w:val="26"/>
          <w:szCs w:val="26"/>
        </w:rPr>
      </w:pPr>
    </w:p>
    <w:p w14:paraId="1825758D" w14:textId="6C90CE6A" w:rsidR="006853A0" w:rsidRPr="0029748B" w:rsidRDefault="006853A0" w:rsidP="0029748B">
      <w:pPr>
        <w:pStyle w:val="ListParagraph"/>
        <w:widowControl/>
        <w:numPr>
          <w:ilvl w:val="0"/>
          <w:numId w:val="6"/>
        </w:numPr>
        <w:spacing w:line="360" w:lineRule="auto"/>
        <w:ind w:left="0" w:firstLine="1440"/>
        <w:rPr>
          <w:rFonts w:eastAsiaTheme="minorHAnsi"/>
          <w:sz w:val="26"/>
          <w:szCs w:val="26"/>
        </w:rPr>
      </w:pPr>
      <w:bookmarkStart w:id="57" w:name="_Hlk35434916"/>
      <w:r w:rsidRPr="0029748B">
        <w:rPr>
          <w:rFonts w:eastAsiaTheme="minorHAnsi"/>
          <w:sz w:val="26"/>
          <w:szCs w:val="26"/>
        </w:rPr>
        <w:t>That Twin Lakes Utilities, Inc., shall annually file a report</w:t>
      </w:r>
      <w:r w:rsidR="00A70967">
        <w:rPr>
          <w:rFonts w:eastAsiaTheme="minorHAnsi"/>
          <w:sz w:val="26"/>
          <w:szCs w:val="26"/>
        </w:rPr>
        <w:t xml:space="preserve"> </w:t>
      </w:r>
      <w:r w:rsidR="00906CF1" w:rsidRPr="0029748B">
        <w:rPr>
          <w:rFonts w:eastAsiaTheme="minorHAnsi"/>
          <w:sz w:val="26"/>
          <w:szCs w:val="26"/>
        </w:rPr>
        <w:t>on the affirmative steps taken by the Company toward reduction of the Company’s approved cost of debt rate of 7.0%</w:t>
      </w:r>
      <w:r w:rsidR="00906CF1">
        <w:rPr>
          <w:rFonts w:eastAsiaTheme="minorHAnsi"/>
          <w:sz w:val="26"/>
          <w:szCs w:val="26"/>
        </w:rPr>
        <w:t xml:space="preserve">, </w:t>
      </w:r>
      <w:r w:rsidR="00A70967">
        <w:rPr>
          <w:rFonts w:eastAsiaTheme="minorHAnsi"/>
          <w:sz w:val="26"/>
          <w:szCs w:val="26"/>
        </w:rPr>
        <w:t xml:space="preserve">directed to the Secretary of the </w:t>
      </w:r>
      <w:r w:rsidR="00CD2495">
        <w:rPr>
          <w:rFonts w:eastAsiaTheme="minorHAnsi"/>
          <w:sz w:val="26"/>
          <w:szCs w:val="26"/>
        </w:rPr>
        <w:t>Commission</w:t>
      </w:r>
      <w:r w:rsidR="00906CF1">
        <w:rPr>
          <w:rFonts w:eastAsiaTheme="minorHAnsi"/>
          <w:sz w:val="26"/>
          <w:szCs w:val="26"/>
        </w:rPr>
        <w:t xml:space="preserve"> and</w:t>
      </w:r>
      <w:r w:rsidR="00906CF1" w:rsidRPr="00906CF1">
        <w:rPr>
          <w:rFonts w:eastAsiaTheme="minorHAnsi"/>
          <w:sz w:val="26"/>
          <w:szCs w:val="26"/>
        </w:rPr>
        <w:t xml:space="preserve"> </w:t>
      </w:r>
      <w:r w:rsidR="00906CF1">
        <w:rPr>
          <w:rFonts w:eastAsiaTheme="minorHAnsi"/>
          <w:sz w:val="26"/>
          <w:szCs w:val="26"/>
        </w:rPr>
        <w:t>referencing this docket</w:t>
      </w:r>
      <w:r w:rsidR="0069101C">
        <w:rPr>
          <w:rFonts w:eastAsiaTheme="minorHAnsi"/>
          <w:sz w:val="26"/>
          <w:szCs w:val="26"/>
        </w:rPr>
        <w:t>,</w:t>
      </w:r>
      <w:r w:rsidR="00906CF1">
        <w:rPr>
          <w:rFonts w:eastAsiaTheme="minorHAnsi"/>
          <w:sz w:val="26"/>
          <w:szCs w:val="26"/>
        </w:rPr>
        <w:t xml:space="preserve"> </w:t>
      </w:r>
      <w:r w:rsidR="00A70967">
        <w:rPr>
          <w:rFonts w:eastAsiaTheme="minorHAnsi"/>
          <w:sz w:val="26"/>
          <w:szCs w:val="26"/>
        </w:rPr>
        <w:t xml:space="preserve">with </w:t>
      </w:r>
      <w:r w:rsidR="00CD2495">
        <w:rPr>
          <w:rFonts w:eastAsiaTheme="minorHAnsi"/>
          <w:sz w:val="26"/>
          <w:szCs w:val="26"/>
        </w:rPr>
        <w:t>a copy to the</w:t>
      </w:r>
      <w:r w:rsidR="00A70967">
        <w:rPr>
          <w:rFonts w:eastAsiaTheme="minorHAnsi"/>
          <w:sz w:val="26"/>
          <w:szCs w:val="26"/>
        </w:rPr>
        <w:t xml:space="preserve"> Commission’s</w:t>
      </w:r>
      <w:r w:rsidR="00A70967" w:rsidRPr="0029748B">
        <w:rPr>
          <w:rFonts w:eastAsiaTheme="minorHAnsi"/>
          <w:sz w:val="26"/>
          <w:szCs w:val="26"/>
        </w:rPr>
        <w:t xml:space="preserve"> Bureau</w:t>
      </w:r>
      <w:r w:rsidRPr="0029748B">
        <w:rPr>
          <w:rFonts w:eastAsiaTheme="minorHAnsi"/>
          <w:sz w:val="26"/>
          <w:szCs w:val="26"/>
        </w:rPr>
        <w:t xml:space="preserve"> of Technical Utility Services</w:t>
      </w:r>
      <w:r w:rsidR="00CD2495">
        <w:rPr>
          <w:rFonts w:eastAsiaTheme="minorHAnsi"/>
          <w:sz w:val="26"/>
          <w:szCs w:val="26"/>
        </w:rPr>
        <w:t>,</w:t>
      </w:r>
      <w:r w:rsidR="000204F2">
        <w:rPr>
          <w:rFonts w:eastAsiaTheme="minorHAnsi"/>
          <w:sz w:val="26"/>
          <w:szCs w:val="26"/>
        </w:rPr>
        <w:t xml:space="preserve"> </w:t>
      </w:r>
      <w:r w:rsidR="00D052F5" w:rsidRPr="0029748B">
        <w:rPr>
          <w:rFonts w:eastAsiaTheme="minorHAnsi"/>
          <w:sz w:val="26"/>
          <w:szCs w:val="26"/>
        </w:rPr>
        <w:t xml:space="preserve">consistent with this Opinion and Order. </w:t>
      </w:r>
    </w:p>
    <w:p w14:paraId="701B71B8" w14:textId="77777777" w:rsidR="00D052F5" w:rsidRPr="0029748B" w:rsidRDefault="00D052F5" w:rsidP="0029748B">
      <w:pPr>
        <w:widowControl/>
        <w:spacing w:line="360" w:lineRule="auto"/>
        <w:rPr>
          <w:rFonts w:eastAsiaTheme="minorHAnsi"/>
          <w:sz w:val="26"/>
          <w:szCs w:val="26"/>
        </w:rPr>
      </w:pPr>
    </w:p>
    <w:p w14:paraId="67E69554" w14:textId="5EE25991" w:rsidR="00E950D5" w:rsidRPr="0029748B" w:rsidRDefault="00481C21" w:rsidP="00097535">
      <w:pPr>
        <w:pStyle w:val="ListParagraph"/>
        <w:widowControl/>
        <w:numPr>
          <w:ilvl w:val="0"/>
          <w:numId w:val="6"/>
        </w:numPr>
        <w:spacing w:line="360" w:lineRule="auto"/>
        <w:ind w:left="0" w:firstLine="1440"/>
        <w:rPr>
          <w:sz w:val="26"/>
          <w:szCs w:val="26"/>
        </w:rPr>
      </w:pPr>
      <w:r w:rsidRPr="0029748B">
        <w:rPr>
          <w:sz w:val="26"/>
          <w:szCs w:val="26"/>
        </w:rPr>
        <w:t>That Twin Lakes Utilities, Inc., shall file quarterly reports</w:t>
      </w:r>
      <w:r w:rsidR="0069101C" w:rsidRPr="0069101C">
        <w:rPr>
          <w:sz w:val="26"/>
          <w:szCs w:val="26"/>
        </w:rPr>
        <w:t xml:space="preserve"> </w:t>
      </w:r>
      <w:r w:rsidR="0069101C" w:rsidRPr="0029748B">
        <w:rPr>
          <w:sz w:val="26"/>
          <w:szCs w:val="26"/>
        </w:rPr>
        <w:t>on the progress of the Company’s five-year capital improvement plan,</w:t>
      </w:r>
      <w:r w:rsidR="0069101C">
        <w:rPr>
          <w:sz w:val="26"/>
          <w:szCs w:val="26"/>
        </w:rPr>
        <w:t xml:space="preserve"> directed to the Secretary of the Commission and </w:t>
      </w:r>
      <w:r w:rsidR="00097535">
        <w:rPr>
          <w:sz w:val="26"/>
          <w:szCs w:val="26"/>
        </w:rPr>
        <w:t xml:space="preserve">referencing </w:t>
      </w:r>
      <w:r w:rsidR="00A70967">
        <w:rPr>
          <w:sz w:val="26"/>
          <w:szCs w:val="26"/>
        </w:rPr>
        <w:t>this docket,</w:t>
      </w:r>
      <w:r w:rsidR="00326455">
        <w:rPr>
          <w:sz w:val="26"/>
          <w:szCs w:val="26"/>
        </w:rPr>
        <w:t xml:space="preserve"> </w:t>
      </w:r>
      <w:r w:rsidR="00A70967">
        <w:rPr>
          <w:sz w:val="26"/>
          <w:szCs w:val="26"/>
        </w:rPr>
        <w:t xml:space="preserve">with a copy to the Commission’s </w:t>
      </w:r>
      <w:r w:rsidR="003F37EB" w:rsidRPr="0029748B">
        <w:rPr>
          <w:sz w:val="26"/>
          <w:szCs w:val="26"/>
        </w:rPr>
        <w:t>Bureau of Technical Utility Services</w:t>
      </w:r>
      <w:r w:rsidRPr="0029748B">
        <w:rPr>
          <w:sz w:val="26"/>
          <w:szCs w:val="26"/>
        </w:rPr>
        <w:t>,</w:t>
      </w:r>
      <w:r w:rsidR="00D052F5" w:rsidRPr="0029748B">
        <w:rPr>
          <w:sz w:val="26"/>
          <w:szCs w:val="26"/>
        </w:rPr>
        <w:t xml:space="preserve"> </w:t>
      </w:r>
      <w:r w:rsidRPr="0029748B">
        <w:rPr>
          <w:sz w:val="26"/>
          <w:szCs w:val="26"/>
        </w:rPr>
        <w:t xml:space="preserve">commencing the first full quarter following the issuance of this Opinion and Order, </w:t>
      </w:r>
      <w:r w:rsidR="00D052F5" w:rsidRPr="0029748B">
        <w:rPr>
          <w:sz w:val="26"/>
          <w:szCs w:val="26"/>
        </w:rPr>
        <w:t>consistent with this Opinion and Order.</w:t>
      </w:r>
    </w:p>
    <w:bookmarkEnd w:id="57"/>
    <w:p w14:paraId="39AFEBEE" w14:textId="77777777" w:rsidR="00F329DC" w:rsidRPr="0029748B" w:rsidRDefault="006B393A" w:rsidP="0029748B">
      <w:pPr>
        <w:pStyle w:val="ListParagraph"/>
        <w:widowControl/>
        <w:numPr>
          <w:ilvl w:val="0"/>
          <w:numId w:val="6"/>
        </w:numPr>
        <w:spacing w:line="360" w:lineRule="auto"/>
        <w:ind w:left="0" w:firstLine="1440"/>
        <w:rPr>
          <w:rFonts w:eastAsiaTheme="minorHAnsi"/>
          <w:sz w:val="26"/>
          <w:szCs w:val="26"/>
        </w:rPr>
      </w:pPr>
      <w:r w:rsidRPr="0029748B">
        <w:rPr>
          <w:rFonts w:eastAsiaTheme="minorHAnsi"/>
          <w:sz w:val="26"/>
          <w:szCs w:val="26"/>
        </w:rPr>
        <w:lastRenderedPageBreak/>
        <w:t xml:space="preserve">That </w:t>
      </w:r>
      <w:r w:rsidR="00F07D76" w:rsidRPr="0029748B">
        <w:rPr>
          <w:rFonts w:eastAsiaTheme="minorHAnsi"/>
          <w:sz w:val="26"/>
          <w:szCs w:val="26"/>
        </w:rPr>
        <w:t xml:space="preserve">Twin Lakes </w:t>
      </w:r>
      <w:r w:rsidRPr="0029748B">
        <w:rPr>
          <w:rFonts w:eastAsiaTheme="minorHAnsi"/>
          <w:sz w:val="26"/>
          <w:szCs w:val="26"/>
        </w:rPr>
        <w:t>Utilities, Inc.</w:t>
      </w:r>
      <w:r w:rsidR="00F07D76" w:rsidRPr="0029748B">
        <w:rPr>
          <w:rFonts w:eastAsiaTheme="minorHAnsi"/>
          <w:sz w:val="26"/>
          <w:szCs w:val="26"/>
        </w:rPr>
        <w:t xml:space="preserve">, </w:t>
      </w:r>
      <w:r w:rsidRPr="0029748B">
        <w:rPr>
          <w:rFonts w:eastAsiaTheme="minorHAnsi"/>
          <w:sz w:val="26"/>
          <w:szCs w:val="26"/>
        </w:rPr>
        <w:t xml:space="preserve">shall </w:t>
      </w:r>
      <w:r w:rsidR="009D0214" w:rsidRPr="0029748B">
        <w:rPr>
          <w:rFonts w:eastAsiaTheme="minorHAnsi"/>
          <w:sz w:val="26"/>
          <w:szCs w:val="26"/>
        </w:rPr>
        <w:t xml:space="preserve">scale back the </w:t>
      </w:r>
      <w:r w:rsidRPr="0029748B">
        <w:rPr>
          <w:rFonts w:eastAsiaTheme="minorHAnsi"/>
          <w:sz w:val="26"/>
          <w:szCs w:val="26"/>
        </w:rPr>
        <w:t>allocat</w:t>
      </w:r>
      <w:r w:rsidR="009D0214" w:rsidRPr="0029748B">
        <w:rPr>
          <w:rFonts w:eastAsiaTheme="minorHAnsi"/>
          <w:sz w:val="26"/>
          <w:szCs w:val="26"/>
        </w:rPr>
        <w:t xml:space="preserve">ion of </w:t>
      </w:r>
      <w:r w:rsidRPr="0029748B">
        <w:rPr>
          <w:rFonts w:eastAsiaTheme="minorHAnsi"/>
          <w:sz w:val="26"/>
          <w:szCs w:val="26"/>
        </w:rPr>
        <w:t xml:space="preserve">the authorized increase in operating revenue </w:t>
      </w:r>
      <w:r w:rsidR="00F07D76" w:rsidRPr="0029748B">
        <w:rPr>
          <w:rFonts w:eastAsiaTheme="minorHAnsi"/>
          <w:sz w:val="26"/>
          <w:szCs w:val="26"/>
        </w:rPr>
        <w:t xml:space="preserve">and rate schedule </w:t>
      </w:r>
      <w:r w:rsidR="009D0214" w:rsidRPr="0029748B">
        <w:rPr>
          <w:rFonts w:eastAsiaTheme="minorHAnsi"/>
          <w:sz w:val="26"/>
          <w:szCs w:val="26"/>
        </w:rPr>
        <w:t xml:space="preserve">proportionally </w:t>
      </w:r>
      <w:r w:rsidRPr="0029748B">
        <w:rPr>
          <w:rFonts w:eastAsiaTheme="minorHAnsi"/>
          <w:sz w:val="26"/>
          <w:szCs w:val="26"/>
        </w:rPr>
        <w:t xml:space="preserve">to </w:t>
      </w:r>
      <w:r w:rsidR="00F07D76" w:rsidRPr="0029748B">
        <w:rPr>
          <w:rFonts w:eastAsiaTheme="minorHAnsi"/>
          <w:sz w:val="26"/>
          <w:szCs w:val="26"/>
        </w:rPr>
        <w:t xml:space="preserve">its residential </w:t>
      </w:r>
      <w:r w:rsidRPr="0029748B">
        <w:rPr>
          <w:rFonts w:eastAsiaTheme="minorHAnsi"/>
          <w:sz w:val="26"/>
          <w:szCs w:val="26"/>
        </w:rPr>
        <w:t>customer</w:t>
      </w:r>
      <w:r w:rsidR="00F07D76" w:rsidRPr="0029748B">
        <w:rPr>
          <w:rFonts w:eastAsiaTheme="minorHAnsi"/>
          <w:sz w:val="26"/>
          <w:szCs w:val="26"/>
        </w:rPr>
        <w:t>s</w:t>
      </w:r>
      <w:r w:rsidRPr="0029748B">
        <w:rPr>
          <w:rFonts w:eastAsiaTheme="minorHAnsi"/>
          <w:sz w:val="26"/>
          <w:szCs w:val="26"/>
        </w:rPr>
        <w:t>, in the manner prescribed in this Opinion and Order</w:t>
      </w:r>
      <w:r w:rsidR="002C5F9F" w:rsidRPr="0029748B">
        <w:rPr>
          <w:rFonts w:eastAsiaTheme="minorHAnsi"/>
          <w:sz w:val="26"/>
          <w:szCs w:val="26"/>
        </w:rPr>
        <w:t>.</w:t>
      </w:r>
    </w:p>
    <w:p w14:paraId="2CFAEED7" w14:textId="77777777" w:rsidR="0040350E" w:rsidRPr="0029748B" w:rsidRDefault="0040350E" w:rsidP="0029748B">
      <w:pPr>
        <w:pStyle w:val="ListParagraph"/>
        <w:widowControl/>
        <w:spacing w:line="360" w:lineRule="auto"/>
        <w:ind w:left="1440"/>
        <w:rPr>
          <w:rFonts w:eastAsiaTheme="minorHAnsi"/>
          <w:sz w:val="26"/>
          <w:szCs w:val="26"/>
        </w:rPr>
      </w:pPr>
    </w:p>
    <w:p w14:paraId="31A97EBB" w14:textId="77777777" w:rsidR="006B393A" w:rsidRPr="0029748B" w:rsidRDefault="006B393A" w:rsidP="0029748B">
      <w:pPr>
        <w:pStyle w:val="ListParagraph"/>
        <w:widowControl/>
        <w:numPr>
          <w:ilvl w:val="0"/>
          <w:numId w:val="6"/>
        </w:numPr>
        <w:spacing w:line="360" w:lineRule="auto"/>
        <w:ind w:left="0" w:firstLine="1440"/>
        <w:rPr>
          <w:rFonts w:eastAsiaTheme="minorHAnsi"/>
          <w:sz w:val="26"/>
          <w:szCs w:val="26"/>
        </w:rPr>
      </w:pPr>
      <w:r w:rsidRPr="0029748B">
        <w:rPr>
          <w:rFonts w:eastAsiaTheme="minorHAnsi"/>
          <w:sz w:val="26"/>
          <w:szCs w:val="26"/>
        </w:rPr>
        <w:t xml:space="preserve">That, upon acceptance and approval by the Commission of the tariff supplements filed by </w:t>
      </w:r>
      <w:r w:rsidR="00EF6883" w:rsidRPr="0029748B">
        <w:rPr>
          <w:rFonts w:eastAsiaTheme="minorHAnsi"/>
          <w:sz w:val="26"/>
          <w:szCs w:val="26"/>
        </w:rPr>
        <w:t>T</w:t>
      </w:r>
      <w:r w:rsidR="00F329DC" w:rsidRPr="0029748B">
        <w:rPr>
          <w:rFonts w:eastAsiaTheme="minorHAnsi"/>
          <w:sz w:val="26"/>
          <w:szCs w:val="26"/>
        </w:rPr>
        <w:t>w</w:t>
      </w:r>
      <w:r w:rsidR="00EF6883" w:rsidRPr="0029748B">
        <w:rPr>
          <w:rFonts w:eastAsiaTheme="minorHAnsi"/>
          <w:sz w:val="26"/>
          <w:szCs w:val="26"/>
        </w:rPr>
        <w:t xml:space="preserve">in Lakes </w:t>
      </w:r>
      <w:r w:rsidRPr="0029748B">
        <w:rPr>
          <w:rFonts w:eastAsiaTheme="minorHAnsi"/>
          <w:sz w:val="26"/>
          <w:szCs w:val="26"/>
        </w:rPr>
        <w:t>Utilities, Inc.</w:t>
      </w:r>
      <w:r w:rsidR="00EF6883" w:rsidRPr="0029748B">
        <w:rPr>
          <w:rFonts w:eastAsiaTheme="minorHAnsi"/>
          <w:sz w:val="26"/>
          <w:szCs w:val="26"/>
        </w:rPr>
        <w:t>,</w:t>
      </w:r>
      <w:r w:rsidRPr="0029748B">
        <w:rPr>
          <w:rFonts w:eastAsiaTheme="minorHAnsi"/>
          <w:sz w:val="26"/>
          <w:szCs w:val="26"/>
        </w:rPr>
        <w:t xml:space="preserve"> consistent with </w:t>
      </w:r>
      <w:r w:rsidR="00F329DC" w:rsidRPr="0029748B">
        <w:rPr>
          <w:rFonts w:eastAsiaTheme="minorHAnsi"/>
          <w:sz w:val="26"/>
          <w:szCs w:val="26"/>
        </w:rPr>
        <w:t>this</w:t>
      </w:r>
      <w:r w:rsidRPr="0029748B">
        <w:rPr>
          <w:rFonts w:eastAsiaTheme="minorHAnsi"/>
          <w:sz w:val="26"/>
          <w:szCs w:val="26"/>
        </w:rPr>
        <w:t xml:space="preserve"> </w:t>
      </w:r>
      <w:r w:rsidR="00503B9A" w:rsidRPr="0029748B">
        <w:rPr>
          <w:rFonts w:eastAsiaTheme="minorHAnsi"/>
          <w:sz w:val="26"/>
          <w:szCs w:val="26"/>
        </w:rPr>
        <w:t>Opinion and Order</w:t>
      </w:r>
      <w:r w:rsidRPr="0029748B">
        <w:rPr>
          <w:rFonts w:eastAsiaTheme="minorHAnsi"/>
          <w:sz w:val="26"/>
          <w:szCs w:val="26"/>
        </w:rPr>
        <w:t>, th</w:t>
      </w:r>
      <w:r w:rsidR="00F329DC" w:rsidRPr="0029748B">
        <w:rPr>
          <w:rFonts w:eastAsiaTheme="minorHAnsi"/>
          <w:sz w:val="26"/>
          <w:szCs w:val="26"/>
        </w:rPr>
        <w:t>is</w:t>
      </w:r>
      <w:r w:rsidRPr="0029748B">
        <w:rPr>
          <w:rFonts w:eastAsiaTheme="minorHAnsi"/>
          <w:sz w:val="26"/>
          <w:szCs w:val="26"/>
        </w:rPr>
        <w:t xml:space="preserve"> </w:t>
      </w:r>
      <w:r w:rsidR="00F329DC" w:rsidRPr="0029748B">
        <w:rPr>
          <w:rFonts w:eastAsiaTheme="minorHAnsi"/>
          <w:sz w:val="26"/>
          <w:szCs w:val="26"/>
        </w:rPr>
        <w:t xml:space="preserve">proceeding, </w:t>
      </w:r>
      <w:r w:rsidRPr="0029748B">
        <w:rPr>
          <w:rFonts w:eastAsiaTheme="minorHAnsi"/>
          <w:sz w:val="26"/>
          <w:szCs w:val="26"/>
        </w:rPr>
        <w:t xml:space="preserve">at Docket </w:t>
      </w:r>
      <w:r w:rsidR="00F329DC" w:rsidRPr="0029748B">
        <w:rPr>
          <w:rFonts w:eastAsiaTheme="minorHAnsi"/>
          <w:sz w:val="26"/>
          <w:szCs w:val="26"/>
        </w:rPr>
        <w:t xml:space="preserve">Number </w:t>
      </w:r>
      <w:r w:rsidRPr="0029748B">
        <w:rPr>
          <w:rFonts w:eastAsiaTheme="minorHAnsi"/>
          <w:sz w:val="26"/>
          <w:szCs w:val="26"/>
        </w:rPr>
        <w:t>R-201</w:t>
      </w:r>
      <w:r w:rsidR="00EF6883" w:rsidRPr="0029748B">
        <w:rPr>
          <w:rFonts w:eastAsiaTheme="minorHAnsi"/>
          <w:sz w:val="26"/>
          <w:szCs w:val="26"/>
        </w:rPr>
        <w:t>9</w:t>
      </w:r>
      <w:r w:rsidRPr="0029748B">
        <w:rPr>
          <w:rFonts w:eastAsiaTheme="minorHAnsi"/>
          <w:sz w:val="26"/>
          <w:szCs w:val="26"/>
        </w:rPr>
        <w:t>-</w:t>
      </w:r>
      <w:r w:rsidR="00EF6883" w:rsidRPr="0029748B">
        <w:rPr>
          <w:rFonts w:eastAsiaTheme="minorHAnsi"/>
          <w:sz w:val="26"/>
          <w:szCs w:val="26"/>
        </w:rPr>
        <w:t>3010958</w:t>
      </w:r>
      <w:r w:rsidR="00F329DC" w:rsidRPr="0029748B">
        <w:rPr>
          <w:rFonts w:eastAsiaTheme="minorHAnsi"/>
          <w:sz w:val="26"/>
          <w:szCs w:val="26"/>
        </w:rPr>
        <w:t>,</w:t>
      </w:r>
      <w:r w:rsidRPr="0029748B">
        <w:rPr>
          <w:rFonts w:eastAsiaTheme="minorHAnsi"/>
          <w:sz w:val="26"/>
          <w:szCs w:val="26"/>
        </w:rPr>
        <w:t xml:space="preserve"> </w:t>
      </w:r>
      <w:r w:rsidR="002C5F9F" w:rsidRPr="0029748B">
        <w:rPr>
          <w:rFonts w:eastAsiaTheme="minorHAnsi"/>
          <w:sz w:val="26"/>
          <w:szCs w:val="26"/>
        </w:rPr>
        <w:t xml:space="preserve">shall </w:t>
      </w:r>
      <w:r w:rsidRPr="0029748B">
        <w:rPr>
          <w:rFonts w:eastAsiaTheme="minorHAnsi"/>
          <w:sz w:val="26"/>
          <w:szCs w:val="26"/>
        </w:rPr>
        <w:t>be marked closed.</w:t>
      </w:r>
    </w:p>
    <w:p w14:paraId="4E6F907E" w14:textId="77777777" w:rsidR="0040350E" w:rsidRPr="0029748B" w:rsidRDefault="0040350E" w:rsidP="0029748B">
      <w:pPr>
        <w:widowControl/>
        <w:spacing w:line="360" w:lineRule="auto"/>
        <w:rPr>
          <w:rFonts w:eastAsiaTheme="minorHAnsi"/>
          <w:sz w:val="26"/>
          <w:szCs w:val="26"/>
        </w:rPr>
      </w:pPr>
    </w:p>
    <w:p w14:paraId="29071355" w14:textId="77777777" w:rsidR="006B393A" w:rsidRPr="0029748B" w:rsidRDefault="006B393A" w:rsidP="0029748B">
      <w:pPr>
        <w:pStyle w:val="ListParagraph"/>
        <w:widowControl/>
        <w:numPr>
          <w:ilvl w:val="0"/>
          <w:numId w:val="6"/>
        </w:numPr>
        <w:spacing w:line="360" w:lineRule="auto"/>
        <w:ind w:left="0" w:firstLine="1440"/>
        <w:rPr>
          <w:rFonts w:eastAsiaTheme="minorHAnsi"/>
          <w:sz w:val="26"/>
          <w:szCs w:val="26"/>
        </w:rPr>
      </w:pPr>
      <w:r w:rsidRPr="0029748B">
        <w:rPr>
          <w:rFonts w:eastAsiaTheme="minorHAnsi"/>
          <w:sz w:val="26"/>
          <w:szCs w:val="26"/>
        </w:rPr>
        <w:t>That the</w:t>
      </w:r>
      <w:r w:rsidR="002C5F9F" w:rsidRPr="0029748B">
        <w:rPr>
          <w:rFonts w:eastAsiaTheme="minorHAnsi"/>
          <w:sz w:val="26"/>
          <w:szCs w:val="26"/>
        </w:rPr>
        <w:t xml:space="preserve"> </w:t>
      </w:r>
      <w:bookmarkStart w:id="58" w:name="_Hlk34747267"/>
      <w:r w:rsidR="002C5F9F" w:rsidRPr="0029748B">
        <w:rPr>
          <w:rFonts w:eastAsiaTheme="minorHAnsi"/>
          <w:sz w:val="26"/>
          <w:szCs w:val="26"/>
        </w:rPr>
        <w:t>Formal Complaint</w:t>
      </w:r>
      <w:r w:rsidRPr="0029748B">
        <w:rPr>
          <w:rFonts w:eastAsiaTheme="minorHAnsi"/>
          <w:sz w:val="26"/>
          <w:szCs w:val="26"/>
        </w:rPr>
        <w:t xml:space="preserve"> </w:t>
      </w:r>
      <w:bookmarkEnd w:id="58"/>
      <w:r w:rsidRPr="0029748B">
        <w:rPr>
          <w:rFonts w:eastAsiaTheme="minorHAnsi"/>
          <w:sz w:val="26"/>
          <w:szCs w:val="26"/>
        </w:rPr>
        <w:t>filed by the Office of Consumer Advocate in this proceeding at Docket Number C-201</w:t>
      </w:r>
      <w:r w:rsidR="00EF6883" w:rsidRPr="0029748B">
        <w:rPr>
          <w:rFonts w:eastAsiaTheme="minorHAnsi"/>
          <w:sz w:val="26"/>
          <w:szCs w:val="26"/>
        </w:rPr>
        <w:t>9</w:t>
      </w:r>
      <w:r w:rsidRPr="0029748B">
        <w:rPr>
          <w:rFonts w:eastAsiaTheme="minorHAnsi"/>
          <w:sz w:val="26"/>
          <w:szCs w:val="26"/>
        </w:rPr>
        <w:t>-</w:t>
      </w:r>
      <w:r w:rsidR="00EF6883" w:rsidRPr="0029748B">
        <w:rPr>
          <w:rFonts w:eastAsiaTheme="minorHAnsi"/>
          <w:sz w:val="26"/>
          <w:szCs w:val="26"/>
        </w:rPr>
        <w:t>3011845</w:t>
      </w:r>
      <w:r w:rsidRPr="0029748B">
        <w:rPr>
          <w:rFonts w:eastAsiaTheme="minorHAnsi"/>
          <w:sz w:val="26"/>
          <w:szCs w:val="26"/>
        </w:rPr>
        <w:t xml:space="preserve"> be dismissed and marked closed.</w:t>
      </w:r>
    </w:p>
    <w:p w14:paraId="0F7D6A64" w14:textId="77777777" w:rsidR="0040350E" w:rsidRPr="0029748B" w:rsidRDefault="0040350E" w:rsidP="0029748B">
      <w:pPr>
        <w:pStyle w:val="ListParagraph"/>
        <w:widowControl/>
        <w:spacing w:line="360" w:lineRule="auto"/>
        <w:ind w:left="1440"/>
        <w:rPr>
          <w:rFonts w:eastAsiaTheme="minorHAnsi"/>
          <w:sz w:val="26"/>
          <w:szCs w:val="26"/>
        </w:rPr>
      </w:pPr>
    </w:p>
    <w:p w14:paraId="59672EE1" w14:textId="77777777" w:rsidR="006B393A" w:rsidRPr="0029748B" w:rsidRDefault="006B393A" w:rsidP="0029748B">
      <w:pPr>
        <w:pStyle w:val="ListParagraph"/>
        <w:widowControl/>
        <w:numPr>
          <w:ilvl w:val="0"/>
          <w:numId w:val="6"/>
        </w:numPr>
        <w:spacing w:line="360" w:lineRule="auto"/>
        <w:ind w:left="0" w:firstLine="1440"/>
        <w:rPr>
          <w:rFonts w:eastAsiaTheme="minorHAnsi"/>
          <w:sz w:val="26"/>
          <w:szCs w:val="26"/>
        </w:rPr>
      </w:pPr>
      <w:r w:rsidRPr="0029748B">
        <w:rPr>
          <w:rFonts w:eastAsiaTheme="minorHAnsi"/>
          <w:sz w:val="26"/>
          <w:szCs w:val="26"/>
        </w:rPr>
        <w:t xml:space="preserve">That the </w:t>
      </w:r>
      <w:r w:rsidR="002C5F9F" w:rsidRPr="0029748B">
        <w:rPr>
          <w:rFonts w:eastAsiaTheme="minorHAnsi"/>
          <w:sz w:val="26"/>
          <w:szCs w:val="26"/>
        </w:rPr>
        <w:t xml:space="preserve">Formal Complaint </w:t>
      </w:r>
      <w:r w:rsidRPr="0029748B">
        <w:rPr>
          <w:rFonts w:eastAsiaTheme="minorHAnsi"/>
          <w:sz w:val="26"/>
          <w:szCs w:val="26"/>
        </w:rPr>
        <w:t xml:space="preserve">filed by </w:t>
      </w:r>
      <w:r w:rsidR="00EF6883" w:rsidRPr="0029748B">
        <w:rPr>
          <w:rFonts w:eastAsiaTheme="minorHAnsi"/>
          <w:sz w:val="26"/>
          <w:szCs w:val="26"/>
        </w:rPr>
        <w:t xml:space="preserve">Irene Blanchard </w:t>
      </w:r>
      <w:r w:rsidRPr="0029748B">
        <w:rPr>
          <w:rFonts w:eastAsiaTheme="minorHAnsi"/>
          <w:sz w:val="26"/>
          <w:szCs w:val="26"/>
        </w:rPr>
        <w:t>in this proceeding at Docket No. C-201</w:t>
      </w:r>
      <w:r w:rsidR="00EF6883" w:rsidRPr="0029748B">
        <w:rPr>
          <w:rFonts w:eastAsiaTheme="minorHAnsi"/>
          <w:sz w:val="26"/>
          <w:szCs w:val="26"/>
        </w:rPr>
        <w:t>9</w:t>
      </w:r>
      <w:r w:rsidRPr="0029748B">
        <w:rPr>
          <w:rFonts w:eastAsiaTheme="minorHAnsi"/>
          <w:sz w:val="26"/>
          <w:szCs w:val="26"/>
        </w:rPr>
        <w:t>-</w:t>
      </w:r>
      <w:r w:rsidR="00EF6883" w:rsidRPr="0029748B">
        <w:rPr>
          <w:rFonts w:eastAsiaTheme="minorHAnsi"/>
          <w:sz w:val="26"/>
          <w:szCs w:val="26"/>
        </w:rPr>
        <w:t>3011969</w:t>
      </w:r>
      <w:r w:rsidRPr="0029748B">
        <w:rPr>
          <w:rFonts w:eastAsiaTheme="minorHAnsi"/>
          <w:sz w:val="26"/>
          <w:szCs w:val="26"/>
        </w:rPr>
        <w:t xml:space="preserve"> be dismissed and marked closed.</w:t>
      </w:r>
    </w:p>
    <w:p w14:paraId="667E628D" w14:textId="77777777" w:rsidR="0040350E" w:rsidRPr="0029748B" w:rsidRDefault="0040350E" w:rsidP="0029748B">
      <w:pPr>
        <w:pStyle w:val="ListParagraph"/>
        <w:widowControl/>
        <w:spacing w:line="360" w:lineRule="auto"/>
        <w:ind w:left="1440"/>
        <w:rPr>
          <w:rFonts w:eastAsiaTheme="minorHAnsi"/>
          <w:sz w:val="26"/>
          <w:szCs w:val="26"/>
        </w:rPr>
      </w:pPr>
    </w:p>
    <w:p w14:paraId="19979BE2" w14:textId="77777777" w:rsidR="007A5A23" w:rsidRPr="0029748B" w:rsidRDefault="006B393A" w:rsidP="0029748B">
      <w:pPr>
        <w:pStyle w:val="ListParagraph"/>
        <w:widowControl/>
        <w:numPr>
          <w:ilvl w:val="0"/>
          <w:numId w:val="6"/>
        </w:numPr>
        <w:spacing w:line="360" w:lineRule="auto"/>
        <w:ind w:left="0" w:firstLine="1440"/>
        <w:rPr>
          <w:rFonts w:eastAsiaTheme="minorHAnsi"/>
          <w:sz w:val="26"/>
          <w:szCs w:val="26"/>
        </w:rPr>
      </w:pPr>
      <w:r w:rsidRPr="0029748B">
        <w:rPr>
          <w:rFonts w:eastAsiaTheme="minorHAnsi"/>
          <w:sz w:val="26"/>
          <w:szCs w:val="26"/>
        </w:rPr>
        <w:t xml:space="preserve">That the </w:t>
      </w:r>
      <w:r w:rsidR="002C5F9F" w:rsidRPr="0029748B">
        <w:rPr>
          <w:rFonts w:eastAsiaTheme="minorHAnsi"/>
          <w:sz w:val="26"/>
          <w:szCs w:val="26"/>
        </w:rPr>
        <w:t xml:space="preserve">Formal Complaint </w:t>
      </w:r>
      <w:r w:rsidRPr="0029748B">
        <w:rPr>
          <w:rFonts w:eastAsiaTheme="minorHAnsi"/>
          <w:sz w:val="26"/>
          <w:szCs w:val="26"/>
        </w:rPr>
        <w:t xml:space="preserve">filed by </w:t>
      </w:r>
      <w:r w:rsidR="00EF6883" w:rsidRPr="0029748B">
        <w:rPr>
          <w:rFonts w:eastAsiaTheme="minorHAnsi"/>
          <w:sz w:val="26"/>
          <w:szCs w:val="26"/>
        </w:rPr>
        <w:t xml:space="preserve">Jeffrey Shatt </w:t>
      </w:r>
      <w:r w:rsidRPr="0029748B">
        <w:rPr>
          <w:rFonts w:eastAsiaTheme="minorHAnsi"/>
          <w:sz w:val="26"/>
          <w:szCs w:val="26"/>
        </w:rPr>
        <w:t>in this proceeding at Docket Number C-201</w:t>
      </w:r>
      <w:r w:rsidR="00EF6883" w:rsidRPr="0029748B">
        <w:rPr>
          <w:rFonts w:eastAsiaTheme="minorHAnsi"/>
          <w:sz w:val="26"/>
          <w:szCs w:val="26"/>
        </w:rPr>
        <w:t>9-3012087</w:t>
      </w:r>
      <w:r w:rsidRPr="0029748B">
        <w:rPr>
          <w:rFonts w:eastAsiaTheme="minorHAnsi"/>
          <w:sz w:val="26"/>
          <w:szCs w:val="26"/>
        </w:rPr>
        <w:t xml:space="preserve"> be dismissed and marked closed.</w:t>
      </w:r>
    </w:p>
    <w:p w14:paraId="6843ECB7" w14:textId="77777777" w:rsidR="0040350E" w:rsidRPr="0029748B" w:rsidRDefault="0040350E" w:rsidP="0029748B">
      <w:pPr>
        <w:pStyle w:val="ListParagraph"/>
        <w:widowControl/>
        <w:spacing w:line="360" w:lineRule="auto"/>
        <w:ind w:left="1440"/>
        <w:rPr>
          <w:rFonts w:eastAsiaTheme="minorHAnsi"/>
          <w:sz w:val="26"/>
          <w:szCs w:val="26"/>
        </w:rPr>
      </w:pPr>
    </w:p>
    <w:p w14:paraId="10DD0A7D" w14:textId="77777777" w:rsidR="003C6CD4" w:rsidRPr="0029748B" w:rsidRDefault="006B393A" w:rsidP="0029748B">
      <w:pPr>
        <w:pStyle w:val="ListParagraph"/>
        <w:widowControl/>
        <w:numPr>
          <w:ilvl w:val="0"/>
          <w:numId w:val="6"/>
        </w:numPr>
        <w:spacing w:line="360" w:lineRule="auto"/>
        <w:ind w:left="0" w:firstLine="1440"/>
        <w:rPr>
          <w:rFonts w:eastAsiaTheme="minorHAnsi"/>
          <w:sz w:val="26"/>
          <w:szCs w:val="26"/>
        </w:rPr>
      </w:pPr>
      <w:r w:rsidRPr="0029748B">
        <w:rPr>
          <w:rFonts w:eastAsiaTheme="minorHAnsi"/>
          <w:sz w:val="26"/>
          <w:szCs w:val="26"/>
        </w:rPr>
        <w:t xml:space="preserve">That the </w:t>
      </w:r>
      <w:r w:rsidR="002C5F9F" w:rsidRPr="0029748B">
        <w:rPr>
          <w:rFonts w:eastAsiaTheme="minorHAnsi"/>
          <w:sz w:val="26"/>
          <w:szCs w:val="26"/>
        </w:rPr>
        <w:t xml:space="preserve">Formal Complaint </w:t>
      </w:r>
      <w:r w:rsidRPr="0029748B">
        <w:rPr>
          <w:rFonts w:eastAsiaTheme="minorHAnsi"/>
          <w:sz w:val="26"/>
          <w:szCs w:val="26"/>
        </w:rPr>
        <w:t xml:space="preserve">filed by </w:t>
      </w:r>
      <w:proofErr w:type="spellStart"/>
      <w:r w:rsidR="00EF6883" w:rsidRPr="0029748B">
        <w:rPr>
          <w:rFonts w:eastAsiaTheme="minorHAnsi"/>
          <w:sz w:val="26"/>
          <w:szCs w:val="26"/>
        </w:rPr>
        <w:t>Ciro</w:t>
      </w:r>
      <w:proofErr w:type="spellEnd"/>
      <w:r w:rsidR="00EF6883" w:rsidRPr="0029748B">
        <w:rPr>
          <w:rFonts w:eastAsiaTheme="minorHAnsi"/>
          <w:sz w:val="26"/>
          <w:szCs w:val="26"/>
        </w:rPr>
        <w:t xml:space="preserve"> </w:t>
      </w:r>
      <w:proofErr w:type="spellStart"/>
      <w:r w:rsidR="00EF6883" w:rsidRPr="0029748B">
        <w:rPr>
          <w:rFonts w:eastAsiaTheme="minorHAnsi"/>
          <w:sz w:val="26"/>
          <w:szCs w:val="26"/>
        </w:rPr>
        <w:t>Matrecano</w:t>
      </w:r>
      <w:proofErr w:type="spellEnd"/>
      <w:r w:rsidR="00EF6883" w:rsidRPr="0029748B">
        <w:rPr>
          <w:rFonts w:eastAsiaTheme="minorHAnsi"/>
          <w:sz w:val="26"/>
          <w:szCs w:val="26"/>
        </w:rPr>
        <w:t xml:space="preserve"> </w:t>
      </w:r>
      <w:r w:rsidRPr="0029748B">
        <w:rPr>
          <w:rFonts w:eastAsiaTheme="minorHAnsi"/>
          <w:sz w:val="26"/>
          <w:szCs w:val="26"/>
        </w:rPr>
        <w:t>in this proceeding at Docket Number C-201</w:t>
      </w:r>
      <w:r w:rsidR="00EF6883" w:rsidRPr="0029748B">
        <w:rPr>
          <w:rFonts w:eastAsiaTheme="minorHAnsi"/>
          <w:sz w:val="26"/>
          <w:szCs w:val="26"/>
        </w:rPr>
        <w:t>9</w:t>
      </w:r>
      <w:r w:rsidRPr="0029748B">
        <w:rPr>
          <w:rFonts w:eastAsiaTheme="minorHAnsi"/>
          <w:sz w:val="26"/>
          <w:szCs w:val="26"/>
        </w:rPr>
        <w:t>-30</w:t>
      </w:r>
      <w:r w:rsidR="00EF6883" w:rsidRPr="0029748B">
        <w:rPr>
          <w:rFonts w:eastAsiaTheme="minorHAnsi"/>
          <w:sz w:val="26"/>
          <w:szCs w:val="26"/>
        </w:rPr>
        <w:t>12169</w:t>
      </w:r>
      <w:r w:rsidRPr="0029748B">
        <w:rPr>
          <w:rFonts w:eastAsiaTheme="minorHAnsi"/>
          <w:sz w:val="26"/>
          <w:szCs w:val="26"/>
        </w:rPr>
        <w:t xml:space="preserve"> be dismissed and marked closed.</w:t>
      </w:r>
    </w:p>
    <w:p w14:paraId="0AE8275E" w14:textId="77777777" w:rsidR="0040350E" w:rsidRPr="0029748B" w:rsidRDefault="0040350E" w:rsidP="0029748B">
      <w:pPr>
        <w:pStyle w:val="ListParagraph"/>
        <w:widowControl/>
        <w:spacing w:line="360" w:lineRule="auto"/>
        <w:ind w:left="1440"/>
        <w:rPr>
          <w:rFonts w:eastAsiaTheme="minorHAnsi"/>
          <w:sz w:val="26"/>
          <w:szCs w:val="26"/>
        </w:rPr>
      </w:pPr>
    </w:p>
    <w:p w14:paraId="073AFF58" w14:textId="77777777" w:rsidR="003C6CD4" w:rsidRPr="0029748B" w:rsidRDefault="00EF6883" w:rsidP="0029748B">
      <w:pPr>
        <w:pStyle w:val="ListParagraph"/>
        <w:widowControl/>
        <w:numPr>
          <w:ilvl w:val="0"/>
          <w:numId w:val="6"/>
        </w:numPr>
        <w:spacing w:line="360" w:lineRule="auto"/>
        <w:ind w:left="0" w:firstLine="1440"/>
        <w:rPr>
          <w:rFonts w:eastAsiaTheme="minorHAnsi"/>
          <w:sz w:val="26"/>
          <w:szCs w:val="26"/>
        </w:rPr>
      </w:pPr>
      <w:bookmarkStart w:id="59" w:name="_Hlk34319625"/>
      <w:r w:rsidRPr="0029748B">
        <w:rPr>
          <w:rFonts w:eastAsiaTheme="minorHAnsi"/>
          <w:sz w:val="26"/>
          <w:szCs w:val="26"/>
        </w:rPr>
        <w:t xml:space="preserve">That the </w:t>
      </w:r>
      <w:r w:rsidR="002C5F9F" w:rsidRPr="0029748B">
        <w:rPr>
          <w:rFonts w:eastAsiaTheme="minorHAnsi"/>
          <w:sz w:val="26"/>
          <w:szCs w:val="26"/>
        </w:rPr>
        <w:t xml:space="preserve">Formal Complaint </w:t>
      </w:r>
      <w:r w:rsidRPr="0029748B">
        <w:rPr>
          <w:rFonts w:eastAsiaTheme="minorHAnsi"/>
          <w:sz w:val="26"/>
          <w:szCs w:val="26"/>
        </w:rPr>
        <w:t>filed by Neil and Kathleen Joyce in this proceeding at Docket Number C-2019-3012221 be dismissed and marked closed.</w:t>
      </w:r>
      <w:bookmarkEnd w:id="59"/>
    </w:p>
    <w:p w14:paraId="7D627D4D" w14:textId="77777777" w:rsidR="0040350E" w:rsidRPr="0029748B" w:rsidRDefault="0040350E" w:rsidP="0029748B">
      <w:pPr>
        <w:pStyle w:val="ListParagraph"/>
        <w:widowControl/>
        <w:spacing w:line="360" w:lineRule="auto"/>
        <w:ind w:left="1440"/>
        <w:rPr>
          <w:rFonts w:eastAsiaTheme="minorHAnsi"/>
          <w:sz w:val="26"/>
          <w:szCs w:val="26"/>
        </w:rPr>
      </w:pPr>
    </w:p>
    <w:p w14:paraId="466DE4DD" w14:textId="77777777" w:rsidR="007A5A23" w:rsidRPr="0029748B" w:rsidRDefault="00EF6883" w:rsidP="0029748B">
      <w:pPr>
        <w:pStyle w:val="ListParagraph"/>
        <w:widowControl/>
        <w:numPr>
          <w:ilvl w:val="0"/>
          <w:numId w:val="6"/>
        </w:numPr>
        <w:spacing w:line="360" w:lineRule="auto"/>
        <w:ind w:left="0" w:firstLine="1440"/>
        <w:rPr>
          <w:rFonts w:eastAsiaTheme="minorHAnsi"/>
          <w:sz w:val="26"/>
          <w:szCs w:val="26"/>
        </w:rPr>
      </w:pPr>
      <w:r w:rsidRPr="0029748B">
        <w:rPr>
          <w:rFonts w:eastAsiaTheme="minorHAnsi"/>
          <w:sz w:val="26"/>
          <w:szCs w:val="26"/>
        </w:rPr>
        <w:t xml:space="preserve">That the </w:t>
      </w:r>
      <w:r w:rsidR="002C5F9F" w:rsidRPr="0029748B">
        <w:rPr>
          <w:rFonts w:eastAsiaTheme="minorHAnsi"/>
          <w:sz w:val="26"/>
          <w:szCs w:val="26"/>
        </w:rPr>
        <w:t xml:space="preserve">Formal Complaint </w:t>
      </w:r>
      <w:r w:rsidRPr="0029748B">
        <w:rPr>
          <w:rFonts w:eastAsiaTheme="minorHAnsi"/>
          <w:sz w:val="26"/>
          <w:szCs w:val="26"/>
        </w:rPr>
        <w:t xml:space="preserve">filed by </w:t>
      </w:r>
      <w:r w:rsidR="00E07833" w:rsidRPr="0029748B">
        <w:rPr>
          <w:rFonts w:eastAsiaTheme="minorHAnsi"/>
          <w:sz w:val="26"/>
          <w:szCs w:val="26"/>
        </w:rPr>
        <w:t xml:space="preserve">Lisa </w:t>
      </w:r>
      <w:proofErr w:type="spellStart"/>
      <w:r w:rsidR="00E07833" w:rsidRPr="0029748B">
        <w:rPr>
          <w:rFonts w:eastAsiaTheme="minorHAnsi"/>
          <w:sz w:val="26"/>
          <w:szCs w:val="26"/>
        </w:rPr>
        <w:t>Celenza</w:t>
      </w:r>
      <w:proofErr w:type="spellEnd"/>
      <w:r w:rsidRPr="0029748B">
        <w:rPr>
          <w:rFonts w:eastAsiaTheme="minorHAnsi"/>
          <w:sz w:val="26"/>
          <w:szCs w:val="26"/>
        </w:rPr>
        <w:t xml:space="preserve"> in this proceeding at Docket Number C-2019-</w:t>
      </w:r>
      <w:r w:rsidR="00E07833" w:rsidRPr="0029748B">
        <w:rPr>
          <w:rFonts w:eastAsiaTheme="minorHAnsi"/>
          <w:sz w:val="26"/>
          <w:szCs w:val="26"/>
        </w:rPr>
        <w:t>3012272</w:t>
      </w:r>
      <w:r w:rsidRPr="0029748B">
        <w:rPr>
          <w:rFonts w:eastAsiaTheme="minorHAnsi"/>
          <w:sz w:val="26"/>
          <w:szCs w:val="26"/>
        </w:rPr>
        <w:t xml:space="preserve"> be dismissed and marked closed.</w:t>
      </w:r>
    </w:p>
    <w:p w14:paraId="00F1CFBA" w14:textId="77777777" w:rsidR="0040350E" w:rsidRPr="0029748B" w:rsidRDefault="0040350E" w:rsidP="0029748B">
      <w:pPr>
        <w:pStyle w:val="ListParagraph"/>
        <w:widowControl/>
        <w:spacing w:line="360" w:lineRule="auto"/>
        <w:ind w:left="1440"/>
        <w:rPr>
          <w:rFonts w:eastAsiaTheme="minorHAnsi"/>
          <w:sz w:val="26"/>
          <w:szCs w:val="26"/>
        </w:rPr>
      </w:pPr>
    </w:p>
    <w:p w14:paraId="57BAB317" w14:textId="394FD37A" w:rsidR="0040350E" w:rsidRDefault="00EF6883" w:rsidP="0029748B">
      <w:pPr>
        <w:pStyle w:val="ListParagraph"/>
        <w:widowControl/>
        <w:numPr>
          <w:ilvl w:val="0"/>
          <w:numId w:val="6"/>
        </w:numPr>
        <w:spacing w:line="360" w:lineRule="auto"/>
        <w:ind w:left="0" w:firstLine="1440"/>
        <w:rPr>
          <w:rFonts w:eastAsiaTheme="minorHAnsi"/>
          <w:sz w:val="26"/>
          <w:szCs w:val="26"/>
        </w:rPr>
      </w:pPr>
      <w:r w:rsidRPr="0029748B">
        <w:rPr>
          <w:rFonts w:eastAsiaTheme="minorHAnsi"/>
          <w:sz w:val="26"/>
          <w:szCs w:val="26"/>
        </w:rPr>
        <w:t xml:space="preserve">That the </w:t>
      </w:r>
      <w:r w:rsidR="002C5F9F" w:rsidRPr="0029748B">
        <w:rPr>
          <w:rFonts w:eastAsiaTheme="minorHAnsi"/>
          <w:sz w:val="26"/>
          <w:szCs w:val="26"/>
        </w:rPr>
        <w:t xml:space="preserve">Formal Complaint </w:t>
      </w:r>
      <w:r w:rsidRPr="0029748B">
        <w:rPr>
          <w:rFonts w:eastAsiaTheme="minorHAnsi"/>
          <w:sz w:val="26"/>
          <w:szCs w:val="26"/>
        </w:rPr>
        <w:t xml:space="preserve">filed by </w:t>
      </w:r>
      <w:r w:rsidR="00E07833" w:rsidRPr="0029748B">
        <w:rPr>
          <w:rFonts w:eastAsiaTheme="minorHAnsi"/>
          <w:sz w:val="26"/>
          <w:szCs w:val="26"/>
        </w:rPr>
        <w:t xml:space="preserve">Tami DeFrancesco </w:t>
      </w:r>
      <w:r w:rsidRPr="0029748B">
        <w:rPr>
          <w:rFonts w:eastAsiaTheme="minorHAnsi"/>
          <w:sz w:val="26"/>
          <w:szCs w:val="26"/>
        </w:rPr>
        <w:t>in this proceeding at Docket Number C-2019-</w:t>
      </w:r>
      <w:r w:rsidR="00E07833" w:rsidRPr="0029748B">
        <w:rPr>
          <w:rFonts w:eastAsiaTheme="minorHAnsi"/>
          <w:sz w:val="26"/>
          <w:szCs w:val="26"/>
        </w:rPr>
        <w:t>3012332</w:t>
      </w:r>
      <w:r w:rsidRPr="0029748B">
        <w:rPr>
          <w:rFonts w:eastAsiaTheme="minorHAnsi"/>
          <w:sz w:val="26"/>
          <w:szCs w:val="26"/>
        </w:rPr>
        <w:t xml:space="preserve"> be dismissed and marked closed.</w:t>
      </w:r>
    </w:p>
    <w:p w14:paraId="30754CC1" w14:textId="77777777" w:rsidR="001104BE" w:rsidRPr="0029748B" w:rsidRDefault="00EF6883" w:rsidP="0029748B">
      <w:pPr>
        <w:pStyle w:val="ListParagraph"/>
        <w:widowControl/>
        <w:numPr>
          <w:ilvl w:val="0"/>
          <w:numId w:val="6"/>
        </w:numPr>
        <w:spacing w:line="360" w:lineRule="auto"/>
        <w:ind w:left="0" w:firstLine="1440"/>
        <w:rPr>
          <w:rFonts w:eastAsiaTheme="minorHAnsi"/>
          <w:sz w:val="26"/>
          <w:szCs w:val="26"/>
        </w:rPr>
      </w:pPr>
      <w:r w:rsidRPr="0029748B">
        <w:rPr>
          <w:rFonts w:eastAsiaTheme="minorHAnsi"/>
          <w:sz w:val="26"/>
          <w:szCs w:val="26"/>
        </w:rPr>
        <w:lastRenderedPageBreak/>
        <w:t xml:space="preserve">That the </w:t>
      </w:r>
      <w:r w:rsidR="002C5F9F" w:rsidRPr="0029748B">
        <w:rPr>
          <w:rFonts w:eastAsiaTheme="minorHAnsi"/>
          <w:sz w:val="26"/>
          <w:szCs w:val="26"/>
        </w:rPr>
        <w:t xml:space="preserve">Formal Complaint </w:t>
      </w:r>
      <w:r w:rsidRPr="0029748B">
        <w:rPr>
          <w:rFonts w:eastAsiaTheme="minorHAnsi"/>
          <w:sz w:val="26"/>
          <w:szCs w:val="26"/>
        </w:rPr>
        <w:t>filed by Virginia Pfeiffer in this proceeding at Docket Number C-2019-3012399 be dismissed and marked closed.</w:t>
      </w:r>
    </w:p>
    <w:p w14:paraId="1F0E4D6D" w14:textId="77777777" w:rsidR="0040350E" w:rsidRPr="0029748B" w:rsidRDefault="0040350E" w:rsidP="0029748B">
      <w:pPr>
        <w:pStyle w:val="ListParagraph"/>
        <w:widowControl/>
        <w:spacing w:line="360" w:lineRule="auto"/>
        <w:ind w:left="1440"/>
        <w:rPr>
          <w:rFonts w:eastAsiaTheme="minorHAnsi"/>
          <w:sz w:val="26"/>
          <w:szCs w:val="26"/>
        </w:rPr>
      </w:pPr>
    </w:p>
    <w:p w14:paraId="02BD02C0" w14:textId="77777777" w:rsidR="001104BE" w:rsidRPr="0029748B" w:rsidRDefault="00EF6883" w:rsidP="0029748B">
      <w:pPr>
        <w:pStyle w:val="ListParagraph"/>
        <w:widowControl/>
        <w:numPr>
          <w:ilvl w:val="0"/>
          <w:numId w:val="6"/>
        </w:numPr>
        <w:spacing w:line="360" w:lineRule="auto"/>
        <w:ind w:left="0" w:firstLine="1440"/>
        <w:rPr>
          <w:rFonts w:eastAsiaTheme="minorHAnsi"/>
          <w:sz w:val="26"/>
          <w:szCs w:val="26"/>
        </w:rPr>
      </w:pPr>
      <w:r w:rsidRPr="0029748B">
        <w:rPr>
          <w:rFonts w:eastAsiaTheme="minorHAnsi"/>
          <w:sz w:val="26"/>
          <w:szCs w:val="26"/>
        </w:rPr>
        <w:t xml:space="preserve">That the </w:t>
      </w:r>
      <w:r w:rsidR="002C5F9F" w:rsidRPr="0029748B">
        <w:rPr>
          <w:rFonts w:eastAsiaTheme="minorHAnsi"/>
          <w:sz w:val="26"/>
          <w:szCs w:val="26"/>
        </w:rPr>
        <w:t xml:space="preserve">Formal Complaint </w:t>
      </w:r>
      <w:r w:rsidRPr="0029748B">
        <w:rPr>
          <w:rFonts w:eastAsiaTheme="minorHAnsi"/>
          <w:sz w:val="26"/>
          <w:szCs w:val="26"/>
        </w:rPr>
        <w:t xml:space="preserve">filed by Charles </w:t>
      </w:r>
      <w:proofErr w:type="spellStart"/>
      <w:r w:rsidRPr="0029748B">
        <w:rPr>
          <w:rFonts w:eastAsiaTheme="minorHAnsi"/>
          <w:sz w:val="26"/>
          <w:szCs w:val="26"/>
        </w:rPr>
        <w:t>Dellert</w:t>
      </w:r>
      <w:proofErr w:type="spellEnd"/>
      <w:r w:rsidRPr="0029748B">
        <w:rPr>
          <w:rFonts w:eastAsiaTheme="minorHAnsi"/>
          <w:sz w:val="26"/>
          <w:szCs w:val="26"/>
        </w:rPr>
        <w:t xml:space="preserve"> in this proceeding at Docket Number C-2019-3012487 be dismissed and marked closed.</w:t>
      </w:r>
    </w:p>
    <w:p w14:paraId="281F4369" w14:textId="77777777" w:rsidR="0040350E" w:rsidRPr="0029748B" w:rsidRDefault="0040350E" w:rsidP="0029748B">
      <w:pPr>
        <w:widowControl/>
        <w:spacing w:line="360" w:lineRule="auto"/>
        <w:rPr>
          <w:rFonts w:eastAsiaTheme="minorHAnsi"/>
          <w:sz w:val="26"/>
          <w:szCs w:val="26"/>
        </w:rPr>
      </w:pPr>
    </w:p>
    <w:p w14:paraId="5269EDCF" w14:textId="77777777" w:rsidR="001104BE" w:rsidRPr="0029748B" w:rsidRDefault="00EF6883" w:rsidP="0029748B">
      <w:pPr>
        <w:pStyle w:val="ListParagraph"/>
        <w:widowControl/>
        <w:numPr>
          <w:ilvl w:val="0"/>
          <w:numId w:val="6"/>
        </w:numPr>
        <w:spacing w:line="360" w:lineRule="auto"/>
        <w:ind w:left="0" w:firstLine="1440"/>
        <w:rPr>
          <w:rFonts w:eastAsiaTheme="minorHAnsi"/>
          <w:sz w:val="26"/>
          <w:szCs w:val="26"/>
        </w:rPr>
      </w:pPr>
      <w:r w:rsidRPr="0029748B">
        <w:rPr>
          <w:rFonts w:eastAsiaTheme="minorHAnsi"/>
          <w:sz w:val="26"/>
          <w:szCs w:val="26"/>
        </w:rPr>
        <w:t xml:space="preserve">That the </w:t>
      </w:r>
      <w:r w:rsidR="002C5F9F" w:rsidRPr="0029748B">
        <w:rPr>
          <w:rFonts w:eastAsiaTheme="minorHAnsi"/>
          <w:sz w:val="26"/>
          <w:szCs w:val="26"/>
        </w:rPr>
        <w:t xml:space="preserve">Formal Complaint </w:t>
      </w:r>
      <w:r w:rsidRPr="0029748B">
        <w:rPr>
          <w:rFonts w:eastAsiaTheme="minorHAnsi"/>
          <w:sz w:val="26"/>
          <w:szCs w:val="26"/>
        </w:rPr>
        <w:t xml:space="preserve">filed by James </w:t>
      </w:r>
      <w:proofErr w:type="spellStart"/>
      <w:r w:rsidRPr="0029748B">
        <w:rPr>
          <w:rFonts w:eastAsiaTheme="minorHAnsi"/>
          <w:sz w:val="26"/>
          <w:szCs w:val="26"/>
        </w:rPr>
        <w:t>Gelardi</w:t>
      </w:r>
      <w:proofErr w:type="spellEnd"/>
      <w:r w:rsidRPr="0029748B">
        <w:rPr>
          <w:rFonts w:eastAsiaTheme="minorHAnsi"/>
          <w:sz w:val="26"/>
          <w:szCs w:val="26"/>
        </w:rPr>
        <w:t xml:space="preserve"> in this proceeding at Docket Number C-2019-3012659 be dismissed and marked closed.</w:t>
      </w:r>
    </w:p>
    <w:p w14:paraId="44D506CD" w14:textId="77777777" w:rsidR="0040350E" w:rsidRPr="0029748B" w:rsidRDefault="0040350E" w:rsidP="0029748B">
      <w:pPr>
        <w:pStyle w:val="ListParagraph"/>
        <w:widowControl/>
        <w:spacing w:line="360" w:lineRule="auto"/>
        <w:ind w:left="1440"/>
        <w:rPr>
          <w:rFonts w:eastAsiaTheme="minorHAnsi"/>
          <w:sz w:val="26"/>
          <w:szCs w:val="26"/>
        </w:rPr>
      </w:pPr>
    </w:p>
    <w:p w14:paraId="3B72AFD4" w14:textId="77777777" w:rsidR="00EF6883" w:rsidRPr="0029748B" w:rsidRDefault="00EF6883" w:rsidP="0029748B">
      <w:pPr>
        <w:pStyle w:val="ListParagraph"/>
        <w:widowControl/>
        <w:numPr>
          <w:ilvl w:val="0"/>
          <w:numId w:val="6"/>
        </w:numPr>
        <w:spacing w:line="360" w:lineRule="auto"/>
        <w:ind w:left="0" w:firstLine="1440"/>
        <w:rPr>
          <w:rFonts w:eastAsiaTheme="minorHAnsi"/>
          <w:sz w:val="26"/>
          <w:szCs w:val="26"/>
        </w:rPr>
      </w:pPr>
      <w:r w:rsidRPr="0029748B">
        <w:rPr>
          <w:rFonts w:eastAsiaTheme="minorHAnsi"/>
          <w:sz w:val="26"/>
          <w:szCs w:val="26"/>
        </w:rPr>
        <w:t xml:space="preserve">That the </w:t>
      </w:r>
      <w:r w:rsidR="002C5F9F" w:rsidRPr="0029748B">
        <w:rPr>
          <w:rFonts w:eastAsiaTheme="minorHAnsi"/>
          <w:sz w:val="26"/>
          <w:szCs w:val="26"/>
        </w:rPr>
        <w:t xml:space="preserve">Formal Complaint </w:t>
      </w:r>
      <w:r w:rsidRPr="0029748B">
        <w:rPr>
          <w:rFonts w:eastAsiaTheme="minorHAnsi"/>
          <w:sz w:val="26"/>
          <w:szCs w:val="26"/>
        </w:rPr>
        <w:t xml:space="preserve">filed by Frank and </w:t>
      </w:r>
      <w:proofErr w:type="spellStart"/>
      <w:r w:rsidRPr="0029748B">
        <w:rPr>
          <w:rFonts w:eastAsiaTheme="minorHAnsi"/>
          <w:sz w:val="26"/>
          <w:szCs w:val="26"/>
        </w:rPr>
        <w:t>Kusho</w:t>
      </w:r>
      <w:proofErr w:type="spellEnd"/>
      <w:r w:rsidRPr="0029748B">
        <w:rPr>
          <w:rFonts w:eastAsiaTheme="minorHAnsi"/>
          <w:sz w:val="26"/>
          <w:szCs w:val="26"/>
        </w:rPr>
        <w:t xml:space="preserve"> </w:t>
      </w:r>
      <w:proofErr w:type="spellStart"/>
      <w:r w:rsidRPr="0029748B">
        <w:rPr>
          <w:rFonts w:eastAsiaTheme="minorHAnsi"/>
          <w:sz w:val="26"/>
          <w:szCs w:val="26"/>
        </w:rPr>
        <w:t>Kashimba</w:t>
      </w:r>
      <w:proofErr w:type="spellEnd"/>
      <w:r w:rsidRPr="0029748B">
        <w:rPr>
          <w:rFonts w:eastAsiaTheme="minorHAnsi"/>
          <w:sz w:val="26"/>
          <w:szCs w:val="26"/>
        </w:rPr>
        <w:t xml:space="preserve"> in this proceeding at Docket Number C-2019-3012667 be dismissed and marked closed.</w:t>
      </w:r>
    </w:p>
    <w:p w14:paraId="39D02B30" w14:textId="77777777" w:rsidR="006B393A" w:rsidRPr="0029748B" w:rsidRDefault="006B393A" w:rsidP="00FF3449">
      <w:pPr>
        <w:widowControl/>
        <w:spacing w:after="200" w:line="360" w:lineRule="auto"/>
        <w:contextualSpacing/>
        <w:rPr>
          <w:rFonts w:eastAsiaTheme="minorHAnsi"/>
          <w:sz w:val="26"/>
          <w:szCs w:val="26"/>
        </w:rPr>
      </w:pPr>
    </w:p>
    <w:p w14:paraId="02159BBF" w14:textId="0B846DC9" w:rsidR="006B393A" w:rsidRPr="0029748B" w:rsidRDefault="00CB1A6A" w:rsidP="0029748B">
      <w:pPr>
        <w:keepNext/>
        <w:widowControl/>
        <w:tabs>
          <w:tab w:val="left" w:pos="-720"/>
        </w:tabs>
        <w:contextualSpacing/>
        <w:rPr>
          <w:sz w:val="26"/>
          <w:szCs w:val="26"/>
        </w:rPr>
      </w:pPr>
      <w:bookmarkStart w:id="60" w:name="_GoBack"/>
      <w:r>
        <w:rPr>
          <w:rFonts w:ascii="Arial" w:hAnsi="Arial" w:cs="Arial"/>
          <w:noProof/>
          <w:sz w:val="24"/>
          <w:szCs w:val="24"/>
        </w:rPr>
        <w:drawing>
          <wp:anchor distT="0" distB="0" distL="114300" distR="114300" simplePos="0" relativeHeight="251661312" behindDoc="1" locked="0" layoutInCell="1" allowOverlap="1" wp14:anchorId="1F9689DF" wp14:editId="2ADF4DE1">
            <wp:simplePos x="0" y="0"/>
            <wp:positionH relativeFrom="column">
              <wp:posOffset>3130550</wp:posOffset>
            </wp:positionH>
            <wp:positionV relativeFrom="paragraph">
              <wp:posOffset>125095</wp:posOffset>
            </wp:positionV>
            <wp:extent cx="1837944" cy="704088"/>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944" cy="70408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0"/>
      <w:r w:rsidR="006B393A" w:rsidRPr="0029748B">
        <w:rPr>
          <w:sz w:val="26"/>
          <w:szCs w:val="26"/>
        </w:rPr>
        <w:tab/>
      </w:r>
      <w:r w:rsidR="006B393A" w:rsidRPr="0029748B">
        <w:rPr>
          <w:sz w:val="26"/>
          <w:szCs w:val="26"/>
        </w:rPr>
        <w:tab/>
      </w:r>
      <w:r w:rsidR="006B393A" w:rsidRPr="0029748B">
        <w:rPr>
          <w:sz w:val="26"/>
          <w:szCs w:val="26"/>
        </w:rPr>
        <w:tab/>
      </w:r>
      <w:r w:rsidR="006B393A" w:rsidRPr="0029748B">
        <w:rPr>
          <w:sz w:val="26"/>
          <w:szCs w:val="26"/>
        </w:rPr>
        <w:tab/>
      </w:r>
      <w:r w:rsidR="006B393A" w:rsidRPr="0029748B">
        <w:rPr>
          <w:sz w:val="26"/>
          <w:szCs w:val="26"/>
        </w:rPr>
        <w:tab/>
      </w:r>
      <w:r w:rsidR="006B393A" w:rsidRPr="0029748B">
        <w:rPr>
          <w:sz w:val="26"/>
          <w:szCs w:val="26"/>
        </w:rPr>
        <w:tab/>
      </w:r>
      <w:r w:rsidR="006B393A" w:rsidRPr="0029748B">
        <w:rPr>
          <w:sz w:val="26"/>
          <w:szCs w:val="26"/>
        </w:rPr>
        <w:tab/>
      </w:r>
      <w:r w:rsidR="006B393A" w:rsidRPr="0029748B">
        <w:rPr>
          <w:b/>
          <w:sz w:val="26"/>
          <w:szCs w:val="26"/>
        </w:rPr>
        <w:t>BY THE COMMISSION,</w:t>
      </w:r>
    </w:p>
    <w:p w14:paraId="1204908F" w14:textId="64C023E3" w:rsidR="006B393A" w:rsidRPr="0029748B" w:rsidRDefault="006B393A" w:rsidP="0029748B">
      <w:pPr>
        <w:keepNext/>
        <w:widowControl/>
        <w:tabs>
          <w:tab w:val="left" w:pos="-720"/>
        </w:tabs>
        <w:contextualSpacing/>
        <w:rPr>
          <w:sz w:val="26"/>
          <w:szCs w:val="26"/>
        </w:rPr>
      </w:pPr>
    </w:p>
    <w:p w14:paraId="542A6AD5" w14:textId="1371B048" w:rsidR="006B393A" w:rsidRPr="0029748B" w:rsidRDefault="00CB1A6A" w:rsidP="00CB1A6A">
      <w:pPr>
        <w:keepNext/>
        <w:widowControl/>
        <w:tabs>
          <w:tab w:val="left" w:pos="-720"/>
          <w:tab w:val="left" w:pos="6840"/>
        </w:tabs>
        <w:contextualSpacing/>
        <w:rPr>
          <w:sz w:val="26"/>
          <w:szCs w:val="26"/>
        </w:rPr>
      </w:pPr>
      <w:r>
        <w:rPr>
          <w:sz w:val="26"/>
          <w:szCs w:val="26"/>
        </w:rPr>
        <w:tab/>
      </w:r>
    </w:p>
    <w:p w14:paraId="7A5156A6" w14:textId="77777777" w:rsidR="006B393A" w:rsidRPr="0029748B" w:rsidRDefault="006B393A" w:rsidP="0029748B">
      <w:pPr>
        <w:keepNext/>
        <w:widowControl/>
        <w:tabs>
          <w:tab w:val="left" w:pos="-720"/>
        </w:tabs>
        <w:contextualSpacing/>
        <w:rPr>
          <w:sz w:val="26"/>
          <w:szCs w:val="26"/>
        </w:rPr>
      </w:pPr>
    </w:p>
    <w:p w14:paraId="1D762660" w14:textId="77777777" w:rsidR="006B393A" w:rsidRPr="0029748B" w:rsidRDefault="006B393A" w:rsidP="0029748B">
      <w:pPr>
        <w:keepNext/>
        <w:widowControl/>
        <w:tabs>
          <w:tab w:val="left" w:pos="-720"/>
        </w:tabs>
        <w:contextualSpacing/>
        <w:rPr>
          <w:sz w:val="26"/>
          <w:szCs w:val="26"/>
        </w:rPr>
      </w:pPr>
      <w:r w:rsidRPr="0029748B">
        <w:rPr>
          <w:sz w:val="26"/>
          <w:szCs w:val="26"/>
        </w:rPr>
        <w:tab/>
      </w:r>
      <w:r w:rsidRPr="0029748B">
        <w:rPr>
          <w:sz w:val="26"/>
          <w:szCs w:val="26"/>
        </w:rPr>
        <w:tab/>
      </w:r>
      <w:r w:rsidRPr="0029748B">
        <w:rPr>
          <w:sz w:val="26"/>
          <w:szCs w:val="26"/>
        </w:rPr>
        <w:tab/>
      </w:r>
      <w:r w:rsidRPr="0029748B">
        <w:rPr>
          <w:sz w:val="26"/>
          <w:szCs w:val="26"/>
        </w:rPr>
        <w:tab/>
      </w:r>
      <w:r w:rsidRPr="0029748B">
        <w:rPr>
          <w:sz w:val="26"/>
          <w:szCs w:val="26"/>
        </w:rPr>
        <w:tab/>
      </w:r>
      <w:r w:rsidRPr="0029748B">
        <w:rPr>
          <w:sz w:val="26"/>
          <w:szCs w:val="26"/>
        </w:rPr>
        <w:tab/>
      </w:r>
      <w:r w:rsidRPr="0029748B">
        <w:rPr>
          <w:sz w:val="26"/>
          <w:szCs w:val="26"/>
        </w:rPr>
        <w:tab/>
        <w:t>Rosemary Chiavetta</w:t>
      </w:r>
    </w:p>
    <w:p w14:paraId="58AB0551" w14:textId="77777777" w:rsidR="006B393A" w:rsidRPr="0029748B" w:rsidRDefault="006B393A" w:rsidP="0029748B">
      <w:pPr>
        <w:keepNext/>
        <w:widowControl/>
        <w:tabs>
          <w:tab w:val="left" w:pos="-720"/>
        </w:tabs>
        <w:contextualSpacing/>
        <w:rPr>
          <w:sz w:val="26"/>
          <w:szCs w:val="26"/>
        </w:rPr>
      </w:pPr>
      <w:r w:rsidRPr="0029748B">
        <w:rPr>
          <w:sz w:val="26"/>
          <w:szCs w:val="26"/>
        </w:rPr>
        <w:tab/>
      </w:r>
      <w:r w:rsidRPr="0029748B">
        <w:rPr>
          <w:sz w:val="26"/>
          <w:szCs w:val="26"/>
        </w:rPr>
        <w:tab/>
      </w:r>
      <w:r w:rsidRPr="0029748B">
        <w:rPr>
          <w:sz w:val="26"/>
          <w:szCs w:val="26"/>
        </w:rPr>
        <w:tab/>
      </w:r>
      <w:r w:rsidRPr="0029748B">
        <w:rPr>
          <w:sz w:val="26"/>
          <w:szCs w:val="26"/>
        </w:rPr>
        <w:tab/>
      </w:r>
      <w:r w:rsidRPr="0029748B">
        <w:rPr>
          <w:sz w:val="26"/>
          <w:szCs w:val="26"/>
        </w:rPr>
        <w:tab/>
      </w:r>
      <w:r w:rsidRPr="0029748B">
        <w:rPr>
          <w:sz w:val="26"/>
          <w:szCs w:val="26"/>
        </w:rPr>
        <w:tab/>
      </w:r>
      <w:r w:rsidRPr="0029748B">
        <w:rPr>
          <w:sz w:val="26"/>
          <w:szCs w:val="26"/>
        </w:rPr>
        <w:tab/>
        <w:t>Secretary</w:t>
      </w:r>
    </w:p>
    <w:p w14:paraId="33F7E977" w14:textId="77777777" w:rsidR="006B393A" w:rsidRPr="0029748B" w:rsidRDefault="006B393A" w:rsidP="0029748B">
      <w:pPr>
        <w:keepNext/>
        <w:widowControl/>
        <w:tabs>
          <w:tab w:val="left" w:pos="-720"/>
        </w:tabs>
        <w:contextualSpacing/>
        <w:rPr>
          <w:sz w:val="26"/>
          <w:szCs w:val="26"/>
        </w:rPr>
      </w:pPr>
    </w:p>
    <w:p w14:paraId="48C4496E" w14:textId="77777777" w:rsidR="006B393A" w:rsidRPr="0029748B" w:rsidRDefault="006B393A" w:rsidP="0029748B">
      <w:pPr>
        <w:keepNext/>
        <w:widowControl/>
        <w:tabs>
          <w:tab w:val="left" w:pos="-720"/>
        </w:tabs>
        <w:contextualSpacing/>
        <w:rPr>
          <w:sz w:val="26"/>
          <w:szCs w:val="26"/>
        </w:rPr>
      </w:pPr>
      <w:r w:rsidRPr="0029748B">
        <w:rPr>
          <w:sz w:val="26"/>
          <w:szCs w:val="26"/>
        </w:rPr>
        <w:t>(SEAL)</w:t>
      </w:r>
    </w:p>
    <w:p w14:paraId="2D41DA94" w14:textId="77777777" w:rsidR="006B393A" w:rsidRPr="0029748B" w:rsidRDefault="006B393A" w:rsidP="0029748B">
      <w:pPr>
        <w:keepNext/>
        <w:widowControl/>
        <w:tabs>
          <w:tab w:val="left" w:pos="-720"/>
        </w:tabs>
        <w:contextualSpacing/>
        <w:rPr>
          <w:sz w:val="26"/>
          <w:szCs w:val="26"/>
        </w:rPr>
      </w:pPr>
    </w:p>
    <w:p w14:paraId="526B1C88" w14:textId="77777777" w:rsidR="006B393A" w:rsidRPr="0029748B" w:rsidRDefault="006B393A" w:rsidP="0029748B">
      <w:pPr>
        <w:keepNext/>
        <w:widowControl/>
        <w:tabs>
          <w:tab w:val="left" w:pos="-720"/>
        </w:tabs>
        <w:contextualSpacing/>
        <w:rPr>
          <w:sz w:val="26"/>
          <w:szCs w:val="26"/>
        </w:rPr>
      </w:pPr>
      <w:r w:rsidRPr="0029748B">
        <w:rPr>
          <w:sz w:val="26"/>
          <w:szCs w:val="26"/>
        </w:rPr>
        <w:t xml:space="preserve">ORDER ADOPTED:  </w:t>
      </w:r>
      <w:r w:rsidR="00E07833" w:rsidRPr="0029748B">
        <w:rPr>
          <w:sz w:val="26"/>
          <w:szCs w:val="26"/>
        </w:rPr>
        <w:t>March 26, 2020</w:t>
      </w:r>
    </w:p>
    <w:p w14:paraId="72327328" w14:textId="77777777" w:rsidR="006B393A" w:rsidRPr="0029748B" w:rsidRDefault="006B393A" w:rsidP="0029748B">
      <w:pPr>
        <w:keepNext/>
        <w:widowControl/>
        <w:tabs>
          <w:tab w:val="left" w:pos="-720"/>
        </w:tabs>
        <w:contextualSpacing/>
        <w:rPr>
          <w:sz w:val="26"/>
          <w:szCs w:val="26"/>
        </w:rPr>
      </w:pPr>
    </w:p>
    <w:p w14:paraId="1478B900" w14:textId="6B0FC535" w:rsidR="006B393A" w:rsidRPr="00E90DE4" w:rsidRDefault="006B393A" w:rsidP="0029748B">
      <w:pPr>
        <w:keepNext/>
        <w:widowControl/>
        <w:tabs>
          <w:tab w:val="left" w:pos="-720"/>
        </w:tabs>
        <w:contextualSpacing/>
        <w:rPr>
          <w:b/>
          <w:sz w:val="26"/>
          <w:szCs w:val="26"/>
        </w:rPr>
      </w:pPr>
      <w:r w:rsidRPr="0029748B">
        <w:rPr>
          <w:sz w:val="26"/>
          <w:szCs w:val="26"/>
        </w:rPr>
        <w:t>ORDER ENTERED:</w:t>
      </w:r>
      <w:r w:rsidRPr="00E90DE4">
        <w:rPr>
          <w:sz w:val="26"/>
          <w:szCs w:val="26"/>
        </w:rPr>
        <w:t xml:space="preserve">  </w:t>
      </w:r>
      <w:r w:rsidR="00CB1A6A">
        <w:rPr>
          <w:sz w:val="26"/>
          <w:szCs w:val="26"/>
        </w:rPr>
        <w:t>March 26, 2020</w:t>
      </w:r>
    </w:p>
    <w:p w14:paraId="765DE507" w14:textId="77777777" w:rsidR="006B393A" w:rsidRPr="00E90DE4" w:rsidRDefault="006B393A" w:rsidP="009B644F">
      <w:pPr>
        <w:widowControl/>
        <w:spacing w:after="200" w:line="360" w:lineRule="auto"/>
        <w:ind w:firstLine="1440"/>
        <w:contextualSpacing/>
        <w:rPr>
          <w:rFonts w:eastAsiaTheme="minorHAnsi"/>
          <w:sz w:val="26"/>
          <w:szCs w:val="26"/>
        </w:rPr>
      </w:pPr>
    </w:p>
    <w:p w14:paraId="0B2827F2" w14:textId="77777777" w:rsidR="007D2CA9" w:rsidRDefault="007D2CA9" w:rsidP="009B644F">
      <w:pPr>
        <w:widowControl/>
        <w:spacing w:after="200" w:line="276" w:lineRule="auto"/>
        <w:contextualSpacing/>
        <w:jc w:val="center"/>
        <w:rPr>
          <w:rFonts w:eastAsiaTheme="minorHAnsi"/>
          <w:sz w:val="26"/>
          <w:szCs w:val="26"/>
        </w:rPr>
        <w:sectPr w:rsidR="007D2CA9" w:rsidSect="00EB475D">
          <w:footerReference w:type="default" r:id="rId13"/>
          <w:pgSz w:w="12240" w:h="15840"/>
          <w:pgMar w:top="1440" w:right="1440" w:bottom="1440" w:left="1440" w:header="720" w:footer="720" w:gutter="0"/>
          <w:pgNumType w:start="1"/>
          <w:cols w:space="720"/>
          <w:titlePg/>
          <w:docGrid w:linePitch="360"/>
        </w:sectPr>
      </w:pPr>
    </w:p>
    <w:p w14:paraId="1E911FB2" w14:textId="77777777" w:rsidR="007D2CA9" w:rsidRDefault="007D2CA9" w:rsidP="007D2CA9">
      <w:pPr>
        <w:contextualSpacing/>
        <w:jc w:val="center"/>
        <w:rPr>
          <w:sz w:val="26"/>
          <w:szCs w:val="26"/>
        </w:rPr>
      </w:pPr>
    </w:p>
    <w:p w14:paraId="4079ACA8" w14:textId="77777777" w:rsidR="007D2CA9" w:rsidRDefault="007D2CA9" w:rsidP="007D2CA9">
      <w:pPr>
        <w:contextualSpacing/>
        <w:jc w:val="center"/>
        <w:rPr>
          <w:sz w:val="26"/>
          <w:szCs w:val="26"/>
        </w:rPr>
      </w:pPr>
    </w:p>
    <w:p w14:paraId="16E17D54" w14:textId="77777777" w:rsidR="007D2CA9" w:rsidRDefault="007D2CA9" w:rsidP="007D2CA9">
      <w:pPr>
        <w:contextualSpacing/>
        <w:jc w:val="center"/>
        <w:rPr>
          <w:sz w:val="26"/>
          <w:szCs w:val="26"/>
        </w:rPr>
      </w:pPr>
    </w:p>
    <w:p w14:paraId="6391C040" w14:textId="77777777" w:rsidR="007D2CA9" w:rsidRDefault="007D2CA9" w:rsidP="007D2CA9">
      <w:pPr>
        <w:contextualSpacing/>
        <w:jc w:val="center"/>
        <w:rPr>
          <w:sz w:val="26"/>
          <w:szCs w:val="26"/>
        </w:rPr>
      </w:pPr>
    </w:p>
    <w:p w14:paraId="6989550D" w14:textId="77777777" w:rsidR="007D2CA9" w:rsidRDefault="007D2CA9" w:rsidP="007D2CA9">
      <w:pPr>
        <w:contextualSpacing/>
        <w:jc w:val="center"/>
        <w:rPr>
          <w:sz w:val="26"/>
          <w:szCs w:val="26"/>
        </w:rPr>
      </w:pPr>
    </w:p>
    <w:p w14:paraId="5490D2F3" w14:textId="77777777" w:rsidR="007D2CA9" w:rsidRDefault="007D2CA9" w:rsidP="007D2CA9">
      <w:pPr>
        <w:contextualSpacing/>
        <w:jc w:val="center"/>
        <w:rPr>
          <w:sz w:val="26"/>
          <w:szCs w:val="26"/>
        </w:rPr>
      </w:pPr>
    </w:p>
    <w:p w14:paraId="52F99E73" w14:textId="77777777" w:rsidR="007D2CA9" w:rsidRDefault="007D2CA9" w:rsidP="007D2CA9">
      <w:pPr>
        <w:contextualSpacing/>
        <w:jc w:val="center"/>
        <w:rPr>
          <w:sz w:val="26"/>
          <w:szCs w:val="26"/>
        </w:rPr>
      </w:pPr>
    </w:p>
    <w:p w14:paraId="4D408A60" w14:textId="77777777" w:rsidR="007D2CA9" w:rsidRDefault="007D2CA9" w:rsidP="007D2CA9">
      <w:pPr>
        <w:contextualSpacing/>
        <w:jc w:val="center"/>
        <w:rPr>
          <w:sz w:val="26"/>
          <w:szCs w:val="26"/>
        </w:rPr>
      </w:pPr>
    </w:p>
    <w:p w14:paraId="40097498" w14:textId="77777777" w:rsidR="007D2CA9" w:rsidRDefault="007D2CA9" w:rsidP="007D2CA9">
      <w:pPr>
        <w:contextualSpacing/>
        <w:jc w:val="center"/>
        <w:rPr>
          <w:sz w:val="26"/>
          <w:szCs w:val="26"/>
        </w:rPr>
      </w:pPr>
    </w:p>
    <w:p w14:paraId="45CABE64" w14:textId="77777777" w:rsidR="007D2CA9" w:rsidRDefault="007D2CA9" w:rsidP="007D2CA9">
      <w:pPr>
        <w:contextualSpacing/>
        <w:jc w:val="center"/>
        <w:rPr>
          <w:sz w:val="26"/>
          <w:szCs w:val="26"/>
        </w:rPr>
      </w:pPr>
    </w:p>
    <w:p w14:paraId="0DF6CDA2" w14:textId="77777777" w:rsidR="007D2CA9" w:rsidRDefault="007D2CA9" w:rsidP="007D2CA9">
      <w:pPr>
        <w:contextualSpacing/>
        <w:jc w:val="center"/>
        <w:rPr>
          <w:sz w:val="26"/>
          <w:szCs w:val="26"/>
        </w:rPr>
      </w:pPr>
    </w:p>
    <w:p w14:paraId="503B8862" w14:textId="77777777" w:rsidR="007D2CA9" w:rsidRDefault="007D2CA9" w:rsidP="007D2CA9">
      <w:pPr>
        <w:contextualSpacing/>
        <w:jc w:val="center"/>
        <w:rPr>
          <w:sz w:val="26"/>
          <w:szCs w:val="26"/>
        </w:rPr>
      </w:pPr>
    </w:p>
    <w:p w14:paraId="16EBEADA" w14:textId="77777777" w:rsidR="007D2CA9" w:rsidRDefault="007D2CA9" w:rsidP="007D2CA9">
      <w:pPr>
        <w:contextualSpacing/>
        <w:jc w:val="center"/>
        <w:rPr>
          <w:sz w:val="26"/>
          <w:szCs w:val="26"/>
        </w:rPr>
      </w:pPr>
    </w:p>
    <w:p w14:paraId="739D591A" w14:textId="77777777" w:rsidR="007D2CA9" w:rsidRDefault="007D2CA9" w:rsidP="007D2CA9">
      <w:pPr>
        <w:contextualSpacing/>
        <w:jc w:val="center"/>
        <w:rPr>
          <w:sz w:val="26"/>
          <w:szCs w:val="26"/>
        </w:rPr>
      </w:pPr>
    </w:p>
    <w:p w14:paraId="76702537" w14:textId="77777777" w:rsidR="00626063" w:rsidRDefault="007D2CA9" w:rsidP="007D2CA9">
      <w:pPr>
        <w:contextualSpacing/>
        <w:jc w:val="center"/>
        <w:rPr>
          <w:sz w:val="26"/>
          <w:szCs w:val="26"/>
        </w:rPr>
        <w:sectPr w:rsidR="00626063" w:rsidSect="007D2CA9">
          <w:footerReference w:type="default" r:id="rId14"/>
          <w:pgSz w:w="12240" w:h="15840"/>
          <w:pgMar w:top="1440" w:right="1440" w:bottom="1440" w:left="1440" w:header="720" w:footer="720" w:gutter="0"/>
          <w:cols w:space="720"/>
          <w:titlePg/>
          <w:docGrid w:linePitch="360"/>
        </w:sectPr>
      </w:pPr>
      <w:r>
        <w:rPr>
          <w:sz w:val="26"/>
          <w:szCs w:val="26"/>
        </w:rPr>
        <w:t>APPENDIX A</w:t>
      </w:r>
    </w:p>
    <w:p w14:paraId="4750A90A" w14:textId="77777777" w:rsidR="007D2CA9" w:rsidRDefault="007D2CA9" w:rsidP="007D2CA9">
      <w:pPr>
        <w:contextualSpacing/>
        <w:jc w:val="center"/>
        <w:rPr>
          <w:sz w:val="26"/>
          <w:szCs w:val="26"/>
        </w:rPr>
      </w:pPr>
    </w:p>
    <w:p w14:paraId="7C71BA6C" w14:textId="77777777" w:rsidR="007D2CA9" w:rsidRDefault="007D2CA9" w:rsidP="007D2CA9">
      <w:pPr>
        <w:contextualSpacing/>
        <w:jc w:val="center"/>
        <w:rPr>
          <w:sz w:val="26"/>
          <w:szCs w:val="26"/>
        </w:rPr>
      </w:pPr>
    </w:p>
    <w:p w14:paraId="3209C09D" w14:textId="77777777" w:rsidR="007D2CA9" w:rsidRDefault="007D2CA9" w:rsidP="007D2CA9">
      <w:pPr>
        <w:contextualSpacing/>
        <w:jc w:val="center"/>
        <w:rPr>
          <w:sz w:val="26"/>
          <w:szCs w:val="26"/>
        </w:rPr>
      </w:pPr>
    </w:p>
    <w:p w14:paraId="3B2F18C8" w14:textId="77777777" w:rsidR="007D2CA9" w:rsidRDefault="007D2CA9" w:rsidP="007D2CA9">
      <w:pPr>
        <w:contextualSpacing/>
        <w:jc w:val="center"/>
        <w:rPr>
          <w:sz w:val="26"/>
          <w:szCs w:val="26"/>
        </w:rPr>
      </w:pPr>
    </w:p>
    <w:p w14:paraId="18D69104" w14:textId="77777777" w:rsidR="007D2CA9" w:rsidRDefault="007D2CA9" w:rsidP="007D2CA9">
      <w:pPr>
        <w:contextualSpacing/>
        <w:jc w:val="center"/>
        <w:rPr>
          <w:sz w:val="26"/>
          <w:szCs w:val="26"/>
        </w:rPr>
      </w:pPr>
    </w:p>
    <w:p w14:paraId="7A86108E" w14:textId="77777777" w:rsidR="007D2CA9" w:rsidRDefault="007D2CA9" w:rsidP="007D2CA9">
      <w:pPr>
        <w:contextualSpacing/>
        <w:jc w:val="center"/>
        <w:rPr>
          <w:sz w:val="26"/>
          <w:szCs w:val="26"/>
        </w:rPr>
      </w:pPr>
    </w:p>
    <w:p w14:paraId="04360A15" w14:textId="77777777" w:rsidR="007D2CA9" w:rsidRPr="00FA233D" w:rsidRDefault="007D2CA9" w:rsidP="007D2CA9">
      <w:pPr>
        <w:contextualSpacing/>
        <w:jc w:val="center"/>
        <w:rPr>
          <w:b/>
          <w:sz w:val="26"/>
          <w:szCs w:val="26"/>
        </w:rPr>
      </w:pPr>
      <w:r w:rsidRPr="00FA233D">
        <w:rPr>
          <w:b/>
          <w:sz w:val="26"/>
          <w:szCs w:val="26"/>
        </w:rPr>
        <w:t>Pennsylvania Public Utility Commission</w:t>
      </w:r>
    </w:p>
    <w:p w14:paraId="282D69B9" w14:textId="77777777" w:rsidR="007D2CA9" w:rsidRPr="00FA233D" w:rsidRDefault="007D2CA9" w:rsidP="007D2CA9">
      <w:pPr>
        <w:contextualSpacing/>
        <w:jc w:val="center"/>
        <w:rPr>
          <w:b/>
          <w:sz w:val="26"/>
          <w:szCs w:val="26"/>
        </w:rPr>
      </w:pPr>
    </w:p>
    <w:p w14:paraId="713DAA7B" w14:textId="77777777" w:rsidR="007D2CA9" w:rsidRPr="00FA233D" w:rsidRDefault="007D2CA9" w:rsidP="007D2CA9">
      <w:pPr>
        <w:contextualSpacing/>
        <w:jc w:val="center"/>
        <w:rPr>
          <w:b/>
          <w:sz w:val="26"/>
          <w:szCs w:val="26"/>
        </w:rPr>
      </w:pPr>
    </w:p>
    <w:p w14:paraId="65C22D70" w14:textId="77777777" w:rsidR="007D2CA9" w:rsidRPr="00FA233D" w:rsidRDefault="007D2CA9" w:rsidP="007D2CA9">
      <w:pPr>
        <w:contextualSpacing/>
        <w:jc w:val="center"/>
        <w:rPr>
          <w:b/>
          <w:sz w:val="26"/>
          <w:szCs w:val="26"/>
        </w:rPr>
      </w:pPr>
      <w:r w:rsidRPr="00FA233D">
        <w:rPr>
          <w:b/>
          <w:sz w:val="26"/>
          <w:szCs w:val="26"/>
        </w:rPr>
        <w:t>v.</w:t>
      </w:r>
    </w:p>
    <w:p w14:paraId="65560C29" w14:textId="77777777" w:rsidR="007D2CA9" w:rsidRPr="00FA233D" w:rsidRDefault="007D2CA9" w:rsidP="007D2CA9">
      <w:pPr>
        <w:contextualSpacing/>
        <w:jc w:val="center"/>
        <w:rPr>
          <w:b/>
          <w:sz w:val="26"/>
          <w:szCs w:val="26"/>
        </w:rPr>
      </w:pPr>
    </w:p>
    <w:p w14:paraId="311D5F01" w14:textId="77777777" w:rsidR="007D2CA9" w:rsidRPr="00FA233D" w:rsidRDefault="007D2CA9" w:rsidP="007D2CA9">
      <w:pPr>
        <w:contextualSpacing/>
        <w:jc w:val="center"/>
        <w:rPr>
          <w:b/>
          <w:sz w:val="26"/>
          <w:szCs w:val="26"/>
        </w:rPr>
      </w:pPr>
    </w:p>
    <w:p w14:paraId="4ED28899" w14:textId="77777777" w:rsidR="007D2CA9" w:rsidRPr="00FA233D" w:rsidRDefault="007D2CA9" w:rsidP="007D2CA9">
      <w:pPr>
        <w:contextualSpacing/>
        <w:jc w:val="center"/>
        <w:rPr>
          <w:b/>
          <w:sz w:val="26"/>
          <w:szCs w:val="26"/>
        </w:rPr>
      </w:pPr>
      <w:r>
        <w:rPr>
          <w:b/>
          <w:sz w:val="26"/>
          <w:szCs w:val="26"/>
        </w:rPr>
        <w:t xml:space="preserve">Twin Lakes </w:t>
      </w:r>
      <w:r w:rsidRPr="00FA233D">
        <w:rPr>
          <w:b/>
          <w:sz w:val="26"/>
          <w:szCs w:val="26"/>
        </w:rPr>
        <w:t>Utilities, Inc.</w:t>
      </w:r>
    </w:p>
    <w:p w14:paraId="7DCF2A3F" w14:textId="77777777" w:rsidR="007D2CA9" w:rsidRPr="00FA233D" w:rsidRDefault="007D2CA9" w:rsidP="007D2CA9">
      <w:pPr>
        <w:contextualSpacing/>
        <w:jc w:val="center"/>
        <w:rPr>
          <w:b/>
          <w:sz w:val="26"/>
          <w:szCs w:val="26"/>
        </w:rPr>
      </w:pPr>
      <w:r w:rsidRPr="00FA233D">
        <w:rPr>
          <w:b/>
          <w:sz w:val="26"/>
          <w:szCs w:val="26"/>
        </w:rPr>
        <w:t>Docket No. R-</w:t>
      </w:r>
      <w:r>
        <w:rPr>
          <w:b/>
          <w:sz w:val="26"/>
          <w:szCs w:val="26"/>
        </w:rPr>
        <w:t>2019-3010958</w:t>
      </w:r>
    </w:p>
    <w:p w14:paraId="0F94BCD5" w14:textId="77777777" w:rsidR="007D2CA9" w:rsidRDefault="007D2CA9" w:rsidP="007D2CA9">
      <w:pPr>
        <w:contextualSpacing/>
        <w:jc w:val="center"/>
        <w:rPr>
          <w:sz w:val="26"/>
          <w:szCs w:val="26"/>
        </w:rPr>
      </w:pPr>
    </w:p>
    <w:p w14:paraId="581CFA4A" w14:textId="77777777" w:rsidR="007D2CA9" w:rsidRPr="00FA233D" w:rsidRDefault="007D2CA9" w:rsidP="007D2CA9">
      <w:pPr>
        <w:contextualSpacing/>
        <w:jc w:val="center"/>
        <w:rPr>
          <w:sz w:val="26"/>
          <w:szCs w:val="26"/>
        </w:rPr>
      </w:pPr>
    </w:p>
    <w:p w14:paraId="6ABACA96" w14:textId="77777777" w:rsidR="007D2CA9" w:rsidRPr="00FA233D" w:rsidRDefault="007D2CA9" w:rsidP="007D2CA9">
      <w:pPr>
        <w:contextualSpacing/>
        <w:jc w:val="center"/>
        <w:rPr>
          <w:b/>
          <w:sz w:val="26"/>
          <w:szCs w:val="26"/>
          <w:u w:val="single"/>
        </w:rPr>
      </w:pPr>
      <w:r w:rsidRPr="00FA233D">
        <w:rPr>
          <w:b/>
          <w:sz w:val="26"/>
          <w:szCs w:val="26"/>
          <w:u w:val="single"/>
        </w:rPr>
        <w:t>Commission Tables Calculating Allowed Revenue Increase</w:t>
      </w:r>
    </w:p>
    <w:p w14:paraId="1AFAD74D" w14:textId="77777777" w:rsidR="007D2CA9" w:rsidRDefault="007D2CA9" w:rsidP="007D2CA9">
      <w:pPr>
        <w:contextualSpacing/>
        <w:rPr>
          <w:sz w:val="26"/>
          <w:szCs w:val="26"/>
        </w:rPr>
      </w:pPr>
    </w:p>
    <w:p w14:paraId="242273A6" w14:textId="77777777" w:rsidR="007D2CA9" w:rsidRPr="00FA233D" w:rsidRDefault="007D2CA9" w:rsidP="007D2CA9">
      <w:pPr>
        <w:ind w:firstLine="2160"/>
        <w:contextualSpacing/>
        <w:rPr>
          <w:b/>
          <w:sz w:val="26"/>
          <w:szCs w:val="26"/>
        </w:rPr>
      </w:pPr>
      <w:r w:rsidRPr="00FA233D">
        <w:rPr>
          <w:b/>
          <w:sz w:val="26"/>
          <w:szCs w:val="26"/>
        </w:rPr>
        <w:t>Table I</w:t>
      </w:r>
      <w:r w:rsidRPr="00FA233D">
        <w:rPr>
          <w:b/>
          <w:sz w:val="26"/>
          <w:szCs w:val="26"/>
        </w:rPr>
        <w:tab/>
        <w:t>Income Summary</w:t>
      </w:r>
    </w:p>
    <w:p w14:paraId="58BB7681" w14:textId="77777777" w:rsidR="007D2CA9" w:rsidRPr="00FA233D" w:rsidRDefault="007D2CA9" w:rsidP="007D2CA9">
      <w:pPr>
        <w:ind w:firstLine="2160"/>
        <w:contextualSpacing/>
        <w:rPr>
          <w:b/>
          <w:sz w:val="26"/>
          <w:szCs w:val="26"/>
        </w:rPr>
      </w:pPr>
      <w:r w:rsidRPr="00FA233D">
        <w:rPr>
          <w:b/>
          <w:sz w:val="26"/>
          <w:szCs w:val="26"/>
        </w:rPr>
        <w:t>Table IA</w:t>
      </w:r>
      <w:r w:rsidRPr="00FA233D">
        <w:rPr>
          <w:b/>
          <w:sz w:val="26"/>
          <w:szCs w:val="26"/>
        </w:rPr>
        <w:tab/>
        <w:t>Rate of Return</w:t>
      </w:r>
    </w:p>
    <w:p w14:paraId="2ABE0C7B" w14:textId="77777777" w:rsidR="007D2CA9" w:rsidRPr="00FA233D" w:rsidRDefault="007D2CA9" w:rsidP="007D2CA9">
      <w:pPr>
        <w:ind w:firstLine="2160"/>
        <w:contextualSpacing/>
        <w:rPr>
          <w:b/>
          <w:sz w:val="26"/>
          <w:szCs w:val="26"/>
        </w:rPr>
      </w:pPr>
      <w:r w:rsidRPr="00FA233D">
        <w:rPr>
          <w:b/>
          <w:sz w:val="26"/>
          <w:szCs w:val="26"/>
        </w:rPr>
        <w:t>Table IB</w:t>
      </w:r>
      <w:r w:rsidRPr="00FA233D">
        <w:rPr>
          <w:b/>
          <w:sz w:val="26"/>
          <w:szCs w:val="26"/>
        </w:rPr>
        <w:tab/>
        <w:t>Revenue Factor</w:t>
      </w:r>
    </w:p>
    <w:p w14:paraId="57F18773" w14:textId="77777777" w:rsidR="007D2CA9" w:rsidRPr="00FA233D" w:rsidRDefault="007D2CA9" w:rsidP="007D2CA9">
      <w:pPr>
        <w:ind w:firstLine="2160"/>
        <w:contextualSpacing/>
        <w:rPr>
          <w:b/>
          <w:sz w:val="26"/>
          <w:szCs w:val="26"/>
        </w:rPr>
      </w:pPr>
      <w:r w:rsidRPr="00FA233D">
        <w:rPr>
          <w:b/>
          <w:sz w:val="26"/>
          <w:szCs w:val="26"/>
        </w:rPr>
        <w:t>Table II</w:t>
      </w:r>
      <w:r w:rsidRPr="00FA233D">
        <w:rPr>
          <w:b/>
          <w:sz w:val="26"/>
          <w:szCs w:val="26"/>
        </w:rPr>
        <w:tab/>
        <w:t>Adjustments</w:t>
      </w:r>
    </w:p>
    <w:p w14:paraId="67E62C87" w14:textId="77777777" w:rsidR="007D2CA9" w:rsidRPr="00FA233D" w:rsidRDefault="007D2CA9" w:rsidP="007D2CA9">
      <w:pPr>
        <w:ind w:firstLine="2160"/>
        <w:contextualSpacing/>
        <w:rPr>
          <w:b/>
          <w:sz w:val="26"/>
          <w:szCs w:val="26"/>
        </w:rPr>
      </w:pPr>
      <w:r w:rsidRPr="00FA233D">
        <w:rPr>
          <w:b/>
          <w:sz w:val="26"/>
          <w:szCs w:val="26"/>
        </w:rPr>
        <w:t>Table III</w:t>
      </w:r>
      <w:r w:rsidRPr="00FA233D">
        <w:rPr>
          <w:b/>
          <w:sz w:val="26"/>
          <w:szCs w:val="26"/>
        </w:rPr>
        <w:tab/>
        <w:t>Interest Synchronization</w:t>
      </w:r>
    </w:p>
    <w:p w14:paraId="04472A83" w14:textId="77777777" w:rsidR="007D2CA9" w:rsidRPr="00FA233D" w:rsidRDefault="007D2CA9" w:rsidP="007D2CA9">
      <w:pPr>
        <w:ind w:firstLine="2160"/>
        <w:contextualSpacing/>
        <w:rPr>
          <w:b/>
          <w:sz w:val="26"/>
          <w:szCs w:val="26"/>
        </w:rPr>
      </w:pPr>
      <w:r w:rsidRPr="00FA233D">
        <w:rPr>
          <w:b/>
          <w:sz w:val="26"/>
          <w:szCs w:val="26"/>
        </w:rPr>
        <w:t xml:space="preserve">Table IV </w:t>
      </w:r>
      <w:r w:rsidRPr="00FA233D">
        <w:rPr>
          <w:b/>
          <w:sz w:val="26"/>
          <w:szCs w:val="26"/>
        </w:rPr>
        <w:tab/>
        <w:t>Cash Working Capital: Interest and Dividends</w:t>
      </w:r>
    </w:p>
    <w:p w14:paraId="3936938B" w14:textId="77777777" w:rsidR="007D2CA9" w:rsidRPr="00FA233D" w:rsidRDefault="007D2CA9" w:rsidP="007D2CA9">
      <w:pPr>
        <w:ind w:firstLine="2160"/>
        <w:contextualSpacing/>
        <w:rPr>
          <w:b/>
          <w:sz w:val="26"/>
          <w:szCs w:val="26"/>
        </w:rPr>
      </w:pPr>
      <w:r w:rsidRPr="00FA233D">
        <w:rPr>
          <w:b/>
          <w:sz w:val="26"/>
          <w:szCs w:val="26"/>
        </w:rPr>
        <w:t>Table V</w:t>
      </w:r>
      <w:r w:rsidRPr="00FA233D">
        <w:rPr>
          <w:b/>
          <w:sz w:val="26"/>
          <w:szCs w:val="26"/>
        </w:rPr>
        <w:tab/>
        <w:t>Cash Working Capital: Taxes</w:t>
      </w:r>
    </w:p>
    <w:p w14:paraId="7DC71EEC" w14:textId="77777777" w:rsidR="007D2CA9" w:rsidRDefault="007D2CA9" w:rsidP="007D2CA9">
      <w:pPr>
        <w:ind w:firstLine="2160"/>
        <w:contextualSpacing/>
        <w:rPr>
          <w:b/>
          <w:sz w:val="26"/>
          <w:szCs w:val="26"/>
        </w:rPr>
      </w:pPr>
      <w:r w:rsidRPr="00FA233D">
        <w:rPr>
          <w:b/>
          <w:sz w:val="26"/>
          <w:szCs w:val="26"/>
        </w:rPr>
        <w:t>Table VI</w:t>
      </w:r>
      <w:r w:rsidRPr="00FA233D">
        <w:rPr>
          <w:b/>
          <w:sz w:val="26"/>
          <w:szCs w:val="26"/>
        </w:rPr>
        <w:tab/>
        <w:t>Cash Working Capital: O&amp;M Expense</w:t>
      </w:r>
    </w:p>
    <w:p w14:paraId="5AFA455C" w14:textId="77777777" w:rsidR="007D2CA9" w:rsidRDefault="007D2CA9" w:rsidP="009B644F">
      <w:pPr>
        <w:widowControl/>
        <w:spacing w:after="200" w:line="276" w:lineRule="auto"/>
        <w:contextualSpacing/>
        <w:jc w:val="center"/>
        <w:rPr>
          <w:color w:val="000000"/>
          <w:sz w:val="26"/>
          <w:szCs w:val="26"/>
        </w:rPr>
      </w:pPr>
    </w:p>
    <w:p w14:paraId="4E43BD8D" w14:textId="77777777" w:rsidR="00626063" w:rsidRDefault="00626063" w:rsidP="009B644F">
      <w:pPr>
        <w:widowControl/>
        <w:spacing w:after="200" w:line="276" w:lineRule="auto"/>
        <w:contextualSpacing/>
        <w:jc w:val="center"/>
        <w:rPr>
          <w:color w:val="000000"/>
          <w:sz w:val="26"/>
          <w:szCs w:val="26"/>
        </w:rPr>
      </w:pPr>
    </w:p>
    <w:p w14:paraId="17CBAFFA" w14:textId="77777777" w:rsidR="00626063" w:rsidRDefault="00626063" w:rsidP="009B644F">
      <w:pPr>
        <w:widowControl/>
        <w:spacing w:after="200" w:line="276" w:lineRule="auto"/>
        <w:contextualSpacing/>
        <w:jc w:val="center"/>
        <w:rPr>
          <w:color w:val="000000"/>
          <w:sz w:val="26"/>
          <w:szCs w:val="26"/>
        </w:rPr>
        <w:sectPr w:rsidR="00626063" w:rsidSect="00626063">
          <w:pgSz w:w="12240" w:h="15840"/>
          <w:pgMar w:top="1440" w:right="1440" w:bottom="1440" w:left="1440" w:header="720" w:footer="720" w:gutter="0"/>
          <w:pgNumType w:start="1"/>
          <w:cols w:space="720"/>
          <w:docGrid w:linePitch="360"/>
        </w:sectPr>
      </w:pPr>
    </w:p>
    <w:p w14:paraId="7C2AD6EB" w14:textId="77777777" w:rsidR="006F2308" w:rsidRDefault="007D2CA9" w:rsidP="009B644F">
      <w:pPr>
        <w:widowControl/>
        <w:spacing w:after="200" w:line="276" w:lineRule="auto"/>
        <w:contextualSpacing/>
        <w:jc w:val="center"/>
        <w:rPr>
          <w:color w:val="000000"/>
          <w:sz w:val="26"/>
          <w:szCs w:val="26"/>
        </w:rPr>
      </w:pPr>
      <w:r>
        <w:rPr>
          <w:noProof/>
        </w:rPr>
        <w:lastRenderedPageBreak/>
        <w:drawing>
          <wp:inline distT="0" distB="0" distL="0" distR="0" wp14:anchorId="3EDE36A3" wp14:editId="6DE2F2D7">
            <wp:extent cx="7077075" cy="597331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20" t="22265" r="60532" b="19212"/>
                    <a:stretch/>
                  </pic:blipFill>
                  <pic:spPr bwMode="auto">
                    <a:xfrm>
                      <a:off x="0" y="0"/>
                      <a:ext cx="7118066" cy="6007909"/>
                    </a:xfrm>
                    <a:prstGeom prst="rect">
                      <a:avLst/>
                    </a:prstGeom>
                    <a:ln>
                      <a:noFill/>
                    </a:ln>
                    <a:extLst>
                      <a:ext uri="{53640926-AAD7-44D8-BBD7-CCE9431645EC}">
                        <a14:shadowObscured xmlns:a14="http://schemas.microsoft.com/office/drawing/2010/main"/>
                      </a:ext>
                    </a:extLst>
                  </pic:spPr>
                </pic:pic>
              </a:graphicData>
            </a:graphic>
          </wp:inline>
        </w:drawing>
      </w:r>
    </w:p>
    <w:p w14:paraId="1283F20E" w14:textId="77777777" w:rsidR="006F2308" w:rsidRDefault="006F2308">
      <w:pPr>
        <w:widowControl/>
        <w:spacing w:after="200" w:line="276" w:lineRule="auto"/>
        <w:rPr>
          <w:color w:val="000000"/>
          <w:sz w:val="26"/>
          <w:szCs w:val="26"/>
        </w:rPr>
      </w:pPr>
    </w:p>
    <w:p w14:paraId="6AE9C026" w14:textId="77777777" w:rsidR="00501145" w:rsidRDefault="006F2308" w:rsidP="009B644F">
      <w:pPr>
        <w:widowControl/>
        <w:spacing w:after="200" w:line="276" w:lineRule="auto"/>
        <w:contextualSpacing/>
        <w:jc w:val="center"/>
        <w:rPr>
          <w:color w:val="000000"/>
          <w:sz w:val="26"/>
          <w:szCs w:val="26"/>
        </w:rPr>
        <w:sectPr w:rsidR="00501145" w:rsidSect="007D2CA9">
          <w:pgSz w:w="15840" w:h="12240" w:orient="landscape"/>
          <w:pgMar w:top="1440" w:right="1440" w:bottom="1440" w:left="1440" w:header="720" w:footer="720" w:gutter="0"/>
          <w:cols w:space="720"/>
          <w:titlePg/>
          <w:docGrid w:linePitch="360"/>
        </w:sectPr>
      </w:pPr>
      <w:r>
        <w:rPr>
          <w:noProof/>
        </w:rPr>
        <w:drawing>
          <wp:inline distT="0" distB="0" distL="0" distR="0" wp14:anchorId="368B03F6" wp14:editId="0E23D6E7">
            <wp:extent cx="8019286" cy="47910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36" t="20782" r="62037" b="40741"/>
                    <a:stretch/>
                  </pic:blipFill>
                  <pic:spPr bwMode="auto">
                    <a:xfrm>
                      <a:off x="0" y="0"/>
                      <a:ext cx="8053613" cy="4811584"/>
                    </a:xfrm>
                    <a:prstGeom prst="rect">
                      <a:avLst/>
                    </a:prstGeom>
                    <a:ln>
                      <a:noFill/>
                    </a:ln>
                    <a:extLst>
                      <a:ext uri="{53640926-AAD7-44D8-BBD7-CCE9431645EC}">
                        <a14:shadowObscured xmlns:a14="http://schemas.microsoft.com/office/drawing/2010/main"/>
                      </a:ext>
                    </a:extLst>
                  </pic:spPr>
                </pic:pic>
              </a:graphicData>
            </a:graphic>
          </wp:inline>
        </w:drawing>
      </w:r>
    </w:p>
    <w:p w14:paraId="247D736F" w14:textId="77777777" w:rsidR="007D2CA9" w:rsidRDefault="00501145" w:rsidP="009B644F">
      <w:pPr>
        <w:widowControl/>
        <w:spacing w:after="200" w:line="276" w:lineRule="auto"/>
        <w:contextualSpacing/>
        <w:jc w:val="center"/>
        <w:rPr>
          <w:color w:val="000000"/>
          <w:sz w:val="26"/>
          <w:szCs w:val="26"/>
        </w:rPr>
        <w:sectPr w:rsidR="007D2CA9" w:rsidSect="00501145">
          <w:pgSz w:w="12240" w:h="15840"/>
          <w:pgMar w:top="1440" w:right="1440" w:bottom="1440" w:left="1440" w:header="720" w:footer="720" w:gutter="0"/>
          <w:cols w:space="720"/>
          <w:titlePg/>
          <w:docGrid w:linePitch="360"/>
        </w:sectPr>
      </w:pPr>
      <w:r>
        <w:rPr>
          <w:noProof/>
        </w:rPr>
        <w:lastRenderedPageBreak/>
        <w:drawing>
          <wp:inline distT="0" distB="0" distL="0" distR="0" wp14:anchorId="0FF809ED" wp14:editId="39A190CE">
            <wp:extent cx="5925457" cy="541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42" t="20798" r="69070" b="31339"/>
                    <a:stretch/>
                  </pic:blipFill>
                  <pic:spPr bwMode="auto">
                    <a:xfrm>
                      <a:off x="0" y="0"/>
                      <a:ext cx="5966981" cy="5448113"/>
                    </a:xfrm>
                    <a:prstGeom prst="rect">
                      <a:avLst/>
                    </a:prstGeom>
                    <a:ln>
                      <a:noFill/>
                    </a:ln>
                    <a:extLst>
                      <a:ext uri="{53640926-AAD7-44D8-BBD7-CCE9431645EC}">
                        <a14:shadowObscured xmlns:a14="http://schemas.microsoft.com/office/drawing/2010/main"/>
                      </a:ext>
                    </a:extLst>
                  </pic:spPr>
                </pic:pic>
              </a:graphicData>
            </a:graphic>
          </wp:inline>
        </w:drawing>
      </w:r>
    </w:p>
    <w:p w14:paraId="7BC22616" w14:textId="77777777" w:rsidR="006F2308" w:rsidRDefault="00626063">
      <w:pPr>
        <w:widowControl/>
        <w:spacing w:after="200" w:line="276" w:lineRule="auto"/>
        <w:rPr>
          <w:color w:val="000000"/>
          <w:sz w:val="26"/>
          <w:szCs w:val="26"/>
        </w:rPr>
      </w:pPr>
      <w:r>
        <w:rPr>
          <w:noProof/>
        </w:rPr>
        <w:lastRenderedPageBreak/>
        <w:drawing>
          <wp:anchor distT="0" distB="0" distL="114300" distR="114300" simplePos="0" relativeHeight="251659264" behindDoc="0" locked="0" layoutInCell="1" allowOverlap="1" wp14:anchorId="063D0229" wp14:editId="6D8891C5">
            <wp:simplePos x="0" y="0"/>
            <wp:positionH relativeFrom="margin">
              <wp:posOffset>720090</wp:posOffset>
            </wp:positionH>
            <wp:positionV relativeFrom="paragraph">
              <wp:posOffset>-200025</wp:posOffset>
            </wp:positionV>
            <wp:extent cx="7380952" cy="6337373"/>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20" t="21417" r="53356" b="7761"/>
                    <a:stretch/>
                  </pic:blipFill>
                  <pic:spPr bwMode="auto">
                    <a:xfrm>
                      <a:off x="0" y="0"/>
                      <a:ext cx="7380952" cy="63373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3C261B" w14:textId="77777777" w:rsidR="006F2308" w:rsidRDefault="006F2308">
      <w:pPr>
        <w:widowControl/>
        <w:spacing w:after="200" w:line="276" w:lineRule="auto"/>
        <w:rPr>
          <w:color w:val="000000"/>
          <w:sz w:val="26"/>
          <w:szCs w:val="26"/>
        </w:rPr>
      </w:pPr>
      <w:r>
        <w:rPr>
          <w:color w:val="000000"/>
          <w:sz w:val="26"/>
          <w:szCs w:val="26"/>
        </w:rPr>
        <w:br w:type="page"/>
      </w:r>
    </w:p>
    <w:p w14:paraId="388ECD6C" w14:textId="77777777" w:rsidR="006F2308" w:rsidRDefault="006F2308">
      <w:pPr>
        <w:widowControl/>
        <w:spacing w:after="200" w:line="276" w:lineRule="auto"/>
        <w:rPr>
          <w:color w:val="000000"/>
          <w:sz w:val="26"/>
          <w:szCs w:val="26"/>
        </w:rPr>
      </w:pPr>
      <w:r>
        <w:rPr>
          <w:noProof/>
        </w:rPr>
        <w:lastRenderedPageBreak/>
        <w:drawing>
          <wp:anchor distT="0" distB="0" distL="114300" distR="114300" simplePos="0" relativeHeight="251658240" behindDoc="0" locked="0" layoutInCell="1" allowOverlap="1" wp14:anchorId="2B4D1938" wp14:editId="47CD4D7D">
            <wp:simplePos x="0" y="0"/>
            <wp:positionH relativeFrom="margin">
              <wp:posOffset>381000</wp:posOffset>
            </wp:positionH>
            <wp:positionV relativeFrom="paragraph">
              <wp:posOffset>-409575</wp:posOffset>
            </wp:positionV>
            <wp:extent cx="7591425" cy="65178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20" t="21417" r="53356" b="7761"/>
                    <a:stretch/>
                  </pic:blipFill>
                  <pic:spPr bwMode="auto">
                    <a:xfrm>
                      <a:off x="0" y="0"/>
                      <a:ext cx="7602807" cy="65275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6B8C7D" w14:textId="77777777" w:rsidR="00FC20D7" w:rsidRDefault="00FC20D7" w:rsidP="009B644F">
      <w:pPr>
        <w:widowControl/>
        <w:spacing w:after="200" w:line="276" w:lineRule="auto"/>
        <w:contextualSpacing/>
        <w:jc w:val="center"/>
        <w:rPr>
          <w:color w:val="000000"/>
          <w:sz w:val="26"/>
          <w:szCs w:val="26"/>
        </w:rPr>
      </w:pPr>
    </w:p>
    <w:p w14:paraId="0DF9729A" w14:textId="77777777" w:rsidR="007D2CA9" w:rsidRDefault="007D2CA9" w:rsidP="009B644F">
      <w:pPr>
        <w:widowControl/>
        <w:spacing w:after="200" w:line="276" w:lineRule="auto"/>
        <w:contextualSpacing/>
        <w:jc w:val="center"/>
        <w:rPr>
          <w:color w:val="000000"/>
          <w:sz w:val="26"/>
          <w:szCs w:val="26"/>
        </w:rPr>
      </w:pPr>
    </w:p>
    <w:p w14:paraId="35AE3398" w14:textId="77777777" w:rsidR="007D2CA9" w:rsidRDefault="007D2CA9" w:rsidP="009B644F">
      <w:pPr>
        <w:widowControl/>
        <w:spacing w:after="200" w:line="276" w:lineRule="auto"/>
        <w:contextualSpacing/>
        <w:jc w:val="center"/>
        <w:rPr>
          <w:color w:val="000000"/>
          <w:sz w:val="26"/>
          <w:szCs w:val="26"/>
        </w:rPr>
      </w:pPr>
    </w:p>
    <w:p w14:paraId="76FE2A27" w14:textId="77777777" w:rsidR="007D2CA9" w:rsidRDefault="007D2CA9" w:rsidP="009B644F">
      <w:pPr>
        <w:widowControl/>
        <w:spacing w:after="200" w:line="276" w:lineRule="auto"/>
        <w:contextualSpacing/>
        <w:jc w:val="center"/>
        <w:rPr>
          <w:color w:val="000000"/>
          <w:sz w:val="26"/>
          <w:szCs w:val="26"/>
        </w:rPr>
      </w:pPr>
    </w:p>
    <w:p w14:paraId="0FA41581" w14:textId="77777777" w:rsidR="007D2CA9" w:rsidRDefault="007D2CA9" w:rsidP="009B644F">
      <w:pPr>
        <w:widowControl/>
        <w:spacing w:after="200" w:line="276" w:lineRule="auto"/>
        <w:contextualSpacing/>
        <w:jc w:val="center"/>
        <w:rPr>
          <w:color w:val="000000"/>
          <w:sz w:val="26"/>
          <w:szCs w:val="26"/>
        </w:rPr>
      </w:pPr>
    </w:p>
    <w:p w14:paraId="24D9A8BE" w14:textId="77777777" w:rsidR="007D2CA9" w:rsidRDefault="007D2CA9" w:rsidP="009B644F">
      <w:pPr>
        <w:widowControl/>
        <w:spacing w:after="200" w:line="276" w:lineRule="auto"/>
        <w:contextualSpacing/>
        <w:jc w:val="center"/>
        <w:rPr>
          <w:color w:val="000000"/>
          <w:sz w:val="26"/>
          <w:szCs w:val="26"/>
        </w:rPr>
      </w:pPr>
    </w:p>
    <w:p w14:paraId="4D2B4150" w14:textId="77777777" w:rsidR="007D2CA9" w:rsidRDefault="007D2CA9" w:rsidP="009B644F">
      <w:pPr>
        <w:widowControl/>
        <w:spacing w:after="200" w:line="276" w:lineRule="auto"/>
        <w:contextualSpacing/>
        <w:jc w:val="center"/>
        <w:rPr>
          <w:color w:val="000000"/>
          <w:sz w:val="26"/>
          <w:szCs w:val="26"/>
        </w:rPr>
      </w:pPr>
    </w:p>
    <w:p w14:paraId="0F756E0F" w14:textId="77777777" w:rsidR="007D2CA9" w:rsidRDefault="007D2CA9" w:rsidP="009B644F">
      <w:pPr>
        <w:widowControl/>
        <w:spacing w:after="200" w:line="276" w:lineRule="auto"/>
        <w:contextualSpacing/>
        <w:jc w:val="center"/>
        <w:rPr>
          <w:color w:val="000000"/>
          <w:sz w:val="26"/>
          <w:szCs w:val="26"/>
        </w:rPr>
      </w:pPr>
    </w:p>
    <w:p w14:paraId="270C00AE" w14:textId="77777777" w:rsidR="007D2CA9" w:rsidRDefault="007D2CA9" w:rsidP="009B644F">
      <w:pPr>
        <w:widowControl/>
        <w:spacing w:after="200" w:line="276" w:lineRule="auto"/>
        <w:contextualSpacing/>
        <w:jc w:val="center"/>
        <w:rPr>
          <w:color w:val="000000"/>
          <w:sz w:val="26"/>
          <w:szCs w:val="26"/>
        </w:rPr>
      </w:pPr>
    </w:p>
    <w:p w14:paraId="1282D4C7" w14:textId="77777777" w:rsidR="007D2CA9" w:rsidRDefault="007D2CA9" w:rsidP="009B644F">
      <w:pPr>
        <w:widowControl/>
        <w:spacing w:after="200" w:line="276" w:lineRule="auto"/>
        <w:contextualSpacing/>
        <w:jc w:val="center"/>
        <w:rPr>
          <w:color w:val="000000"/>
          <w:sz w:val="26"/>
          <w:szCs w:val="26"/>
        </w:rPr>
      </w:pPr>
    </w:p>
    <w:p w14:paraId="4029874C" w14:textId="77777777" w:rsidR="007D2CA9" w:rsidRDefault="007D2CA9" w:rsidP="009B644F">
      <w:pPr>
        <w:widowControl/>
        <w:spacing w:after="200" w:line="276" w:lineRule="auto"/>
        <w:contextualSpacing/>
        <w:jc w:val="center"/>
        <w:rPr>
          <w:color w:val="000000"/>
          <w:sz w:val="26"/>
          <w:szCs w:val="26"/>
        </w:rPr>
      </w:pPr>
    </w:p>
    <w:p w14:paraId="14384082" w14:textId="77777777" w:rsidR="007D2CA9" w:rsidRDefault="007D2CA9" w:rsidP="009B644F">
      <w:pPr>
        <w:widowControl/>
        <w:spacing w:after="200" w:line="276" w:lineRule="auto"/>
        <w:contextualSpacing/>
        <w:jc w:val="center"/>
        <w:rPr>
          <w:color w:val="000000"/>
          <w:sz w:val="26"/>
          <w:szCs w:val="26"/>
        </w:rPr>
      </w:pPr>
    </w:p>
    <w:p w14:paraId="4D0F8328" w14:textId="77777777" w:rsidR="007D2CA9" w:rsidRDefault="007D2CA9" w:rsidP="009B644F">
      <w:pPr>
        <w:widowControl/>
        <w:spacing w:after="200" w:line="276" w:lineRule="auto"/>
        <w:contextualSpacing/>
        <w:jc w:val="center"/>
        <w:rPr>
          <w:color w:val="000000"/>
          <w:sz w:val="26"/>
          <w:szCs w:val="26"/>
        </w:rPr>
      </w:pPr>
      <w:r>
        <w:rPr>
          <w:color w:val="000000"/>
          <w:sz w:val="26"/>
          <w:szCs w:val="26"/>
        </w:rPr>
        <w:t>APPENDIX B</w:t>
      </w:r>
    </w:p>
    <w:p w14:paraId="67277DC1" w14:textId="77777777" w:rsidR="002D6B3F" w:rsidRDefault="007D2CA9" w:rsidP="009B644F">
      <w:pPr>
        <w:widowControl/>
        <w:spacing w:after="200" w:line="276" w:lineRule="auto"/>
        <w:contextualSpacing/>
        <w:jc w:val="center"/>
        <w:rPr>
          <w:color w:val="000000"/>
          <w:sz w:val="26"/>
          <w:szCs w:val="26"/>
        </w:rPr>
        <w:sectPr w:rsidR="002D6B3F" w:rsidSect="0062532F">
          <w:pgSz w:w="15840" w:h="12240" w:orient="landscape"/>
          <w:pgMar w:top="1440" w:right="1440" w:bottom="1440" w:left="1440" w:header="720" w:footer="720" w:gutter="0"/>
          <w:cols w:space="720"/>
          <w:titlePg/>
          <w:docGrid w:linePitch="360"/>
        </w:sectPr>
      </w:pPr>
      <w:r>
        <w:rPr>
          <w:color w:val="000000"/>
          <w:sz w:val="26"/>
          <w:szCs w:val="26"/>
        </w:rPr>
        <w:br w:type="page"/>
      </w:r>
    </w:p>
    <w:p w14:paraId="7110485A" w14:textId="77777777" w:rsidR="00BE0ACF" w:rsidRDefault="002D6B3F" w:rsidP="009B644F">
      <w:pPr>
        <w:widowControl/>
        <w:spacing w:after="200" w:line="276" w:lineRule="auto"/>
        <w:contextualSpacing/>
        <w:jc w:val="center"/>
        <w:rPr>
          <w:color w:val="000000"/>
          <w:sz w:val="26"/>
          <w:szCs w:val="26"/>
        </w:rPr>
        <w:sectPr w:rsidR="00BE0ACF" w:rsidSect="002D6B3F">
          <w:pgSz w:w="12240" w:h="15840"/>
          <w:pgMar w:top="1440" w:right="1440" w:bottom="1440" w:left="1440" w:header="720" w:footer="720" w:gutter="0"/>
          <w:cols w:space="720"/>
          <w:titlePg/>
          <w:docGrid w:linePitch="360"/>
        </w:sectPr>
      </w:pPr>
      <w:r>
        <w:rPr>
          <w:noProof/>
        </w:rPr>
        <w:lastRenderedPageBreak/>
        <w:drawing>
          <wp:inline distT="0" distB="0" distL="0" distR="0" wp14:anchorId="2A228D94" wp14:editId="0A9E2017">
            <wp:extent cx="5688794" cy="63246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03" t="21433" r="71154" b="23077"/>
                    <a:stretch/>
                  </pic:blipFill>
                  <pic:spPr bwMode="auto">
                    <a:xfrm>
                      <a:off x="0" y="0"/>
                      <a:ext cx="5735800" cy="6376859"/>
                    </a:xfrm>
                    <a:prstGeom prst="rect">
                      <a:avLst/>
                    </a:prstGeom>
                    <a:ln>
                      <a:noFill/>
                    </a:ln>
                    <a:extLst>
                      <a:ext uri="{53640926-AAD7-44D8-BBD7-CCE9431645EC}">
                        <a14:shadowObscured xmlns:a14="http://schemas.microsoft.com/office/drawing/2010/main"/>
                      </a:ext>
                    </a:extLst>
                  </pic:spPr>
                </pic:pic>
              </a:graphicData>
            </a:graphic>
          </wp:inline>
        </w:drawing>
      </w:r>
    </w:p>
    <w:p w14:paraId="18B48C79" w14:textId="77777777" w:rsidR="00CB5002" w:rsidRDefault="00BE0ACF" w:rsidP="009B644F">
      <w:pPr>
        <w:widowControl/>
        <w:spacing w:after="200" w:line="276" w:lineRule="auto"/>
        <w:contextualSpacing/>
        <w:jc w:val="center"/>
        <w:rPr>
          <w:color w:val="000000"/>
          <w:sz w:val="26"/>
          <w:szCs w:val="26"/>
        </w:rPr>
      </w:pPr>
      <w:r>
        <w:rPr>
          <w:noProof/>
        </w:rPr>
        <w:lastRenderedPageBreak/>
        <w:drawing>
          <wp:inline distT="0" distB="0" distL="0" distR="0" wp14:anchorId="6F41C41B" wp14:editId="490D3106">
            <wp:extent cx="7002260" cy="6019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21" t="22053" r="53009" b="6488"/>
                    <a:stretch/>
                  </pic:blipFill>
                  <pic:spPr bwMode="auto">
                    <a:xfrm>
                      <a:off x="0" y="0"/>
                      <a:ext cx="7024636" cy="6039037"/>
                    </a:xfrm>
                    <a:prstGeom prst="rect">
                      <a:avLst/>
                    </a:prstGeom>
                    <a:ln>
                      <a:noFill/>
                    </a:ln>
                    <a:extLst>
                      <a:ext uri="{53640926-AAD7-44D8-BBD7-CCE9431645EC}">
                        <a14:shadowObscured xmlns:a14="http://schemas.microsoft.com/office/drawing/2010/main"/>
                      </a:ext>
                    </a:extLst>
                  </pic:spPr>
                </pic:pic>
              </a:graphicData>
            </a:graphic>
          </wp:inline>
        </w:drawing>
      </w:r>
      <w:r w:rsidR="001137F4">
        <w:rPr>
          <w:color w:val="000000"/>
          <w:sz w:val="26"/>
          <w:szCs w:val="26"/>
        </w:rPr>
        <w:br/>
      </w:r>
      <w:r w:rsidR="001137F4">
        <w:rPr>
          <w:noProof/>
        </w:rPr>
        <w:lastRenderedPageBreak/>
        <w:drawing>
          <wp:inline distT="0" distB="0" distL="0" distR="0" wp14:anchorId="1A1E9EB4" wp14:editId="23BB2BF8">
            <wp:extent cx="7896502" cy="3790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05" t="21629" r="40393" b="27269"/>
                    <a:stretch/>
                  </pic:blipFill>
                  <pic:spPr bwMode="auto">
                    <a:xfrm>
                      <a:off x="0" y="0"/>
                      <a:ext cx="7922027" cy="3803204"/>
                    </a:xfrm>
                    <a:prstGeom prst="rect">
                      <a:avLst/>
                    </a:prstGeom>
                    <a:ln>
                      <a:noFill/>
                    </a:ln>
                    <a:extLst>
                      <a:ext uri="{53640926-AAD7-44D8-BBD7-CCE9431645EC}">
                        <a14:shadowObscured xmlns:a14="http://schemas.microsoft.com/office/drawing/2010/main"/>
                      </a:ext>
                    </a:extLst>
                  </pic:spPr>
                </pic:pic>
              </a:graphicData>
            </a:graphic>
          </wp:inline>
        </w:drawing>
      </w:r>
    </w:p>
    <w:p w14:paraId="617DC776" w14:textId="77777777" w:rsidR="00CB5002" w:rsidRDefault="00CB5002">
      <w:pPr>
        <w:widowControl/>
        <w:spacing w:after="200" w:line="276" w:lineRule="auto"/>
        <w:rPr>
          <w:color w:val="000000"/>
          <w:sz w:val="26"/>
          <w:szCs w:val="26"/>
        </w:rPr>
      </w:pPr>
      <w:r>
        <w:rPr>
          <w:color w:val="000000"/>
          <w:sz w:val="26"/>
          <w:szCs w:val="26"/>
        </w:rPr>
        <w:br w:type="page"/>
      </w:r>
    </w:p>
    <w:p w14:paraId="3159DAFA" w14:textId="77777777" w:rsidR="005D39CE" w:rsidRDefault="00CB5002" w:rsidP="009B644F">
      <w:pPr>
        <w:widowControl/>
        <w:spacing w:after="200" w:line="276" w:lineRule="auto"/>
        <w:contextualSpacing/>
        <w:jc w:val="center"/>
        <w:rPr>
          <w:color w:val="000000"/>
          <w:sz w:val="26"/>
          <w:szCs w:val="26"/>
        </w:rPr>
        <w:sectPr w:rsidR="005D39CE" w:rsidSect="00BE0ACF">
          <w:pgSz w:w="15840" w:h="12240" w:orient="landscape"/>
          <w:pgMar w:top="1440" w:right="1440" w:bottom="1440" w:left="1440" w:header="720" w:footer="720" w:gutter="0"/>
          <w:cols w:space="720"/>
          <w:titlePg/>
          <w:docGrid w:linePitch="360"/>
        </w:sectPr>
      </w:pPr>
      <w:r>
        <w:rPr>
          <w:noProof/>
        </w:rPr>
        <w:lastRenderedPageBreak/>
        <w:drawing>
          <wp:inline distT="0" distB="0" distL="0" distR="0" wp14:anchorId="5E9294FF" wp14:editId="386AD48D">
            <wp:extent cx="7496175" cy="58558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21" t="21629" r="49190" b="7973"/>
                    <a:stretch/>
                  </pic:blipFill>
                  <pic:spPr bwMode="auto">
                    <a:xfrm>
                      <a:off x="0" y="0"/>
                      <a:ext cx="7526694" cy="5879677"/>
                    </a:xfrm>
                    <a:prstGeom prst="rect">
                      <a:avLst/>
                    </a:prstGeom>
                    <a:ln>
                      <a:noFill/>
                    </a:ln>
                    <a:extLst>
                      <a:ext uri="{53640926-AAD7-44D8-BBD7-CCE9431645EC}">
                        <a14:shadowObscured xmlns:a14="http://schemas.microsoft.com/office/drawing/2010/main"/>
                      </a:ext>
                    </a:extLst>
                  </pic:spPr>
                </pic:pic>
              </a:graphicData>
            </a:graphic>
          </wp:inline>
        </w:drawing>
      </w:r>
    </w:p>
    <w:p w14:paraId="5F326BE1" w14:textId="77777777" w:rsidR="001B21AC" w:rsidRDefault="001B21AC" w:rsidP="001B21AC">
      <w:pPr>
        <w:contextualSpacing/>
        <w:jc w:val="center"/>
        <w:rPr>
          <w:sz w:val="26"/>
          <w:szCs w:val="26"/>
        </w:rPr>
      </w:pPr>
    </w:p>
    <w:p w14:paraId="2C618662" w14:textId="77777777" w:rsidR="001B21AC" w:rsidRDefault="001B21AC" w:rsidP="001B21AC">
      <w:pPr>
        <w:contextualSpacing/>
        <w:jc w:val="center"/>
        <w:rPr>
          <w:sz w:val="26"/>
          <w:szCs w:val="26"/>
        </w:rPr>
      </w:pPr>
    </w:p>
    <w:p w14:paraId="346D29CE" w14:textId="77777777" w:rsidR="001B21AC" w:rsidRDefault="001B21AC" w:rsidP="001B21AC">
      <w:pPr>
        <w:contextualSpacing/>
        <w:jc w:val="center"/>
        <w:rPr>
          <w:sz w:val="26"/>
          <w:szCs w:val="26"/>
        </w:rPr>
      </w:pPr>
    </w:p>
    <w:p w14:paraId="5AE99342" w14:textId="77777777" w:rsidR="001B21AC" w:rsidRDefault="001B21AC" w:rsidP="001B21AC">
      <w:pPr>
        <w:contextualSpacing/>
        <w:jc w:val="center"/>
        <w:rPr>
          <w:sz w:val="26"/>
          <w:szCs w:val="26"/>
        </w:rPr>
      </w:pPr>
    </w:p>
    <w:p w14:paraId="4DC3397F" w14:textId="77777777" w:rsidR="001B21AC" w:rsidRDefault="001B21AC" w:rsidP="001B21AC">
      <w:pPr>
        <w:contextualSpacing/>
        <w:jc w:val="center"/>
        <w:rPr>
          <w:sz w:val="26"/>
          <w:szCs w:val="26"/>
        </w:rPr>
      </w:pPr>
    </w:p>
    <w:p w14:paraId="558193E7" w14:textId="77777777" w:rsidR="001B21AC" w:rsidRDefault="001B21AC" w:rsidP="001B21AC">
      <w:pPr>
        <w:contextualSpacing/>
        <w:jc w:val="center"/>
        <w:rPr>
          <w:sz w:val="26"/>
          <w:szCs w:val="26"/>
        </w:rPr>
      </w:pPr>
    </w:p>
    <w:p w14:paraId="6713EBCB" w14:textId="77777777" w:rsidR="001B21AC" w:rsidRDefault="001B21AC" w:rsidP="001B21AC">
      <w:pPr>
        <w:contextualSpacing/>
        <w:jc w:val="center"/>
        <w:rPr>
          <w:sz w:val="26"/>
          <w:szCs w:val="26"/>
        </w:rPr>
      </w:pPr>
    </w:p>
    <w:p w14:paraId="0249B3A6" w14:textId="77777777" w:rsidR="001B21AC" w:rsidRDefault="001B21AC" w:rsidP="001B21AC">
      <w:pPr>
        <w:contextualSpacing/>
        <w:jc w:val="center"/>
        <w:rPr>
          <w:sz w:val="26"/>
          <w:szCs w:val="26"/>
        </w:rPr>
      </w:pPr>
    </w:p>
    <w:p w14:paraId="607DA62B" w14:textId="77777777" w:rsidR="001B21AC" w:rsidRDefault="001B21AC" w:rsidP="001B21AC">
      <w:pPr>
        <w:contextualSpacing/>
        <w:jc w:val="center"/>
        <w:rPr>
          <w:sz w:val="26"/>
          <w:szCs w:val="26"/>
        </w:rPr>
      </w:pPr>
    </w:p>
    <w:p w14:paraId="4F5CA8AC" w14:textId="77777777" w:rsidR="001B21AC" w:rsidRDefault="001B21AC" w:rsidP="001B21AC">
      <w:pPr>
        <w:contextualSpacing/>
        <w:jc w:val="center"/>
        <w:rPr>
          <w:sz w:val="26"/>
          <w:szCs w:val="26"/>
        </w:rPr>
      </w:pPr>
    </w:p>
    <w:p w14:paraId="30BFB24A" w14:textId="77777777" w:rsidR="001B21AC" w:rsidRDefault="001B21AC" w:rsidP="001B21AC">
      <w:pPr>
        <w:contextualSpacing/>
        <w:jc w:val="center"/>
        <w:rPr>
          <w:sz w:val="26"/>
          <w:szCs w:val="26"/>
        </w:rPr>
      </w:pPr>
    </w:p>
    <w:p w14:paraId="452798A0" w14:textId="77777777" w:rsidR="001B21AC" w:rsidRDefault="001B21AC" w:rsidP="001B21AC">
      <w:pPr>
        <w:contextualSpacing/>
        <w:jc w:val="center"/>
        <w:rPr>
          <w:sz w:val="26"/>
          <w:szCs w:val="26"/>
        </w:rPr>
      </w:pPr>
    </w:p>
    <w:p w14:paraId="1B170081" w14:textId="77777777" w:rsidR="001B21AC" w:rsidRDefault="001B21AC" w:rsidP="001B21AC">
      <w:pPr>
        <w:contextualSpacing/>
        <w:jc w:val="center"/>
        <w:rPr>
          <w:sz w:val="26"/>
          <w:szCs w:val="26"/>
        </w:rPr>
      </w:pPr>
    </w:p>
    <w:p w14:paraId="5C7B0830" w14:textId="77777777" w:rsidR="001B21AC" w:rsidRDefault="001B21AC" w:rsidP="001B21AC">
      <w:pPr>
        <w:contextualSpacing/>
        <w:jc w:val="center"/>
        <w:rPr>
          <w:sz w:val="26"/>
          <w:szCs w:val="26"/>
        </w:rPr>
      </w:pPr>
    </w:p>
    <w:p w14:paraId="76F60388" w14:textId="77777777" w:rsidR="00626063" w:rsidRDefault="001B21AC" w:rsidP="001B21AC">
      <w:pPr>
        <w:contextualSpacing/>
        <w:jc w:val="center"/>
        <w:rPr>
          <w:sz w:val="26"/>
          <w:szCs w:val="26"/>
        </w:rPr>
        <w:sectPr w:rsidR="00626063" w:rsidSect="005D39CE">
          <w:pgSz w:w="12240" w:h="15840"/>
          <w:pgMar w:top="1440" w:right="1440" w:bottom="1440" w:left="1440" w:header="720" w:footer="720" w:gutter="0"/>
          <w:cols w:space="720"/>
          <w:titlePg/>
          <w:docGrid w:linePitch="360"/>
        </w:sectPr>
      </w:pPr>
      <w:r>
        <w:rPr>
          <w:sz w:val="26"/>
          <w:szCs w:val="26"/>
        </w:rPr>
        <w:t xml:space="preserve">APPENDIX </w:t>
      </w:r>
      <w:r w:rsidR="006A4F2B">
        <w:rPr>
          <w:sz w:val="26"/>
          <w:szCs w:val="26"/>
        </w:rPr>
        <w:t>B</w:t>
      </w:r>
    </w:p>
    <w:p w14:paraId="56F28066" w14:textId="77777777" w:rsidR="00233802" w:rsidRDefault="00233802">
      <w:pPr>
        <w:kinsoku w:val="0"/>
        <w:overflowPunct w:val="0"/>
        <w:spacing w:after="196" w:line="20" w:lineRule="exact"/>
        <w:textAlignment w:val="baseline"/>
        <w:rPr>
          <w:sz w:val="24"/>
          <w:szCs w:val="24"/>
        </w:rPr>
      </w:pPr>
    </w:p>
    <w:p w14:paraId="3034BCF8" w14:textId="77777777" w:rsidR="00352FCC" w:rsidRDefault="00352FCC" w:rsidP="009B644F">
      <w:pPr>
        <w:widowControl/>
        <w:spacing w:after="200" w:line="276" w:lineRule="auto"/>
        <w:contextualSpacing/>
        <w:jc w:val="center"/>
        <w:rPr>
          <w:color w:val="000000"/>
          <w:sz w:val="26"/>
          <w:szCs w:val="26"/>
        </w:rPr>
      </w:pPr>
      <w:r>
        <w:rPr>
          <w:noProof/>
        </w:rPr>
        <w:drawing>
          <wp:inline distT="0" distB="0" distL="0" distR="0" wp14:anchorId="7568FDDC" wp14:editId="57DFDC8D">
            <wp:extent cx="5257224" cy="64579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00"/>
                    <a:stretch/>
                  </pic:blipFill>
                  <pic:spPr bwMode="auto">
                    <a:xfrm>
                      <a:off x="0" y="0"/>
                      <a:ext cx="5311450" cy="6524560"/>
                    </a:xfrm>
                    <a:prstGeom prst="rect">
                      <a:avLst/>
                    </a:prstGeom>
                    <a:ln>
                      <a:noFill/>
                    </a:ln>
                    <a:extLst>
                      <a:ext uri="{53640926-AAD7-44D8-BBD7-CCE9431645EC}">
                        <a14:shadowObscured xmlns:a14="http://schemas.microsoft.com/office/drawing/2010/main"/>
                      </a:ext>
                    </a:extLst>
                  </pic:spPr>
                </pic:pic>
              </a:graphicData>
            </a:graphic>
          </wp:inline>
        </w:drawing>
      </w:r>
    </w:p>
    <w:p w14:paraId="72424FDB" w14:textId="77777777" w:rsidR="00352FCC" w:rsidRDefault="00352FCC">
      <w:pPr>
        <w:widowControl/>
        <w:spacing w:after="200" w:line="276" w:lineRule="auto"/>
        <w:rPr>
          <w:color w:val="000000"/>
          <w:sz w:val="26"/>
          <w:szCs w:val="26"/>
        </w:rPr>
      </w:pPr>
      <w:r>
        <w:rPr>
          <w:color w:val="000000"/>
          <w:sz w:val="26"/>
          <w:szCs w:val="26"/>
        </w:rPr>
        <w:br w:type="page"/>
      </w:r>
    </w:p>
    <w:p w14:paraId="74FE759F" w14:textId="77777777" w:rsidR="00352FCC" w:rsidRDefault="00352FCC" w:rsidP="009B644F">
      <w:pPr>
        <w:widowControl/>
        <w:spacing w:after="200" w:line="276" w:lineRule="auto"/>
        <w:contextualSpacing/>
        <w:jc w:val="center"/>
        <w:rPr>
          <w:color w:val="000000"/>
          <w:sz w:val="26"/>
          <w:szCs w:val="26"/>
        </w:rPr>
      </w:pPr>
      <w:r>
        <w:rPr>
          <w:noProof/>
        </w:rPr>
        <w:lastRenderedPageBreak/>
        <w:drawing>
          <wp:inline distT="0" distB="0" distL="0" distR="0" wp14:anchorId="421D0256" wp14:editId="6DEF7368">
            <wp:extent cx="5172075" cy="37188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09942" cy="3746086"/>
                    </a:xfrm>
                    <a:prstGeom prst="rect">
                      <a:avLst/>
                    </a:prstGeom>
                  </pic:spPr>
                </pic:pic>
              </a:graphicData>
            </a:graphic>
          </wp:inline>
        </w:drawing>
      </w:r>
    </w:p>
    <w:p w14:paraId="60F358B5" w14:textId="77777777" w:rsidR="00352FCC" w:rsidRDefault="00352FCC">
      <w:pPr>
        <w:widowControl/>
        <w:spacing w:after="200" w:line="276" w:lineRule="auto"/>
        <w:rPr>
          <w:color w:val="000000"/>
          <w:sz w:val="26"/>
          <w:szCs w:val="26"/>
        </w:rPr>
      </w:pPr>
      <w:r>
        <w:rPr>
          <w:color w:val="000000"/>
          <w:sz w:val="26"/>
          <w:szCs w:val="26"/>
        </w:rPr>
        <w:br w:type="page"/>
      </w:r>
    </w:p>
    <w:p w14:paraId="729F1302" w14:textId="77777777" w:rsidR="00352FCC" w:rsidRDefault="00352FCC" w:rsidP="009B644F">
      <w:pPr>
        <w:widowControl/>
        <w:spacing w:after="200" w:line="276" w:lineRule="auto"/>
        <w:contextualSpacing/>
        <w:jc w:val="center"/>
        <w:rPr>
          <w:color w:val="000000"/>
          <w:sz w:val="26"/>
          <w:szCs w:val="26"/>
        </w:rPr>
      </w:pPr>
      <w:r>
        <w:rPr>
          <w:noProof/>
        </w:rPr>
        <w:lastRenderedPageBreak/>
        <w:drawing>
          <wp:inline distT="0" distB="0" distL="0" distR="0" wp14:anchorId="162B58A4" wp14:editId="17F448CC">
            <wp:extent cx="6151395" cy="713422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936" r="2388"/>
                    <a:stretch/>
                  </pic:blipFill>
                  <pic:spPr bwMode="auto">
                    <a:xfrm>
                      <a:off x="0" y="0"/>
                      <a:ext cx="6214374" cy="7207266"/>
                    </a:xfrm>
                    <a:prstGeom prst="rect">
                      <a:avLst/>
                    </a:prstGeom>
                    <a:ln>
                      <a:noFill/>
                    </a:ln>
                    <a:extLst>
                      <a:ext uri="{53640926-AAD7-44D8-BBD7-CCE9431645EC}">
                        <a14:shadowObscured xmlns:a14="http://schemas.microsoft.com/office/drawing/2010/main"/>
                      </a:ext>
                    </a:extLst>
                  </pic:spPr>
                </pic:pic>
              </a:graphicData>
            </a:graphic>
          </wp:inline>
        </w:drawing>
      </w:r>
    </w:p>
    <w:p w14:paraId="5BA92C36" w14:textId="77777777" w:rsidR="00352FCC" w:rsidRDefault="00352FCC">
      <w:pPr>
        <w:widowControl/>
        <w:spacing w:after="200" w:line="276" w:lineRule="auto"/>
        <w:rPr>
          <w:color w:val="000000"/>
          <w:sz w:val="26"/>
          <w:szCs w:val="26"/>
        </w:rPr>
      </w:pPr>
      <w:r>
        <w:rPr>
          <w:color w:val="000000"/>
          <w:sz w:val="26"/>
          <w:szCs w:val="26"/>
        </w:rPr>
        <w:br w:type="page"/>
      </w:r>
    </w:p>
    <w:p w14:paraId="0411F075" w14:textId="77777777" w:rsidR="00352FCC" w:rsidRDefault="00352FCC" w:rsidP="009B644F">
      <w:pPr>
        <w:widowControl/>
        <w:spacing w:after="200" w:line="276" w:lineRule="auto"/>
        <w:contextualSpacing/>
        <w:jc w:val="center"/>
        <w:rPr>
          <w:color w:val="000000"/>
          <w:sz w:val="26"/>
          <w:szCs w:val="26"/>
        </w:rPr>
      </w:pPr>
      <w:r>
        <w:rPr>
          <w:noProof/>
        </w:rPr>
        <w:lastRenderedPageBreak/>
        <w:drawing>
          <wp:inline distT="0" distB="0" distL="0" distR="0" wp14:anchorId="11997CF3" wp14:editId="485B2AA7">
            <wp:extent cx="6162205" cy="7696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03261" cy="7747476"/>
                    </a:xfrm>
                    <a:prstGeom prst="rect">
                      <a:avLst/>
                    </a:prstGeom>
                  </pic:spPr>
                </pic:pic>
              </a:graphicData>
            </a:graphic>
          </wp:inline>
        </w:drawing>
      </w:r>
    </w:p>
    <w:p w14:paraId="3F426E01" w14:textId="77777777" w:rsidR="00352FCC" w:rsidRDefault="00352FCC">
      <w:pPr>
        <w:widowControl/>
        <w:spacing w:after="200" w:line="276" w:lineRule="auto"/>
        <w:rPr>
          <w:color w:val="000000"/>
          <w:sz w:val="26"/>
          <w:szCs w:val="26"/>
        </w:rPr>
      </w:pPr>
      <w:r>
        <w:rPr>
          <w:color w:val="000000"/>
          <w:sz w:val="26"/>
          <w:szCs w:val="26"/>
        </w:rPr>
        <w:br w:type="page"/>
      </w:r>
    </w:p>
    <w:p w14:paraId="7282EA5C" w14:textId="77777777" w:rsidR="00352FCC" w:rsidRDefault="00352FCC" w:rsidP="009B644F">
      <w:pPr>
        <w:widowControl/>
        <w:spacing w:after="200" w:line="276" w:lineRule="auto"/>
        <w:contextualSpacing/>
        <w:jc w:val="center"/>
        <w:rPr>
          <w:color w:val="000000"/>
          <w:sz w:val="26"/>
          <w:szCs w:val="26"/>
        </w:rPr>
      </w:pPr>
      <w:r>
        <w:rPr>
          <w:noProof/>
        </w:rPr>
        <w:lastRenderedPageBreak/>
        <w:drawing>
          <wp:inline distT="0" distB="0" distL="0" distR="0" wp14:anchorId="6C80213B" wp14:editId="0A87C91A">
            <wp:extent cx="6348373" cy="681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10109" cy="6886221"/>
                    </a:xfrm>
                    <a:prstGeom prst="rect">
                      <a:avLst/>
                    </a:prstGeom>
                  </pic:spPr>
                </pic:pic>
              </a:graphicData>
            </a:graphic>
          </wp:inline>
        </w:drawing>
      </w:r>
    </w:p>
    <w:p w14:paraId="2365CEFF" w14:textId="77777777" w:rsidR="00352FCC" w:rsidRDefault="00352FCC">
      <w:pPr>
        <w:widowControl/>
        <w:spacing w:after="200" w:line="276" w:lineRule="auto"/>
        <w:rPr>
          <w:color w:val="000000"/>
          <w:sz w:val="26"/>
          <w:szCs w:val="26"/>
        </w:rPr>
      </w:pPr>
      <w:r>
        <w:rPr>
          <w:color w:val="000000"/>
          <w:sz w:val="26"/>
          <w:szCs w:val="26"/>
        </w:rPr>
        <w:br w:type="page"/>
      </w:r>
    </w:p>
    <w:p w14:paraId="13C2E4FB" w14:textId="77777777" w:rsidR="00352FCC" w:rsidRDefault="00352FCC" w:rsidP="009B644F">
      <w:pPr>
        <w:widowControl/>
        <w:spacing w:after="200" w:line="276" w:lineRule="auto"/>
        <w:contextualSpacing/>
        <w:jc w:val="center"/>
        <w:rPr>
          <w:color w:val="000000"/>
          <w:sz w:val="26"/>
          <w:szCs w:val="26"/>
        </w:rPr>
      </w:pPr>
      <w:r>
        <w:rPr>
          <w:noProof/>
        </w:rPr>
        <w:lastRenderedPageBreak/>
        <w:drawing>
          <wp:inline distT="0" distB="0" distL="0" distR="0" wp14:anchorId="163A96E1" wp14:editId="60BB0490">
            <wp:extent cx="5923235" cy="823912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24" r="4966"/>
                    <a:stretch/>
                  </pic:blipFill>
                  <pic:spPr bwMode="auto">
                    <a:xfrm>
                      <a:off x="0" y="0"/>
                      <a:ext cx="5999492" cy="8345197"/>
                    </a:xfrm>
                    <a:prstGeom prst="rect">
                      <a:avLst/>
                    </a:prstGeom>
                    <a:ln>
                      <a:noFill/>
                    </a:ln>
                    <a:extLst>
                      <a:ext uri="{53640926-AAD7-44D8-BBD7-CCE9431645EC}">
                        <a14:shadowObscured xmlns:a14="http://schemas.microsoft.com/office/drawing/2010/main"/>
                      </a:ext>
                    </a:extLst>
                  </pic:spPr>
                </pic:pic>
              </a:graphicData>
            </a:graphic>
          </wp:inline>
        </w:drawing>
      </w:r>
    </w:p>
    <w:p w14:paraId="77894ED9" w14:textId="77777777" w:rsidR="00352FCC" w:rsidRDefault="00352FCC" w:rsidP="009B644F">
      <w:pPr>
        <w:widowControl/>
        <w:spacing w:after="200" w:line="276" w:lineRule="auto"/>
        <w:contextualSpacing/>
        <w:jc w:val="center"/>
        <w:rPr>
          <w:color w:val="000000"/>
          <w:sz w:val="26"/>
          <w:szCs w:val="26"/>
        </w:rPr>
      </w:pPr>
      <w:r>
        <w:rPr>
          <w:noProof/>
        </w:rPr>
        <w:lastRenderedPageBreak/>
        <w:drawing>
          <wp:inline distT="0" distB="0" distL="0" distR="0" wp14:anchorId="01AAE574" wp14:editId="14313E27">
            <wp:extent cx="6057658" cy="64389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15" r="3849"/>
                    <a:stretch/>
                  </pic:blipFill>
                  <pic:spPr bwMode="auto">
                    <a:xfrm>
                      <a:off x="0" y="0"/>
                      <a:ext cx="6099171" cy="6483025"/>
                    </a:xfrm>
                    <a:prstGeom prst="rect">
                      <a:avLst/>
                    </a:prstGeom>
                    <a:ln>
                      <a:noFill/>
                    </a:ln>
                    <a:extLst>
                      <a:ext uri="{53640926-AAD7-44D8-BBD7-CCE9431645EC}">
                        <a14:shadowObscured xmlns:a14="http://schemas.microsoft.com/office/drawing/2010/main"/>
                      </a:ext>
                    </a:extLst>
                  </pic:spPr>
                </pic:pic>
              </a:graphicData>
            </a:graphic>
          </wp:inline>
        </w:drawing>
      </w:r>
    </w:p>
    <w:p w14:paraId="69A2C7ED" w14:textId="77777777" w:rsidR="00352FCC" w:rsidRDefault="00352FCC">
      <w:pPr>
        <w:widowControl/>
        <w:spacing w:after="200" w:line="276" w:lineRule="auto"/>
        <w:rPr>
          <w:color w:val="000000"/>
          <w:sz w:val="26"/>
          <w:szCs w:val="26"/>
        </w:rPr>
      </w:pPr>
      <w:r>
        <w:rPr>
          <w:color w:val="000000"/>
          <w:sz w:val="26"/>
          <w:szCs w:val="26"/>
        </w:rPr>
        <w:br w:type="page"/>
      </w:r>
    </w:p>
    <w:p w14:paraId="24DCBAEC" w14:textId="77777777" w:rsidR="00352FCC" w:rsidRDefault="00352FCC" w:rsidP="009B644F">
      <w:pPr>
        <w:widowControl/>
        <w:spacing w:after="200" w:line="276" w:lineRule="auto"/>
        <w:contextualSpacing/>
        <w:jc w:val="center"/>
        <w:rPr>
          <w:color w:val="000000"/>
          <w:sz w:val="26"/>
          <w:szCs w:val="26"/>
        </w:rPr>
      </w:pPr>
      <w:r>
        <w:rPr>
          <w:noProof/>
        </w:rPr>
        <w:lastRenderedPageBreak/>
        <w:drawing>
          <wp:inline distT="0" distB="0" distL="0" distR="0" wp14:anchorId="402A1BB0" wp14:editId="2A74FE4A">
            <wp:extent cx="5905279" cy="58102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609" r="6090"/>
                    <a:stretch/>
                  </pic:blipFill>
                  <pic:spPr bwMode="auto">
                    <a:xfrm>
                      <a:off x="0" y="0"/>
                      <a:ext cx="5930049" cy="5834621"/>
                    </a:xfrm>
                    <a:prstGeom prst="rect">
                      <a:avLst/>
                    </a:prstGeom>
                    <a:ln>
                      <a:noFill/>
                    </a:ln>
                    <a:extLst>
                      <a:ext uri="{53640926-AAD7-44D8-BBD7-CCE9431645EC}">
                        <a14:shadowObscured xmlns:a14="http://schemas.microsoft.com/office/drawing/2010/main"/>
                      </a:ext>
                    </a:extLst>
                  </pic:spPr>
                </pic:pic>
              </a:graphicData>
            </a:graphic>
          </wp:inline>
        </w:drawing>
      </w:r>
    </w:p>
    <w:p w14:paraId="42FBB1D2" w14:textId="77777777" w:rsidR="00352FCC" w:rsidRDefault="00352FCC">
      <w:pPr>
        <w:widowControl/>
        <w:spacing w:after="200" w:line="276" w:lineRule="auto"/>
        <w:rPr>
          <w:color w:val="000000"/>
          <w:sz w:val="26"/>
          <w:szCs w:val="26"/>
        </w:rPr>
      </w:pPr>
      <w:r>
        <w:rPr>
          <w:color w:val="000000"/>
          <w:sz w:val="26"/>
          <w:szCs w:val="26"/>
        </w:rPr>
        <w:br w:type="page"/>
      </w:r>
    </w:p>
    <w:p w14:paraId="4CE1A712" w14:textId="77777777" w:rsidR="00352FCC" w:rsidRDefault="00352FCC" w:rsidP="009B644F">
      <w:pPr>
        <w:widowControl/>
        <w:spacing w:after="200" w:line="276" w:lineRule="auto"/>
        <w:contextualSpacing/>
        <w:jc w:val="center"/>
        <w:rPr>
          <w:color w:val="000000"/>
          <w:sz w:val="26"/>
          <w:szCs w:val="26"/>
        </w:rPr>
      </w:pPr>
      <w:r>
        <w:rPr>
          <w:noProof/>
        </w:rPr>
        <w:lastRenderedPageBreak/>
        <w:drawing>
          <wp:inline distT="0" distB="0" distL="0" distR="0" wp14:anchorId="654C1E12" wp14:editId="342A736E">
            <wp:extent cx="5724525" cy="5478749"/>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70" r="6624"/>
                    <a:stretch/>
                  </pic:blipFill>
                  <pic:spPr bwMode="auto">
                    <a:xfrm>
                      <a:off x="0" y="0"/>
                      <a:ext cx="5744217" cy="5497595"/>
                    </a:xfrm>
                    <a:prstGeom prst="rect">
                      <a:avLst/>
                    </a:prstGeom>
                    <a:ln>
                      <a:noFill/>
                    </a:ln>
                    <a:extLst>
                      <a:ext uri="{53640926-AAD7-44D8-BBD7-CCE9431645EC}">
                        <a14:shadowObscured xmlns:a14="http://schemas.microsoft.com/office/drawing/2010/main"/>
                      </a:ext>
                    </a:extLst>
                  </pic:spPr>
                </pic:pic>
              </a:graphicData>
            </a:graphic>
          </wp:inline>
        </w:drawing>
      </w:r>
    </w:p>
    <w:p w14:paraId="07D338F5" w14:textId="77777777" w:rsidR="00352FCC" w:rsidRDefault="00352FCC">
      <w:pPr>
        <w:widowControl/>
        <w:spacing w:after="200" w:line="276" w:lineRule="auto"/>
        <w:rPr>
          <w:color w:val="000000"/>
          <w:sz w:val="26"/>
          <w:szCs w:val="26"/>
        </w:rPr>
      </w:pPr>
      <w:r>
        <w:rPr>
          <w:color w:val="000000"/>
          <w:sz w:val="26"/>
          <w:szCs w:val="26"/>
        </w:rPr>
        <w:br w:type="page"/>
      </w:r>
    </w:p>
    <w:p w14:paraId="4D3CB332" w14:textId="77777777" w:rsidR="00352FCC" w:rsidRDefault="00352FCC" w:rsidP="009B644F">
      <w:pPr>
        <w:widowControl/>
        <w:spacing w:after="200" w:line="276" w:lineRule="auto"/>
        <w:contextualSpacing/>
        <w:jc w:val="center"/>
        <w:rPr>
          <w:color w:val="000000"/>
          <w:sz w:val="26"/>
          <w:szCs w:val="26"/>
        </w:rPr>
      </w:pPr>
      <w:r>
        <w:rPr>
          <w:noProof/>
        </w:rPr>
        <w:lastRenderedPageBreak/>
        <w:drawing>
          <wp:inline distT="0" distB="0" distL="0" distR="0" wp14:anchorId="5B9B0319" wp14:editId="64D2C280">
            <wp:extent cx="5800274" cy="6867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35899" cy="6909705"/>
                    </a:xfrm>
                    <a:prstGeom prst="rect">
                      <a:avLst/>
                    </a:prstGeom>
                  </pic:spPr>
                </pic:pic>
              </a:graphicData>
            </a:graphic>
          </wp:inline>
        </w:drawing>
      </w:r>
    </w:p>
    <w:p w14:paraId="2CB354BD" w14:textId="77777777" w:rsidR="00352FCC" w:rsidRDefault="00352FCC">
      <w:pPr>
        <w:widowControl/>
        <w:spacing w:after="200" w:line="276" w:lineRule="auto"/>
        <w:rPr>
          <w:color w:val="000000"/>
          <w:sz w:val="26"/>
          <w:szCs w:val="26"/>
        </w:rPr>
      </w:pPr>
      <w:r>
        <w:rPr>
          <w:color w:val="000000"/>
          <w:sz w:val="26"/>
          <w:szCs w:val="26"/>
        </w:rPr>
        <w:br w:type="page"/>
      </w:r>
    </w:p>
    <w:p w14:paraId="76C6ACC0" w14:textId="77777777" w:rsidR="007D2CA9" w:rsidRPr="00E90DE4" w:rsidRDefault="008D6EFD" w:rsidP="009B644F">
      <w:pPr>
        <w:widowControl/>
        <w:spacing w:after="200" w:line="276" w:lineRule="auto"/>
        <w:contextualSpacing/>
        <w:jc w:val="center"/>
        <w:rPr>
          <w:color w:val="000000"/>
          <w:sz w:val="26"/>
          <w:szCs w:val="26"/>
        </w:rPr>
      </w:pPr>
      <w:r>
        <w:rPr>
          <w:noProof/>
        </w:rPr>
        <w:lastRenderedPageBreak/>
        <w:drawing>
          <wp:inline distT="0" distB="0" distL="0" distR="0" wp14:anchorId="047CA256" wp14:editId="3C6C7E0E">
            <wp:extent cx="5862181" cy="629602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82404" cy="6317744"/>
                    </a:xfrm>
                    <a:prstGeom prst="rect">
                      <a:avLst/>
                    </a:prstGeom>
                  </pic:spPr>
                </pic:pic>
              </a:graphicData>
            </a:graphic>
          </wp:inline>
        </w:drawing>
      </w:r>
    </w:p>
    <w:sectPr w:rsidR="007D2CA9" w:rsidRPr="00E90DE4" w:rsidSect="008D6EFD">
      <w:footerReference w:type="first" r:id="rId3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A991F7" w14:textId="77777777" w:rsidR="00B902DB" w:rsidRDefault="00B902DB" w:rsidP="00802EFC">
      <w:r>
        <w:separator/>
      </w:r>
    </w:p>
  </w:endnote>
  <w:endnote w:type="continuationSeparator" w:id="0">
    <w:p w14:paraId="644D64A2" w14:textId="77777777" w:rsidR="00B902DB" w:rsidRDefault="00B902DB" w:rsidP="00802EFC">
      <w:r>
        <w:continuationSeparator/>
      </w:r>
    </w:p>
  </w:endnote>
  <w:endnote w:type="continuationNotice" w:id="1">
    <w:p w14:paraId="7C236324" w14:textId="77777777" w:rsidR="00B902DB" w:rsidRDefault="00B902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6"/>
        <w:szCs w:val="26"/>
      </w:rPr>
      <w:id w:val="184022632"/>
      <w:docPartObj>
        <w:docPartGallery w:val="Page Numbers (Bottom of Page)"/>
        <w:docPartUnique/>
      </w:docPartObj>
    </w:sdtPr>
    <w:sdtEndPr>
      <w:rPr>
        <w:noProof/>
      </w:rPr>
    </w:sdtEndPr>
    <w:sdtContent>
      <w:p w14:paraId="02DBC3BA" w14:textId="77777777" w:rsidR="00790F24" w:rsidRPr="00276890" w:rsidRDefault="00790F24">
        <w:pPr>
          <w:pStyle w:val="Footer"/>
          <w:jc w:val="center"/>
          <w:rPr>
            <w:sz w:val="26"/>
            <w:szCs w:val="26"/>
          </w:rPr>
        </w:pPr>
        <w:r w:rsidRPr="00276890">
          <w:rPr>
            <w:sz w:val="26"/>
            <w:szCs w:val="26"/>
          </w:rPr>
          <w:fldChar w:fldCharType="begin"/>
        </w:r>
        <w:r w:rsidRPr="00276890">
          <w:rPr>
            <w:sz w:val="26"/>
            <w:szCs w:val="26"/>
          </w:rPr>
          <w:instrText xml:space="preserve"> PAGE   \* MERGEFORMAT </w:instrText>
        </w:r>
        <w:r w:rsidRPr="00276890">
          <w:rPr>
            <w:sz w:val="26"/>
            <w:szCs w:val="26"/>
          </w:rPr>
          <w:fldChar w:fldCharType="separate"/>
        </w:r>
        <w:r w:rsidRPr="00276890">
          <w:rPr>
            <w:noProof/>
            <w:sz w:val="26"/>
            <w:szCs w:val="26"/>
          </w:rPr>
          <w:t>2</w:t>
        </w:r>
        <w:r w:rsidRPr="00276890">
          <w:rPr>
            <w:noProof/>
            <w:sz w:val="26"/>
            <w:szCs w:val="26"/>
          </w:rPr>
          <w:fldChar w:fldCharType="end"/>
        </w:r>
      </w:p>
    </w:sdtContent>
  </w:sdt>
  <w:p w14:paraId="43F064CD" w14:textId="77777777" w:rsidR="00790F24" w:rsidRDefault="00790F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5CEF3" w14:textId="77777777" w:rsidR="00790F24" w:rsidRPr="00626063" w:rsidRDefault="00790F24" w:rsidP="00626063">
    <w:pPr>
      <w:pStyle w:val="Footer"/>
      <w:jc w:val="center"/>
      <w:rPr>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6"/>
        <w:szCs w:val="26"/>
      </w:rPr>
      <w:id w:val="1375038563"/>
      <w:docPartObj>
        <w:docPartGallery w:val="Page Numbers (Bottom of Page)"/>
        <w:docPartUnique/>
      </w:docPartObj>
    </w:sdtPr>
    <w:sdtEndPr>
      <w:rPr>
        <w:noProof/>
      </w:rPr>
    </w:sdtEndPr>
    <w:sdtContent>
      <w:p w14:paraId="28418ED7" w14:textId="2F3DC7A6" w:rsidR="00790F24" w:rsidRPr="00E90DE4" w:rsidRDefault="00790F24" w:rsidP="00E90DE4">
        <w:pPr>
          <w:pStyle w:val="Footer"/>
          <w:jc w:val="center"/>
          <w:rPr>
            <w:sz w:val="26"/>
            <w:szCs w:val="26"/>
          </w:rPr>
        </w:pPr>
        <w:r w:rsidRPr="00276890">
          <w:rPr>
            <w:sz w:val="26"/>
            <w:szCs w:val="26"/>
          </w:rPr>
          <w:fldChar w:fldCharType="begin"/>
        </w:r>
        <w:r w:rsidRPr="00276890">
          <w:rPr>
            <w:sz w:val="26"/>
            <w:szCs w:val="26"/>
          </w:rPr>
          <w:instrText xml:space="preserve"> PAGE   \* MERGEFORMAT </w:instrText>
        </w:r>
        <w:r w:rsidRPr="00276890">
          <w:rPr>
            <w:sz w:val="26"/>
            <w:szCs w:val="26"/>
          </w:rPr>
          <w:fldChar w:fldCharType="separate"/>
        </w:r>
        <w:r w:rsidR="00CB1A6A">
          <w:rPr>
            <w:noProof/>
            <w:sz w:val="26"/>
            <w:szCs w:val="26"/>
          </w:rPr>
          <w:t>83</w:t>
        </w:r>
        <w:r w:rsidRPr="00276890">
          <w:rPr>
            <w:noProof/>
            <w:sz w:val="26"/>
            <w:szCs w:val="2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93294"/>
      <w:docPartObj>
        <w:docPartGallery w:val="Page Numbers (Bottom of Page)"/>
        <w:docPartUnique/>
      </w:docPartObj>
    </w:sdtPr>
    <w:sdtEndPr>
      <w:rPr>
        <w:noProof/>
        <w:sz w:val="26"/>
        <w:szCs w:val="26"/>
      </w:rPr>
    </w:sdtEndPr>
    <w:sdtContent>
      <w:p w14:paraId="1E817F4C" w14:textId="2633E31D" w:rsidR="00790F24" w:rsidRPr="00626063" w:rsidRDefault="00790F24" w:rsidP="0078702E">
        <w:pPr>
          <w:pStyle w:val="Footer"/>
          <w:jc w:val="center"/>
          <w:rPr>
            <w:sz w:val="26"/>
            <w:szCs w:val="26"/>
          </w:rPr>
        </w:pPr>
        <w:r w:rsidRPr="00626063">
          <w:rPr>
            <w:sz w:val="26"/>
            <w:szCs w:val="26"/>
          </w:rPr>
          <w:fldChar w:fldCharType="begin"/>
        </w:r>
        <w:r w:rsidRPr="00626063">
          <w:rPr>
            <w:sz w:val="26"/>
            <w:szCs w:val="26"/>
          </w:rPr>
          <w:instrText xml:space="preserve"> PAGE   \* MERGEFORMAT </w:instrText>
        </w:r>
        <w:r w:rsidRPr="00626063">
          <w:rPr>
            <w:sz w:val="26"/>
            <w:szCs w:val="26"/>
          </w:rPr>
          <w:fldChar w:fldCharType="separate"/>
        </w:r>
        <w:r w:rsidR="00CB1A6A">
          <w:rPr>
            <w:noProof/>
            <w:sz w:val="26"/>
            <w:szCs w:val="26"/>
          </w:rPr>
          <w:t>6</w:t>
        </w:r>
        <w:r w:rsidRPr="00626063">
          <w:rPr>
            <w:noProof/>
            <w:sz w:val="26"/>
            <w:szCs w:val="2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BB55A" w14:textId="77777777" w:rsidR="00790F24" w:rsidRPr="008D6EFD" w:rsidRDefault="00790F24" w:rsidP="00626063">
    <w:pPr>
      <w:pStyle w:val="Footer"/>
      <w:jc w:val="center"/>
      <w:rPr>
        <w:sz w:val="26"/>
        <w:szCs w:val="26"/>
      </w:rPr>
    </w:pPr>
    <w:r w:rsidRPr="008D6EFD">
      <w:rPr>
        <w:sz w:val="26"/>
        <w:szCs w:val="2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5D0D2" w14:textId="77777777" w:rsidR="00B902DB" w:rsidRDefault="00B902DB" w:rsidP="00802EFC">
      <w:r>
        <w:separator/>
      </w:r>
    </w:p>
  </w:footnote>
  <w:footnote w:type="continuationSeparator" w:id="0">
    <w:p w14:paraId="0643FAEE" w14:textId="77777777" w:rsidR="00B902DB" w:rsidRDefault="00B902DB" w:rsidP="00802EFC">
      <w:r>
        <w:continuationSeparator/>
      </w:r>
    </w:p>
  </w:footnote>
  <w:footnote w:type="continuationNotice" w:id="1">
    <w:p w14:paraId="4CA9C307" w14:textId="77777777" w:rsidR="00B902DB" w:rsidRDefault="00B902DB"/>
  </w:footnote>
  <w:footnote w:id="2">
    <w:p w14:paraId="738A906C" w14:textId="77777777" w:rsidR="00790F24" w:rsidRPr="00CB55D9" w:rsidRDefault="00790F24" w:rsidP="00CB55D9">
      <w:pPr>
        <w:pStyle w:val="FootnoteText"/>
        <w:keepNext/>
        <w:keepLines/>
        <w:widowControl/>
        <w:spacing w:after="120"/>
        <w:rPr>
          <w:sz w:val="26"/>
          <w:szCs w:val="26"/>
        </w:rPr>
      </w:pPr>
      <w:r w:rsidRPr="00CB55D9">
        <w:rPr>
          <w:sz w:val="26"/>
          <w:szCs w:val="26"/>
        </w:rPr>
        <w:tab/>
      </w:r>
      <w:r w:rsidRPr="00CB55D9">
        <w:rPr>
          <w:rStyle w:val="FootnoteReference"/>
          <w:sz w:val="26"/>
          <w:szCs w:val="26"/>
        </w:rPr>
        <w:footnoteRef/>
      </w:r>
      <w:r w:rsidRPr="00CB55D9">
        <w:rPr>
          <w:sz w:val="26"/>
          <w:szCs w:val="26"/>
        </w:rPr>
        <w:tab/>
        <w:t xml:space="preserve">1 Pa. C.S. § 1922(1), </w:t>
      </w:r>
      <w:r w:rsidRPr="00CB55D9">
        <w:rPr>
          <w:i/>
          <w:sz w:val="26"/>
          <w:szCs w:val="26"/>
        </w:rPr>
        <w:t>PA Financial Responsibility Assigned Claims Plan v. English</w:t>
      </w:r>
      <w:r w:rsidRPr="00CB55D9">
        <w:rPr>
          <w:sz w:val="26"/>
          <w:szCs w:val="26"/>
        </w:rPr>
        <w:t>, 541 Pa. 424, 430-431, 64 A.2d 84, 87 (1995).</w:t>
      </w:r>
    </w:p>
  </w:footnote>
  <w:footnote w:id="3">
    <w:p w14:paraId="25D3637E" w14:textId="77777777" w:rsidR="00790F24" w:rsidRDefault="00790F24" w:rsidP="00C20869">
      <w:pPr>
        <w:pStyle w:val="FootnoteText"/>
        <w:ind w:firstLine="720"/>
      </w:pPr>
      <w:r>
        <w:rPr>
          <w:rStyle w:val="FootnoteReference"/>
        </w:rPr>
        <w:footnoteRef/>
      </w:r>
      <w:r>
        <w:t xml:space="preserve"> </w:t>
      </w:r>
      <w:r>
        <w:tab/>
      </w:r>
      <w:r w:rsidRPr="003F513A">
        <w:rPr>
          <w:sz w:val="26"/>
          <w:szCs w:val="26"/>
        </w:rPr>
        <w:t xml:space="preserve">Although, we identified Revenues and Revenue Requirement as one of the ALJ’s uncontested recommendations, we shall address this issue </w:t>
      </w:r>
      <w:r w:rsidRPr="00E2092C">
        <w:rPr>
          <w:sz w:val="26"/>
          <w:szCs w:val="26"/>
        </w:rPr>
        <w:t>later</w:t>
      </w:r>
      <w:r w:rsidRPr="003F513A">
        <w:rPr>
          <w:sz w:val="26"/>
          <w:szCs w:val="26"/>
        </w:rPr>
        <w:t xml:space="preserve"> due to our modification of the ALJ’s recommendation regarding the amount for the allowance of the Company’s state incom</w:t>
      </w:r>
      <w:r>
        <w:rPr>
          <w:sz w:val="26"/>
          <w:szCs w:val="26"/>
        </w:rPr>
        <w:t>e</w:t>
      </w:r>
      <w:r w:rsidRPr="003F513A">
        <w:rPr>
          <w:sz w:val="26"/>
          <w:szCs w:val="26"/>
        </w:rPr>
        <w:t xml:space="preserve"> taxes.</w:t>
      </w:r>
    </w:p>
  </w:footnote>
  <w:footnote w:id="4">
    <w:p w14:paraId="399C8DC0" w14:textId="77777777" w:rsidR="00790F24" w:rsidRDefault="00790F24" w:rsidP="000D69EB">
      <w:pPr>
        <w:pStyle w:val="FootnoteText"/>
        <w:ind w:firstLine="720"/>
      </w:pPr>
      <w:r w:rsidRPr="003F513A">
        <w:rPr>
          <w:rStyle w:val="FootnoteReference"/>
        </w:rPr>
        <w:footnoteRef/>
      </w:r>
      <w:r w:rsidRPr="003F513A">
        <w:t xml:space="preserve"> </w:t>
      </w:r>
      <w:r>
        <w:tab/>
      </w:r>
      <w:r w:rsidRPr="00DA359B">
        <w:rPr>
          <w:color w:val="000000"/>
          <w:sz w:val="26"/>
          <w:szCs w:val="26"/>
        </w:rPr>
        <w:t xml:space="preserve">In this proceeding, I&amp;E did not challenge the validity of </w:t>
      </w:r>
      <w:r>
        <w:rPr>
          <w:color w:val="000000"/>
          <w:sz w:val="26"/>
          <w:szCs w:val="26"/>
        </w:rPr>
        <w:t>the Company’s original amount claimed as an Acquisition A</w:t>
      </w:r>
      <w:r w:rsidRPr="00DA359B">
        <w:rPr>
          <w:color w:val="000000"/>
          <w:sz w:val="26"/>
          <w:szCs w:val="26"/>
        </w:rPr>
        <w:t>djustment</w:t>
      </w:r>
      <w:r>
        <w:rPr>
          <w:color w:val="000000"/>
          <w:sz w:val="26"/>
          <w:szCs w:val="26"/>
        </w:rPr>
        <w:t xml:space="preserve">.  I&amp;E only contested the proper calculation </w:t>
      </w:r>
      <w:r w:rsidRPr="00DA359B">
        <w:rPr>
          <w:color w:val="000000"/>
          <w:sz w:val="26"/>
          <w:szCs w:val="26"/>
        </w:rPr>
        <w:t>of the adjustment</w:t>
      </w:r>
      <w:r>
        <w:rPr>
          <w:color w:val="000000"/>
          <w:sz w:val="26"/>
          <w:szCs w:val="26"/>
        </w:rPr>
        <w:t xml:space="preserve"> over time</w:t>
      </w:r>
      <w:r w:rsidRPr="00DA359B">
        <w:rPr>
          <w:color w:val="000000"/>
          <w:sz w:val="26"/>
          <w:szCs w:val="26"/>
        </w:rPr>
        <w:t xml:space="preserve">. </w:t>
      </w:r>
      <w:r>
        <w:rPr>
          <w:color w:val="000000"/>
          <w:sz w:val="26"/>
          <w:szCs w:val="26"/>
        </w:rPr>
        <w:t xml:space="preserve"> R.D. at 17 (citing </w:t>
      </w:r>
      <w:r w:rsidRPr="00DA359B">
        <w:rPr>
          <w:color w:val="000000"/>
          <w:sz w:val="26"/>
          <w:szCs w:val="26"/>
        </w:rPr>
        <w:t>I&amp;E M</w:t>
      </w:r>
      <w:r>
        <w:rPr>
          <w:color w:val="000000"/>
          <w:sz w:val="26"/>
          <w:szCs w:val="26"/>
        </w:rPr>
        <w:t>.</w:t>
      </w:r>
      <w:r w:rsidRPr="00DA359B">
        <w:rPr>
          <w:color w:val="000000"/>
          <w:sz w:val="26"/>
          <w:szCs w:val="26"/>
        </w:rPr>
        <w:t>B</w:t>
      </w:r>
      <w:r>
        <w:rPr>
          <w:color w:val="000000"/>
          <w:sz w:val="26"/>
          <w:szCs w:val="26"/>
        </w:rPr>
        <w:t>.</w:t>
      </w:r>
      <w:r w:rsidRPr="00DA359B">
        <w:rPr>
          <w:color w:val="000000"/>
          <w:sz w:val="26"/>
          <w:szCs w:val="26"/>
        </w:rPr>
        <w:t xml:space="preserve"> at 7</w:t>
      </w:r>
      <w:r>
        <w:rPr>
          <w:color w:val="000000"/>
          <w:sz w:val="26"/>
          <w:szCs w:val="26"/>
        </w:rPr>
        <w:t>).</w:t>
      </w:r>
    </w:p>
  </w:footnote>
  <w:footnote w:id="5">
    <w:p w14:paraId="45F6C256" w14:textId="77777777" w:rsidR="00790F24" w:rsidRDefault="00790F24" w:rsidP="004A686D">
      <w:pPr>
        <w:pStyle w:val="FootnoteText"/>
        <w:ind w:firstLine="720"/>
      </w:pPr>
      <w:r w:rsidRPr="00584011">
        <w:rPr>
          <w:rStyle w:val="FootnoteReference"/>
          <w:sz w:val="26"/>
          <w:szCs w:val="26"/>
        </w:rPr>
        <w:footnoteRef/>
      </w:r>
      <w:r w:rsidRPr="00584011">
        <w:rPr>
          <w:sz w:val="26"/>
          <w:szCs w:val="26"/>
        </w:rPr>
        <w:t xml:space="preserve">  </w:t>
      </w:r>
      <w:r w:rsidRPr="00584011">
        <w:rPr>
          <w:sz w:val="26"/>
          <w:szCs w:val="26"/>
        </w:rPr>
        <w:tab/>
      </w:r>
      <w:r w:rsidRPr="00584011">
        <w:rPr>
          <w:i/>
          <w:iCs/>
          <w:sz w:val="26"/>
          <w:szCs w:val="26"/>
        </w:rPr>
        <w:t>See, https://www.revenue.pa.gov/FormsandPublications/FormsforBusinesses/CorporationTax/Documents</w:t>
      </w:r>
      <w:r w:rsidRPr="00A571E2">
        <w:rPr>
          <w:i/>
          <w:iCs/>
          <w:sz w:val="26"/>
          <w:szCs w:val="26"/>
        </w:rPr>
        <w:t>/2018/2018_rev-1200.pdf</w:t>
      </w:r>
      <w:r>
        <w:rPr>
          <w:i/>
          <w:iCs/>
          <w:sz w:val="26"/>
          <w:szCs w:val="26"/>
        </w:rPr>
        <w:t xml:space="preserve">.  </w:t>
      </w:r>
    </w:p>
  </w:footnote>
  <w:footnote w:id="6">
    <w:p w14:paraId="268A30F0" w14:textId="77777777" w:rsidR="00790F24" w:rsidRDefault="00790F24" w:rsidP="004A686D">
      <w:pPr>
        <w:pStyle w:val="FootnoteText"/>
        <w:ind w:firstLine="720"/>
      </w:pPr>
      <w:r w:rsidRPr="003F513A">
        <w:rPr>
          <w:rStyle w:val="FootnoteReference"/>
        </w:rPr>
        <w:footnoteRef/>
      </w:r>
      <w:r w:rsidRPr="003F513A">
        <w:t xml:space="preserve">  </w:t>
      </w:r>
      <w:r>
        <w:tab/>
      </w:r>
      <w:r>
        <w:rPr>
          <w:i/>
          <w:iCs/>
          <w:sz w:val="26"/>
          <w:szCs w:val="26"/>
        </w:rPr>
        <w:t xml:space="preserve">See, </w:t>
      </w:r>
      <w:r w:rsidRPr="00A571E2">
        <w:rPr>
          <w:i/>
          <w:iCs/>
          <w:sz w:val="26"/>
          <w:szCs w:val="26"/>
        </w:rPr>
        <w:t>https://www.revenue.pa.gov/FormsandPublications/FormsforBusinesses/CorporationTax/Documents/2018/2018_rev-1200.pdf</w:t>
      </w:r>
      <w:r>
        <w:rPr>
          <w:i/>
          <w:iCs/>
          <w:sz w:val="26"/>
          <w:szCs w:val="26"/>
        </w:rPr>
        <w:t xml:space="preserve">.  </w:t>
      </w:r>
    </w:p>
  </w:footnote>
  <w:footnote w:id="7">
    <w:p w14:paraId="1E843CE8" w14:textId="77777777" w:rsidR="00790F24" w:rsidRDefault="00790F24" w:rsidP="009F41B2">
      <w:pPr>
        <w:pStyle w:val="ListParagraph"/>
        <w:widowControl/>
        <w:ind w:left="0" w:firstLine="720"/>
      </w:pPr>
      <w:r w:rsidRPr="003F513A">
        <w:rPr>
          <w:rStyle w:val="FootnoteReference"/>
          <w:sz w:val="26"/>
          <w:szCs w:val="26"/>
        </w:rPr>
        <w:footnoteRef/>
      </w:r>
      <w:r w:rsidRPr="003F513A">
        <w:rPr>
          <w:sz w:val="26"/>
          <w:szCs w:val="26"/>
        </w:rPr>
        <w:t xml:space="preserve"> </w:t>
      </w:r>
      <w:r w:rsidRPr="003F513A">
        <w:rPr>
          <w:sz w:val="26"/>
        </w:rPr>
        <w:tab/>
      </w:r>
      <w:r w:rsidRPr="00E90DE4">
        <w:rPr>
          <w:bCs/>
          <w:color w:val="000000"/>
          <w:sz w:val="26"/>
          <w:szCs w:val="26"/>
        </w:rPr>
        <w:t xml:space="preserve">Although </w:t>
      </w:r>
      <w:r>
        <w:rPr>
          <w:bCs/>
          <w:color w:val="000000"/>
          <w:sz w:val="26"/>
          <w:szCs w:val="26"/>
        </w:rPr>
        <w:t xml:space="preserve">Rate of Return was not </w:t>
      </w:r>
      <w:r w:rsidRPr="00E90DE4">
        <w:rPr>
          <w:bCs/>
          <w:color w:val="000000"/>
          <w:sz w:val="26"/>
          <w:szCs w:val="26"/>
        </w:rPr>
        <w:t xml:space="preserve">raised directly by </w:t>
      </w:r>
      <w:r>
        <w:rPr>
          <w:bCs/>
          <w:color w:val="000000"/>
          <w:sz w:val="26"/>
          <w:szCs w:val="26"/>
        </w:rPr>
        <w:t xml:space="preserve">the </w:t>
      </w:r>
      <w:r w:rsidRPr="00E90DE4">
        <w:rPr>
          <w:bCs/>
          <w:color w:val="000000"/>
          <w:sz w:val="26"/>
          <w:szCs w:val="26"/>
        </w:rPr>
        <w:t xml:space="preserve">Exceptions </w:t>
      </w:r>
      <w:r>
        <w:rPr>
          <w:bCs/>
          <w:color w:val="000000"/>
          <w:sz w:val="26"/>
          <w:szCs w:val="26"/>
        </w:rPr>
        <w:t xml:space="preserve">and Replies regarding </w:t>
      </w:r>
      <w:r w:rsidRPr="00E90DE4">
        <w:rPr>
          <w:bCs/>
          <w:color w:val="000000"/>
          <w:sz w:val="26"/>
          <w:szCs w:val="26"/>
        </w:rPr>
        <w:t>Quality of Service and Affordability of Rates</w:t>
      </w:r>
      <w:r>
        <w:rPr>
          <w:bCs/>
          <w:color w:val="000000"/>
          <w:sz w:val="26"/>
          <w:szCs w:val="26"/>
        </w:rPr>
        <w:t xml:space="preserve">, </w:t>
      </w:r>
      <w:r w:rsidRPr="00DE1928">
        <w:rPr>
          <w:bCs/>
          <w:i/>
          <w:iCs/>
          <w:color w:val="000000"/>
          <w:sz w:val="26"/>
          <w:szCs w:val="26"/>
        </w:rPr>
        <w:t>infra</w:t>
      </w:r>
      <w:r w:rsidRPr="00E90DE4">
        <w:rPr>
          <w:bCs/>
          <w:color w:val="000000"/>
          <w:sz w:val="26"/>
          <w:szCs w:val="26"/>
        </w:rPr>
        <w:t xml:space="preserve">., the question of the appropriate calculation of the </w:t>
      </w:r>
      <w:r>
        <w:rPr>
          <w:bCs/>
          <w:color w:val="000000"/>
          <w:sz w:val="26"/>
          <w:szCs w:val="26"/>
        </w:rPr>
        <w:t xml:space="preserve">overall </w:t>
      </w:r>
      <w:r w:rsidRPr="00E90DE4">
        <w:rPr>
          <w:bCs/>
          <w:color w:val="000000"/>
          <w:sz w:val="26"/>
          <w:szCs w:val="26"/>
        </w:rPr>
        <w:t xml:space="preserve">Rate of Return based </w:t>
      </w:r>
      <w:r w:rsidRPr="00705128">
        <w:rPr>
          <w:bCs/>
          <w:color w:val="000000"/>
          <w:sz w:val="26"/>
          <w:szCs w:val="26"/>
        </w:rPr>
        <w:t xml:space="preserve">on </w:t>
      </w:r>
      <w:r>
        <w:rPr>
          <w:bCs/>
          <w:color w:val="000000"/>
          <w:sz w:val="26"/>
          <w:szCs w:val="26"/>
        </w:rPr>
        <w:t xml:space="preserve">the assigned COE </w:t>
      </w:r>
      <w:r w:rsidRPr="00E90DE4">
        <w:rPr>
          <w:bCs/>
          <w:color w:val="000000"/>
          <w:sz w:val="26"/>
          <w:szCs w:val="26"/>
        </w:rPr>
        <w:t xml:space="preserve">arises by implication where the Exceptions and Replies pertain to factors considered by the ALJ in rendering her recommendation on </w:t>
      </w:r>
      <w:r>
        <w:rPr>
          <w:bCs/>
          <w:color w:val="000000"/>
          <w:sz w:val="26"/>
          <w:szCs w:val="26"/>
        </w:rPr>
        <w:t xml:space="preserve">COE to yield an overall reasonable rate of return, included quality of service and affordability of rates. </w:t>
      </w:r>
      <w:r w:rsidRPr="00E90DE4">
        <w:rPr>
          <w:bCs/>
          <w:color w:val="000000"/>
          <w:sz w:val="26"/>
          <w:szCs w:val="26"/>
        </w:rPr>
        <w:t xml:space="preserve"> Therefore, to the extent the Exceptions and Replies</w:t>
      </w:r>
      <w:r>
        <w:rPr>
          <w:bCs/>
          <w:color w:val="000000"/>
          <w:sz w:val="26"/>
          <w:szCs w:val="26"/>
        </w:rPr>
        <w:t xml:space="preserve">, </w:t>
      </w:r>
      <w:r w:rsidRPr="00425CFF">
        <w:rPr>
          <w:bCs/>
          <w:i/>
          <w:iCs/>
          <w:color w:val="000000"/>
          <w:sz w:val="26"/>
          <w:szCs w:val="26"/>
        </w:rPr>
        <w:t>infra</w:t>
      </w:r>
      <w:r>
        <w:rPr>
          <w:bCs/>
          <w:color w:val="000000"/>
          <w:sz w:val="26"/>
          <w:szCs w:val="26"/>
        </w:rPr>
        <w:t xml:space="preserve">., </w:t>
      </w:r>
      <w:r w:rsidRPr="00E90DE4">
        <w:rPr>
          <w:bCs/>
          <w:color w:val="000000"/>
          <w:sz w:val="26"/>
          <w:szCs w:val="26"/>
        </w:rPr>
        <w:t xml:space="preserve">implicate the appropriate calculation of </w:t>
      </w:r>
      <w:r>
        <w:rPr>
          <w:bCs/>
          <w:color w:val="000000"/>
          <w:sz w:val="26"/>
          <w:szCs w:val="26"/>
        </w:rPr>
        <w:t xml:space="preserve">COE, </w:t>
      </w:r>
      <w:r w:rsidRPr="00E90DE4">
        <w:rPr>
          <w:bCs/>
          <w:color w:val="000000"/>
          <w:sz w:val="26"/>
          <w:szCs w:val="26"/>
        </w:rPr>
        <w:t xml:space="preserve">we shall address the issue </w:t>
      </w:r>
      <w:r>
        <w:rPr>
          <w:bCs/>
          <w:color w:val="000000"/>
          <w:sz w:val="26"/>
          <w:szCs w:val="26"/>
        </w:rPr>
        <w:t>in</w:t>
      </w:r>
      <w:r w:rsidRPr="00E90DE4">
        <w:rPr>
          <w:bCs/>
          <w:color w:val="000000"/>
          <w:sz w:val="26"/>
          <w:szCs w:val="26"/>
        </w:rPr>
        <w:t xml:space="preserve"> the context of our disposition of the Exception and Replies</w:t>
      </w:r>
      <w:r>
        <w:rPr>
          <w:bCs/>
          <w:color w:val="000000"/>
          <w:sz w:val="26"/>
          <w:szCs w:val="26"/>
        </w:rPr>
        <w:t xml:space="preserve">. </w:t>
      </w:r>
      <w:r w:rsidRPr="00E90DE4">
        <w:rPr>
          <w:bCs/>
          <w:color w:val="000000"/>
          <w:sz w:val="26"/>
          <w:szCs w:val="26"/>
        </w:rPr>
        <w:t xml:space="preserve"> </w:t>
      </w:r>
    </w:p>
  </w:footnote>
  <w:footnote w:id="8">
    <w:p w14:paraId="52216254" w14:textId="77777777" w:rsidR="00790F24" w:rsidRPr="00C9313E" w:rsidRDefault="00790F24" w:rsidP="00C9313E">
      <w:pPr>
        <w:pStyle w:val="FootnoteText"/>
        <w:ind w:firstLine="720"/>
        <w:rPr>
          <w:sz w:val="26"/>
          <w:szCs w:val="26"/>
        </w:rPr>
      </w:pPr>
      <w:r w:rsidRPr="00093751">
        <w:rPr>
          <w:rStyle w:val="FootnoteReference"/>
          <w:sz w:val="26"/>
          <w:szCs w:val="26"/>
        </w:rPr>
        <w:footnoteRef/>
      </w:r>
      <w:r w:rsidRPr="00093751">
        <w:rPr>
          <w:sz w:val="26"/>
          <w:szCs w:val="26"/>
        </w:rPr>
        <w:t xml:space="preserve"> </w:t>
      </w:r>
      <w:r w:rsidRPr="00093751">
        <w:rPr>
          <w:sz w:val="26"/>
          <w:szCs w:val="26"/>
        </w:rPr>
        <w:tab/>
      </w:r>
      <w:r w:rsidRPr="003F513A">
        <w:rPr>
          <w:i/>
          <w:sz w:val="26"/>
          <w:szCs w:val="26"/>
        </w:rPr>
        <w:t>See</w:t>
      </w:r>
      <w:r w:rsidRPr="003F513A">
        <w:rPr>
          <w:sz w:val="26"/>
        </w:rPr>
        <w:t>,</w:t>
      </w:r>
      <w:r w:rsidRPr="00093751">
        <w:rPr>
          <w:sz w:val="26"/>
          <w:szCs w:val="26"/>
        </w:rPr>
        <w:t xml:space="preserve"> R.D. 55-68, 65-73 (ALJ’s summary of I&amp;E’s and OCA’s expert testimony regarding</w:t>
      </w:r>
      <w:r w:rsidRPr="00C9313E">
        <w:rPr>
          <w:sz w:val="26"/>
          <w:szCs w:val="26"/>
        </w:rPr>
        <w:t xml:space="preserve"> a market-based analysis of COE). </w:t>
      </w:r>
    </w:p>
  </w:footnote>
  <w:footnote w:id="9">
    <w:p w14:paraId="65C60662" w14:textId="77777777" w:rsidR="00790F24" w:rsidRPr="00EA0A47" w:rsidRDefault="00790F24" w:rsidP="00196F5C">
      <w:pPr>
        <w:pStyle w:val="FootnoteText"/>
        <w:keepLines/>
        <w:ind w:firstLine="720"/>
        <w:rPr>
          <w:sz w:val="26"/>
          <w:szCs w:val="26"/>
        </w:rPr>
      </w:pPr>
      <w:r w:rsidRPr="00F64855">
        <w:rPr>
          <w:rStyle w:val="FootnoteReference"/>
          <w:sz w:val="26"/>
          <w:szCs w:val="26"/>
        </w:rPr>
        <w:footnoteRef/>
      </w:r>
      <w:r w:rsidRPr="00F64855">
        <w:rPr>
          <w:sz w:val="26"/>
          <w:szCs w:val="26"/>
        </w:rPr>
        <w:t xml:space="preserve"> </w:t>
      </w:r>
      <w:r w:rsidRPr="00F64855">
        <w:rPr>
          <w:sz w:val="26"/>
          <w:szCs w:val="26"/>
        </w:rPr>
        <w:tab/>
        <w:t>I&amp;E M.B. at</w:t>
      </w:r>
      <w:r>
        <w:rPr>
          <w:sz w:val="26"/>
          <w:szCs w:val="26"/>
        </w:rPr>
        <w:t xml:space="preserve"> </w:t>
      </w:r>
      <w:r w:rsidRPr="00F64855">
        <w:rPr>
          <w:sz w:val="26"/>
          <w:szCs w:val="26"/>
        </w:rPr>
        <w:t>53 (citing United States Environmental Protection Agency. “Guidance: Coordinating</w:t>
      </w:r>
      <w:r w:rsidRPr="00EA0A47">
        <w:rPr>
          <w:sz w:val="26"/>
          <w:szCs w:val="26"/>
        </w:rPr>
        <w:t xml:space="preserve"> CSO Long-term Planning with Water Quality Standards Reviews.” pp. 31-32 (July 2001), </w:t>
      </w:r>
      <w:r w:rsidRPr="00EA0A47">
        <w:rPr>
          <w:i/>
          <w:iCs/>
          <w:sz w:val="26"/>
          <w:szCs w:val="26"/>
        </w:rPr>
        <w:t>available at</w:t>
      </w:r>
      <w:r w:rsidRPr="00EA0A47">
        <w:rPr>
          <w:sz w:val="26"/>
          <w:szCs w:val="26"/>
        </w:rPr>
        <w:t xml:space="preserve"> https://www3.epa.gov/npdes/pubs/wqs_guide_final.pdf.)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2E8A"/>
    <w:multiLevelType w:val="singleLevel"/>
    <w:tmpl w:val="5799261C"/>
    <w:lvl w:ilvl="0">
      <w:numFmt w:val="bullet"/>
      <w:lvlText w:val="·"/>
      <w:lvlJc w:val="left"/>
      <w:pPr>
        <w:tabs>
          <w:tab w:val="num" w:pos="720"/>
        </w:tabs>
        <w:ind w:left="720" w:hanging="360"/>
      </w:pPr>
      <w:rPr>
        <w:rFonts w:ascii="Symbol" w:hAnsi="Symbol" w:cs="Symbol"/>
        <w:b/>
        <w:bCs/>
        <w:snapToGrid/>
        <w:spacing w:val="-3"/>
        <w:sz w:val="22"/>
        <w:szCs w:val="22"/>
      </w:rPr>
    </w:lvl>
  </w:abstractNum>
  <w:abstractNum w:abstractNumId="1" w15:restartNumberingAfterBreak="0">
    <w:nsid w:val="0387C476"/>
    <w:multiLevelType w:val="singleLevel"/>
    <w:tmpl w:val="1BAADED6"/>
    <w:lvl w:ilvl="0">
      <w:start w:val="1"/>
      <w:numFmt w:val="decimal"/>
      <w:lvlText w:val="%1."/>
      <w:lvlJc w:val="left"/>
      <w:pPr>
        <w:tabs>
          <w:tab w:val="num" w:pos="1368"/>
        </w:tabs>
        <w:ind w:left="1368" w:hanging="360"/>
      </w:pPr>
      <w:rPr>
        <w:b/>
        <w:bCs/>
        <w:snapToGrid/>
        <w:sz w:val="32"/>
        <w:szCs w:val="32"/>
      </w:rPr>
    </w:lvl>
  </w:abstractNum>
  <w:abstractNum w:abstractNumId="2" w15:restartNumberingAfterBreak="0">
    <w:nsid w:val="039E64FA"/>
    <w:multiLevelType w:val="hybridMultilevel"/>
    <w:tmpl w:val="40A0CC4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 w15:restartNumberingAfterBreak="0">
    <w:nsid w:val="059839AB"/>
    <w:multiLevelType w:val="singleLevel"/>
    <w:tmpl w:val="12FBA5A4"/>
    <w:lvl w:ilvl="0">
      <w:start w:val="1"/>
      <w:numFmt w:val="decimal"/>
      <w:lvlText w:val="%1."/>
      <w:lvlJc w:val="left"/>
      <w:pPr>
        <w:tabs>
          <w:tab w:val="num" w:pos="2304"/>
        </w:tabs>
        <w:ind w:left="2304" w:hanging="360"/>
      </w:pPr>
      <w:rPr>
        <w:b/>
        <w:bCs/>
        <w:snapToGrid/>
        <w:sz w:val="31"/>
        <w:szCs w:val="31"/>
      </w:rPr>
    </w:lvl>
  </w:abstractNum>
  <w:abstractNum w:abstractNumId="4" w15:restartNumberingAfterBreak="0">
    <w:nsid w:val="05D9F18F"/>
    <w:multiLevelType w:val="singleLevel"/>
    <w:tmpl w:val="753837B7"/>
    <w:lvl w:ilvl="0">
      <w:start w:val="1"/>
      <w:numFmt w:val="decimal"/>
      <w:lvlText w:val="%1."/>
      <w:lvlJc w:val="left"/>
      <w:pPr>
        <w:tabs>
          <w:tab w:val="num" w:pos="2232"/>
        </w:tabs>
        <w:ind w:left="2232" w:hanging="288"/>
      </w:pPr>
      <w:rPr>
        <w:b/>
        <w:bCs/>
        <w:snapToGrid/>
        <w:sz w:val="31"/>
        <w:szCs w:val="31"/>
      </w:rPr>
    </w:lvl>
  </w:abstractNum>
  <w:abstractNum w:abstractNumId="5" w15:restartNumberingAfterBreak="0">
    <w:nsid w:val="060DD030"/>
    <w:multiLevelType w:val="singleLevel"/>
    <w:tmpl w:val="6495BD55"/>
    <w:lvl w:ilvl="0">
      <w:start w:val="1"/>
      <w:numFmt w:val="decimal"/>
      <w:lvlText w:val="%1."/>
      <w:lvlJc w:val="left"/>
      <w:pPr>
        <w:tabs>
          <w:tab w:val="num" w:pos="2232"/>
        </w:tabs>
        <w:ind w:left="2232" w:hanging="288"/>
      </w:pPr>
      <w:rPr>
        <w:b/>
        <w:bCs/>
        <w:snapToGrid/>
        <w:sz w:val="31"/>
        <w:szCs w:val="31"/>
      </w:rPr>
    </w:lvl>
  </w:abstractNum>
  <w:abstractNum w:abstractNumId="6" w15:restartNumberingAfterBreak="0">
    <w:nsid w:val="0634C365"/>
    <w:multiLevelType w:val="singleLevel"/>
    <w:tmpl w:val="64A27804"/>
    <w:lvl w:ilvl="0">
      <w:start w:val="1"/>
      <w:numFmt w:val="decimal"/>
      <w:lvlText w:val="%1."/>
      <w:lvlJc w:val="left"/>
      <w:pPr>
        <w:tabs>
          <w:tab w:val="num" w:pos="1368"/>
        </w:tabs>
        <w:ind w:left="1368" w:hanging="360"/>
      </w:pPr>
      <w:rPr>
        <w:b/>
        <w:bCs/>
        <w:snapToGrid/>
        <w:sz w:val="32"/>
        <w:szCs w:val="32"/>
      </w:rPr>
    </w:lvl>
  </w:abstractNum>
  <w:abstractNum w:abstractNumId="7" w15:restartNumberingAfterBreak="0">
    <w:nsid w:val="07A52282"/>
    <w:multiLevelType w:val="singleLevel"/>
    <w:tmpl w:val="6397ED10"/>
    <w:lvl w:ilvl="0">
      <w:start w:val="1"/>
      <w:numFmt w:val="decimal"/>
      <w:lvlText w:val="%1."/>
      <w:lvlJc w:val="left"/>
      <w:pPr>
        <w:tabs>
          <w:tab w:val="num" w:pos="2232"/>
        </w:tabs>
        <w:ind w:left="2232" w:hanging="288"/>
      </w:pPr>
      <w:rPr>
        <w:b/>
        <w:bCs/>
        <w:snapToGrid/>
        <w:sz w:val="31"/>
        <w:szCs w:val="31"/>
      </w:rPr>
    </w:lvl>
  </w:abstractNum>
  <w:abstractNum w:abstractNumId="8" w15:restartNumberingAfterBreak="0">
    <w:nsid w:val="08F00EBF"/>
    <w:multiLevelType w:val="hybridMultilevel"/>
    <w:tmpl w:val="F23222E4"/>
    <w:lvl w:ilvl="0" w:tplc="BE2E974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31001A0"/>
    <w:multiLevelType w:val="hybridMultilevel"/>
    <w:tmpl w:val="60FC11E8"/>
    <w:lvl w:ilvl="0" w:tplc="04090015">
      <w:start w:val="1"/>
      <w:numFmt w:val="upperLetter"/>
      <w:lvlText w:val="%1."/>
      <w:lvlJc w:val="left"/>
      <w:pPr>
        <w:ind w:left="360" w:hanging="360"/>
      </w:pPr>
      <w:rPr>
        <w:rFonts w:hint="default"/>
      </w:rPr>
    </w:lvl>
    <w:lvl w:ilvl="1" w:tplc="3B32796C">
      <w:start w:val="1"/>
      <w:numFmt w:val="decimal"/>
      <w:lvlText w:val="%2."/>
      <w:lvlJc w:val="left"/>
      <w:pPr>
        <w:ind w:left="1800" w:hanging="720"/>
      </w:pPr>
      <w:rPr>
        <w:rFonts w:hint="default"/>
      </w:rPr>
    </w:lvl>
    <w:lvl w:ilvl="2" w:tplc="0409001B">
      <w:start w:val="1"/>
      <w:numFmt w:val="lowerRoman"/>
      <w:lvlText w:val="%3."/>
      <w:lvlJc w:val="right"/>
      <w:pPr>
        <w:ind w:left="2160" w:hanging="180"/>
      </w:pPr>
    </w:lvl>
    <w:lvl w:ilvl="3" w:tplc="5DD4E08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74599A"/>
    <w:multiLevelType w:val="hybridMultilevel"/>
    <w:tmpl w:val="239C89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926EB5"/>
    <w:multiLevelType w:val="hybridMultilevel"/>
    <w:tmpl w:val="E35CDFC6"/>
    <w:lvl w:ilvl="0" w:tplc="70D6435E">
      <w:start w:val="1"/>
      <w:numFmt w:val="upperRoman"/>
      <w:pStyle w:val="Heading1"/>
      <w:lvlText w:val="%1."/>
      <w:lvlJc w:val="left"/>
      <w:pPr>
        <w:ind w:left="108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3B5F2F"/>
    <w:multiLevelType w:val="hybridMultilevel"/>
    <w:tmpl w:val="5A4C6B00"/>
    <w:lvl w:ilvl="0" w:tplc="85C67142">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0141AB"/>
    <w:multiLevelType w:val="hybridMultilevel"/>
    <w:tmpl w:val="1B748C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E857C59"/>
    <w:multiLevelType w:val="hybridMultilevel"/>
    <w:tmpl w:val="025E314A"/>
    <w:lvl w:ilvl="0" w:tplc="0409000F">
      <w:start w:val="1"/>
      <w:numFmt w:val="decimal"/>
      <w:lvlText w:val="%1."/>
      <w:lvlJc w:val="left"/>
      <w:pPr>
        <w:ind w:left="3240" w:hanging="360"/>
      </w:pPr>
    </w:lvl>
    <w:lvl w:ilvl="1" w:tplc="0409000F">
      <w:start w:val="1"/>
      <w:numFmt w:val="decimal"/>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 w15:restartNumberingAfterBreak="0">
    <w:nsid w:val="51980C53"/>
    <w:multiLevelType w:val="hybridMultilevel"/>
    <w:tmpl w:val="3D7ADC02"/>
    <w:lvl w:ilvl="0" w:tplc="526A4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7D19D0"/>
    <w:multiLevelType w:val="hybridMultilevel"/>
    <w:tmpl w:val="E098C908"/>
    <w:lvl w:ilvl="0" w:tplc="492CA6C8">
      <w:start w:val="1"/>
      <w:numFmt w:val="upperLetter"/>
      <w:lvlText w:val="%1."/>
      <w:lvlJc w:val="left"/>
      <w:pPr>
        <w:ind w:left="360"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7" w15:restartNumberingAfterBreak="0">
    <w:nsid w:val="6E951945"/>
    <w:multiLevelType w:val="hybridMultilevel"/>
    <w:tmpl w:val="C87CC94E"/>
    <w:lvl w:ilvl="0" w:tplc="39945A96">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D614B76"/>
    <w:multiLevelType w:val="hybridMultilevel"/>
    <w:tmpl w:val="4D284F40"/>
    <w:lvl w:ilvl="0" w:tplc="3C7E160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7E195F1C"/>
    <w:multiLevelType w:val="hybridMultilevel"/>
    <w:tmpl w:val="06B464B6"/>
    <w:lvl w:ilvl="0" w:tplc="1624DE0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7F023CF3"/>
    <w:multiLevelType w:val="hybridMultilevel"/>
    <w:tmpl w:val="C3A4F102"/>
    <w:lvl w:ilvl="0" w:tplc="9A7ACA32">
      <w:start w:val="1"/>
      <w:numFmt w:val="upperRoman"/>
      <w:lvlText w:val="%1."/>
      <w:lvlJc w:val="left"/>
      <w:pPr>
        <w:ind w:left="7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1"/>
  </w:num>
  <w:num w:numId="2">
    <w:abstractNumId w:val="20"/>
  </w:num>
  <w:num w:numId="3">
    <w:abstractNumId w:val="16"/>
  </w:num>
  <w:num w:numId="4">
    <w:abstractNumId w:val="9"/>
  </w:num>
  <w:num w:numId="5">
    <w:abstractNumId w:val="19"/>
  </w:num>
  <w:num w:numId="6">
    <w:abstractNumId w:val="14"/>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8"/>
  </w:num>
  <w:num w:numId="10">
    <w:abstractNumId w:val="15"/>
  </w:num>
  <w:num w:numId="11">
    <w:abstractNumId w:val="10"/>
  </w:num>
  <w:num w:numId="12">
    <w:abstractNumId w:val="5"/>
  </w:num>
  <w:num w:numId="13">
    <w:abstractNumId w:val="5"/>
    <w:lvlOverride w:ilvl="0">
      <w:lvl w:ilvl="0">
        <w:numFmt w:val="decimal"/>
        <w:lvlText w:val="%1."/>
        <w:lvlJc w:val="left"/>
        <w:pPr>
          <w:tabs>
            <w:tab w:val="num" w:pos="2232"/>
          </w:tabs>
          <w:ind w:left="2304" w:hanging="360"/>
        </w:pPr>
        <w:rPr>
          <w:b/>
          <w:bCs/>
          <w:snapToGrid/>
          <w:sz w:val="31"/>
          <w:szCs w:val="31"/>
        </w:rPr>
      </w:lvl>
    </w:lvlOverride>
  </w:num>
  <w:num w:numId="14">
    <w:abstractNumId w:val="3"/>
  </w:num>
  <w:num w:numId="15">
    <w:abstractNumId w:val="3"/>
    <w:lvlOverride w:ilvl="0">
      <w:lvl w:ilvl="0">
        <w:numFmt w:val="decimal"/>
        <w:lvlText w:val="%1."/>
        <w:lvlJc w:val="left"/>
        <w:pPr>
          <w:tabs>
            <w:tab w:val="num" w:pos="2304"/>
          </w:tabs>
          <w:ind w:left="1656" w:firstLine="288"/>
        </w:pPr>
        <w:rPr>
          <w:b/>
          <w:bCs/>
          <w:snapToGrid/>
          <w:spacing w:val="-6"/>
          <w:sz w:val="31"/>
          <w:szCs w:val="31"/>
        </w:rPr>
      </w:lvl>
    </w:lvlOverride>
  </w:num>
  <w:num w:numId="16">
    <w:abstractNumId w:val="4"/>
  </w:num>
  <w:num w:numId="17">
    <w:abstractNumId w:val="7"/>
  </w:num>
  <w:num w:numId="18">
    <w:abstractNumId w:val="6"/>
  </w:num>
  <w:num w:numId="19">
    <w:abstractNumId w:val="1"/>
  </w:num>
  <w:num w:numId="20">
    <w:abstractNumId w:val="0"/>
  </w:num>
  <w:num w:numId="21">
    <w:abstractNumId w:val="0"/>
    <w:lvlOverride w:ilvl="0">
      <w:lvl w:ilvl="0">
        <w:numFmt w:val="bullet"/>
        <w:lvlText w:val="·"/>
        <w:lvlJc w:val="left"/>
        <w:pPr>
          <w:tabs>
            <w:tab w:val="num" w:pos="648"/>
          </w:tabs>
          <w:ind w:left="648" w:hanging="288"/>
        </w:pPr>
        <w:rPr>
          <w:rFonts w:ascii="Symbol" w:hAnsi="Symbol" w:cs="Symbol"/>
          <w:b/>
          <w:bCs/>
          <w:snapToGrid/>
          <w:spacing w:val="-7"/>
          <w:sz w:val="23"/>
          <w:szCs w:val="23"/>
        </w:rPr>
      </w:lvl>
    </w:lvlOverride>
  </w:num>
  <w:num w:numId="22">
    <w:abstractNumId w:val="17"/>
  </w:num>
  <w:num w:numId="23">
    <w:abstractNumId w:val="8"/>
  </w:num>
  <w:num w:numId="24">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185"/>
    <w:rsid w:val="00001A88"/>
    <w:rsid w:val="00001DBE"/>
    <w:rsid w:val="00002BB3"/>
    <w:rsid w:val="000039C1"/>
    <w:rsid w:val="00004711"/>
    <w:rsid w:val="00005679"/>
    <w:rsid w:val="00010B43"/>
    <w:rsid w:val="000175A9"/>
    <w:rsid w:val="000204F2"/>
    <w:rsid w:val="000216D8"/>
    <w:rsid w:val="000219FB"/>
    <w:rsid w:val="0002239F"/>
    <w:rsid w:val="0002485A"/>
    <w:rsid w:val="00026151"/>
    <w:rsid w:val="000266DB"/>
    <w:rsid w:val="00027389"/>
    <w:rsid w:val="00027AB8"/>
    <w:rsid w:val="000305C8"/>
    <w:rsid w:val="00032A04"/>
    <w:rsid w:val="00033B76"/>
    <w:rsid w:val="00034759"/>
    <w:rsid w:val="00034E82"/>
    <w:rsid w:val="000362A3"/>
    <w:rsid w:val="00041579"/>
    <w:rsid w:val="00042FE7"/>
    <w:rsid w:val="00043ECA"/>
    <w:rsid w:val="00045507"/>
    <w:rsid w:val="00046BA0"/>
    <w:rsid w:val="00047E5C"/>
    <w:rsid w:val="000507CB"/>
    <w:rsid w:val="000514D9"/>
    <w:rsid w:val="00053A1E"/>
    <w:rsid w:val="000557C8"/>
    <w:rsid w:val="0005647C"/>
    <w:rsid w:val="000579A3"/>
    <w:rsid w:val="00063457"/>
    <w:rsid w:val="00063C56"/>
    <w:rsid w:val="0006421E"/>
    <w:rsid w:val="00065276"/>
    <w:rsid w:val="00065517"/>
    <w:rsid w:val="0007037D"/>
    <w:rsid w:val="00072492"/>
    <w:rsid w:val="000726CB"/>
    <w:rsid w:val="00074156"/>
    <w:rsid w:val="000752A5"/>
    <w:rsid w:val="00076991"/>
    <w:rsid w:val="00077C4E"/>
    <w:rsid w:val="00081A2B"/>
    <w:rsid w:val="0008264E"/>
    <w:rsid w:val="00083C52"/>
    <w:rsid w:val="00084CF2"/>
    <w:rsid w:val="00087925"/>
    <w:rsid w:val="0009107D"/>
    <w:rsid w:val="00091450"/>
    <w:rsid w:val="00092B1D"/>
    <w:rsid w:val="00092B99"/>
    <w:rsid w:val="00093751"/>
    <w:rsid w:val="000937EE"/>
    <w:rsid w:val="00097535"/>
    <w:rsid w:val="000A00B7"/>
    <w:rsid w:val="000A0F42"/>
    <w:rsid w:val="000A25E2"/>
    <w:rsid w:val="000A262A"/>
    <w:rsid w:val="000A34C1"/>
    <w:rsid w:val="000A4980"/>
    <w:rsid w:val="000A56C7"/>
    <w:rsid w:val="000A5BA9"/>
    <w:rsid w:val="000A69B4"/>
    <w:rsid w:val="000B0264"/>
    <w:rsid w:val="000B119E"/>
    <w:rsid w:val="000B11A3"/>
    <w:rsid w:val="000B2291"/>
    <w:rsid w:val="000B39E5"/>
    <w:rsid w:val="000B3A3D"/>
    <w:rsid w:val="000B54BC"/>
    <w:rsid w:val="000B6450"/>
    <w:rsid w:val="000D16A1"/>
    <w:rsid w:val="000D25DB"/>
    <w:rsid w:val="000D6054"/>
    <w:rsid w:val="000D69EB"/>
    <w:rsid w:val="000D6A75"/>
    <w:rsid w:val="000D6E7B"/>
    <w:rsid w:val="000D6EBB"/>
    <w:rsid w:val="000D7074"/>
    <w:rsid w:val="000D7C90"/>
    <w:rsid w:val="000E12BF"/>
    <w:rsid w:val="000E151D"/>
    <w:rsid w:val="000E540C"/>
    <w:rsid w:val="000E7F25"/>
    <w:rsid w:val="000F05FB"/>
    <w:rsid w:val="000F11DC"/>
    <w:rsid w:val="000F3511"/>
    <w:rsid w:val="000F367A"/>
    <w:rsid w:val="000F7395"/>
    <w:rsid w:val="000F7436"/>
    <w:rsid w:val="00100560"/>
    <w:rsid w:val="00101610"/>
    <w:rsid w:val="0010215E"/>
    <w:rsid w:val="001021F9"/>
    <w:rsid w:val="001104BE"/>
    <w:rsid w:val="001132DB"/>
    <w:rsid w:val="001135D8"/>
    <w:rsid w:val="001137F4"/>
    <w:rsid w:val="00113E69"/>
    <w:rsid w:val="001145E9"/>
    <w:rsid w:val="001175B5"/>
    <w:rsid w:val="001257CF"/>
    <w:rsid w:val="0012679A"/>
    <w:rsid w:val="00130E79"/>
    <w:rsid w:val="001317B8"/>
    <w:rsid w:val="001379AC"/>
    <w:rsid w:val="00137BCB"/>
    <w:rsid w:val="001411B3"/>
    <w:rsid w:val="00142846"/>
    <w:rsid w:val="00142FD9"/>
    <w:rsid w:val="001451B8"/>
    <w:rsid w:val="00145201"/>
    <w:rsid w:val="00145970"/>
    <w:rsid w:val="00146BD7"/>
    <w:rsid w:val="001512B4"/>
    <w:rsid w:val="001534B5"/>
    <w:rsid w:val="00153B20"/>
    <w:rsid w:val="00156157"/>
    <w:rsid w:val="00161E59"/>
    <w:rsid w:val="00162787"/>
    <w:rsid w:val="00162DC2"/>
    <w:rsid w:val="00166110"/>
    <w:rsid w:val="00172027"/>
    <w:rsid w:val="00173AF0"/>
    <w:rsid w:val="0017659B"/>
    <w:rsid w:val="001776BA"/>
    <w:rsid w:val="001809BA"/>
    <w:rsid w:val="00180AAF"/>
    <w:rsid w:val="00182090"/>
    <w:rsid w:val="00182E47"/>
    <w:rsid w:val="00183629"/>
    <w:rsid w:val="00184882"/>
    <w:rsid w:val="00191B3C"/>
    <w:rsid w:val="00191E81"/>
    <w:rsid w:val="00192AC7"/>
    <w:rsid w:val="00196F5C"/>
    <w:rsid w:val="00197ED3"/>
    <w:rsid w:val="001A1F3F"/>
    <w:rsid w:val="001A37A6"/>
    <w:rsid w:val="001A4DEE"/>
    <w:rsid w:val="001A52AB"/>
    <w:rsid w:val="001A5339"/>
    <w:rsid w:val="001A71E2"/>
    <w:rsid w:val="001A782D"/>
    <w:rsid w:val="001B21AC"/>
    <w:rsid w:val="001B2660"/>
    <w:rsid w:val="001B3117"/>
    <w:rsid w:val="001B33ED"/>
    <w:rsid w:val="001B4386"/>
    <w:rsid w:val="001B676D"/>
    <w:rsid w:val="001B67C0"/>
    <w:rsid w:val="001B7710"/>
    <w:rsid w:val="001C07A7"/>
    <w:rsid w:val="001C2BF8"/>
    <w:rsid w:val="001C54C1"/>
    <w:rsid w:val="001C79BE"/>
    <w:rsid w:val="001C7DEB"/>
    <w:rsid w:val="001D34C2"/>
    <w:rsid w:val="001D479A"/>
    <w:rsid w:val="001D51C9"/>
    <w:rsid w:val="001D5C5A"/>
    <w:rsid w:val="001E3B02"/>
    <w:rsid w:val="001E407B"/>
    <w:rsid w:val="001F1630"/>
    <w:rsid w:val="001F21A1"/>
    <w:rsid w:val="001F3229"/>
    <w:rsid w:val="001F392D"/>
    <w:rsid w:val="001F3D1B"/>
    <w:rsid w:val="001F60BF"/>
    <w:rsid w:val="00200DB5"/>
    <w:rsid w:val="002016E9"/>
    <w:rsid w:val="00203CE8"/>
    <w:rsid w:val="00205053"/>
    <w:rsid w:val="00205320"/>
    <w:rsid w:val="002055F2"/>
    <w:rsid w:val="00205DB8"/>
    <w:rsid w:val="002108EB"/>
    <w:rsid w:val="00215470"/>
    <w:rsid w:val="00216A06"/>
    <w:rsid w:val="00220924"/>
    <w:rsid w:val="0022100A"/>
    <w:rsid w:val="00221267"/>
    <w:rsid w:val="00223601"/>
    <w:rsid w:val="00223817"/>
    <w:rsid w:val="00223C4F"/>
    <w:rsid w:val="00224F9A"/>
    <w:rsid w:val="002275F7"/>
    <w:rsid w:val="00227E5F"/>
    <w:rsid w:val="002311C2"/>
    <w:rsid w:val="00232503"/>
    <w:rsid w:val="0023368F"/>
    <w:rsid w:val="00233802"/>
    <w:rsid w:val="002343A3"/>
    <w:rsid w:val="0023576F"/>
    <w:rsid w:val="002403E0"/>
    <w:rsid w:val="0024070E"/>
    <w:rsid w:val="0024327B"/>
    <w:rsid w:val="00243675"/>
    <w:rsid w:val="00244FAA"/>
    <w:rsid w:val="0025530A"/>
    <w:rsid w:val="0026262A"/>
    <w:rsid w:val="00263C84"/>
    <w:rsid w:val="00264818"/>
    <w:rsid w:val="0026630F"/>
    <w:rsid w:val="00271BC1"/>
    <w:rsid w:val="00276890"/>
    <w:rsid w:val="002800E1"/>
    <w:rsid w:val="00281EC6"/>
    <w:rsid w:val="002839A2"/>
    <w:rsid w:val="0028488F"/>
    <w:rsid w:val="00286226"/>
    <w:rsid w:val="00287434"/>
    <w:rsid w:val="002875D3"/>
    <w:rsid w:val="00287B22"/>
    <w:rsid w:val="00290CEF"/>
    <w:rsid w:val="00293773"/>
    <w:rsid w:val="002941A5"/>
    <w:rsid w:val="002947B8"/>
    <w:rsid w:val="0029573D"/>
    <w:rsid w:val="0029594C"/>
    <w:rsid w:val="00295996"/>
    <w:rsid w:val="0029748B"/>
    <w:rsid w:val="002A09F2"/>
    <w:rsid w:val="002A1FE4"/>
    <w:rsid w:val="002A2717"/>
    <w:rsid w:val="002A3577"/>
    <w:rsid w:val="002A62A3"/>
    <w:rsid w:val="002A6320"/>
    <w:rsid w:val="002A68B2"/>
    <w:rsid w:val="002B0ECF"/>
    <w:rsid w:val="002B3A0F"/>
    <w:rsid w:val="002B70A9"/>
    <w:rsid w:val="002C0A74"/>
    <w:rsid w:val="002C11E3"/>
    <w:rsid w:val="002C1C49"/>
    <w:rsid w:val="002C31E5"/>
    <w:rsid w:val="002C41FF"/>
    <w:rsid w:val="002C5F9F"/>
    <w:rsid w:val="002C5FD7"/>
    <w:rsid w:val="002C7C33"/>
    <w:rsid w:val="002C7DA4"/>
    <w:rsid w:val="002D1C27"/>
    <w:rsid w:val="002D3B94"/>
    <w:rsid w:val="002D4B3B"/>
    <w:rsid w:val="002D658B"/>
    <w:rsid w:val="002D6B3F"/>
    <w:rsid w:val="002E04BB"/>
    <w:rsid w:val="002E0ACE"/>
    <w:rsid w:val="002E26D3"/>
    <w:rsid w:val="002E3333"/>
    <w:rsid w:val="002F0A82"/>
    <w:rsid w:val="002F5305"/>
    <w:rsid w:val="002F5C36"/>
    <w:rsid w:val="002F685E"/>
    <w:rsid w:val="00302B55"/>
    <w:rsid w:val="00303054"/>
    <w:rsid w:val="00303292"/>
    <w:rsid w:val="00303B6D"/>
    <w:rsid w:val="00304C48"/>
    <w:rsid w:val="003060CD"/>
    <w:rsid w:val="0031046C"/>
    <w:rsid w:val="00312372"/>
    <w:rsid w:val="00317364"/>
    <w:rsid w:val="00321644"/>
    <w:rsid w:val="00321799"/>
    <w:rsid w:val="00321923"/>
    <w:rsid w:val="00323609"/>
    <w:rsid w:val="00325B1A"/>
    <w:rsid w:val="00326455"/>
    <w:rsid w:val="0033243A"/>
    <w:rsid w:val="003359AD"/>
    <w:rsid w:val="003362BD"/>
    <w:rsid w:val="0034035D"/>
    <w:rsid w:val="003419AF"/>
    <w:rsid w:val="00345057"/>
    <w:rsid w:val="00345D61"/>
    <w:rsid w:val="003462DE"/>
    <w:rsid w:val="00347B1D"/>
    <w:rsid w:val="00351FC9"/>
    <w:rsid w:val="00352FCC"/>
    <w:rsid w:val="00354D77"/>
    <w:rsid w:val="0035671A"/>
    <w:rsid w:val="00363135"/>
    <w:rsid w:val="00363DBB"/>
    <w:rsid w:val="003656B4"/>
    <w:rsid w:val="0037151B"/>
    <w:rsid w:val="0037199C"/>
    <w:rsid w:val="003725A8"/>
    <w:rsid w:val="00374618"/>
    <w:rsid w:val="003758E1"/>
    <w:rsid w:val="00375CD6"/>
    <w:rsid w:val="003808F5"/>
    <w:rsid w:val="00380DB5"/>
    <w:rsid w:val="00384E91"/>
    <w:rsid w:val="003851DA"/>
    <w:rsid w:val="0038659C"/>
    <w:rsid w:val="00386E4B"/>
    <w:rsid w:val="00387A38"/>
    <w:rsid w:val="00390F96"/>
    <w:rsid w:val="00393153"/>
    <w:rsid w:val="0039358F"/>
    <w:rsid w:val="00393923"/>
    <w:rsid w:val="003948D2"/>
    <w:rsid w:val="003959A5"/>
    <w:rsid w:val="00396C6C"/>
    <w:rsid w:val="003978B5"/>
    <w:rsid w:val="003A22FB"/>
    <w:rsid w:val="003A32EA"/>
    <w:rsid w:val="003A4505"/>
    <w:rsid w:val="003A4CA0"/>
    <w:rsid w:val="003A58F6"/>
    <w:rsid w:val="003B2DD6"/>
    <w:rsid w:val="003B4634"/>
    <w:rsid w:val="003C351F"/>
    <w:rsid w:val="003C41BF"/>
    <w:rsid w:val="003C42A9"/>
    <w:rsid w:val="003C6CD4"/>
    <w:rsid w:val="003C717A"/>
    <w:rsid w:val="003D1780"/>
    <w:rsid w:val="003D1786"/>
    <w:rsid w:val="003D3840"/>
    <w:rsid w:val="003D4A93"/>
    <w:rsid w:val="003D4E0D"/>
    <w:rsid w:val="003E06CC"/>
    <w:rsid w:val="003E2E6A"/>
    <w:rsid w:val="003E30A6"/>
    <w:rsid w:val="003E3B54"/>
    <w:rsid w:val="003E468D"/>
    <w:rsid w:val="003E55DC"/>
    <w:rsid w:val="003E5F10"/>
    <w:rsid w:val="003E61EE"/>
    <w:rsid w:val="003E75EA"/>
    <w:rsid w:val="003E7B15"/>
    <w:rsid w:val="003F021F"/>
    <w:rsid w:val="003F37EB"/>
    <w:rsid w:val="003F4906"/>
    <w:rsid w:val="003F4D2F"/>
    <w:rsid w:val="003F513A"/>
    <w:rsid w:val="003F55D7"/>
    <w:rsid w:val="003F6909"/>
    <w:rsid w:val="003F792F"/>
    <w:rsid w:val="003F7CCC"/>
    <w:rsid w:val="0040350E"/>
    <w:rsid w:val="00404C67"/>
    <w:rsid w:val="0041279F"/>
    <w:rsid w:val="00413168"/>
    <w:rsid w:val="00414E90"/>
    <w:rsid w:val="00416043"/>
    <w:rsid w:val="0041712B"/>
    <w:rsid w:val="00423E9C"/>
    <w:rsid w:val="0042553F"/>
    <w:rsid w:val="00425CFF"/>
    <w:rsid w:val="0042765C"/>
    <w:rsid w:val="00431A3B"/>
    <w:rsid w:val="00443F93"/>
    <w:rsid w:val="004452B6"/>
    <w:rsid w:val="004517C2"/>
    <w:rsid w:val="00452FF9"/>
    <w:rsid w:val="00455134"/>
    <w:rsid w:val="004555ED"/>
    <w:rsid w:val="00457A2C"/>
    <w:rsid w:val="00460F72"/>
    <w:rsid w:val="004617F5"/>
    <w:rsid w:val="004618C1"/>
    <w:rsid w:val="00461B88"/>
    <w:rsid w:val="0046278B"/>
    <w:rsid w:val="00464BE0"/>
    <w:rsid w:val="004655F5"/>
    <w:rsid w:val="00470345"/>
    <w:rsid w:val="004716E8"/>
    <w:rsid w:val="0047316B"/>
    <w:rsid w:val="00474DBD"/>
    <w:rsid w:val="00474F6D"/>
    <w:rsid w:val="0047530C"/>
    <w:rsid w:val="00476BAC"/>
    <w:rsid w:val="00477667"/>
    <w:rsid w:val="0047782D"/>
    <w:rsid w:val="0047799E"/>
    <w:rsid w:val="00481C21"/>
    <w:rsid w:val="0048221A"/>
    <w:rsid w:val="00482C27"/>
    <w:rsid w:val="00487DBC"/>
    <w:rsid w:val="00490BE9"/>
    <w:rsid w:val="004913BF"/>
    <w:rsid w:val="0049237A"/>
    <w:rsid w:val="00492971"/>
    <w:rsid w:val="004931C8"/>
    <w:rsid w:val="004970EE"/>
    <w:rsid w:val="00497A05"/>
    <w:rsid w:val="004A0305"/>
    <w:rsid w:val="004A1F12"/>
    <w:rsid w:val="004A3759"/>
    <w:rsid w:val="004A3D68"/>
    <w:rsid w:val="004A686D"/>
    <w:rsid w:val="004A745C"/>
    <w:rsid w:val="004A77F1"/>
    <w:rsid w:val="004B1373"/>
    <w:rsid w:val="004B20B6"/>
    <w:rsid w:val="004B3159"/>
    <w:rsid w:val="004B3DCE"/>
    <w:rsid w:val="004B4664"/>
    <w:rsid w:val="004B5B95"/>
    <w:rsid w:val="004B6333"/>
    <w:rsid w:val="004B707B"/>
    <w:rsid w:val="004C09CA"/>
    <w:rsid w:val="004C1B9E"/>
    <w:rsid w:val="004C4A9B"/>
    <w:rsid w:val="004C4E39"/>
    <w:rsid w:val="004C59DB"/>
    <w:rsid w:val="004D2945"/>
    <w:rsid w:val="004D54AE"/>
    <w:rsid w:val="004D5CB2"/>
    <w:rsid w:val="004D749F"/>
    <w:rsid w:val="004E3A0B"/>
    <w:rsid w:val="004E3EF0"/>
    <w:rsid w:val="004E4396"/>
    <w:rsid w:val="004E49B4"/>
    <w:rsid w:val="004E5F98"/>
    <w:rsid w:val="004E69AB"/>
    <w:rsid w:val="004F02A6"/>
    <w:rsid w:val="004F0AEB"/>
    <w:rsid w:val="004F0BC2"/>
    <w:rsid w:val="004F239F"/>
    <w:rsid w:val="004F32E9"/>
    <w:rsid w:val="004F3CF4"/>
    <w:rsid w:val="004F43D8"/>
    <w:rsid w:val="004F4787"/>
    <w:rsid w:val="004F51B0"/>
    <w:rsid w:val="004F54F9"/>
    <w:rsid w:val="004F65B8"/>
    <w:rsid w:val="004F773A"/>
    <w:rsid w:val="0050045B"/>
    <w:rsid w:val="00501145"/>
    <w:rsid w:val="00503B9A"/>
    <w:rsid w:val="005046BA"/>
    <w:rsid w:val="00505338"/>
    <w:rsid w:val="005124FE"/>
    <w:rsid w:val="00520965"/>
    <w:rsid w:val="00522969"/>
    <w:rsid w:val="00522D70"/>
    <w:rsid w:val="005235C1"/>
    <w:rsid w:val="005279A7"/>
    <w:rsid w:val="00531F16"/>
    <w:rsid w:val="00532DB1"/>
    <w:rsid w:val="00532EB7"/>
    <w:rsid w:val="005363B3"/>
    <w:rsid w:val="005372D0"/>
    <w:rsid w:val="005414CF"/>
    <w:rsid w:val="00542806"/>
    <w:rsid w:val="00542DD3"/>
    <w:rsid w:val="005443BA"/>
    <w:rsid w:val="00545EDF"/>
    <w:rsid w:val="005471BE"/>
    <w:rsid w:val="00547F76"/>
    <w:rsid w:val="00554C2E"/>
    <w:rsid w:val="005554E0"/>
    <w:rsid w:val="00555997"/>
    <w:rsid w:val="005564C9"/>
    <w:rsid w:val="005575FE"/>
    <w:rsid w:val="00557600"/>
    <w:rsid w:val="00557EC2"/>
    <w:rsid w:val="005624ED"/>
    <w:rsid w:val="00562E36"/>
    <w:rsid w:val="00563219"/>
    <w:rsid w:val="005715BA"/>
    <w:rsid w:val="005717AA"/>
    <w:rsid w:val="00574319"/>
    <w:rsid w:val="00574381"/>
    <w:rsid w:val="00574A7E"/>
    <w:rsid w:val="005763B6"/>
    <w:rsid w:val="005805C2"/>
    <w:rsid w:val="0058370B"/>
    <w:rsid w:val="00584011"/>
    <w:rsid w:val="00584ECB"/>
    <w:rsid w:val="00590B4D"/>
    <w:rsid w:val="00593EFF"/>
    <w:rsid w:val="00594558"/>
    <w:rsid w:val="00595D07"/>
    <w:rsid w:val="005963F1"/>
    <w:rsid w:val="005965C0"/>
    <w:rsid w:val="005A1552"/>
    <w:rsid w:val="005A31E2"/>
    <w:rsid w:val="005B05F0"/>
    <w:rsid w:val="005B29FB"/>
    <w:rsid w:val="005B5E96"/>
    <w:rsid w:val="005B5EB3"/>
    <w:rsid w:val="005B622D"/>
    <w:rsid w:val="005B6480"/>
    <w:rsid w:val="005B7ED5"/>
    <w:rsid w:val="005C02C6"/>
    <w:rsid w:val="005C0458"/>
    <w:rsid w:val="005C0912"/>
    <w:rsid w:val="005C3695"/>
    <w:rsid w:val="005D174B"/>
    <w:rsid w:val="005D36AB"/>
    <w:rsid w:val="005D39CE"/>
    <w:rsid w:val="005D3FB1"/>
    <w:rsid w:val="005D4334"/>
    <w:rsid w:val="005D6038"/>
    <w:rsid w:val="005D606A"/>
    <w:rsid w:val="005D6615"/>
    <w:rsid w:val="005D7714"/>
    <w:rsid w:val="005D7865"/>
    <w:rsid w:val="005D7B25"/>
    <w:rsid w:val="005D7E15"/>
    <w:rsid w:val="005E0518"/>
    <w:rsid w:val="005E1099"/>
    <w:rsid w:val="005E27DD"/>
    <w:rsid w:val="005E5589"/>
    <w:rsid w:val="005E6915"/>
    <w:rsid w:val="005E6BFD"/>
    <w:rsid w:val="005F0924"/>
    <w:rsid w:val="005F4D8F"/>
    <w:rsid w:val="005F4E77"/>
    <w:rsid w:val="00603378"/>
    <w:rsid w:val="0060509C"/>
    <w:rsid w:val="00605F6A"/>
    <w:rsid w:val="00606A00"/>
    <w:rsid w:val="006115F0"/>
    <w:rsid w:val="006118FB"/>
    <w:rsid w:val="0061550D"/>
    <w:rsid w:val="00620D3A"/>
    <w:rsid w:val="00621B7A"/>
    <w:rsid w:val="00621DD3"/>
    <w:rsid w:val="00622A1D"/>
    <w:rsid w:val="00623D46"/>
    <w:rsid w:val="0062532F"/>
    <w:rsid w:val="00625333"/>
    <w:rsid w:val="00625D13"/>
    <w:rsid w:val="00626063"/>
    <w:rsid w:val="00631E30"/>
    <w:rsid w:val="00632A79"/>
    <w:rsid w:val="00633037"/>
    <w:rsid w:val="006352E2"/>
    <w:rsid w:val="00635811"/>
    <w:rsid w:val="00636CA6"/>
    <w:rsid w:val="00647C63"/>
    <w:rsid w:val="00650930"/>
    <w:rsid w:val="0065173E"/>
    <w:rsid w:val="00653418"/>
    <w:rsid w:val="006559D8"/>
    <w:rsid w:val="00655A13"/>
    <w:rsid w:val="0065603A"/>
    <w:rsid w:val="00656BEB"/>
    <w:rsid w:val="006575D6"/>
    <w:rsid w:val="00660A8E"/>
    <w:rsid w:val="0066152F"/>
    <w:rsid w:val="00661FD0"/>
    <w:rsid w:val="00666D15"/>
    <w:rsid w:val="0067108F"/>
    <w:rsid w:val="006727EC"/>
    <w:rsid w:val="00674516"/>
    <w:rsid w:val="00676BC6"/>
    <w:rsid w:val="006801E4"/>
    <w:rsid w:val="0068020E"/>
    <w:rsid w:val="00681D82"/>
    <w:rsid w:val="0068267F"/>
    <w:rsid w:val="00682705"/>
    <w:rsid w:val="00683404"/>
    <w:rsid w:val="006853A0"/>
    <w:rsid w:val="00685CF4"/>
    <w:rsid w:val="00686E67"/>
    <w:rsid w:val="00690671"/>
    <w:rsid w:val="0069101C"/>
    <w:rsid w:val="0069119A"/>
    <w:rsid w:val="00695096"/>
    <w:rsid w:val="006A127D"/>
    <w:rsid w:val="006A1F2E"/>
    <w:rsid w:val="006A4F2B"/>
    <w:rsid w:val="006A5283"/>
    <w:rsid w:val="006B10F6"/>
    <w:rsid w:val="006B21A3"/>
    <w:rsid w:val="006B393A"/>
    <w:rsid w:val="006B74DB"/>
    <w:rsid w:val="006C1D0C"/>
    <w:rsid w:val="006C3105"/>
    <w:rsid w:val="006C3AB4"/>
    <w:rsid w:val="006C5248"/>
    <w:rsid w:val="006C6850"/>
    <w:rsid w:val="006C73B9"/>
    <w:rsid w:val="006D109F"/>
    <w:rsid w:val="006D2B91"/>
    <w:rsid w:val="006D3D1E"/>
    <w:rsid w:val="006E009C"/>
    <w:rsid w:val="006E09E3"/>
    <w:rsid w:val="006E0A7D"/>
    <w:rsid w:val="006E0ADB"/>
    <w:rsid w:val="006E10A6"/>
    <w:rsid w:val="006E145D"/>
    <w:rsid w:val="006E1609"/>
    <w:rsid w:val="006E37DF"/>
    <w:rsid w:val="006E59AB"/>
    <w:rsid w:val="006E5A1E"/>
    <w:rsid w:val="006E7B5B"/>
    <w:rsid w:val="006F0996"/>
    <w:rsid w:val="006F2308"/>
    <w:rsid w:val="006F2CA2"/>
    <w:rsid w:val="006F3C6B"/>
    <w:rsid w:val="006F582F"/>
    <w:rsid w:val="006F67EE"/>
    <w:rsid w:val="007019B5"/>
    <w:rsid w:val="00701C1B"/>
    <w:rsid w:val="00705128"/>
    <w:rsid w:val="007051F9"/>
    <w:rsid w:val="007107C1"/>
    <w:rsid w:val="00711EF8"/>
    <w:rsid w:val="007128E3"/>
    <w:rsid w:val="00713874"/>
    <w:rsid w:val="00715B65"/>
    <w:rsid w:val="0071603A"/>
    <w:rsid w:val="007163DF"/>
    <w:rsid w:val="007171E0"/>
    <w:rsid w:val="007179E9"/>
    <w:rsid w:val="0072208C"/>
    <w:rsid w:val="007244E3"/>
    <w:rsid w:val="00726352"/>
    <w:rsid w:val="00726473"/>
    <w:rsid w:val="0072742C"/>
    <w:rsid w:val="00727E98"/>
    <w:rsid w:val="0073019C"/>
    <w:rsid w:val="0073037D"/>
    <w:rsid w:val="0073058E"/>
    <w:rsid w:val="007363E9"/>
    <w:rsid w:val="00743206"/>
    <w:rsid w:val="0074445F"/>
    <w:rsid w:val="007447EB"/>
    <w:rsid w:val="00745FE2"/>
    <w:rsid w:val="007472D3"/>
    <w:rsid w:val="007505E5"/>
    <w:rsid w:val="007513D4"/>
    <w:rsid w:val="00753386"/>
    <w:rsid w:val="007534F6"/>
    <w:rsid w:val="0075361C"/>
    <w:rsid w:val="00753BB1"/>
    <w:rsid w:val="00754F7B"/>
    <w:rsid w:val="00755C65"/>
    <w:rsid w:val="0076149D"/>
    <w:rsid w:val="0076214C"/>
    <w:rsid w:val="00765165"/>
    <w:rsid w:val="00765AC5"/>
    <w:rsid w:val="0077071E"/>
    <w:rsid w:val="007761E0"/>
    <w:rsid w:val="007773B4"/>
    <w:rsid w:val="00780223"/>
    <w:rsid w:val="00780585"/>
    <w:rsid w:val="00780AE1"/>
    <w:rsid w:val="007811FC"/>
    <w:rsid w:val="00781FF1"/>
    <w:rsid w:val="007833F5"/>
    <w:rsid w:val="00784724"/>
    <w:rsid w:val="0078611C"/>
    <w:rsid w:val="0078702E"/>
    <w:rsid w:val="00787F9E"/>
    <w:rsid w:val="00790F24"/>
    <w:rsid w:val="00791E0E"/>
    <w:rsid w:val="007920A9"/>
    <w:rsid w:val="0079318B"/>
    <w:rsid w:val="00794C66"/>
    <w:rsid w:val="007966AE"/>
    <w:rsid w:val="00797F84"/>
    <w:rsid w:val="007A0E10"/>
    <w:rsid w:val="007A2949"/>
    <w:rsid w:val="007A5A23"/>
    <w:rsid w:val="007A5A94"/>
    <w:rsid w:val="007A73D0"/>
    <w:rsid w:val="007B4251"/>
    <w:rsid w:val="007B6F67"/>
    <w:rsid w:val="007B7ED4"/>
    <w:rsid w:val="007C0EEB"/>
    <w:rsid w:val="007C3B78"/>
    <w:rsid w:val="007C4B09"/>
    <w:rsid w:val="007C4BDC"/>
    <w:rsid w:val="007C4BF9"/>
    <w:rsid w:val="007C52C1"/>
    <w:rsid w:val="007C5974"/>
    <w:rsid w:val="007C5ADC"/>
    <w:rsid w:val="007C6DB0"/>
    <w:rsid w:val="007C7215"/>
    <w:rsid w:val="007D092E"/>
    <w:rsid w:val="007D2CA9"/>
    <w:rsid w:val="007D3879"/>
    <w:rsid w:val="007D3998"/>
    <w:rsid w:val="007D3AFA"/>
    <w:rsid w:val="007D53E0"/>
    <w:rsid w:val="007E01AA"/>
    <w:rsid w:val="007E081A"/>
    <w:rsid w:val="007E5967"/>
    <w:rsid w:val="007E63AF"/>
    <w:rsid w:val="007E78E6"/>
    <w:rsid w:val="007E7DA8"/>
    <w:rsid w:val="007F0010"/>
    <w:rsid w:val="007F1C8A"/>
    <w:rsid w:val="007F36BD"/>
    <w:rsid w:val="007F3703"/>
    <w:rsid w:val="007F7EAD"/>
    <w:rsid w:val="008002BF"/>
    <w:rsid w:val="00800BD5"/>
    <w:rsid w:val="008026C7"/>
    <w:rsid w:val="00802EFC"/>
    <w:rsid w:val="008046C8"/>
    <w:rsid w:val="00811179"/>
    <w:rsid w:val="00813894"/>
    <w:rsid w:val="00815418"/>
    <w:rsid w:val="00815FC4"/>
    <w:rsid w:val="0081750F"/>
    <w:rsid w:val="008204FD"/>
    <w:rsid w:val="00822E0D"/>
    <w:rsid w:val="00824FB8"/>
    <w:rsid w:val="008252EA"/>
    <w:rsid w:val="0082588A"/>
    <w:rsid w:val="00826D92"/>
    <w:rsid w:val="00830099"/>
    <w:rsid w:val="008318BF"/>
    <w:rsid w:val="00832377"/>
    <w:rsid w:val="0083663D"/>
    <w:rsid w:val="0083679F"/>
    <w:rsid w:val="008400CD"/>
    <w:rsid w:val="0084560B"/>
    <w:rsid w:val="00845C51"/>
    <w:rsid w:val="008511E9"/>
    <w:rsid w:val="00855740"/>
    <w:rsid w:val="00860BCB"/>
    <w:rsid w:val="00861C9F"/>
    <w:rsid w:val="0087183E"/>
    <w:rsid w:val="00875BF0"/>
    <w:rsid w:val="008761C8"/>
    <w:rsid w:val="00880149"/>
    <w:rsid w:val="00880F74"/>
    <w:rsid w:val="00880FAF"/>
    <w:rsid w:val="00881721"/>
    <w:rsid w:val="00883250"/>
    <w:rsid w:val="008864F5"/>
    <w:rsid w:val="00886A85"/>
    <w:rsid w:val="0088768D"/>
    <w:rsid w:val="008906C8"/>
    <w:rsid w:val="00890EFD"/>
    <w:rsid w:val="0089550D"/>
    <w:rsid w:val="00896155"/>
    <w:rsid w:val="00897F97"/>
    <w:rsid w:val="008A0F5D"/>
    <w:rsid w:val="008A1F11"/>
    <w:rsid w:val="008A2952"/>
    <w:rsid w:val="008A4FB7"/>
    <w:rsid w:val="008A63D7"/>
    <w:rsid w:val="008A6FDE"/>
    <w:rsid w:val="008B02DB"/>
    <w:rsid w:val="008B23B0"/>
    <w:rsid w:val="008B2F3D"/>
    <w:rsid w:val="008B341A"/>
    <w:rsid w:val="008C1B6D"/>
    <w:rsid w:val="008C2B2E"/>
    <w:rsid w:val="008C4EEA"/>
    <w:rsid w:val="008C5220"/>
    <w:rsid w:val="008C70C0"/>
    <w:rsid w:val="008C766E"/>
    <w:rsid w:val="008C7BFF"/>
    <w:rsid w:val="008D115C"/>
    <w:rsid w:val="008D28D7"/>
    <w:rsid w:val="008D46D7"/>
    <w:rsid w:val="008D4AE4"/>
    <w:rsid w:val="008D6EFD"/>
    <w:rsid w:val="008D73D5"/>
    <w:rsid w:val="008D749E"/>
    <w:rsid w:val="008E63A9"/>
    <w:rsid w:val="008E6D05"/>
    <w:rsid w:val="008E79B9"/>
    <w:rsid w:val="008F0C7A"/>
    <w:rsid w:val="008F20D5"/>
    <w:rsid w:val="008F4549"/>
    <w:rsid w:val="008F45D7"/>
    <w:rsid w:val="008F6DC9"/>
    <w:rsid w:val="008F70D7"/>
    <w:rsid w:val="008F76FD"/>
    <w:rsid w:val="008F7FEE"/>
    <w:rsid w:val="00903FE5"/>
    <w:rsid w:val="00905B07"/>
    <w:rsid w:val="00905F5F"/>
    <w:rsid w:val="00905F9D"/>
    <w:rsid w:val="00906CF1"/>
    <w:rsid w:val="0091167B"/>
    <w:rsid w:val="00913912"/>
    <w:rsid w:val="00920301"/>
    <w:rsid w:val="009207F7"/>
    <w:rsid w:val="0092167C"/>
    <w:rsid w:val="0092527F"/>
    <w:rsid w:val="00927918"/>
    <w:rsid w:val="009339F9"/>
    <w:rsid w:val="00934CF3"/>
    <w:rsid w:val="009353A3"/>
    <w:rsid w:val="009361B6"/>
    <w:rsid w:val="009363CB"/>
    <w:rsid w:val="009366F8"/>
    <w:rsid w:val="009375F5"/>
    <w:rsid w:val="0093776E"/>
    <w:rsid w:val="00942E0B"/>
    <w:rsid w:val="009458F4"/>
    <w:rsid w:val="00947959"/>
    <w:rsid w:val="00951136"/>
    <w:rsid w:val="00951639"/>
    <w:rsid w:val="00952071"/>
    <w:rsid w:val="009529D6"/>
    <w:rsid w:val="00957530"/>
    <w:rsid w:val="009664F6"/>
    <w:rsid w:val="0097040C"/>
    <w:rsid w:val="00975BBB"/>
    <w:rsid w:val="00975EBA"/>
    <w:rsid w:val="009838CE"/>
    <w:rsid w:val="00985597"/>
    <w:rsid w:val="009875E0"/>
    <w:rsid w:val="009915C6"/>
    <w:rsid w:val="009936BB"/>
    <w:rsid w:val="009955B4"/>
    <w:rsid w:val="00996688"/>
    <w:rsid w:val="009A1430"/>
    <w:rsid w:val="009A2573"/>
    <w:rsid w:val="009A26AF"/>
    <w:rsid w:val="009A7001"/>
    <w:rsid w:val="009A777E"/>
    <w:rsid w:val="009B0112"/>
    <w:rsid w:val="009B0876"/>
    <w:rsid w:val="009B27B0"/>
    <w:rsid w:val="009B46EE"/>
    <w:rsid w:val="009B644F"/>
    <w:rsid w:val="009B6ACC"/>
    <w:rsid w:val="009C3E8A"/>
    <w:rsid w:val="009C60CA"/>
    <w:rsid w:val="009C7F8A"/>
    <w:rsid w:val="009D0214"/>
    <w:rsid w:val="009D1E3D"/>
    <w:rsid w:val="009D2B03"/>
    <w:rsid w:val="009D32F8"/>
    <w:rsid w:val="009D3E91"/>
    <w:rsid w:val="009D5B57"/>
    <w:rsid w:val="009D5BCF"/>
    <w:rsid w:val="009D776E"/>
    <w:rsid w:val="009E0B1E"/>
    <w:rsid w:val="009E0EE0"/>
    <w:rsid w:val="009E1749"/>
    <w:rsid w:val="009E276C"/>
    <w:rsid w:val="009E39C1"/>
    <w:rsid w:val="009E53CE"/>
    <w:rsid w:val="009E6F2A"/>
    <w:rsid w:val="009E76FC"/>
    <w:rsid w:val="009F1EAE"/>
    <w:rsid w:val="009F41B2"/>
    <w:rsid w:val="009F628E"/>
    <w:rsid w:val="009F65C3"/>
    <w:rsid w:val="009F7083"/>
    <w:rsid w:val="00A03D6E"/>
    <w:rsid w:val="00A03F8B"/>
    <w:rsid w:val="00A04486"/>
    <w:rsid w:val="00A0555C"/>
    <w:rsid w:val="00A05D4A"/>
    <w:rsid w:val="00A070CB"/>
    <w:rsid w:val="00A0713A"/>
    <w:rsid w:val="00A0725C"/>
    <w:rsid w:val="00A112B1"/>
    <w:rsid w:val="00A11712"/>
    <w:rsid w:val="00A11ED2"/>
    <w:rsid w:val="00A129AE"/>
    <w:rsid w:val="00A13AED"/>
    <w:rsid w:val="00A142CB"/>
    <w:rsid w:val="00A159E7"/>
    <w:rsid w:val="00A20800"/>
    <w:rsid w:val="00A21B3C"/>
    <w:rsid w:val="00A21BE7"/>
    <w:rsid w:val="00A22B45"/>
    <w:rsid w:val="00A22E24"/>
    <w:rsid w:val="00A24A27"/>
    <w:rsid w:val="00A261C8"/>
    <w:rsid w:val="00A2791D"/>
    <w:rsid w:val="00A2799E"/>
    <w:rsid w:val="00A312B2"/>
    <w:rsid w:val="00A350FC"/>
    <w:rsid w:val="00A3698D"/>
    <w:rsid w:val="00A36FEF"/>
    <w:rsid w:val="00A403E7"/>
    <w:rsid w:val="00A415D5"/>
    <w:rsid w:val="00A439DB"/>
    <w:rsid w:val="00A4514B"/>
    <w:rsid w:val="00A45DF2"/>
    <w:rsid w:val="00A5173E"/>
    <w:rsid w:val="00A51F74"/>
    <w:rsid w:val="00A5317B"/>
    <w:rsid w:val="00A5350A"/>
    <w:rsid w:val="00A54783"/>
    <w:rsid w:val="00A54F55"/>
    <w:rsid w:val="00A56E87"/>
    <w:rsid w:val="00A56F0F"/>
    <w:rsid w:val="00A6023F"/>
    <w:rsid w:val="00A628A3"/>
    <w:rsid w:val="00A63048"/>
    <w:rsid w:val="00A63D51"/>
    <w:rsid w:val="00A70967"/>
    <w:rsid w:val="00A71A31"/>
    <w:rsid w:val="00A732DD"/>
    <w:rsid w:val="00A75664"/>
    <w:rsid w:val="00A77351"/>
    <w:rsid w:val="00A77F18"/>
    <w:rsid w:val="00A80E6F"/>
    <w:rsid w:val="00A83DE5"/>
    <w:rsid w:val="00A842F2"/>
    <w:rsid w:val="00A8465F"/>
    <w:rsid w:val="00A866CE"/>
    <w:rsid w:val="00A90C0E"/>
    <w:rsid w:val="00A90E78"/>
    <w:rsid w:val="00A92BE1"/>
    <w:rsid w:val="00A93D53"/>
    <w:rsid w:val="00A945E8"/>
    <w:rsid w:val="00A9597D"/>
    <w:rsid w:val="00A96ABF"/>
    <w:rsid w:val="00A971FC"/>
    <w:rsid w:val="00AA0D66"/>
    <w:rsid w:val="00AA4957"/>
    <w:rsid w:val="00AA4D4F"/>
    <w:rsid w:val="00AA5656"/>
    <w:rsid w:val="00AB15CE"/>
    <w:rsid w:val="00AB1CE5"/>
    <w:rsid w:val="00AB2AC3"/>
    <w:rsid w:val="00AB2C74"/>
    <w:rsid w:val="00AB7F92"/>
    <w:rsid w:val="00AC3B43"/>
    <w:rsid w:val="00AC45ED"/>
    <w:rsid w:val="00AC5BBD"/>
    <w:rsid w:val="00AC68D9"/>
    <w:rsid w:val="00AD1526"/>
    <w:rsid w:val="00AD4AB1"/>
    <w:rsid w:val="00AD5AD7"/>
    <w:rsid w:val="00AD6736"/>
    <w:rsid w:val="00AD6DB5"/>
    <w:rsid w:val="00AD7DC3"/>
    <w:rsid w:val="00AE1443"/>
    <w:rsid w:val="00AE148E"/>
    <w:rsid w:val="00AE1F33"/>
    <w:rsid w:val="00AE2691"/>
    <w:rsid w:val="00AE52A4"/>
    <w:rsid w:val="00AF17DC"/>
    <w:rsid w:val="00AF36F2"/>
    <w:rsid w:val="00AF4210"/>
    <w:rsid w:val="00AF4A89"/>
    <w:rsid w:val="00AF6E8E"/>
    <w:rsid w:val="00B00FCB"/>
    <w:rsid w:val="00B0171F"/>
    <w:rsid w:val="00B02F0A"/>
    <w:rsid w:val="00B12D6E"/>
    <w:rsid w:val="00B13DAC"/>
    <w:rsid w:val="00B14529"/>
    <w:rsid w:val="00B149D1"/>
    <w:rsid w:val="00B15C1E"/>
    <w:rsid w:val="00B16114"/>
    <w:rsid w:val="00B162DA"/>
    <w:rsid w:val="00B163A0"/>
    <w:rsid w:val="00B232E8"/>
    <w:rsid w:val="00B23376"/>
    <w:rsid w:val="00B234CC"/>
    <w:rsid w:val="00B23C91"/>
    <w:rsid w:val="00B25032"/>
    <w:rsid w:val="00B25A06"/>
    <w:rsid w:val="00B25A4C"/>
    <w:rsid w:val="00B26FB1"/>
    <w:rsid w:val="00B2769B"/>
    <w:rsid w:val="00B27A83"/>
    <w:rsid w:val="00B32ACA"/>
    <w:rsid w:val="00B3376F"/>
    <w:rsid w:val="00B34AFE"/>
    <w:rsid w:val="00B35EA7"/>
    <w:rsid w:val="00B365D1"/>
    <w:rsid w:val="00B37690"/>
    <w:rsid w:val="00B40640"/>
    <w:rsid w:val="00B4098D"/>
    <w:rsid w:val="00B42441"/>
    <w:rsid w:val="00B42CD0"/>
    <w:rsid w:val="00B4480A"/>
    <w:rsid w:val="00B45E78"/>
    <w:rsid w:val="00B47CDA"/>
    <w:rsid w:val="00B47FD4"/>
    <w:rsid w:val="00B5374E"/>
    <w:rsid w:val="00B53B43"/>
    <w:rsid w:val="00B554E3"/>
    <w:rsid w:val="00B56E6C"/>
    <w:rsid w:val="00B57504"/>
    <w:rsid w:val="00B578A6"/>
    <w:rsid w:val="00B60536"/>
    <w:rsid w:val="00B66008"/>
    <w:rsid w:val="00B67D4B"/>
    <w:rsid w:val="00B70272"/>
    <w:rsid w:val="00B70A2E"/>
    <w:rsid w:val="00B72A1A"/>
    <w:rsid w:val="00B7494D"/>
    <w:rsid w:val="00B7581A"/>
    <w:rsid w:val="00B75CD1"/>
    <w:rsid w:val="00B76A7B"/>
    <w:rsid w:val="00B76D93"/>
    <w:rsid w:val="00B86E67"/>
    <w:rsid w:val="00B902DB"/>
    <w:rsid w:val="00B93A59"/>
    <w:rsid w:val="00B93C9A"/>
    <w:rsid w:val="00B9620A"/>
    <w:rsid w:val="00B964F9"/>
    <w:rsid w:val="00B96AA3"/>
    <w:rsid w:val="00B97507"/>
    <w:rsid w:val="00BA0A4A"/>
    <w:rsid w:val="00BA0F96"/>
    <w:rsid w:val="00BA11F9"/>
    <w:rsid w:val="00BA4FB6"/>
    <w:rsid w:val="00BA6738"/>
    <w:rsid w:val="00BC079B"/>
    <w:rsid w:val="00BC44DE"/>
    <w:rsid w:val="00BD0BD3"/>
    <w:rsid w:val="00BD3B56"/>
    <w:rsid w:val="00BD4346"/>
    <w:rsid w:val="00BD434E"/>
    <w:rsid w:val="00BD4F78"/>
    <w:rsid w:val="00BD591B"/>
    <w:rsid w:val="00BD5EA6"/>
    <w:rsid w:val="00BD66E3"/>
    <w:rsid w:val="00BD724F"/>
    <w:rsid w:val="00BD7EFD"/>
    <w:rsid w:val="00BE0ACF"/>
    <w:rsid w:val="00BE0B30"/>
    <w:rsid w:val="00BE2919"/>
    <w:rsid w:val="00BE3496"/>
    <w:rsid w:val="00BE4F2A"/>
    <w:rsid w:val="00BE514A"/>
    <w:rsid w:val="00BF0A12"/>
    <w:rsid w:val="00BF11BC"/>
    <w:rsid w:val="00BF12BA"/>
    <w:rsid w:val="00BF4BCA"/>
    <w:rsid w:val="00BF555D"/>
    <w:rsid w:val="00BF58F6"/>
    <w:rsid w:val="00BF7C3B"/>
    <w:rsid w:val="00C01E0B"/>
    <w:rsid w:val="00C02BA0"/>
    <w:rsid w:val="00C03A5A"/>
    <w:rsid w:val="00C073A6"/>
    <w:rsid w:val="00C079F8"/>
    <w:rsid w:val="00C110B2"/>
    <w:rsid w:val="00C118DC"/>
    <w:rsid w:val="00C13DEF"/>
    <w:rsid w:val="00C156B3"/>
    <w:rsid w:val="00C1579E"/>
    <w:rsid w:val="00C1593B"/>
    <w:rsid w:val="00C160F4"/>
    <w:rsid w:val="00C16992"/>
    <w:rsid w:val="00C16AF8"/>
    <w:rsid w:val="00C20665"/>
    <w:rsid w:val="00C20869"/>
    <w:rsid w:val="00C24ED3"/>
    <w:rsid w:val="00C2611D"/>
    <w:rsid w:val="00C26C47"/>
    <w:rsid w:val="00C306ED"/>
    <w:rsid w:val="00C335A6"/>
    <w:rsid w:val="00C3424B"/>
    <w:rsid w:val="00C358AD"/>
    <w:rsid w:val="00C35D50"/>
    <w:rsid w:val="00C40298"/>
    <w:rsid w:val="00C405B8"/>
    <w:rsid w:val="00C40EA8"/>
    <w:rsid w:val="00C414E5"/>
    <w:rsid w:val="00C422ED"/>
    <w:rsid w:val="00C426B5"/>
    <w:rsid w:val="00C42762"/>
    <w:rsid w:val="00C468F8"/>
    <w:rsid w:val="00C46FAC"/>
    <w:rsid w:val="00C519DA"/>
    <w:rsid w:val="00C548E9"/>
    <w:rsid w:val="00C55097"/>
    <w:rsid w:val="00C559B5"/>
    <w:rsid w:val="00C605F8"/>
    <w:rsid w:val="00C6261B"/>
    <w:rsid w:val="00C653BF"/>
    <w:rsid w:val="00C66333"/>
    <w:rsid w:val="00C67543"/>
    <w:rsid w:val="00C713B1"/>
    <w:rsid w:val="00C80FA8"/>
    <w:rsid w:val="00C8299C"/>
    <w:rsid w:val="00C82AAF"/>
    <w:rsid w:val="00C849D3"/>
    <w:rsid w:val="00C85ABE"/>
    <w:rsid w:val="00C90629"/>
    <w:rsid w:val="00C914E0"/>
    <w:rsid w:val="00C916B7"/>
    <w:rsid w:val="00C92AF2"/>
    <w:rsid w:val="00C9313E"/>
    <w:rsid w:val="00C93264"/>
    <w:rsid w:val="00C93828"/>
    <w:rsid w:val="00CA105C"/>
    <w:rsid w:val="00CA1331"/>
    <w:rsid w:val="00CA2252"/>
    <w:rsid w:val="00CA22D9"/>
    <w:rsid w:val="00CA319E"/>
    <w:rsid w:val="00CA6F3D"/>
    <w:rsid w:val="00CB0DF2"/>
    <w:rsid w:val="00CB1A6A"/>
    <w:rsid w:val="00CB1CF4"/>
    <w:rsid w:val="00CB2017"/>
    <w:rsid w:val="00CB5002"/>
    <w:rsid w:val="00CB55D9"/>
    <w:rsid w:val="00CB788A"/>
    <w:rsid w:val="00CC0CA4"/>
    <w:rsid w:val="00CC1DC5"/>
    <w:rsid w:val="00CC2010"/>
    <w:rsid w:val="00CC3AB9"/>
    <w:rsid w:val="00CC417F"/>
    <w:rsid w:val="00CC4E2B"/>
    <w:rsid w:val="00CC5968"/>
    <w:rsid w:val="00CC5E38"/>
    <w:rsid w:val="00CD0EE7"/>
    <w:rsid w:val="00CD165A"/>
    <w:rsid w:val="00CD2495"/>
    <w:rsid w:val="00CD37CE"/>
    <w:rsid w:val="00CD4024"/>
    <w:rsid w:val="00CD646A"/>
    <w:rsid w:val="00CF0537"/>
    <w:rsid w:val="00CF079B"/>
    <w:rsid w:val="00CF1801"/>
    <w:rsid w:val="00CF1C95"/>
    <w:rsid w:val="00CF2B84"/>
    <w:rsid w:val="00CF50D2"/>
    <w:rsid w:val="00CF7A11"/>
    <w:rsid w:val="00CF7F37"/>
    <w:rsid w:val="00D003E6"/>
    <w:rsid w:val="00D00406"/>
    <w:rsid w:val="00D00D32"/>
    <w:rsid w:val="00D01F32"/>
    <w:rsid w:val="00D0241B"/>
    <w:rsid w:val="00D02754"/>
    <w:rsid w:val="00D036A2"/>
    <w:rsid w:val="00D045EC"/>
    <w:rsid w:val="00D04F59"/>
    <w:rsid w:val="00D052F5"/>
    <w:rsid w:val="00D05E64"/>
    <w:rsid w:val="00D060BD"/>
    <w:rsid w:val="00D0760F"/>
    <w:rsid w:val="00D17535"/>
    <w:rsid w:val="00D24B3E"/>
    <w:rsid w:val="00D26D40"/>
    <w:rsid w:val="00D27A2E"/>
    <w:rsid w:val="00D3034C"/>
    <w:rsid w:val="00D32491"/>
    <w:rsid w:val="00D32A5F"/>
    <w:rsid w:val="00D343AA"/>
    <w:rsid w:val="00D35130"/>
    <w:rsid w:val="00D3567B"/>
    <w:rsid w:val="00D444C3"/>
    <w:rsid w:val="00D4656F"/>
    <w:rsid w:val="00D47808"/>
    <w:rsid w:val="00D53843"/>
    <w:rsid w:val="00D61D3E"/>
    <w:rsid w:val="00D6509A"/>
    <w:rsid w:val="00D65F93"/>
    <w:rsid w:val="00D6661E"/>
    <w:rsid w:val="00D703A1"/>
    <w:rsid w:val="00D70DDD"/>
    <w:rsid w:val="00D70F28"/>
    <w:rsid w:val="00D71F06"/>
    <w:rsid w:val="00D7225F"/>
    <w:rsid w:val="00D73202"/>
    <w:rsid w:val="00D7368B"/>
    <w:rsid w:val="00D759C8"/>
    <w:rsid w:val="00D75B1E"/>
    <w:rsid w:val="00D80C77"/>
    <w:rsid w:val="00D82252"/>
    <w:rsid w:val="00D82607"/>
    <w:rsid w:val="00D84323"/>
    <w:rsid w:val="00D86641"/>
    <w:rsid w:val="00D8731A"/>
    <w:rsid w:val="00D91A89"/>
    <w:rsid w:val="00D931AE"/>
    <w:rsid w:val="00D951C4"/>
    <w:rsid w:val="00D95314"/>
    <w:rsid w:val="00DA11E8"/>
    <w:rsid w:val="00DA2154"/>
    <w:rsid w:val="00DA304F"/>
    <w:rsid w:val="00DA359B"/>
    <w:rsid w:val="00DA5BBE"/>
    <w:rsid w:val="00DA61AF"/>
    <w:rsid w:val="00DB3B93"/>
    <w:rsid w:val="00DB3E17"/>
    <w:rsid w:val="00DB631F"/>
    <w:rsid w:val="00DC0E1F"/>
    <w:rsid w:val="00DC1822"/>
    <w:rsid w:val="00DC249C"/>
    <w:rsid w:val="00DC2C5E"/>
    <w:rsid w:val="00DC4473"/>
    <w:rsid w:val="00DC55B9"/>
    <w:rsid w:val="00DC6D54"/>
    <w:rsid w:val="00DC7F84"/>
    <w:rsid w:val="00DD105B"/>
    <w:rsid w:val="00DD2DD0"/>
    <w:rsid w:val="00DD63F8"/>
    <w:rsid w:val="00DD6636"/>
    <w:rsid w:val="00DD6E1B"/>
    <w:rsid w:val="00DD77EB"/>
    <w:rsid w:val="00DD7EF5"/>
    <w:rsid w:val="00DE1928"/>
    <w:rsid w:val="00DE2424"/>
    <w:rsid w:val="00DE44F2"/>
    <w:rsid w:val="00DE4CB4"/>
    <w:rsid w:val="00DE4F12"/>
    <w:rsid w:val="00DF0C88"/>
    <w:rsid w:val="00DF11FE"/>
    <w:rsid w:val="00DF38EE"/>
    <w:rsid w:val="00DF76AB"/>
    <w:rsid w:val="00E01593"/>
    <w:rsid w:val="00E01E4D"/>
    <w:rsid w:val="00E03181"/>
    <w:rsid w:val="00E05AAF"/>
    <w:rsid w:val="00E06783"/>
    <w:rsid w:val="00E06C9D"/>
    <w:rsid w:val="00E06CCD"/>
    <w:rsid w:val="00E07833"/>
    <w:rsid w:val="00E07AC9"/>
    <w:rsid w:val="00E1023D"/>
    <w:rsid w:val="00E103C4"/>
    <w:rsid w:val="00E10C79"/>
    <w:rsid w:val="00E13446"/>
    <w:rsid w:val="00E1423F"/>
    <w:rsid w:val="00E142B6"/>
    <w:rsid w:val="00E15BA1"/>
    <w:rsid w:val="00E2092C"/>
    <w:rsid w:val="00E2346E"/>
    <w:rsid w:val="00E24596"/>
    <w:rsid w:val="00E255D8"/>
    <w:rsid w:val="00E265E0"/>
    <w:rsid w:val="00E307B4"/>
    <w:rsid w:val="00E32F1A"/>
    <w:rsid w:val="00E32F83"/>
    <w:rsid w:val="00E3438D"/>
    <w:rsid w:val="00E35950"/>
    <w:rsid w:val="00E40AA2"/>
    <w:rsid w:val="00E44318"/>
    <w:rsid w:val="00E4521E"/>
    <w:rsid w:val="00E473DE"/>
    <w:rsid w:val="00E502EF"/>
    <w:rsid w:val="00E50506"/>
    <w:rsid w:val="00E5292C"/>
    <w:rsid w:val="00E52CBB"/>
    <w:rsid w:val="00E54354"/>
    <w:rsid w:val="00E562B0"/>
    <w:rsid w:val="00E5762F"/>
    <w:rsid w:val="00E60099"/>
    <w:rsid w:val="00E607D0"/>
    <w:rsid w:val="00E64967"/>
    <w:rsid w:val="00E679BE"/>
    <w:rsid w:val="00E70BEF"/>
    <w:rsid w:val="00E70C15"/>
    <w:rsid w:val="00E71AB9"/>
    <w:rsid w:val="00E725F9"/>
    <w:rsid w:val="00E7702D"/>
    <w:rsid w:val="00E81270"/>
    <w:rsid w:val="00E81CF9"/>
    <w:rsid w:val="00E83EC4"/>
    <w:rsid w:val="00E8565E"/>
    <w:rsid w:val="00E8668E"/>
    <w:rsid w:val="00E90382"/>
    <w:rsid w:val="00E90DE4"/>
    <w:rsid w:val="00E91175"/>
    <w:rsid w:val="00E94E9D"/>
    <w:rsid w:val="00E950D5"/>
    <w:rsid w:val="00EA0041"/>
    <w:rsid w:val="00EA0A47"/>
    <w:rsid w:val="00EA0F56"/>
    <w:rsid w:val="00EA4A10"/>
    <w:rsid w:val="00EA6B8A"/>
    <w:rsid w:val="00EA770F"/>
    <w:rsid w:val="00EA7CA3"/>
    <w:rsid w:val="00EB0934"/>
    <w:rsid w:val="00EB0B77"/>
    <w:rsid w:val="00EB2D4D"/>
    <w:rsid w:val="00EB4378"/>
    <w:rsid w:val="00EB475D"/>
    <w:rsid w:val="00EB477E"/>
    <w:rsid w:val="00EB501F"/>
    <w:rsid w:val="00EB5433"/>
    <w:rsid w:val="00EB6185"/>
    <w:rsid w:val="00EB66EB"/>
    <w:rsid w:val="00EC0619"/>
    <w:rsid w:val="00EC1B04"/>
    <w:rsid w:val="00EC1C18"/>
    <w:rsid w:val="00EC20B2"/>
    <w:rsid w:val="00EC4D1C"/>
    <w:rsid w:val="00EC4E35"/>
    <w:rsid w:val="00EC603F"/>
    <w:rsid w:val="00EC6C06"/>
    <w:rsid w:val="00EC7822"/>
    <w:rsid w:val="00ED33F2"/>
    <w:rsid w:val="00ED4265"/>
    <w:rsid w:val="00ED49A3"/>
    <w:rsid w:val="00ED4C9C"/>
    <w:rsid w:val="00ED6AD8"/>
    <w:rsid w:val="00EE2BE2"/>
    <w:rsid w:val="00EE2F96"/>
    <w:rsid w:val="00EE708F"/>
    <w:rsid w:val="00EE71DD"/>
    <w:rsid w:val="00EF5DB6"/>
    <w:rsid w:val="00EF6883"/>
    <w:rsid w:val="00F00915"/>
    <w:rsid w:val="00F00CB2"/>
    <w:rsid w:val="00F010CB"/>
    <w:rsid w:val="00F03CE5"/>
    <w:rsid w:val="00F058FB"/>
    <w:rsid w:val="00F07D76"/>
    <w:rsid w:val="00F10518"/>
    <w:rsid w:val="00F107E2"/>
    <w:rsid w:val="00F11928"/>
    <w:rsid w:val="00F124CD"/>
    <w:rsid w:val="00F149B4"/>
    <w:rsid w:val="00F17E23"/>
    <w:rsid w:val="00F17FF5"/>
    <w:rsid w:val="00F2005C"/>
    <w:rsid w:val="00F20728"/>
    <w:rsid w:val="00F225DB"/>
    <w:rsid w:val="00F225E5"/>
    <w:rsid w:val="00F2262C"/>
    <w:rsid w:val="00F2483A"/>
    <w:rsid w:val="00F24A47"/>
    <w:rsid w:val="00F27315"/>
    <w:rsid w:val="00F30645"/>
    <w:rsid w:val="00F30C37"/>
    <w:rsid w:val="00F3102D"/>
    <w:rsid w:val="00F3284D"/>
    <w:rsid w:val="00F329DC"/>
    <w:rsid w:val="00F32F29"/>
    <w:rsid w:val="00F33D7B"/>
    <w:rsid w:val="00F347E6"/>
    <w:rsid w:val="00F34CEC"/>
    <w:rsid w:val="00F369CA"/>
    <w:rsid w:val="00F3753E"/>
    <w:rsid w:val="00F37C5E"/>
    <w:rsid w:val="00F4137A"/>
    <w:rsid w:val="00F419AD"/>
    <w:rsid w:val="00F42830"/>
    <w:rsid w:val="00F43EDE"/>
    <w:rsid w:val="00F44026"/>
    <w:rsid w:val="00F45972"/>
    <w:rsid w:val="00F45FC4"/>
    <w:rsid w:val="00F46C85"/>
    <w:rsid w:val="00F51411"/>
    <w:rsid w:val="00F514CD"/>
    <w:rsid w:val="00F514DA"/>
    <w:rsid w:val="00F53562"/>
    <w:rsid w:val="00F54372"/>
    <w:rsid w:val="00F549BA"/>
    <w:rsid w:val="00F608D3"/>
    <w:rsid w:val="00F60CB5"/>
    <w:rsid w:val="00F60E54"/>
    <w:rsid w:val="00F6137C"/>
    <w:rsid w:val="00F63CE2"/>
    <w:rsid w:val="00F63D9A"/>
    <w:rsid w:val="00F64855"/>
    <w:rsid w:val="00F657A6"/>
    <w:rsid w:val="00F704A4"/>
    <w:rsid w:val="00F70866"/>
    <w:rsid w:val="00F71496"/>
    <w:rsid w:val="00F72F5A"/>
    <w:rsid w:val="00F74FF1"/>
    <w:rsid w:val="00F761EA"/>
    <w:rsid w:val="00F8030C"/>
    <w:rsid w:val="00F81CD0"/>
    <w:rsid w:val="00F857AA"/>
    <w:rsid w:val="00F875D4"/>
    <w:rsid w:val="00F87BBE"/>
    <w:rsid w:val="00F9125C"/>
    <w:rsid w:val="00F92057"/>
    <w:rsid w:val="00F93058"/>
    <w:rsid w:val="00FA1C0F"/>
    <w:rsid w:val="00FA36CB"/>
    <w:rsid w:val="00FA5EA0"/>
    <w:rsid w:val="00FA6345"/>
    <w:rsid w:val="00FA7078"/>
    <w:rsid w:val="00FB07AE"/>
    <w:rsid w:val="00FB17EF"/>
    <w:rsid w:val="00FB2D23"/>
    <w:rsid w:val="00FB6362"/>
    <w:rsid w:val="00FB69A9"/>
    <w:rsid w:val="00FB6ADB"/>
    <w:rsid w:val="00FC20D7"/>
    <w:rsid w:val="00FC33B7"/>
    <w:rsid w:val="00FC3EA5"/>
    <w:rsid w:val="00FC5A9F"/>
    <w:rsid w:val="00FC768E"/>
    <w:rsid w:val="00FD0419"/>
    <w:rsid w:val="00FD0C8E"/>
    <w:rsid w:val="00FE5D68"/>
    <w:rsid w:val="00FE6CC9"/>
    <w:rsid w:val="00FE6E66"/>
    <w:rsid w:val="00FE72D8"/>
    <w:rsid w:val="00FF02D1"/>
    <w:rsid w:val="00FF06AD"/>
    <w:rsid w:val="00FF0EFB"/>
    <w:rsid w:val="00FF1142"/>
    <w:rsid w:val="00FF3449"/>
    <w:rsid w:val="00FF41F8"/>
    <w:rsid w:val="00FF5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6ECA2"/>
  <w15:chartTrackingRefBased/>
  <w15:docId w15:val="{854B8646-797B-4584-86A9-059F94E4A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B6185"/>
    <w:pPr>
      <w:widowControl w:val="0"/>
      <w:spacing w:after="0" w:line="240" w:lineRule="auto"/>
    </w:pPr>
    <w:rPr>
      <w:rFonts w:ascii="Times New Roman" w:eastAsia="Times New Roman" w:hAnsi="Times New Roman" w:cs="Times New Roman"/>
      <w:sz w:val="20"/>
      <w:szCs w:val="20"/>
    </w:rPr>
  </w:style>
  <w:style w:type="paragraph" w:styleId="Heading1">
    <w:name w:val="heading 1"/>
    <w:basedOn w:val="ListParagraph"/>
    <w:next w:val="Normal"/>
    <w:link w:val="Heading1Char"/>
    <w:qFormat/>
    <w:rsid w:val="00802EFC"/>
    <w:pPr>
      <w:keepNext/>
      <w:widowControl/>
      <w:numPr>
        <w:numId w:val="1"/>
      </w:numPr>
      <w:autoSpaceDE w:val="0"/>
      <w:autoSpaceDN w:val="0"/>
      <w:spacing w:line="360" w:lineRule="auto"/>
      <w:ind w:left="720"/>
      <w:jc w:val="center"/>
      <w:outlineLvl w:val="0"/>
    </w:pPr>
    <w:rPr>
      <w:b/>
      <w:bCs/>
      <w:sz w:val="26"/>
      <w:szCs w:val="26"/>
    </w:rPr>
  </w:style>
  <w:style w:type="paragraph" w:styleId="Heading2">
    <w:name w:val="heading 2"/>
    <w:basedOn w:val="Normal"/>
    <w:next w:val="Normal"/>
    <w:link w:val="Heading2Char"/>
    <w:uiPriority w:val="9"/>
    <w:semiHidden/>
    <w:unhideWhenUsed/>
    <w:qFormat/>
    <w:rsid w:val="0081541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2EFC"/>
    <w:rPr>
      <w:rFonts w:ascii="Times New Roman" w:eastAsia="Times New Roman" w:hAnsi="Times New Roman" w:cs="Times New Roman"/>
      <w:b/>
      <w:bCs/>
      <w:sz w:val="26"/>
      <w:szCs w:val="26"/>
    </w:rPr>
  </w:style>
  <w:style w:type="character" w:styleId="FootnoteReference">
    <w:name w:val="footnote reference"/>
    <w:aliases w:val="o,fr,Style 42"/>
    <w:basedOn w:val="DefaultParagraphFont"/>
    <w:uiPriority w:val="99"/>
    <w:rsid w:val="00802EFC"/>
    <w:rPr>
      <w:vertAlign w:val="superscript"/>
    </w:rPr>
  </w:style>
  <w:style w:type="paragraph" w:styleId="FootnoteText">
    <w:name w:val="footnote text"/>
    <w:aliases w:val="Car,fn,ALTS FOOTNOTE,Footnote Text 2,Footnote text,FOOTNOTE,fn Char Char,fn Char,Footnote Text Char1 Char,Footnote Text Char Char Char,ALTS FOOTNOTE Char Char Char,Footnote Text Char2 Char Char Char,Footnote Text Char1,Footnote Text Char2"/>
    <w:basedOn w:val="Normal"/>
    <w:link w:val="FootnoteTextChar"/>
    <w:uiPriority w:val="99"/>
    <w:unhideWhenUsed/>
    <w:qFormat/>
    <w:rsid w:val="00802EFC"/>
  </w:style>
  <w:style w:type="character" w:customStyle="1" w:styleId="FootnoteTextChar">
    <w:name w:val="Footnote Text Char"/>
    <w:aliases w:val="Car Char,fn Char1,ALTS FOOTNOTE Char,Footnote Text 2 Char,Footnote text Char,FOOTNOTE Char,fn Char Char Char,fn Char Char1,Footnote Text Char1 Char Char,Footnote Text Char Char Char Char,ALTS FOOTNOTE Char Char Char Char"/>
    <w:basedOn w:val="DefaultParagraphFont"/>
    <w:link w:val="FootnoteText"/>
    <w:uiPriority w:val="99"/>
    <w:rsid w:val="00802EFC"/>
    <w:rPr>
      <w:rFonts w:ascii="Times New Roman" w:eastAsia="Times New Roman" w:hAnsi="Times New Roman" w:cs="Times New Roman"/>
      <w:sz w:val="20"/>
      <w:szCs w:val="20"/>
    </w:rPr>
  </w:style>
  <w:style w:type="paragraph" w:styleId="ListParagraph">
    <w:name w:val="List Paragraph"/>
    <w:basedOn w:val="Normal"/>
    <w:uiPriority w:val="34"/>
    <w:qFormat/>
    <w:rsid w:val="00802EFC"/>
    <w:pPr>
      <w:ind w:left="720"/>
      <w:contextualSpacing/>
    </w:pPr>
  </w:style>
  <w:style w:type="paragraph" w:styleId="TOCHeading">
    <w:name w:val="TOC Heading"/>
    <w:basedOn w:val="Heading1"/>
    <w:next w:val="Normal"/>
    <w:uiPriority w:val="39"/>
    <w:unhideWhenUsed/>
    <w:qFormat/>
    <w:rsid w:val="00F2483A"/>
    <w:pPr>
      <w:keepLines/>
      <w:numPr>
        <w:numId w:val="0"/>
      </w:numPr>
      <w:autoSpaceDE/>
      <w:autoSpaceDN/>
      <w:spacing w:before="240" w:line="259" w:lineRule="auto"/>
      <w:contextualSpacing w:val="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D82252"/>
    <w:pPr>
      <w:tabs>
        <w:tab w:val="left" w:pos="720"/>
        <w:tab w:val="right" w:leader="dot" w:pos="9350"/>
      </w:tabs>
      <w:spacing w:after="100"/>
    </w:pPr>
    <w:rPr>
      <w:noProof/>
      <w:sz w:val="26"/>
      <w:szCs w:val="26"/>
    </w:rPr>
  </w:style>
  <w:style w:type="character" w:styleId="Hyperlink">
    <w:name w:val="Hyperlink"/>
    <w:basedOn w:val="DefaultParagraphFont"/>
    <w:uiPriority w:val="99"/>
    <w:unhideWhenUsed/>
    <w:rsid w:val="00F2483A"/>
    <w:rPr>
      <w:color w:val="0000FF" w:themeColor="hyperlink"/>
      <w:u w:val="single"/>
    </w:rPr>
  </w:style>
  <w:style w:type="paragraph" w:styleId="TOC2">
    <w:name w:val="toc 2"/>
    <w:basedOn w:val="Normal"/>
    <w:next w:val="Normal"/>
    <w:autoRedefine/>
    <w:uiPriority w:val="39"/>
    <w:unhideWhenUsed/>
    <w:rsid w:val="00303054"/>
    <w:pPr>
      <w:widowControl/>
      <w:tabs>
        <w:tab w:val="right" w:leader="dot" w:pos="9350"/>
      </w:tabs>
      <w:spacing w:after="100"/>
      <w:ind w:left="1440" w:hanging="720"/>
    </w:pPr>
    <w:rPr>
      <w:noProof/>
      <w:color w:val="000000" w:themeColor="text1"/>
      <w:sz w:val="26"/>
      <w:szCs w:val="26"/>
    </w:rPr>
  </w:style>
  <w:style w:type="paragraph" w:styleId="Header">
    <w:name w:val="header"/>
    <w:basedOn w:val="Normal"/>
    <w:link w:val="HeaderChar"/>
    <w:uiPriority w:val="99"/>
    <w:unhideWhenUsed/>
    <w:rsid w:val="002A68B2"/>
    <w:pPr>
      <w:tabs>
        <w:tab w:val="center" w:pos="4680"/>
        <w:tab w:val="right" w:pos="9360"/>
      </w:tabs>
    </w:pPr>
  </w:style>
  <w:style w:type="character" w:customStyle="1" w:styleId="HeaderChar">
    <w:name w:val="Header Char"/>
    <w:basedOn w:val="DefaultParagraphFont"/>
    <w:link w:val="Header"/>
    <w:uiPriority w:val="99"/>
    <w:rsid w:val="002A68B2"/>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A68B2"/>
    <w:pPr>
      <w:tabs>
        <w:tab w:val="center" w:pos="4680"/>
        <w:tab w:val="right" w:pos="9360"/>
      </w:tabs>
    </w:pPr>
  </w:style>
  <w:style w:type="character" w:customStyle="1" w:styleId="FooterChar">
    <w:name w:val="Footer Char"/>
    <w:basedOn w:val="DefaultParagraphFont"/>
    <w:link w:val="Footer"/>
    <w:uiPriority w:val="99"/>
    <w:rsid w:val="002A68B2"/>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815418"/>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232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A25E2"/>
  </w:style>
  <w:style w:type="paragraph" w:styleId="BalloonText">
    <w:name w:val="Balloon Text"/>
    <w:basedOn w:val="Normal"/>
    <w:link w:val="BalloonTextChar"/>
    <w:uiPriority w:val="99"/>
    <w:semiHidden/>
    <w:unhideWhenUsed/>
    <w:rsid w:val="000A25E2"/>
    <w:pPr>
      <w:widowControl/>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0A25E2"/>
    <w:rPr>
      <w:rFonts w:ascii="Segoe UI" w:hAnsi="Segoe UI" w:cs="Segoe UI"/>
      <w:sz w:val="18"/>
      <w:szCs w:val="18"/>
    </w:rPr>
  </w:style>
  <w:style w:type="character" w:styleId="CommentReference">
    <w:name w:val="annotation reference"/>
    <w:basedOn w:val="DefaultParagraphFont"/>
    <w:uiPriority w:val="99"/>
    <w:semiHidden/>
    <w:unhideWhenUsed/>
    <w:rsid w:val="00FB07AE"/>
    <w:rPr>
      <w:sz w:val="16"/>
      <w:szCs w:val="16"/>
    </w:rPr>
  </w:style>
  <w:style w:type="paragraph" w:styleId="CommentText">
    <w:name w:val="annotation text"/>
    <w:basedOn w:val="Normal"/>
    <w:link w:val="CommentTextChar"/>
    <w:uiPriority w:val="99"/>
    <w:semiHidden/>
    <w:unhideWhenUsed/>
    <w:rsid w:val="00FB07AE"/>
    <w:pPr>
      <w:widowControl/>
    </w:pPr>
    <w:rPr>
      <w:rFonts w:eastAsia="PMingLiU"/>
    </w:rPr>
  </w:style>
  <w:style w:type="character" w:customStyle="1" w:styleId="CommentTextChar">
    <w:name w:val="Comment Text Char"/>
    <w:basedOn w:val="DefaultParagraphFont"/>
    <w:link w:val="CommentText"/>
    <w:uiPriority w:val="99"/>
    <w:semiHidden/>
    <w:rsid w:val="00FB07AE"/>
    <w:rPr>
      <w:rFonts w:ascii="Times New Roman" w:eastAsia="P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B07AE"/>
    <w:rPr>
      <w:b/>
      <w:bCs/>
    </w:rPr>
  </w:style>
  <w:style w:type="character" w:customStyle="1" w:styleId="CommentSubjectChar">
    <w:name w:val="Comment Subject Char"/>
    <w:basedOn w:val="CommentTextChar"/>
    <w:link w:val="CommentSubject"/>
    <w:uiPriority w:val="99"/>
    <w:semiHidden/>
    <w:rsid w:val="00FB07AE"/>
    <w:rPr>
      <w:rFonts w:ascii="Times New Roman" w:eastAsia="PMingLiU" w:hAnsi="Times New Roman" w:cs="Times New Roman"/>
      <w:b/>
      <w:bCs/>
      <w:sz w:val="20"/>
      <w:szCs w:val="20"/>
    </w:rPr>
  </w:style>
  <w:style w:type="paragraph" w:customStyle="1" w:styleId="footnotedescription">
    <w:name w:val="footnote description"/>
    <w:next w:val="Normal"/>
    <w:link w:val="footnotedescriptionChar"/>
    <w:hidden/>
    <w:rsid w:val="00D86641"/>
    <w:pPr>
      <w:spacing w:after="12" w:line="259"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D86641"/>
    <w:rPr>
      <w:rFonts w:ascii="Times New Roman" w:eastAsia="Times New Roman" w:hAnsi="Times New Roman" w:cs="Times New Roman"/>
      <w:color w:val="000000"/>
      <w:sz w:val="20"/>
    </w:rPr>
  </w:style>
  <w:style w:type="character" w:customStyle="1" w:styleId="footnotemark">
    <w:name w:val="footnote mark"/>
    <w:hidden/>
    <w:rsid w:val="00D86641"/>
    <w:rPr>
      <w:rFonts w:ascii="Times New Roman" w:eastAsia="Times New Roman" w:hAnsi="Times New Roman" w:cs="Times New Roman"/>
      <w:color w:val="000000"/>
      <w:sz w:val="20"/>
      <w:vertAlign w:val="superscript"/>
    </w:rPr>
  </w:style>
  <w:style w:type="character" w:styleId="FollowedHyperlink">
    <w:name w:val="FollowedHyperlink"/>
    <w:basedOn w:val="DefaultParagraphFont"/>
    <w:uiPriority w:val="99"/>
    <w:semiHidden/>
    <w:unhideWhenUsed/>
    <w:rsid w:val="00CF7F37"/>
    <w:rPr>
      <w:color w:val="800080" w:themeColor="followedHyperlink"/>
      <w:u w:val="single"/>
    </w:rPr>
  </w:style>
  <w:style w:type="character" w:styleId="PlaceholderText">
    <w:name w:val="Placeholder Text"/>
    <w:basedOn w:val="DefaultParagraphFont"/>
    <w:uiPriority w:val="99"/>
    <w:semiHidden/>
    <w:rsid w:val="002338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3353">
      <w:bodyDiv w:val="1"/>
      <w:marLeft w:val="0"/>
      <w:marRight w:val="0"/>
      <w:marTop w:val="0"/>
      <w:marBottom w:val="0"/>
      <w:divBdr>
        <w:top w:val="none" w:sz="0" w:space="0" w:color="auto"/>
        <w:left w:val="none" w:sz="0" w:space="0" w:color="auto"/>
        <w:bottom w:val="none" w:sz="0" w:space="0" w:color="auto"/>
        <w:right w:val="none" w:sz="0" w:space="0" w:color="auto"/>
      </w:divBdr>
    </w:div>
    <w:div w:id="205408173">
      <w:bodyDiv w:val="1"/>
      <w:marLeft w:val="0"/>
      <w:marRight w:val="0"/>
      <w:marTop w:val="0"/>
      <w:marBottom w:val="0"/>
      <w:divBdr>
        <w:top w:val="none" w:sz="0" w:space="0" w:color="auto"/>
        <w:left w:val="none" w:sz="0" w:space="0" w:color="auto"/>
        <w:bottom w:val="none" w:sz="0" w:space="0" w:color="auto"/>
        <w:right w:val="none" w:sz="0" w:space="0" w:color="auto"/>
      </w:divBdr>
    </w:div>
    <w:div w:id="499737671">
      <w:bodyDiv w:val="1"/>
      <w:marLeft w:val="0"/>
      <w:marRight w:val="0"/>
      <w:marTop w:val="0"/>
      <w:marBottom w:val="0"/>
      <w:divBdr>
        <w:top w:val="none" w:sz="0" w:space="0" w:color="auto"/>
        <w:left w:val="none" w:sz="0" w:space="0" w:color="auto"/>
        <w:bottom w:val="none" w:sz="0" w:space="0" w:color="auto"/>
        <w:right w:val="none" w:sz="0" w:space="0" w:color="auto"/>
      </w:divBdr>
    </w:div>
    <w:div w:id="623539766">
      <w:bodyDiv w:val="1"/>
      <w:marLeft w:val="0"/>
      <w:marRight w:val="0"/>
      <w:marTop w:val="0"/>
      <w:marBottom w:val="0"/>
      <w:divBdr>
        <w:top w:val="none" w:sz="0" w:space="0" w:color="auto"/>
        <w:left w:val="none" w:sz="0" w:space="0" w:color="auto"/>
        <w:bottom w:val="none" w:sz="0" w:space="0" w:color="auto"/>
        <w:right w:val="none" w:sz="0" w:space="0" w:color="auto"/>
      </w:divBdr>
    </w:div>
    <w:div w:id="634141502">
      <w:bodyDiv w:val="1"/>
      <w:marLeft w:val="0"/>
      <w:marRight w:val="0"/>
      <w:marTop w:val="0"/>
      <w:marBottom w:val="0"/>
      <w:divBdr>
        <w:top w:val="none" w:sz="0" w:space="0" w:color="auto"/>
        <w:left w:val="none" w:sz="0" w:space="0" w:color="auto"/>
        <w:bottom w:val="none" w:sz="0" w:space="0" w:color="auto"/>
        <w:right w:val="none" w:sz="0" w:space="0" w:color="auto"/>
      </w:divBdr>
    </w:div>
    <w:div w:id="635376712">
      <w:bodyDiv w:val="1"/>
      <w:marLeft w:val="0"/>
      <w:marRight w:val="0"/>
      <w:marTop w:val="0"/>
      <w:marBottom w:val="0"/>
      <w:divBdr>
        <w:top w:val="none" w:sz="0" w:space="0" w:color="auto"/>
        <w:left w:val="none" w:sz="0" w:space="0" w:color="auto"/>
        <w:bottom w:val="none" w:sz="0" w:space="0" w:color="auto"/>
        <w:right w:val="none" w:sz="0" w:space="0" w:color="auto"/>
      </w:divBdr>
    </w:div>
    <w:div w:id="712000607">
      <w:bodyDiv w:val="1"/>
      <w:marLeft w:val="0"/>
      <w:marRight w:val="0"/>
      <w:marTop w:val="0"/>
      <w:marBottom w:val="0"/>
      <w:divBdr>
        <w:top w:val="none" w:sz="0" w:space="0" w:color="auto"/>
        <w:left w:val="none" w:sz="0" w:space="0" w:color="auto"/>
        <w:bottom w:val="none" w:sz="0" w:space="0" w:color="auto"/>
        <w:right w:val="none" w:sz="0" w:space="0" w:color="auto"/>
      </w:divBdr>
    </w:div>
    <w:div w:id="878861853">
      <w:bodyDiv w:val="1"/>
      <w:marLeft w:val="0"/>
      <w:marRight w:val="0"/>
      <w:marTop w:val="0"/>
      <w:marBottom w:val="0"/>
      <w:divBdr>
        <w:top w:val="none" w:sz="0" w:space="0" w:color="auto"/>
        <w:left w:val="none" w:sz="0" w:space="0" w:color="auto"/>
        <w:bottom w:val="none" w:sz="0" w:space="0" w:color="auto"/>
        <w:right w:val="none" w:sz="0" w:space="0" w:color="auto"/>
      </w:divBdr>
    </w:div>
    <w:div w:id="882253107">
      <w:bodyDiv w:val="1"/>
      <w:marLeft w:val="0"/>
      <w:marRight w:val="0"/>
      <w:marTop w:val="0"/>
      <w:marBottom w:val="0"/>
      <w:divBdr>
        <w:top w:val="none" w:sz="0" w:space="0" w:color="auto"/>
        <w:left w:val="none" w:sz="0" w:space="0" w:color="auto"/>
        <w:bottom w:val="none" w:sz="0" w:space="0" w:color="auto"/>
        <w:right w:val="none" w:sz="0" w:space="0" w:color="auto"/>
      </w:divBdr>
    </w:div>
    <w:div w:id="1153834772">
      <w:bodyDiv w:val="1"/>
      <w:marLeft w:val="0"/>
      <w:marRight w:val="0"/>
      <w:marTop w:val="0"/>
      <w:marBottom w:val="0"/>
      <w:divBdr>
        <w:top w:val="none" w:sz="0" w:space="0" w:color="auto"/>
        <w:left w:val="none" w:sz="0" w:space="0" w:color="auto"/>
        <w:bottom w:val="none" w:sz="0" w:space="0" w:color="auto"/>
        <w:right w:val="none" w:sz="0" w:space="0" w:color="auto"/>
      </w:divBdr>
    </w:div>
    <w:div w:id="1159419803">
      <w:bodyDiv w:val="1"/>
      <w:marLeft w:val="0"/>
      <w:marRight w:val="0"/>
      <w:marTop w:val="0"/>
      <w:marBottom w:val="0"/>
      <w:divBdr>
        <w:top w:val="none" w:sz="0" w:space="0" w:color="auto"/>
        <w:left w:val="none" w:sz="0" w:space="0" w:color="auto"/>
        <w:bottom w:val="none" w:sz="0" w:space="0" w:color="auto"/>
        <w:right w:val="none" w:sz="0" w:space="0" w:color="auto"/>
      </w:divBdr>
    </w:div>
    <w:div w:id="1458453984">
      <w:bodyDiv w:val="1"/>
      <w:marLeft w:val="0"/>
      <w:marRight w:val="0"/>
      <w:marTop w:val="0"/>
      <w:marBottom w:val="0"/>
      <w:divBdr>
        <w:top w:val="none" w:sz="0" w:space="0" w:color="auto"/>
        <w:left w:val="none" w:sz="0" w:space="0" w:color="auto"/>
        <w:bottom w:val="none" w:sz="0" w:space="0" w:color="auto"/>
        <w:right w:val="none" w:sz="0" w:space="0" w:color="auto"/>
      </w:divBdr>
    </w:div>
    <w:div w:id="1588344728">
      <w:bodyDiv w:val="1"/>
      <w:marLeft w:val="0"/>
      <w:marRight w:val="0"/>
      <w:marTop w:val="0"/>
      <w:marBottom w:val="0"/>
      <w:divBdr>
        <w:top w:val="none" w:sz="0" w:space="0" w:color="auto"/>
        <w:left w:val="none" w:sz="0" w:space="0" w:color="auto"/>
        <w:bottom w:val="none" w:sz="0" w:space="0" w:color="auto"/>
        <w:right w:val="none" w:sz="0" w:space="0" w:color="auto"/>
      </w:divBdr>
    </w:div>
    <w:div w:id="1601569566">
      <w:bodyDiv w:val="1"/>
      <w:marLeft w:val="0"/>
      <w:marRight w:val="0"/>
      <w:marTop w:val="0"/>
      <w:marBottom w:val="0"/>
      <w:divBdr>
        <w:top w:val="none" w:sz="0" w:space="0" w:color="auto"/>
        <w:left w:val="none" w:sz="0" w:space="0" w:color="auto"/>
        <w:bottom w:val="none" w:sz="0" w:space="0" w:color="auto"/>
        <w:right w:val="none" w:sz="0" w:space="0" w:color="auto"/>
      </w:divBdr>
    </w:div>
    <w:div w:id="1654676050">
      <w:bodyDiv w:val="1"/>
      <w:marLeft w:val="0"/>
      <w:marRight w:val="0"/>
      <w:marTop w:val="0"/>
      <w:marBottom w:val="0"/>
      <w:divBdr>
        <w:top w:val="none" w:sz="0" w:space="0" w:color="auto"/>
        <w:left w:val="none" w:sz="0" w:space="0" w:color="auto"/>
        <w:bottom w:val="none" w:sz="0" w:space="0" w:color="auto"/>
        <w:right w:val="none" w:sz="0" w:space="0" w:color="auto"/>
      </w:divBdr>
    </w:div>
    <w:div w:id="1703902054">
      <w:bodyDiv w:val="1"/>
      <w:marLeft w:val="0"/>
      <w:marRight w:val="0"/>
      <w:marTop w:val="0"/>
      <w:marBottom w:val="0"/>
      <w:divBdr>
        <w:top w:val="none" w:sz="0" w:space="0" w:color="auto"/>
        <w:left w:val="none" w:sz="0" w:space="0" w:color="auto"/>
        <w:bottom w:val="none" w:sz="0" w:space="0" w:color="auto"/>
        <w:right w:val="none" w:sz="0" w:space="0" w:color="auto"/>
      </w:divBdr>
      <w:divsChild>
        <w:div w:id="1727950738">
          <w:marLeft w:val="0"/>
          <w:marRight w:val="0"/>
          <w:marTop w:val="0"/>
          <w:marBottom w:val="0"/>
          <w:divBdr>
            <w:top w:val="none" w:sz="0" w:space="0" w:color="auto"/>
            <w:left w:val="none" w:sz="0" w:space="0" w:color="auto"/>
            <w:bottom w:val="none" w:sz="0" w:space="0" w:color="auto"/>
            <w:right w:val="none" w:sz="0" w:space="0" w:color="auto"/>
          </w:divBdr>
          <w:divsChild>
            <w:div w:id="677848222">
              <w:marLeft w:val="0"/>
              <w:marRight w:val="0"/>
              <w:marTop w:val="0"/>
              <w:marBottom w:val="0"/>
              <w:divBdr>
                <w:top w:val="none" w:sz="0" w:space="0" w:color="auto"/>
                <w:left w:val="none" w:sz="0" w:space="0" w:color="auto"/>
                <w:bottom w:val="none" w:sz="0" w:space="0" w:color="auto"/>
                <w:right w:val="none" w:sz="0" w:space="0" w:color="auto"/>
              </w:divBdr>
              <w:divsChild>
                <w:div w:id="397478000">
                  <w:marLeft w:val="0"/>
                  <w:marRight w:val="0"/>
                  <w:marTop w:val="0"/>
                  <w:marBottom w:val="0"/>
                  <w:divBdr>
                    <w:top w:val="none" w:sz="0" w:space="0" w:color="auto"/>
                    <w:left w:val="none" w:sz="0" w:space="0" w:color="auto"/>
                    <w:bottom w:val="none" w:sz="0" w:space="0" w:color="auto"/>
                    <w:right w:val="none" w:sz="0" w:space="0" w:color="auto"/>
                  </w:divBdr>
                  <w:divsChild>
                    <w:div w:id="1711490040">
                      <w:marLeft w:val="0"/>
                      <w:marRight w:val="0"/>
                      <w:marTop w:val="45"/>
                      <w:marBottom w:val="0"/>
                      <w:divBdr>
                        <w:top w:val="none" w:sz="0" w:space="0" w:color="auto"/>
                        <w:left w:val="none" w:sz="0" w:space="0" w:color="auto"/>
                        <w:bottom w:val="none" w:sz="0" w:space="0" w:color="auto"/>
                        <w:right w:val="none" w:sz="0" w:space="0" w:color="auto"/>
                      </w:divBdr>
                      <w:divsChild>
                        <w:div w:id="357849934">
                          <w:marLeft w:val="0"/>
                          <w:marRight w:val="0"/>
                          <w:marTop w:val="0"/>
                          <w:marBottom w:val="0"/>
                          <w:divBdr>
                            <w:top w:val="none" w:sz="0" w:space="0" w:color="auto"/>
                            <w:left w:val="none" w:sz="0" w:space="0" w:color="auto"/>
                            <w:bottom w:val="none" w:sz="0" w:space="0" w:color="auto"/>
                            <w:right w:val="none" w:sz="0" w:space="0" w:color="auto"/>
                          </w:divBdr>
                          <w:divsChild>
                            <w:div w:id="864632573">
                              <w:marLeft w:val="2070"/>
                              <w:marRight w:val="3960"/>
                              <w:marTop w:val="0"/>
                              <w:marBottom w:val="0"/>
                              <w:divBdr>
                                <w:top w:val="none" w:sz="0" w:space="0" w:color="auto"/>
                                <w:left w:val="none" w:sz="0" w:space="0" w:color="auto"/>
                                <w:bottom w:val="none" w:sz="0" w:space="0" w:color="auto"/>
                                <w:right w:val="none" w:sz="0" w:space="0" w:color="auto"/>
                              </w:divBdr>
                              <w:divsChild>
                                <w:div w:id="830634838">
                                  <w:marLeft w:val="0"/>
                                  <w:marRight w:val="0"/>
                                  <w:marTop w:val="0"/>
                                  <w:marBottom w:val="0"/>
                                  <w:divBdr>
                                    <w:top w:val="none" w:sz="0" w:space="0" w:color="auto"/>
                                    <w:left w:val="none" w:sz="0" w:space="0" w:color="auto"/>
                                    <w:bottom w:val="none" w:sz="0" w:space="0" w:color="auto"/>
                                    <w:right w:val="none" w:sz="0" w:space="0" w:color="auto"/>
                                  </w:divBdr>
                                  <w:divsChild>
                                    <w:div w:id="571938055">
                                      <w:marLeft w:val="0"/>
                                      <w:marRight w:val="0"/>
                                      <w:marTop w:val="0"/>
                                      <w:marBottom w:val="0"/>
                                      <w:divBdr>
                                        <w:top w:val="none" w:sz="0" w:space="0" w:color="auto"/>
                                        <w:left w:val="none" w:sz="0" w:space="0" w:color="auto"/>
                                        <w:bottom w:val="none" w:sz="0" w:space="0" w:color="auto"/>
                                        <w:right w:val="none" w:sz="0" w:space="0" w:color="auto"/>
                                      </w:divBdr>
                                      <w:divsChild>
                                        <w:div w:id="1343316386">
                                          <w:marLeft w:val="0"/>
                                          <w:marRight w:val="0"/>
                                          <w:marTop w:val="0"/>
                                          <w:marBottom w:val="0"/>
                                          <w:divBdr>
                                            <w:top w:val="none" w:sz="0" w:space="0" w:color="auto"/>
                                            <w:left w:val="none" w:sz="0" w:space="0" w:color="auto"/>
                                            <w:bottom w:val="none" w:sz="0" w:space="0" w:color="auto"/>
                                            <w:right w:val="none" w:sz="0" w:space="0" w:color="auto"/>
                                          </w:divBdr>
                                          <w:divsChild>
                                            <w:div w:id="66149014">
                                              <w:marLeft w:val="0"/>
                                              <w:marRight w:val="0"/>
                                              <w:marTop w:val="90"/>
                                              <w:marBottom w:val="0"/>
                                              <w:divBdr>
                                                <w:top w:val="none" w:sz="0" w:space="0" w:color="auto"/>
                                                <w:left w:val="none" w:sz="0" w:space="0" w:color="auto"/>
                                                <w:bottom w:val="none" w:sz="0" w:space="0" w:color="auto"/>
                                                <w:right w:val="none" w:sz="0" w:space="0" w:color="auto"/>
                                              </w:divBdr>
                                              <w:divsChild>
                                                <w:div w:id="1129782924">
                                                  <w:marLeft w:val="0"/>
                                                  <w:marRight w:val="0"/>
                                                  <w:marTop w:val="0"/>
                                                  <w:marBottom w:val="0"/>
                                                  <w:divBdr>
                                                    <w:top w:val="none" w:sz="0" w:space="0" w:color="auto"/>
                                                    <w:left w:val="none" w:sz="0" w:space="0" w:color="auto"/>
                                                    <w:bottom w:val="none" w:sz="0" w:space="0" w:color="auto"/>
                                                    <w:right w:val="none" w:sz="0" w:space="0" w:color="auto"/>
                                                  </w:divBdr>
                                                  <w:divsChild>
                                                    <w:div w:id="1134519598">
                                                      <w:marLeft w:val="0"/>
                                                      <w:marRight w:val="0"/>
                                                      <w:marTop w:val="0"/>
                                                      <w:marBottom w:val="0"/>
                                                      <w:divBdr>
                                                        <w:top w:val="none" w:sz="0" w:space="0" w:color="auto"/>
                                                        <w:left w:val="none" w:sz="0" w:space="0" w:color="auto"/>
                                                        <w:bottom w:val="none" w:sz="0" w:space="0" w:color="auto"/>
                                                        <w:right w:val="none" w:sz="0" w:space="0" w:color="auto"/>
                                                      </w:divBdr>
                                                      <w:divsChild>
                                                        <w:div w:id="592013064">
                                                          <w:marLeft w:val="0"/>
                                                          <w:marRight w:val="0"/>
                                                          <w:marTop w:val="0"/>
                                                          <w:marBottom w:val="390"/>
                                                          <w:divBdr>
                                                            <w:top w:val="none" w:sz="0" w:space="0" w:color="auto"/>
                                                            <w:left w:val="none" w:sz="0" w:space="0" w:color="auto"/>
                                                            <w:bottom w:val="none" w:sz="0" w:space="0" w:color="auto"/>
                                                            <w:right w:val="none" w:sz="0" w:space="0" w:color="auto"/>
                                                          </w:divBdr>
                                                          <w:divsChild>
                                                            <w:div w:id="1840080881">
                                                              <w:marLeft w:val="0"/>
                                                              <w:marRight w:val="0"/>
                                                              <w:marTop w:val="0"/>
                                                              <w:marBottom w:val="0"/>
                                                              <w:divBdr>
                                                                <w:top w:val="none" w:sz="0" w:space="0" w:color="auto"/>
                                                                <w:left w:val="none" w:sz="0" w:space="0" w:color="auto"/>
                                                                <w:bottom w:val="none" w:sz="0" w:space="0" w:color="auto"/>
                                                                <w:right w:val="none" w:sz="0" w:space="0" w:color="auto"/>
                                                              </w:divBdr>
                                                              <w:divsChild>
                                                                <w:div w:id="397439374">
                                                                  <w:marLeft w:val="0"/>
                                                                  <w:marRight w:val="0"/>
                                                                  <w:marTop w:val="0"/>
                                                                  <w:marBottom w:val="0"/>
                                                                  <w:divBdr>
                                                                    <w:top w:val="none" w:sz="0" w:space="0" w:color="auto"/>
                                                                    <w:left w:val="none" w:sz="0" w:space="0" w:color="auto"/>
                                                                    <w:bottom w:val="none" w:sz="0" w:space="0" w:color="auto"/>
                                                                    <w:right w:val="none" w:sz="0" w:space="0" w:color="auto"/>
                                                                  </w:divBdr>
                                                                  <w:divsChild>
                                                                    <w:div w:id="1386179902">
                                                                      <w:marLeft w:val="0"/>
                                                                      <w:marRight w:val="0"/>
                                                                      <w:marTop w:val="0"/>
                                                                      <w:marBottom w:val="0"/>
                                                                      <w:divBdr>
                                                                        <w:top w:val="none" w:sz="0" w:space="0" w:color="auto"/>
                                                                        <w:left w:val="none" w:sz="0" w:space="0" w:color="auto"/>
                                                                        <w:bottom w:val="none" w:sz="0" w:space="0" w:color="auto"/>
                                                                        <w:right w:val="none" w:sz="0" w:space="0" w:color="auto"/>
                                                                      </w:divBdr>
                                                                      <w:divsChild>
                                                                        <w:div w:id="371654972">
                                                                          <w:marLeft w:val="0"/>
                                                                          <w:marRight w:val="0"/>
                                                                          <w:marTop w:val="0"/>
                                                                          <w:marBottom w:val="0"/>
                                                                          <w:divBdr>
                                                                            <w:top w:val="none" w:sz="0" w:space="0" w:color="auto"/>
                                                                            <w:left w:val="none" w:sz="0" w:space="0" w:color="auto"/>
                                                                            <w:bottom w:val="none" w:sz="0" w:space="0" w:color="auto"/>
                                                                            <w:right w:val="none" w:sz="0" w:space="0" w:color="auto"/>
                                                                          </w:divBdr>
                                                                          <w:divsChild>
                                                                            <w:div w:id="701247892">
                                                                              <w:marLeft w:val="0"/>
                                                                              <w:marRight w:val="0"/>
                                                                              <w:marTop w:val="0"/>
                                                                              <w:marBottom w:val="0"/>
                                                                              <w:divBdr>
                                                                                <w:top w:val="none" w:sz="0" w:space="0" w:color="auto"/>
                                                                                <w:left w:val="none" w:sz="0" w:space="0" w:color="auto"/>
                                                                                <w:bottom w:val="none" w:sz="0" w:space="0" w:color="auto"/>
                                                                                <w:right w:val="none" w:sz="0" w:space="0" w:color="auto"/>
                                                                              </w:divBdr>
                                                                              <w:divsChild>
                                                                                <w:div w:id="1647934037">
                                                                                  <w:marLeft w:val="0"/>
                                                                                  <w:marRight w:val="0"/>
                                                                                  <w:marTop w:val="0"/>
                                                                                  <w:marBottom w:val="0"/>
                                                                                  <w:divBdr>
                                                                                    <w:top w:val="none" w:sz="0" w:space="0" w:color="auto"/>
                                                                                    <w:left w:val="none" w:sz="0" w:space="0" w:color="auto"/>
                                                                                    <w:bottom w:val="none" w:sz="0" w:space="0" w:color="auto"/>
                                                                                    <w:right w:val="none" w:sz="0" w:space="0" w:color="auto"/>
                                                                                  </w:divBdr>
                                                                                  <w:divsChild>
                                                                                    <w:div w:id="1309096152">
                                                                                      <w:marLeft w:val="0"/>
                                                                                      <w:marRight w:val="0"/>
                                                                                      <w:marTop w:val="0"/>
                                                                                      <w:marBottom w:val="0"/>
                                                                                      <w:divBdr>
                                                                                        <w:top w:val="none" w:sz="0" w:space="0" w:color="auto"/>
                                                                                        <w:left w:val="none" w:sz="0" w:space="0" w:color="auto"/>
                                                                                        <w:bottom w:val="none" w:sz="0" w:space="0" w:color="auto"/>
                                                                                        <w:right w:val="none" w:sz="0" w:space="0" w:color="auto"/>
                                                                                      </w:divBdr>
                                                                                      <w:divsChild>
                                                                                        <w:div w:id="535697415">
                                                                                          <w:marLeft w:val="0"/>
                                                                                          <w:marRight w:val="0"/>
                                                                                          <w:marTop w:val="0"/>
                                                                                          <w:marBottom w:val="0"/>
                                                                                          <w:divBdr>
                                                                                            <w:top w:val="none" w:sz="0" w:space="0" w:color="auto"/>
                                                                                            <w:left w:val="none" w:sz="0" w:space="0" w:color="auto"/>
                                                                                            <w:bottom w:val="none" w:sz="0" w:space="0" w:color="auto"/>
                                                                                            <w:right w:val="none" w:sz="0" w:space="0" w:color="auto"/>
                                                                                          </w:divBdr>
                                                                                          <w:divsChild>
                                                                                            <w:div w:id="248316325">
                                                                                              <w:marLeft w:val="0"/>
                                                                                              <w:marRight w:val="0"/>
                                                                                              <w:marTop w:val="0"/>
                                                                                              <w:marBottom w:val="0"/>
                                                                                              <w:divBdr>
                                                                                                <w:top w:val="none" w:sz="0" w:space="0" w:color="auto"/>
                                                                                                <w:left w:val="none" w:sz="0" w:space="0" w:color="auto"/>
                                                                                                <w:bottom w:val="none" w:sz="0" w:space="0" w:color="auto"/>
                                                                                                <w:right w:val="none" w:sz="0" w:space="0" w:color="auto"/>
                                                                                              </w:divBdr>
                                                                                              <w:divsChild>
                                                                                                <w:div w:id="385684782">
                                                                                                  <w:marLeft w:val="0"/>
                                                                                                  <w:marRight w:val="0"/>
                                                                                                  <w:marTop w:val="0"/>
                                                                                                  <w:marBottom w:val="0"/>
                                                                                                  <w:divBdr>
                                                                                                    <w:top w:val="none" w:sz="0" w:space="0" w:color="auto"/>
                                                                                                    <w:left w:val="none" w:sz="0" w:space="0" w:color="auto"/>
                                                                                                    <w:bottom w:val="none" w:sz="0" w:space="0" w:color="auto"/>
                                                                                                    <w:right w:val="none" w:sz="0" w:space="0" w:color="auto"/>
                                                                                                  </w:divBdr>
                                                                                                  <w:divsChild>
                                                                                                    <w:div w:id="885720976">
                                                                                                      <w:marLeft w:val="0"/>
                                                                                                      <w:marRight w:val="0"/>
                                                                                                      <w:marTop w:val="0"/>
                                                                                                      <w:marBottom w:val="0"/>
                                                                                                      <w:divBdr>
                                                                                                        <w:top w:val="none" w:sz="0" w:space="0" w:color="auto"/>
                                                                                                        <w:left w:val="none" w:sz="0" w:space="0" w:color="auto"/>
                                                                                                        <w:bottom w:val="none" w:sz="0" w:space="0" w:color="auto"/>
                                                                                                        <w:right w:val="none" w:sz="0" w:space="0" w:color="auto"/>
                                                                                                      </w:divBdr>
                                                                                                      <w:divsChild>
                                                                                                        <w:div w:id="1667200523">
                                                                                                          <w:marLeft w:val="0"/>
                                                                                                          <w:marRight w:val="0"/>
                                                                                                          <w:marTop w:val="0"/>
                                                                                                          <w:marBottom w:val="0"/>
                                                                                                          <w:divBdr>
                                                                                                            <w:top w:val="none" w:sz="0" w:space="0" w:color="auto"/>
                                                                                                            <w:left w:val="none" w:sz="0" w:space="0" w:color="auto"/>
                                                                                                            <w:bottom w:val="none" w:sz="0" w:space="0" w:color="auto"/>
                                                                                                            <w:right w:val="none" w:sz="0" w:space="0" w:color="auto"/>
                                                                                                          </w:divBdr>
                                                                                                          <w:divsChild>
                                                                                                            <w:div w:id="1215042777">
                                                                                                              <w:marLeft w:val="300"/>
                                                                                                              <w:marRight w:val="0"/>
                                                                                                              <w:marTop w:val="0"/>
                                                                                                              <w:marBottom w:val="0"/>
                                                                                                              <w:divBdr>
                                                                                                                <w:top w:val="none" w:sz="0" w:space="0" w:color="auto"/>
                                                                                                                <w:left w:val="none" w:sz="0" w:space="0" w:color="auto"/>
                                                                                                                <w:bottom w:val="none" w:sz="0" w:space="0" w:color="auto"/>
                                                                                                                <w:right w:val="none" w:sz="0" w:space="0" w:color="auto"/>
                                                                                                              </w:divBdr>
                                                                                                              <w:divsChild>
                                                                                                                <w:div w:id="811824205">
                                                                                                                  <w:marLeft w:val="0"/>
                                                                                                                  <w:marRight w:val="0"/>
                                                                                                                  <w:marTop w:val="0"/>
                                                                                                                  <w:marBottom w:val="0"/>
                                                                                                                  <w:divBdr>
                                                                                                                    <w:top w:val="none" w:sz="0" w:space="0" w:color="auto"/>
                                                                                                                    <w:left w:val="none" w:sz="0" w:space="0" w:color="auto"/>
                                                                                                                    <w:bottom w:val="none" w:sz="0" w:space="0" w:color="auto"/>
                                                                                                                    <w:right w:val="none" w:sz="0" w:space="0" w:color="auto"/>
                                                                                                                  </w:divBdr>
                                                                                                                  <w:divsChild>
                                                                                                                    <w:div w:id="9228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191266">
      <w:bodyDiv w:val="1"/>
      <w:marLeft w:val="0"/>
      <w:marRight w:val="0"/>
      <w:marTop w:val="0"/>
      <w:marBottom w:val="0"/>
      <w:divBdr>
        <w:top w:val="none" w:sz="0" w:space="0" w:color="auto"/>
        <w:left w:val="none" w:sz="0" w:space="0" w:color="auto"/>
        <w:bottom w:val="none" w:sz="0" w:space="0" w:color="auto"/>
        <w:right w:val="none" w:sz="0" w:space="0" w:color="auto"/>
      </w:divBdr>
    </w:div>
    <w:div w:id="212186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research\buttonTFLink?_m=69761b6202cb4178e2a6e6fe02f5751b&amp;_xfercite=%3ccite%20cc=%22USA%22%3e%3c!%5bCDATA%5b2000%20Pa.%20PUC%20LEXIS%2067%20%5d%5d%3e%3c\cite%3e&amp;_butType=3&amp;_butStat=242&amp;_butNum=6&amp;_butInline=1&amp;_butinfo=%3ccite%20cc=%22USA%22%3e%3c!%5bCDATA%5b485%20A.2d%201217%5d%5d%3e%3c\cite%3e&amp;_fmtstr=FULL&amp;docnum=5&amp;_startdoc=1&amp;_startchk=1&amp;wchp=dGLSzS-lSlbz&amp;_md5=9b1cc8319afd12440738bb82d74455ef"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file://C:\research\buttonTFLink?_m=69761b6202cb4178e2a6e6fe02f5751b&amp;_xfercite=%3ccite%20cc=%22USA%22%3e%3c!%5bCDATA%5b2000%20Pa.%20PUC%20LEXIS%2067%20%5d%5d%3e%3c\cite%3e&amp;_butType=3&amp;_butStat=242&amp;_butNum=5&amp;_butInline=1&amp;_butinfo=%3ccite%20cc=%22USA%22%3e%3c!%5bCDATA%5b625%20A.2d%20741%5d%5d%3e%3c\cite%3e&amp;_fmtstr=FULL&amp;docnum=5&amp;_startdoc=1&amp;_startchk=1&amp;wchp=dGLSzS-lSlbz&amp;_md5=ad2b02d95c2a9216e83b92a3570d4785"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0E922-D8BF-4329-B490-C065F74D8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108</Pages>
  <Words>22577</Words>
  <Characters>128689</Characters>
  <Application>Microsoft Office Word</Application>
  <DocSecurity>0</DocSecurity>
  <Lines>1072</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Capper, Thomas</dc:creator>
  <cp:keywords/>
  <dc:description/>
  <cp:lastModifiedBy>Sheffer, Ryan</cp:lastModifiedBy>
  <cp:revision>9</cp:revision>
  <cp:lastPrinted>2020-03-05T18:33:00Z</cp:lastPrinted>
  <dcterms:created xsi:type="dcterms:W3CDTF">2020-03-18T19:55:00Z</dcterms:created>
  <dcterms:modified xsi:type="dcterms:W3CDTF">2020-03-26T15:29:00Z</dcterms:modified>
</cp:coreProperties>
</file>