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C64A" w14:textId="77777777" w:rsidR="00F514FB" w:rsidRPr="008F78A8" w:rsidRDefault="00F514FB" w:rsidP="009F0FBD">
      <w:pPr>
        <w:tabs>
          <w:tab w:val="center" w:pos="4680"/>
        </w:tabs>
        <w:suppressAutoHyphens/>
        <w:contextualSpacing/>
        <w:jc w:val="center"/>
        <w:rPr>
          <w:b/>
          <w:sz w:val="26"/>
          <w:szCs w:val="26"/>
        </w:rPr>
      </w:pPr>
      <w:r w:rsidRPr="008F78A8">
        <w:rPr>
          <w:b/>
          <w:sz w:val="26"/>
          <w:szCs w:val="26"/>
        </w:rPr>
        <w:t>PENNSYLVANIA</w:t>
      </w:r>
    </w:p>
    <w:p w14:paraId="4BC2D6EE" w14:textId="77777777" w:rsidR="00F514FB" w:rsidRPr="008F78A8" w:rsidRDefault="00F514FB" w:rsidP="009F0FBD">
      <w:pPr>
        <w:tabs>
          <w:tab w:val="center" w:pos="4680"/>
        </w:tabs>
        <w:suppressAutoHyphens/>
        <w:contextualSpacing/>
        <w:jc w:val="center"/>
        <w:rPr>
          <w:sz w:val="26"/>
          <w:szCs w:val="26"/>
        </w:rPr>
      </w:pPr>
      <w:r w:rsidRPr="008F78A8">
        <w:rPr>
          <w:b/>
          <w:sz w:val="26"/>
          <w:szCs w:val="26"/>
        </w:rPr>
        <w:t>PUBLIC UTILITY COMMISSION</w:t>
      </w:r>
    </w:p>
    <w:p w14:paraId="0CBC3E55" w14:textId="2CE69B7A" w:rsidR="00F514FB" w:rsidRPr="008F78A8" w:rsidRDefault="00F514FB" w:rsidP="009F0FBD">
      <w:pPr>
        <w:tabs>
          <w:tab w:val="center" w:pos="4680"/>
        </w:tabs>
        <w:suppressAutoHyphens/>
        <w:contextualSpacing/>
        <w:jc w:val="center"/>
        <w:rPr>
          <w:sz w:val="26"/>
          <w:szCs w:val="26"/>
        </w:rPr>
      </w:pPr>
      <w:r w:rsidRPr="008F78A8">
        <w:rPr>
          <w:b/>
          <w:sz w:val="26"/>
          <w:szCs w:val="26"/>
        </w:rPr>
        <w:t xml:space="preserve">Harrisburg, PA </w:t>
      </w:r>
      <w:r w:rsidR="000B2FBB" w:rsidRPr="000B2FBB">
        <w:rPr>
          <w:b/>
          <w:sz w:val="26"/>
          <w:szCs w:val="26"/>
        </w:rPr>
        <w:t>17120</w:t>
      </w:r>
    </w:p>
    <w:p w14:paraId="2CAFFC80" w14:textId="77777777" w:rsidR="00F514FB" w:rsidRPr="008F78A8" w:rsidRDefault="00F514FB" w:rsidP="009F0FBD">
      <w:pPr>
        <w:tabs>
          <w:tab w:val="left" w:pos="-720"/>
        </w:tabs>
        <w:suppressAutoHyphens/>
        <w:contextualSpacing/>
        <w:rPr>
          <w:sz w:val="26"/>
          <w:szCs w:val="26"/>
        </w:rPr>
      </w:pPr>
    </w:p>
    <w:p w14:paraId="7676881F" w14:textId="77777777" w:rsidR="00F514FB" w:rsidRPr="008F78A8" w:rsidRDefault="00F514FB" w:rsidP="009F0FBD">
      <w:pPr>
        <w:contextualSpacing/>
        <w:rPr>
          <w:sz w:val="26"/>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8F78A8" w:rsidRPr="008F78A8" w14:paraId="7264E3FF" w14:textId="77777777" w:rsidTr="006B0FD8">
        <w:tc>
          <w:tcPr>
            <w:tcW w:w="4860" w:type="dxa"/>
          </w:tcPr>
          <w:p w14:paraId="3C51145C" w14:textId="77777777" w:rsidR="00F514FB" w:rsidRPr="008F78A8" w:rsidRDefault="00F514FB" w:rsidP="009F0FBD">
            <w:pPr>
              <w:contextualSpacing/>
              <w:rPr>
                <w:sz w:val="26"/>
                <w:szCs w:val="26"/>
              </w:rPr>
            </w:pPr>
          </w:p>
        </w:tc>
        <w:tc>
          <w:tcPr>
            <w:tcW w:w="4680" w:type="dxa"/>
          </w:tcPr>
          <w:p w14:paraId="0D86D415" w14:textId="607297E0" w:rsidR="00F514FB" w:rsidRPr="008F78A8" w:rsidRDefault="00F514FB" w:rsidP="009F0FBD">
            <w:pPr>
              <w:contextualSpacing/>
              <w:jc w:val="right"/>
              <w:rPr>
                <w:sz w:val="26"/>
                <w:szCs w:val="26"/>
              </w:rPr>
            </w:pPr>
            <w:r w:rsidRPr="008F78A8">
              <w:rPr>
                <w:sz w:val="26"/>
                <w:szCs w:val="26"/>
              </w:rPr>
              <w:t>Public Meeting held</w:t>
            </w:r>
            <w:r w:rsidR="000D4288">
              <w:rPr>
                <w:sz w:val="26"/>
                <w:szCs w:val="26"/>
              </w:rPr>
              <w:t xml:space="preserve"> </w:t>
            </w:r>
            <w:r w:rsidR="00D13652">
              <w:rPr>
                <w:sz w:val="26"/>
                <w:szCs w:val="26"/>
              </w:rPr>
              <w:t>March 26, 2020</w:t>
            </w:r>
          </w:p>
          <w:p w14:paraId="210FB379" w14:textId="77777777" w:rsidR="00F514FB" w:rsidRPr="008F78A8" w:rsidRDefault="00F514FB" w:rsidP="0041068F">
            <w:pPr>
              <w:contextualSpacing/>
              <w:rPr>
                <w:sz w:val="26"/>
                <w:szCs w:val="26"/>
              </w:rPr>
            </w:pPr>
          </w:p>
        </w:tc>
      </w:tr>
      <w:tr w:rsidR="008F78A8" w:rsidRPr="008F78A8" w14:paraId="69A6ADE9" w14:textId="77777777" w:rsidTr="006B0FD8">
        <w:tc>
          <w:tcPr>
            <w:tcW w:w="4860" w:type="dxa"/>
          </w:tcPr>
          <w:p w14:paraId="238BB2F0" w14:textId="77777777" w:rsidR="00580F43" w:rsidRPr="009D4A74" w:rsidRDefault="00580F43" w:rsidP="00580F43">
            <w:pPr>
              <w:contextualSpacing/>
              <w:rPr>
                <w:sz w:val="26"/>
                <w:szCs w:val="26"/>
              </w:rPr>
            </w:pPr>
            <w:r w:rsidRPr="009D4A74">
              <w:rPr>
                <w:sz w:val="26"/>
                <w:szCs w:val="26"/>
              </w:rPr>
              <w:t>Commissioners Present:</w:t>
            </w:r>
          </w:p>
          <w:p w14:paraId="415C5A0F" w14:textId="77777777" w:rsidR="00580F43" w:rsidRPr="009D4A74" w:rsidRDefault="00580F43" w:rsidP="00580F43">
            <w:pPr>
              <w:contextualSpacing/>
              <w:rPr>
                <w:sz w:val="26"/>
                <w:szCs w:val="26"/>
              </w:rPr>
            </w:pPr>
          </w:p>
          <w:p w14:paraId="208EB26C" w14:textId="77777777" w:rsidR="00620F36" w:rsidRPr="00620F36" w:rsidRDefault="00620F36" w:rsidP="002D2450">
            <w:pPr>
              <w:tabs>
                <w:tab w:val="left" w:pos="705"/>
              </w:tabs>
              <w:ind w:firstLine="720"/>
              <w:contextualSpacing/>
              <w:jc w:val="both"/>
              <w:rPr>
                <w:sz w:val="26"/>
                <w:szCs w:val="26"/>
              </w:rPr>
            </w:pPr>
            <w:r w:rsidRPr="00620F36">
              <w:rPr>
                <w:sz w:val="26"/>
                <w:szCs w:val="26"/>
              </w:rPr>
              <w:t>Gladys Brown Dutrieuille, Chairman</w:t>
            </w:r>
          </w:p>
          <w:p w14:paraId="1D5F8DAB" w14:textId="77777777" w:rsidR="00620F36" w:rsidRPr="00620F36" w:rsidRDefault="00620F36" w:rsidP="002D2450">
            <w:pPr>
              <w:tabs>
                <w:tab w:val="left" w:pos="705"/>
              </w:tabs>
              <w:ind w:firstLine="720"/>
              <w:contextualSpacing/>
              <w:jc w:val="both"/>
              <w:rPr>
                <w:sz w:val="26"/>
                <w:szCs w:val="26"/>
              </w:rPr>
            </w:pPr>
            <w:r w:rsidRPr="00620F36">
              <w:rPr>
                <w:sz w:val="26"/>
                <w:szCs w:val="26"/>
              </w:rPr>
              <w:t>David W. Sweet, Vice Chairman</w:t>
            </w:r>
          </w:p>
          <w:p w14:paraId="75CA9A28" w14:textId="77777777" w:rsidR="00620F36" w:rsidRPr="00620F36" w:rsidRDefault="00620F36" w:rsidP="002D2450">
            <w:pPr>
              <w:tabs>
                <w:tab w:val="left" w:pos="705"/>
              </w:tabs>
              <w:ind w:firstLine="720"/>
              <w:contextualSpacing/>
              <w:jc w:val="both"/>
              <w:rPr>
                <w:sz w:val="26"/>
                <w:szCs w:val="26"/>
              </w:rPr>
            </w:pPr>
            <w:r w:rsidRPr="00620F36">
              <w:rPr>
                <w:sz w:val="26"/>
                <w:szCs w:val="26"/>
              </w:rPr>
              <w:t>Andrew G. Place</w:t>
            </w:r>
          </w:p>
          <w:p w14:paraId="5A42660E" w14:textId="7888E3D8" w:rsidR="0097038B" w:rsidRPr="00665B4A" w:rsidRDefault="00620F36" w:rsidP="002D2450">
            <w:pPr>
              <w:tabs>
                <w:tab w:val="left" w:pos="705"/>
              </w:tabs>
              <w:ind w:firstLine="720"/>
              <w:contextualSpacing/>
              <w:rPr>
                <w:sz w:val="26"/>
                <w:szCs w:val="26"/>
              </w:rPr>
            </w:pPr>
            <w:r w:rsidRPr="00620F36">
              <w:rPr>
                <w:sz w:val="26"/>
                <w:szCs w:val="26"/>
              </w:rPr>
              <w:t>John F. Coleman, Jr.</w:t>
            </w:r>
          </w:p>
          <w:p w14:paraId="4051FFBA" w14:textId="3887B722" w:rsidR="00F514FB" w:rsidRPr="008F78A8" w:rsidRDefault="00795483" w:rsidP="002D2450">
            <w:pPr>
              <w:tabs>
                <w:tab w:val="left" w:pos="705"/>
              </w:tabs>
              <w:ind w:firstLine="720"/>
              <w:contextualSpacing/>
              <w:rPr>
                <w:sz w:val="26"/>
                <w:szCs w:val="26"/>
              </w:rPr>
            </w:pPr>
            <w:r w:rsidRPr="00795483">
              <w:rPr>
                <w:sz w:val="26"/>
                <w:szCs w:val="26"/>
              </w:rPr>
              <w:t>Ralph V. Yanora</w:t>
            </w:r>
          </w:p>
          <w:p w14:paraId="24CC57D7" w14:textId="77777777" w:rsidR="00F514FB" w:rsidRPr="008F78A8" w:rsidRDefault="00F514FB" w:rsidP="009F0FBD">
            <w:pPr>
              <w:contextualSpacing/>
              <w:rPr>
                <w:sz w:val="26"/>
                <w:szCs w:val="26"/>
              </w:rPr>
            </w:pPr>
          </w:p>
          <w:p w14:paraId="4E52A1B4" w14:textId="77777777" w:rsidR="00F514FB" w:rsidRPr="008F78A8" w:rsidRDefault="00F514FB" w:rsidP="009F0FBD">
            <w:pPr>
              <w:contextualSpacing/>
              <w:rPr>
                <w:sz w:val="26"/>
                <w:szCs w:val="26"/>
              </w:rPr>
            </w:pPr>
          </w:p>
        </w:tc>
        <w:tc>
          <w:tcPr>
            <w:tcW w:w="4680" w:type="dxa"/>
          </w:tcPr>
          <w:p w14:paraId="531264FC" w14:textId="77777777" w:rsidR="00F514FB" w:rsidRPr="008F78A8" w:rsidRDefault="00F514FB" w:rsidP="009F0FBD">
            <w:pPr>
              <w:contextualSpacing/>
              <w:jc w:val="right"/>
              <w:rPr>
                <w:sz w:val="26"/>
                <w:szCs w:val="26"/>
              </w:rPr>
            </w:pPr>
          </w:p>
          <w:p w14:paraId="03B8F549" w14:textId="77777777" w:rsidR="00F514FB" w:rsidRPr="008F78A8" w:rsidRDefault="00F514FB" w:rsidP="009F0FBD">
            <w:pPr>
              <w:contextualSpacing/>
              <w:jc w:val="right"/>
              <w:rPr>
                <w:sz w:val="26"/>
                <w:szCs w:val="26"/>
              </w:rPr>
            </w:pPr>
          </w:p>
        </w:tc>
      </w:tr>
      <w:tr w:rsidR="008F78A8" w:rsidRPr="008F78A8" w14:paraId="09E7B8CC" w14:textId="77777777" w:rsidTr="006B0FD8">
        <w:tc>
          <w:tcPr>
            <w:tcW w:w="4860" w:type="dxa"/>
          </w:tcPr>
          <w:p w14:paraId="4C4F9678" w14:textId="246D3C72" w:rsidR="00F534B6" w:rsidRPr="00F534B6" w:rsidRDefault="00F534B6" w:rsidP="00F534B6">
            <w:pPr>
              <w:contextualSpacing/>
              <w:rPr>
                <w:sz w:val="26"/>
                <w:szCs w:val="26"/>
              </w:rPr>
            </w:pPr>
            <w:r w:rsidRPr="00F534B6">
              <w:rPr>
                <w:sz w:val="26"/>
                <w:szCs w:val="26"/>
              </w:rPr>
              <w:t>Silver Valley Apartments</w:t>
            </w:r>
          </w:p>
          <w:p w14:paraId="244C6771" w14:textId="0DB4AB5F" w:rsidR="00F534B6" w:rsidRPr="00F534B6" w:rsidRDefault="00F534B6" w:rsidP="00F534B6">
            <w:pPr>
              <w:contextualSpacing/>
              <w:rPr>
                <w:sz w:val="26"/>
                <w:szCs w:val="26"/>
              </w:rPr>
            </w:pPr>
            <w:r w:rsidRPr="00F534B6">
              <w:rPr>
                <w:sz w:val="26"/>
                <w:szCs w:val="26"/>
              </w:rPr>
              <w:t>c/o Mike Vianello</w:t>
            </w:r>
          </w:p>
          <w:p w14:paraId="29789514" w14:textId="77777777" w:rsidR="00F514FB" w:rsidRPr="008F78A8" w:rsidRDefault="00F514FB" w:rsidP="009F0FBD">
            <w:pPr>
              <w:contextualSpacing/>
              <w:rPr>
                <w:sz w:val="26"/>
                <w:szCs w:val="26"/>
              </w:rPr>
            </w:pPr>
          </w:p>
        </w:tc>
        <w:tc>
          <w:tcPr>
            <w:tcW w:w="4680" w:type="dxa"/>
          </w:tcPr>
          <w:p w14:paraId="11FBF4B7" w14:textId="439A924A" w:rsidR="00F514FB" w:rsidRPr="008F78A8" w:rsidRDefault="00AA11ED" w:rsidP="009F0FBD">
            <w:pPr>
              <w:contextualSpacing/>
              <w:jc w:val="right"/>
              <w:rPr>
                <w:sz w:val="26"/>
                <w:szCs w:val="26"/>
              </w:rPr>
            </w:pPr>
            <w:r w:rsidRPr="00AA11ED">
              <w:rPr>
                <w:sz w:val="26"/>
                <w:szCs w:val="26"/>
              </w:rPr>
              <w:t>F-2019-3008686</w:t>
            </w:r>
          </w:p>
        </w:tc>
      </w:tr>
      <w:tr w:rsidR="008F78A8" w:rsidRPr="008F78A8" w14:paraId="0BE582BE" w14:textId="77777777" w:rsidTr="006B0FD8">
        <w:tc>
          <w:tcPr>
            <w:tcW w:w="4860" w:type="dxa"/>
          </w:tcPr>
          <w:p w14:paraId="19A912F3" w14:textId="77777777" w:rsidR="00F514FB" w:rsidRPr="008F78A8" w:rsidRDefault="00F514FB" w:rsidP="009F0FBD">
            <w:pPr>
              <w:ind w:firstLine="720"/>
              <w:contextualSpacing/>
              <w:rPr>
                <w:sz w:val="26"/>
                <w:szCs w:val="26"/>
              </w:rPr>
            </w:pPr>
            <w:r w:rsidRPr="008F78A8">
              <w:rPr>
                <w:sz w:val="26"/>
                <w:szCs w:val="26"/>
              </w:rPr>
              <w:t>v.</w:t>
            </w:r>
          </w:p>
          <w:p w14:paraId="0648A788" w14:textId="77777777" w:rsidR="00F514FB" w:rsidRPr="008F78A8" w:rsidRDefault="00F514FB" w:rsidP="009F0FBD">
            <w:pPr>
              <w:ind w:firstLine="1440"/>
              <w:contextualSpacing/>
              <w:rPr>
                <w:sz w:val="26"/>
                <w:szCs w:val="26"/>
              </w:rPr>
            </w:pPr>
          </w:p>
        </w:tc>
        <w:tc>
          <w:tcPr>
            <w:tcW w:w="4680" w:type="dxa"/>
          </w:tcPr>
          <w:p w14:paraId="2C4FC92D" w14:textId="77777777" w:rsidR="00F514FB" w:rsidRPr="008F78A8" w:rsidRDefault="00F514FB" w:rsidP="009F0FBD">
            <w:pPr>
              <w:contextualSpacing/>
              <w:rPr>
                <w:sz w:val="26"/>
                <w:szCs w:val="26"/>
              </w:rPr>
            </w:pPr>
          </w:p>
        </w:tc>
      </w:tr>
      <w:tr w:rsidR="008F78A8" w:rsidRPr="008F78A8" w14:paraId="36CC35F6" w14:textId="77777777" w:rsidTr="006B0FD8">
        <w:trPr>
          <w:trHeight w:val="378"/>
        </w:trPr>
        <w:tc>
          <w:tcPr>
            <w:tcW w:w="4860" w:type="dxa"/>
          </w:tcPr>
          <w:p w14:paraId="7ED559C2" w14:textId="226BA731" w:rsidR="00F514FB" w:rsidRPr="008F78A8" w:rsidRDefault="002271D2" w:rsidP="009F0FBD">
            <w:pPr>
              <w:contextualSpacing/>
              <w:rPr>
                <w:sz w:val="26"/>
                <w:szCs w:val="26"/>
              </w:rPr>
            </w:pPr>
            <w:r w:rsidRPr="002271D2">
              <w:rPr>
                <w:sz w:val="26"/>
                <w:szCs w:val="26"/>
              </w:rPr>
              <w:t>PPL Electric Utilities Corporation</w:t>
            </w:r>
          </w:p>
        </w:tc>
        <w:tc>
          <w:tcPr>
            <w:tcW w:w="4680" w:type="dxa"/>
          </w:tcPr>
          <w:p w14:paraId="59E16428" w14:textId="77777777" w:rsidR="00F514FB" w:rsidRPr="008F78A8" w:rsidRDefault="00F514FB" w:rsidP="009F0FBD">
            <w:pPr>
              <w:contextualSpacing/>
              <w:rPr>
                <w:sz w:val="26"/>
                <w:szCs w:val="26"/>
              </w:rPr>
            </w:pPr>
          </w:p>
        </w:tc>
      </w:tr>
    </w:tbl>
    <w:p w14:paraId="533EF9A1" w14:textId="77777777" w:rsidR="00F514FB" w:rsidRPr="008F78A8" w:rsidRDefault="00F514FB" w:rsidP="009F0FBD">
      <w:pPr>
        <w:contextualSpacing/>
        <w:rPr>
          <w:sz w:val="26"/>
          <w:szCs w:val="26"/>
        </w:rPr>
      </w:pPr>
    </w:p>
    <w:p w14:paraId="31FB7878" w14:textId="77777777" w:rsidR="00F514FB" w:rsidRPr="008F78A8" w:rsidRDefault="00F514FB" w:rsidP="009F0FBD">
      <w:pPr>
        <w:contextualSpacing/>
        <w:rPr>
          <w:sz w:val="26"/>
          <w:szCs w:val="26"/>
        </w:rPr>
      </w:pPr>
    </w:p>
    <w:p w14:paraId="76AA707C" w14:textId="25E75789" w:rsidR="00F514FB" w:rsidRPr="008F78A8" w:rsidRDefault="00F514FB" w:rsidP="00EC5D20">
      <w:pPr>
        <w:contextualSpacing/>
        <w:jc w:val="center"/>
        <w:rPr>
          <w:b/>
          <w:sz w:val="26"/>
          <w:szCs w:val="26"/>
        </w:rPr>
      </w:pPr>
      <w:r w:rsidRPr="008F78A8">
        <w:rPr>
          <w:b/>
          <w:sz w:val="26"/>
          <w:szCs w:val="26"/>
        </w:rPr>
        <w:t>OPINION AND ORDER</w:t>
      </w:r>
    </w:p>
    <w:p w14:paraId="03AA40FB" w14:textId="77777777" w:rsidR="00F514FB" w:rsidRPr="008F78A8" w:rsidRDefault="00F514FB" w:rsidP="009F0FBD">
      <w:pPr>
        <w:contextualSpacing/>
        <w:jc w:val="center"/>
        <w:rPr>
          <w:b/>
          <w:sz w:val="26"/>
          <w:szCs w:val="26"/>
        </w:rPr>
      </w:pPr>
    </w:p>
    <w:p w14:paraId="48BD5819" w14:textId="3715EFCC" w:rsidR="00F514FB" w:rsidRPr="008F78A8" w:rsidRDefault="00F514FB" w:rsidP="009F0FBD">
      <w:pPr>
        <w:contextualSpacing/>
        <w:rPr>
          <w:sz w:val="26"/>
          <w:szCs w:val="26"/>
        </w:rPr>
      </w:pPr>
      <w:r w:rsidRPr="008F78A8">
        <w:rPr>
          <w:b/>
          <w:sz w:val="26"/>
          <w:szCs w:val="26"/>
        </w:rPr>
        <w:t>BY THE COMMISSION:</w:t>
      </w:r>
    </w:p>
    <w:p w14:paraId="22E98E13" w14:textId="77777777" w:rsidR="00F514FB" w:rsidRPr="008F78A8" w:rsidRDefault="00F514FB" w:rsidP="009F0FBD">
      <w:pPr>
        <w:contextualSpacing/>
        <w:rPr>
          <w:sz w:val="26"/>
          <w:szCs w:val="26"/>
        </w:rPr>
      </w:pPr>
    </w:p>
    <w:p w14:paraId="74FC4451" w14:textId="3DC2190A" w:rsidR="00CA43A5" w:rsidRPr="007C698C" w:rsidRDefault="00CA43A5" w:rsidP="007C698C">
      <w:pPr>
        <w:spacing w:line="360" w:lineRule="auto"/>
        <w:ind w:firstLine="1440"/>
        <w:contextualSpacing/>
        <w:rPr>
          <w:sz w:val="26"/>
        </w:rPr>
      </w:pPr>
      <w:r w:rsidRPr="008F78A8">
        <w:rPr>
          <w:sz w:val="26"/>
          <w:szCs w:val="26"/>
        </w:rPr>
        <w:t xml:space="preserve">Before the Pennsylvania Public Utility Commission (Commission) for consideration and disposition </w:t>
      </w:r>
      <w:r w:rsidR="00671E4C" w:rsidRPr="008F78A8">
        <w:rPr>
          <w:sz w:val="26"/>
        </w:rPr>
        <w:t>are the Exceptions of</w:t>
      </w:r>
      <w:r w:rsidR="007C698C" w:rsidRPr="007C698C">
        <w:rPr>
          <w:sz w:val="26"/>
        </w:rPr>
        <w:t xml:space="preserve"> </w:t>
      </w:r>
      <w:r w:rsidR="00B02C31" w:rsidRPr="00F534B6">
        <w:rPr>
          <w:sz w:val="26"/>
          <w:szCs w:val="26"/>
        </w:rPr>
        <w:t xml:space="preserve">Mike </w:t>
      </w:r>
      <w:proofErr w:type="spellStart"/>
      <w:r w:rsidR="00B02C31" w:rsidRPr="00F534B6">
        <w:rPr>
          <w:sz w:val="26"/>
          <w:szCs w:val="26"/>
        </w:rPr>
        <w:t>Vianello</w:t>
      </w:r>
      <w:proofErr w:type="spellEnd"/>
      <w:r w:rsidR="00123851">
        <w:rPr>
          <w:sz w:val="26"/>
          <w:szCs w:val="26"/>
        </w:rPr>
        <w:t xml:space="preserve"> (Exceptions)</w:t>
      </w:r>
      <w:r w:rsidR="00752C4C">
        <w:rPr>
          <w:sz w:val="26"/>
          <w:szCs w:val="26"/>
        </w:rPr>
        <w:t>,</w:t>
      </w:r>
      <w:r w:rsidR="00B02C31" w:rsidRPr="007C698C">
        <w:rPr>
          <w:sz w:val="26"/>
        </w:rPr>
        <w:t xml:space="preserve"> </w:t>
      </w:r>
      <w:r w:rsidR="007C698C" w:rsidRPr="007C698C">
        <w:rPr>
          <w:sz w:val="26"/>
        </w:rPr>
        <w:t xml:space="preserve">the </w:t>
      </w:r>
      <w:r w:rsidR="004A30F6">
        <w:rPr>
          <w:sz w:val="26"/>
        </w:rPr>
        <w:t>sole proprietor</w:t>
      </w:r>
      <w:r w:rsidR="00752C4C">
        <w:rPr>
          <w:rStyle w:val="FootnoteReference"/>
          <w:sz w:val="26"/>
        </w:rPr>
        <w:footnoteReference w:id="1"/>
      </w:r>
      <w:r w:rsidR="007C698C" w:rsidRPr="007C698C">
        <w:rPr>
          <w:sz w:val="26"/>
        </w:rPr>
        <w:t xml:space="preserve"> of Silver Valley Apartments</w:t>
      </w:r>
      <w:r w:rsidR="00AB7750">
        <w:rPr>
          <w:sz w:val="26"/>
        </w:rPr>
        <w:t xml:space="preserve"> (Complainant)</w:t>
      </w:r>
      <w:r w:rsidR="006E018F">
        <w:rPr>
          <w:sz w:val="26"/>
        </w:rPr>
        <w:t>,</w:t>
      </w:r>
      <w:r w:rsidR="00671E4C" w:rsidRPr="008F78A8">
        <w:rPr>
          <w:sz w:val="26"/>
        </w:rPr>
        <w:t xml:space="preserve"> filed on </w:t>
      </w:r>
      <w:r w:rsidR="005D792A">
        <w:rPr>
          <w:sz w:val="26"/>
        </w:rPr>
        <w:t>September 25</w:t>
      </w:r>
      <w:r w:rsidR="00BC401D">
        <w:rPr>
          <w:sz w:val="26"/>
        </w:rPr>
        <w:t>, 2019</w:t>
      </w:r>
      <w:r w:rsidR="00CB4762" w:rsidRPr="008F78A8">
        <w:rPr>
          <w:sz w:val="26"/>
        </w:rPr>
        <w:t>,</w:t>
      </w:r>
      <w:r w:rsidR="00671E4C" w:rsidRPr="008F78A8">
        <w:rPr>
          <w:sz w:val="26"/>
        </w:rPr>
        <w:t xml:space="preserve"> to </w:t>
      </w:r>
      <w:r w:rsidR="00671E4C" w:rsidRPr="008F78A8">
        <w:rPr>
          <w:sz w:val="26"/>
        </w:rPr>
        <w:lastRenderedPageBreak/>
        <w:t xml:space="preserve">the Initial Decision (I.D.) of Administrative Law Judge (ALJ) </w:t>
      </w:r>
      <w:r w:rsidR="00BC401D">
        <w:rPr>
          <w:sz w:val="26"/>
        </w:rPr>
        <w:t xml:space="preserve">Benjamin </w:t>
      </w:r>
      <w:r w:rsidR="00D0725F">
        <w:rPr>
          <w:sz w:val="26"/>
        </w:rPr>
        <w:t>J. Myers</w:t>
      </w:r>
      <w:r w:rsidR="00671E4C" w:rsidRPr="008F78A8">
        <w:rPr>
          <w:sz w:val="26"/>
        </w:rPr>
        <w:t xml:space="preserve">, which was </w:t>
      </w:r>
      <w:r w:rsidR="00D45446">
        <w:rPr>
          <w:sz w:val="26"/>
        </w:rPr>
        <w:t>issued</w:t>
      </w:r>
      <w:r w:rsidR="00580324">
        <w:rPr>
          <w:sz w:val="26"/>
        </w:rPr>
        <w:t xml:space="preserve"> on </w:t>
      </w:r>
      <w:r w:rsidR="00D16A05">
        <w:rPr>
          <w:sz w:val="26"/>
        </w:rPr>
        <w:t>August 27, 2019</w:t>
      </w:r>
      <w:r w:rsidR="00671E4C" w:rsidRPr="008F78A8">
        <w:rPr>
          <w:sz w:val="26"/>
        </w:rPr>
        <w:t>, in the above-captioned proceeding.</w:t>
      </w:r>
      <w:r w:rsidR="00FD47A3">
        <w:rPr>
          <w:rStyle w:val="FootnoteReference"/>
          <w:sz w:val="26"/>
        </w:rPr>
        <w:footnoteReference w:id="2"/>
      </w:r>
      <w:r w:rsidR="00B6546E">
        <w:rPr>
          <w:sz w:val="26"/>
        </w:rPr>
        <w:t xml:space="preserve">  </w:t>
      </w:r>
      <w:r w:rsidR="003E5A7C" w:rsidRPr="003E5A7C">
        <w:rPr>
          <w:sz w:val="26"/>
        </w:rPr>
        <w:t>PPL Electric Utilities Corporation</w:t>
      </w:r>
      <w:r w:rsidR="003E5A7C">
        <w:rPr>
          <w:sz w:val="26"/>
        </w:rPr>
        <w:t xml:space="preserve"> (PPL</w:t>
      </w:r>
      <w:r w:rsidR="00547BEA" w:rsidRPr="008F78A8">
        <w:rPr>
          <w:sz w:val="26"/>
        </w:rPr>
        <w:t>) filed</w:t>
      </w:r>
      <w:r w:rsidR="003D1F5A" w:rsidRPr="008F78A8">
        <w:rPr>
          <w:sz w:val="26"/>
        </w:rPr>
        <w:t xml:space="preserve"> </w:t>
      </w:r>
      <w:r w:rsidR="00671E4C" w:rsidRPr="008F78A8">
        <w:rPr>
          <w:sz w:val="26"/>
        </w:rPr>
        <w:t>Replies to Exceptions</w:t>
      </w:r>
      <w:r w:rsidR="00547BEA" w:rsidRPr="008F78A8">
        <w:rPr>
          <w:sz w:val="26"/>
        </w:rPr>
        <w:t xml:space="preserve"> on </w:t>
      </w:r>
      <w:r w:rsidR="00DE26D3">
        <w:rPr>
          <w:sz w:val="26"/>
        </w:rPr>
        <w:t>October 7, 2019</w:t>
      </w:r>
      <w:r w:rsidR="001E307A">
        <w:rPr>
          <w:sz w:val="26"/>
        </w:rPr>
        <w:t>.</w:t>
      </w:r>
      <w:r w:rsidR="00B6546E">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14:paraId="53710040" w14:textId="77777777" w:rsidR="001221E4" w:rsidRPr="00620F36" w:rsidRDefault="001221E4" w:rsidP="004C60FC">
      <w:pPr>
        <w:spacing w:line="360" w:lineRule="auto"/>
        <w:ind w:firstLine="1440"/>
        <w:contextualSpacing/>
        <w:rPr>
          <w:sz w:val="26"/>
        </w:rPr>
      </w:pPr>
    </w:p>
    <w:p w14:paraId="03258895" w14:textId="44E1EB06" w:rsidR="00CA43A5" w:rsidRPr="008F78A8" w:rsidRDefault="001774C3" w:rsidP="003663E7">
      <w:pPr>
        <w:keepNext/>
        <w:keepLines/>
        <w:spacing w:line="360" w:lineRule="auto"/>
        <w:contextualSpacing/>
        <w:jc w:val="center"/>
        <w:rPr>
          <w:b/>
          <w:sz w:val="26"/>
          <w:szCs w:val="26"/>
        </w:rPr>
      </w:pPr>
      <w:bookmarkStart w:id="0" w:name="OLE_LINK1"/>
      <w:bookmarkStart w:id="1" w:name="OLE_LINK2"/>
      <w:r w:rsidRPr="001774C3">
        <w:rPr>
          <w:b/>
          <w:sz w:val="26"/>
          <w:szCs w:val="26"/>
        </w:rPr>
        <w:t>I.</w:t>
      </w:r>
      <w:r w:rsidRPr="001774C3">
        <w:rPr>
          <w:b/>
          <w:sz w:val="26"/>
          <w:szCs w:val="26"/>
        </w:rPr>
        <w:tab/>
        <w:t>History of the Proceeding</w:t>
      </w:r>
    </w:p>
    <w:bookmarkEnd w:id="0"/>
    <w:bookmarkEnd w:id="1"/>
    <w:p w14:paraId="51F57B38" w14:textId="77777777" w:rsidR="00CA43A5" w:rsidRDefault="00CA43A5" w:rsidP="003663E7">
      <w:pPr>
        <w:keepNext/>
        <w:keepLines/>
        <w:spacing w:line="360" w:lineRule="auto"/>
        <w:contextualSpacing/>
        <w:jc w:val="center"/>
        <w:rPr>
          <w:b/>
          <w:sz w:val="26"/>
          <w:szCs w:val="26"/>
          <w:u w:val="single"/>
        </w:rPr>
      </w:pPr>
    </w:p>
    <w:p w14:paraId="6BD71A2E" w14:textId="21B0A3BF" w:rsidR="00324E4B" w:rsidRDefault="0097038B" w:rsidP="00DD292C">
      <w:pPr>
        <w:spacing w:line="360" w:lineRule="auto"/>
        <w:ind w:firstLine="1440"/>
        <w:contextualSpacing/>
        <w:rPr>
          <w:sz w:val="26"/>
          <w:szCs w:val="26"/>
        </w:rPr>
      </w:pPr>
      <w:r w:rsidRPr="008C68E3">
        <w:rPr>
          <w:sz w:val="26"/>
          <w:szCs w:val="26"/>
        </w:rPr>
        <w:t xml:space="preserve">On </w:t>
      </w:r>
      <w:r w:rsidR="0012112E">
        <w:rPr>
          <w:sz w:val="26"/>
          <w:szCs w:val="26"/>
        </w:rPr>
        <w:t xml:space="preserve">March </w:t>
      </w:r>
      <w:r w:rsidR="00966F33">
        <w:rPr>
          <w:sz w:val="26"/>
          <w:szCs w:val="26"/>
        </w:rPr>
        <w:t>1</w:t>
      </w:r>
      <w:r w:rsidR="0012112E">
        <w:rPr>
          <w:sz w:val="26"/>
          <w:szCs w:val="26"/>
        </w:rPr>
        <w:t>4, 201</w:t>
      </w:r>
      <w:r w:rsidR="00966F33">
        <w:rPr>
          <w:sz w:val="26"/>
          <w:szCs w:val="26"/>
        </w:rPr>
        <w:t>9</w:t>
      </w:r>
      <w:r w:rsidRPr="008C68E3">
        <w:rPr>
          <w:sz w:val="26"/>
          <w:szCs w:val="26"/>
        </w:rPr>
        <w:t>, the Complainant</w:t>
      </w:r>
      <w:r w:rsidR="0012112E">
        <w:rPr>
          <w:sz w:val="26"/>
          <w:szCs w:val="26"/>
        </w:rPr>
        <w:t xml:space="preserve"> </w:t>
      </w:r>
      <w:r w:rsidRPr="008C68E3">
        <w:rPr>
          <w:sz w:val="26"/>
          <w:szCs w:val="26"/>
        </w:rPr>
        <w:t>filed a Formal Complaint (Complaint)</w:t>
      </w:r>
      <w:r w:rsidR="000D4288">
        <w:rPr>
          <w:sz w:val="26"/>
          <w:szCs w:val="26"/>
        </w:rPr>
        <w:t>,</w:t>
      </w:r>
      <w:r w:rsidRPr="008C68E3">
        <w:rPr>
          <w:sz w:val="26"/>
          <w:szCs w:val="26"/>
        </w:rPr>
        <w:t xml:space="preserve"> alleging</w:t>
      </w:r>
      <w:r w:rsidR="00123851">
        <w:rPr>
          <w:sz w:val="26"/>
          <w:szCs w:val="26"/>
        </w:rPr>
        <w:t>:</w:t>
      </w:r>
      <w:r w:rsidRPr="008C68E3">
        <w:rPr>
          <w:sz w:val="26"/>
          <w:szCs w:val="26"/>
        </w:rPr>
        <w:t xml:space="preserve"> </w:t>
      </w:r>
      <w:r w:rsidR="000E25BB">
        <w:rPr>
          <w:sz w:val="26"/>
          <w:szCs w:val="26"/>
        </w:rPr>
        <w:t xml:space="preserve">(1) </w:t>
      </w:r>
      <w:r w:rsidR="008C68E3" w:rsidRPr="008C68E3">
        <w:rPr>
          <w:sz w:val="26"/>
          <w:szCs w:val="26"/>
        </w:rPr>
        <w:t xml:space="preserve">that </w:t>
      </w:r>
      <w:r w:rsidR="00C87E66">
        <w:rPr>
          <w:sz w:val="26"/>
          <w:szCs w:val="26"/>
        </w:rPr>
        <w:t>PPL</w:t>
      </w:r>
      <w:r w:rsidR="00DD292C" w:rsidRPr="00DD292C">
        <w:rPr>
          <w:sz w:val="26"/>
          <w:szCs w:val="26"/>
        </w:rPr>
        <w:t xml:space="preserve"> improperly transferred a tenant’s account balance to the </w:t>
      </w:r>
      <w:r w:rsidR="00C54661" w:rsidRPr="00C54661">
        <w:rPr>
          <w:sz w:val="26"/>
          <w:szCs w:val="26"/>
        </w:rPr>
        <w:t xml:space="preserve">Complainant’s </w:t>
      </w:r>
      <w:r w:rsidR="00DD292C" w:rsidRPr="00DD292C">
        <w:rPr>
          <w:sz w:val="26"/>
          <w:szCs w:val="26"/>
        </w:rPr>
        <w:t>account</w:t>
      </w:r>
      <w:r w:rsidR="000E25BB">
        <w:rPr>
          <w:sz w:val="26"/>
          <w:szCs w:val="26"/>
        </w:rPr>
        <w:t>;</w:t>
      </w:r>
      <w:r w:rsidR="00DD292C" w:rsidRPr="00DD292C">
        <w:rPr>
          <w:sz w:val="26"/>
          <w:szCs w:val="26"/>
        </w:rPr>
        <w:t xml:space="preserve"> and </w:t>
      </w:r>
      <w:r w:rsidR="000E25BB">
        <w:rPr>
          <w:sz w:val="26"/>
          <w:szCs w:val="26"/>
        </w:rPr>
        <w:t xml:space="preserve">(2) that </w:t>
      </w:r>
      <w:r w:rsidR="00C51AC2">
        <w:rPr>
          <w:sz w:val="26"/>
          <w:szCs w:val="26"/>
        </w:rPr>
        <w:t xml:space="preserve">PPL </w:t>
      </w:r>
      <w:r w:rsidR="00DD292C" w:rsidRPr="00DD292C">
        <w:rPr>
          <w:sz w:val="26"/>
          <w:szCs w:val="26"/>
        </w:rPr>
        <w:t>improperly attempt</w:t>
      </w:r>
      <w:r w:rsidR="008B0751">
        <w:rPr>
          <w:sz w:val="26"/>
          <w:szCs w:val="26"/>
        </w:rPr>
        <w:t>ed</w:t>
      </w:r>
      <w:r w:rsidR="00DD292C" w:rsidRPr="00DD292C">
        <w:rPr>
          <w:sz w:val="26"/>
          <w:szCs w:val="26"/>
        </w:rPr>
        <w:t xml:space="preserve"> to collect </w:t>
      </w:r>
      <w:r w:rsidR="00667ED3">
        <w:rPr>
          <w:sz w:val="26"/>
          <w:szCs w:val="26"/>
        </w:rPr>
        <w:t>that</w:t>
      </w:r>
      <w:r w:rsidR="000A2600">
        <w:rPr>
          <w:sz w:val="26"/>
          <w:szCs w:val="26"/>
        </w:rPr>
        <w:t xml:space="preserve"> </w:t>
      </w:r>
      <w:r w:rsidR="00DD292C" w:rsidRPr="00DD292C">
        <w:rPr>
          <w:sz w:val="26"/>
          <w:szCs w:val="26"/>
        </w:rPr>
        <w:t>balance after more than four years had passed</w:t>
      </w:r>
      <w:r w:rsidR="000D4288">
        <w:rPr>
          <w:sz w:val="26"/>
          <w:szCs w:val="26"/>
        </w:rPr>
        <w:t>.</w:t>
      </w:r>
      <w:r w:rsidR="00D56F2B">
        <w:rPr>
          <w:sz w:val="26"/>
          <w:szCs w:val="26"/>
        </w:rPr>
        <w:t xml:space="preserve">  </w:t>
      </w:r>
      <w:r w:rsidR="008C68E3" w:rsidRPr="008C68E3">
        <w:rPr>
          <w:sz w:val="26"/>
          <w:szCs w:val="26"/>
        </w:rPr>
        <w:t>As relief, the Complainant requested</w:t>
      </w:r>
      <w:r w:rsidR="00BA455E">
        <w:rPr>
          <w:sz w:val="26"/>
          <w:szCs w:val="26"/>
        </w:rPr>
        <w:t xml:space="preserve"> that </w:t>
      </w:r>
      <w:r w:rsidR="00C95A5D">
        <w:rPr>
          <w:sz w:val="26"/>
          <w:szCs w:val="26"/>
        </w:rPr>
        <w:t xml:space="preserve">the Commission direct </w:t>
      </w:r>
      <w:r w:rsidR="00C73FA3">
        <w:rPr>
          <w:sz w:val="26"/>
          <w:szCs w:val="26"/>
        </w:rPr>
        <w:t>PPL to stop attempts to collect the account b</w:t>
      </w:r>
      <w:r w:rsidR="00D820E1">
        <w:rPr>
          <w:sz w:val="26"/>
          <w:szCs w:val="26"/>
        </w:rPr>
        <w:t>alance and to fine PPL the maximum penalty allowed under the Public Utility Code</w:t>
      </w:r>
      <w:r w:rsidR="00F627A6">
        <w:rPr>
          <w:sz w:val="26"/>
          <w:szCs w:val="26"/>
        </w:rPr>
        <w:t xml:space="preserve"> (Code)</w:t>
      </w:r>
      <w:r w:rsidR="00D820E1">
        <w:rPr>
          <w:sz w:val="26"/>
          <w:szCs w:val="26"/>
        </w:rPr>
        <w:t>.</w:t>
      </w:r>
      <w:r w:rsidR="000926ED">
        <w:rPr>
          <w:sz w:val="26"/>
          <w:szCs w:val="26"/>
        </w:rPr>
        <w:t xml:space="preserve">  </w:t>
      </w:r>
      <w:r w:rsidR="000926ED" w:rsidRPr="000926ED">
        <w:rPr>
          <w:sz w:val="26"/>
          <w:szCs w:val="26"/>
        </w:rPr>
        <w:t xml:space="preserve">I.D. at </w:t>
      </w:r>
      <w:r w:rsidR="00123851">
        <w:rPr>
          <w:sz w:val="26"/>
          <w:szCs w:val="26"/>
        </w:rPr>
        <w:t>2-3</w:t>
      </w:r>
      <w:r w:rsidR="000926ED" w:rsidRPr="000926ED">
        <w:rPr>
          <w:sz w:val="26"/>
          <w:szCs w:val="26"/>
        </w:rPr>
        <w:t>.</w:t>
      </w:r>
      <w:r w:rsidR="001B0E9F">
        <w:rPr>
          <w:sz w:val="26"/>
          <w:szCs w:val="26"/>
        </w:rPr>
        <w:t xml:space="preserve">  </w:t>
      </w:r>
    </w:p>
    <w:p w14:paraId="5184EAF0" w14:textId="23B4D834" w:rsidR="0097038B" w:rsidRPr="008C68E3" w:rsidRDefault="008C68E3" w:rsidP="00DD292C">
      <w:pPr>
        <w:spacing w:line="360" w:lineRule="auto"/>
        <w:ind w:firstLine="1440"/>
        <w:contextualSpacing/>
        <w:rPr>
          <w:sz w:val="26"/>
          <w:szCs w:val="26"/>
        </w:rPr>
      </w:pPr>
      <w:r w:rsidRPr="008C68E3">
        <w:rPr>
          <w:sz w:val="26"/>
          <w:szCs w:val="26"/>
        </w:rPr>
        <w:t xml:space="preserve">  </w:t>
      </w:r>
    </w:p>
    <w:p w14:paraId="7291895A" w14:textId="51F27B43" w:rsidR="008C3EA6" w:rsidRDefault="008C3EA6" w:rsidP="004C60FC">
      <w:pPr>
        <w:spacing w:line="360" w:lineRule="auto"/>
        <w:ind w:firstLine="1440"/>
        <w:contextualSpacing/>
        <w:rPr>
          <w:sz w:val="26"/>
          <w:szCs w:val="26"/>
        </w:rPr>
      </w:pPr>
      <w:r w:rsidRPr="008C68E3">
        <w:rPr>
          <w:sz w:val="26"/>
          <w:szCs w:val="26"/>
        </w:rPr>
        <w:t xml:space="preserve">On </w:t>
      </w:r>
      <w:r w:rsidR="00AF2E8B">
        <w:rPr>
          <w:sz w:val="26"/>
          <w:szCs w:val="26"/>
        </w:rPr>
        <w:t>April 10, 2019</w:t>
      </w:r>
      <w:r w:rsidRPr="008C68E3">
        <w:rPr>
          <w:sz w:val="26"/>
          <w:szCs w:val="26"/>
        </w:rPr>
        <w:t xml:space="preserve">, </w:t>
      </w:r>
      <w:r w:rsidR="00AF2E8B">
        <w:rPr>
          <w:sz w:val="26"/>
          <w:szCs w:val="26"/>
        </w:rPr>
        <w:t>PPL</w:t>
      </w:r>
      <w:r w:rsidRPr="008C68E3">
        <w:rPr>
          <w:sz w:val="26"/>
          <w:szCs w:val="26"/>
        </w:rPr>
        <w:t xml:space="preserve"> </w:t>
      </w:r>
      <w:r w:rsidR="000B5D07" w:rsidRPr="000B5D07">
        <w:rPr>
          <w:sz w:val="26"/>
          <w:szCs w:val="26"/>
        </w:rPr>
        <w:t>filed an Answer to the Complaint (Answer)</w:t>
      </w:r>
      <w:r w:rsidR="00974423" w:rsidRPr="008C68E3">
        <w:rPr>
          <w:sz w:val="26"/>
          <w:szCs w:val="26"/>
        </w:rPr>
        <w:t xml:space="preserve">. </w:t>
      </w:r>
      <w:r w:rsidR="00974423" w:rsidRPr="00D438CE">
        <w:rPr>
          <w:color w:val="FF0000"/>
          <w:sz w:val="26"/>
          <w:szCs w:val="26"/>
        </w:rPr>
        <w:t xml:space="preserve"> </w:t>
      </w:r>
      <w:r w:rsidR="00E1187A" w:rsidRPr="00E1187A">
        <w:rPr>
          <w:sz w:val="26"/>
          <w:szCs w:val="26"/>
        </w:rPr>
        <w:t xml:space="preserve">In its Answer, </w:t>
      </w:r>
      <w:r w:rsidR="000B5D07">
        <w:rPr>
          <w:sz w:val="26"/>
          <w:szCs w:val="26"/>
        </w:rPr>
        <w:t>PPL</w:t>
      </w:r>
      <w:r w:rsidR="00E1187A" w:rsidRPr="00E1187A">
        <w:rPr>
          <w:sz w:val="26"/>
          <w:szCs w:val="26"/>
        </w:rPr>
        <w:t xml:space="preserve"> admitted </w:t>
      </w:r>
      <w:r w:rsidR="00936055" w:rsidRPr="00936055">
        <w:rPr>
          <w:sz w:val="26"/>
          <w:szCs w:val="26"/>
        </w:rPr>
        <w:t>and denied various averments of the Complaint</w:t>
      </w:r>
      <w:r w:rsidR="007C0887">
        <w:rPr>
          <w:sz w:val="26"/>
          <w:szCs w:val="26"/>
        </w:rPr>
        <w:t xml:space="preserve">.  </w:t>
      </w:r>
      <w:r w:rsidR="0008157E">
        <w:rPr>
          <w:sz w:val="26"/>
          <w:szCs w:val="26"/>
        </w:rPr>
        <w:t>PPL admitted</w:t>
      </w:r>
      <w:r w:rsidR="005751AA">
        <w:rPr>
          <w:sz w:val="26"/>
          <w:szCs w:val="26"/>
        </w:rPr>
        <w:t xml:space="preserve"> that it provides </w:t>
      </w:r>
      <w:r w:rsidR="00227C7D">
        <w:rPr>
          <w:sz w:val="26"/>
          <w:szCs w:val="26"/>
        </w:rPr>
        <w:t>electric</w:t>
      </w:r>
      <w:r w:rsidR="005751AA">
        <w:rPr>
          <w:sz w:val="26"/>
          <w:szCs w:val="26"/>
        </w:rPr>
        <w:t xml:space="preserve"> service to the Complainant.  </w:t>
      </w:r>
      <w:r w:rsidR="00400663">
        <w:rPr>
          <w:sz w:val="26"/>
          <w:szCs w:val="26"/>
        </w:rPr>
        <w:t xml:space="preserve">PPL admitted </w:t>
      </w:r>
      <w:r w:rsidR="00206BA8">
        <w:rPr>
          <w:sz w:val="26"/>
          <w:szCs w:val="26"/>
        </w:rPr>
        <w:t xml:space="preserve">it transferred </w:t>
      </w:r>
      <w:r w:rsidR="00E239BC">
        <w:rPr>
          <w:sz w:val="26"/>
          <w:szCs w:val="26"/>
        </w:rPr>
        <w:t xml:space="preserve">the </w:t>
      </w:r>
      <w:r w:rsidR="00A559AE">
        <w:rPr>
          <w:sz w:val="26"/>
          <w:szCs w:val="26"/>
        </w:rPr>
        <w:t xml:space="preserve">tenant’s </w:t>
      </w:r>
      <w:r w:rsidR="00A72B2E">
        <w:rPr>
          <w:sz w:val="26"/>
          <w:szCs w:val="26"/>
        </w:rPr>
        <w:t>account balance</w:t>
      </w:r>
      <w:r w:rsidR="00F8528D">
        <w:rPr>
          <w:sz w:val="26"/>
          <w:szCs w:val="26"/>
        </w:rPr>
        <w:t xml:space="preserve"> </w:t>
      </w:r>
      <w:r w:rsidR="00FB5B94">
        <w:rPr>
          <w:sz w:val="26"/>
          <w:szCs w:val="26"/>
        </w:rPr>
        <w:t xml:space="preserve">and </w:t>
      </w:r>
      <w:r w:rsidR="000903FA">
        <w:rPr>
          <w:sz w:val="26"/>
          <w:szCs w:val="26"/>
        </w:rPr>
        <w:t xml:space="preserve">had </w:t>
      </w:r>
      <w:r w:rsidR="00B66E47">
        <w:rPr>
          <w:sz w:val="26"/>
          <w:szCs w:val="26"/>
        </w:rPr>
        <w:t xml:space="preserve">done so </w:t>
      </w:r>
      <w:r w:rsidR="009F4C0E">
        <w:rPr>
          <w:sz w:val="26"/>
          <w:szCs w:val="26"/>
        </w:rPr>
        <w:t>less than four years ago</w:t>
      </w:r>
      <w:r w:rsidR="00345F32">
        <w:rPr>
          <w:sz w:val="26"/>
          <w:szCs w:val="26"/>
        </w:rPr>
        <w:t xml:space="preserve">. </w:t>
      </w:r>
      <w:r w:rsidR="00275645">
        <w:rPr>
          <w:sz w:val="26"/>
          <w:szCs w:val="26"/>
        </w:rPr>
        <w:t xml:space="preserve"> </w:t>
      </w:r>
      <w:r w:rsidR="00D75CD4">
        <w:rPr>
          <w:sz w:val="26"/>
          <w:szCs w:val="26"/>
        </w:rPr>
        <w:t xml:space="preserve">However, PPL denied </w:t>
      </w:r>
      <w:r w:rsidR="001004D6">
        <w:rPr>
          <w:sz w:val="26"/>
          <w:szCs w:val="26"/>
        </w:rPr>
        <w:t>the transfer was improp</w:t>
      </w:r>
      <w:r w:rsidR="005C3179">
        <w:rPr>
          <w:sz w:val="26"/>
          <w:szCs w:val="26"/>
        </w:rPr>
        <w:t>er.</w:t>
      </w:r>
      <w:r w:rsidR="000A2600">
        <w:rPr>
          <w:sz w:val="26"/>
          <w:szCs w:val="26"/>
        </w:rPr>
        <w:t xml:space="preserve">  </w:t>
      </w:r>
      <w:r w:rsidR="00EC18F8">
        <w:rPr>
          <w:sz w:val="26"/>
          <w:szCs w:val="26"/>
        </w:rPr>
        <w:t xml:space="preserve">Answer at 1-2.  </w:t>
      </w:r>
      <w:r w:rsidR="00081322">
        <w:rPr>
          <w:sz w:val="26"/>
          <w:szCs w:val="26"/>
        </w:rPr>
        <w:t xml:space="preserve">  </w:t>
      </w:r>
    </w:p>
    <w:p w14:paraId="7890A9CE" w14:textId="41A5E18C" w:rsidR="00421AFB" w:rsidRDefault="00421AFB" w:rsidP="004C60FC">
      <w:pPr>
        <w:spacing w:line="360" w:lineRule="auto"/>
        <w:ind w:firstLine="1440"/>
        <w:contextualSpacing/>
        <w:rPr>
          <w:sz w:val="26"/>
          <w:szCs w:val="26"/>
        </w:rPr>
      </w:pPr>
    </w:p>
    <w:p w14:paraId="21AD9929" w14:textId="2C628028" w:rsidR="009036EF" w:rsidRDefault="00421AFB" w:rsidP="009F0FBD">
      <w:pPr>
        <w:spacing w:line="360" w:lineRule="auto"/>
        <w:ind w:firstLine="1440"/>
        <w:contextualSpacing/>
        <w:rPr>
          <w:sz w:val="26"/>
          <w:szCs w:val="26"/>
        </w:rPr>
      </w:pPr>
      <w:r w:rsidRPr="006D4B5C">
        <w:rPr>
          <w:sz w:val="26"/>
          <w:szCs w:val="26"/>
        </w:rPr>
        <w:lastRenderedPageBreak/>
        <w:t>On May 15, 2019, Mr</w:t>
      </w:r>
      <w:r>
        <w:rPr>
          <w:sz w:val="26"/>
          <w:szCs w:val="26"/>
        </w:rPr>
        <w:t xml:space="preserve">. </w:t>
      </w:r>
      <w:r w:rsidRPr="006D4B5C">
        <w:rPr>
          <w:sz w:val="26"/>
          <w:szCs w:val="26"/>
        </w:rPr>
        <w:t>Vianello filed a Reply to PPL’s Answer.</w:t>
      </w:r>
      <w:r w:rsidR="00B24E64" w:rsidRPr="00B24E64">
        <w:rPr>
          <w:rStyle w:val="FootnoteReference"/>
          <w:sz w:val="26"/>
          <w:szCs w:val="26"/>
        </w:rPr>
        <w:t xml:space="preserve"> </w:t>
      </w:r>
      <w:r w:rsidR="00B24E64">
        <w:rPr>
          <w:rStyle w:val="FootnoteReference"/>
          <w:sz w:val="26"/>
          <w:szCs w:val="26"/>
        </w:rPr>
        <w:footnoteReference w:id="3"/>
      </w:r>
      <w:r w:rsidR="00A6597B">
        <w:rPr>
          <w:sz w:val="26"/>
          <w:szCs w:val="26"/>
        </w:rPr>
        <w:t xml:space="preserve">  </w:t>
      </w:r>
    </w:p>
    <w:p w14:paraId="59DB48C9" w14:textId="77777777" w:rsidR="00115E84" w:rsidRDefault="00115E84" w:rsidP="009F0FBD">
      <w:pPr>
        <w:spacing w:line="360" w:lineRule="auto"/>
        <w:ind w:firstLine="1440"/>
        <w:contextualSpacing/>
        <w:rPr>
          <w:sz w:val="26"/>
          <w:szCs w:val="26"/>
        </w:rPr>
      </w:pPr>
    </w:p>
    <w:p w14:paraId="7C588C10" w14:textId="78A5763C" w:rsidR="00713192" w:rsidRPr="00081322" w:rsidRDefault="00713192" w:rsidP="009F0FBD">
      <w:pPr>
        <w:spacing w:line="360" w:lineRule="auto"/>
        <w:ind w:firstLine="1440"/>
        <w:contextualSpacing/>
        <w:rPr>
          <w:sz w:val="26"/>
          <w:szCs w:val="26"/>
        </w:rPr>
      </w:pPr>
      <w:r w:rsidRPr="00081322">
        <w:rPr>
          <w:sz w:val="26"/>
          <w:szCs w:val="26"/>
        </w:rPr>
        <w:t xml:space="preserve">On </w:t>
      </w:r>
      <w:r w:rsidR="001E307A">
        <w:rPr>
          <w:sz w:val="26"/>
          <w:szCs w:val="26"/>
        </w:rPr>
        <w:t>June 1</w:t>
      </w:r>
      <w:r w:rsidR="003C268A">
        <w:rPr>
          <w:sz w:val="26"/>
          <w:szCs w:val="26"/>
        </w:rPr>
        <w:t>8</w:t>
      </w:r>
      <w:r w:rsidR="001E307A">
        <w:rPr>
          <w:sz w:val="26"/>
          <w:szCs w:val="26"/>
        </w:rPr>
        <w:t>, 201</w:t>
      </w:r>
      <w:r w:rsidR="003C268A">
        <w:rPr>
          <w:sz w:val="26"/>
          <w:szCs w:val="26"/>
        </w:rPr>
        <w:t>9</w:t>
      </w:r>
      <w:r w:rsidRPr="00081322">
        <w:rPr>
          <w:sz w:val="26"/>
          <w:szCs w:val="26"/>
        </w:rPr>
        <w:t>,</w:t>
      </w:r>
      <w:r w:rsidR="006A545D">
        <w:rPr>
          <w:sz w:val="26"/>
          <w:szCs w:val="26"/>
        </w:rPr>
        <w:t xml:space="preserve"> </w:t>
      </w:r>
      <w:r w:rsidR="006A545D" w:rsidRPr="006A545D">
        <w:rPr>
          <w:sz w:val="26"/>
          <w:szCs w:val="26"/>
        </w:rPr>
        <w:t xml:space="preserve">a hearing was held.  The Complainant appeared </w:t>
      </w:r>
      <w:r w:rsidR="006A545D" w:rsidRPr="006A545D">
        <w:rPr>
          <w:i/>
          <w:sz w:val="26"/>
          <w:szCs w:val="26"/>
        </w:rPr>
        <w:t>pro se</w:t>
      </w:r>
      <w:r w:rsidR="006A545D" w:rsidRPr="006A545D">
        <w:rPr>
          <w:sz w:val="26"/>
          <w:szCs w:val="26"/>
        </w:rPr>
        <w:t xml:space="preserve"> and presented the testimony of one witness.  At the hearing, the Complainant did not sponsor any exhibits.  </w:t>
      </w:r>
      <w:r w:rsidR="00FE460E">
        <w:rPr>
          <w:sz w:val="26"/>
          <w:szCs w:val="26"/>
        </w:rPr>
        <w:t>PPL</w:t>
      </w:r>
      <w:r w:rsidR="006A545D" w:rsidRPr="006A545D">
        <w:rPr>
          <w:sz w:val="26"/>
          <w:szCs w:val="26"/>
        </w:rPr>
        <w:t xml:space="preserve"> was represented by counsel and presented the testimony of </w:t>
      </w:r>
      <w:r w:rsidR="00FE460E">
        <w:rPr>
          <w:sz w:val="26"/>
          <w:szCs w:val="26"/>
        </w:rPr>
        <w:t>one</w:t>
      </w:r>
      <w:r w:rsidR="006A545D" w:rsidRPr="006A545D">
        <w:rPr>
          <w:sz w:val="26"/>
          <w:szCs w:val="26"/>
        </w:rPr>
        <w:t xml:space="preserve"> witness, who sponsored t</w:t>
      </w:r>
      <w:r w:rsidR="00FE460E">
        <w:rPr>
          <w:sz w:val="26"/>
          <w:szCs w:val="26"/>
        </w:rPr>
        <w:t>hr</w:t>
      </w:r>
      <w:r w:rsidR="00742046">
        <w:rPr>
          <w:sz w:val="26"/>
          <w:szCs w:val="26"/>
        </w:rPr>
        <w:t>ee</w:t>
      </w:r>
      <w:r w:rsidR="006A545D" w:rsidRPr="006A545D">
        <w:rPr>
          <w:sz w:val="26"/>
          <w:szCs w:val="26"/>
        </w:rPr>
        <w:t xml:space="preserve"> exhibits.  The transcript of this hearing contains </w:t>
      </w:r>
      <w:r w:rsidR="00283AE3">
        <w:rPr>
          <w:sz w:val="26"/>
          <w:szCs w:val="26"/>
        </w:rPr>
        <w:t>sixty</w:t>
      </w:r>
      <w:r w:rsidR="006A545D" w:rsidRPr="006A545D">
        <w:rPr>
          <w:sz w:val="26"/>
          <w:szCs w:val="26"/>
        </w:rPr>
        <w:t xml:space="preserve"> pages.  The record was closed on June 1</w:t>
      </w:r>
      <w:r w:rsidR="00283AE3">
        <w:rPr>
          <w:sz w:val="26"/>
          <w:szCs w:val="26"/>
        </w:rPr>
        <w:t>8</w:t>
      </w:r>
      <w:r w:rsidR="006A545D" w:rsidRPr="006A545D">
        <w:rPr>
          <w:sz w:val="26"/>
          <w:szCs w:val="26"/>
        </w:rPr>
        <w:t>, 2019</w:t>
      </w:r>
      <w:r w:rsidR="00677E7E">
        <w:rPr>
          <w:sz w:val="26"/>
          <w:szCs w:val="26"/>
        </w:rPr>
        <w:t>, at the conclusion of the hearing</w:t>
      </w:r>
      <w:r w:rsidR="006A545D" w:rsidRPr="006A545D">
        <w:rPr>
          <w:sz w:val="26"/>
          <w:szCs w:val="26"/>
        </w:rPr>
        <w:t>.</w:t>
      </w:r>
    </w:p>
    <w:p w14:paraId="6C023041" w14:textId="77777777" w:rsidR="00713192" w:rsidRPr="007B2448" w:rsidRDefault="00713192" w:rsidP="009F0FBD">
      <w:pPr>
        <w:spacing w:line="360" w:lineRule="auto"/>
        <w:ind w:firstLine="1440"/>
        <w:contextualSpacing/>
        <w:rPr>
          <w:sz w:val="26"/>
          <w:szCs w:val="26"/>
        </w:rPr>
      </w:pPr>
    </w:p>
    <w:p w14:paraId="0C290DBF" w14:textId="6351980F" w:rsidR="008F2510" w:rsidRPr="00CD09D8" w:rsidRDefault="006219DE" w:rsidP="00CD09D8">
      <w:pPr>
        <w:spacing w:line="360" w:lineRule="auto"/>
        <w:ind w:firstLine="1440"/>
        <w:contextualSpacing/>
        <w:rPr>
          <w:sz w:val="26"/>
          <w:szCs w:val="26"/>
        </w:rPr>
      </w:pPr>
      <w:r w:rsidRPr="006219DE">
        <w:rPr>
          <w:sz w:val="26"/>
          <w:szCs w:val="26"/>
        </w:rPr>
        <w:t>In his Initial Decision, the ALJ denied the Complaint.</w:t>
      </w:r>
      <w:r w:rsidR="003314A8">
        <w:rPr>
          <w:sz w:val="26"/>
          <w:szCs w:val="26"/>
        </w:rPr>
        <w:t xml:space="preserve">  </w:t>
      </w:r>
      <w:r w:rsidR="00713192" w:rsidRPr="00081322">
        <w:rPr>
          <w:sz w:val="26"/>
          <w:szCs w:val="26"/>
        </w:rPr>
        <w:t>As previously noted, the Complainant filed Exceptions to the I</w:t>
      </w:r>
      <w:r w:rsidR="0005264D">
        <w:rPr>
          <w:sz w:val="26"/>
          <w:szCs w:val="26"/>
        </w:rPr>
        <w:t>.</w:t>
      </w:r>
      <w:r w:rsidR="00713192" w:rsidRPr="00081322">
        <w:rPr>
          <w:sz w:val="26"/>
          <w:szCs w:val="26"/>
        </w:rPr>
        <w:t>D</w:t>
      </w:r>
      <w:r w:rsidR="0005264D">
        <w:rPr>
          <w:sz w:val="26"/>
          <w:szCs w:val="26"/>
        </w:rPr>
        <w:t>.</w:t>
      </w:r>
      <w:r w:rsidR="00713192" w:rsidRPr="00081322">
        <w:rPr>
          <w:sz w:val="26"/>
          <w:szCs w:val="26"/>
        </w:rPr>
        <w:t xml:space="preserve"> on </w:t>
      </w:r>
      <w:r w:rsidR="004B36C2">
        <w:rPr>
          <w:sz w:val="26"/>
          <w:szCs w:val="26"/>
        </w:rPr>
        <w:t>September 25, 2019</w:t>
      </w:r>
      <w:r w:rsidR="00A36246">
        <w:rPr>
          <w:sz w:val="26"/>
          <w:szCs w:val="26"/>
        </w:rPr>
        <w:t xml:space="preserve">.  </w:t>
      </w:r>
      <w:r w:rsidR="008C2DFA">
        <w:rPr>
          <w:sz w:val="26"/>
          <w:szCs w:val="26"/>
        </w:rPr>
        <w:t>PPL</w:t>
      </w:r>
      <w:r w:rsidR="00A36246">
        <w:rPr>
          <w:sz w:val="26"/>
          <w:szCs w:val="26"/>
        </w:rPr>
        <w:t xml:space="preserve"> filed Replies to</w:t>
      </w:r>
      <w:r w:rsidR="00713192" w:rsidRPr="00081322">
        <w:rPr>
          <w:sz w:val="26"/>
          <w:szCs w:val="26"/>
        </w:rPr>
        <w:t xml:space="preserve"> Exceptions on </w:t>
      </w:r>
      <w:r w:rsidR="00B13AA2">
        <w:rPr>
          <w:sz w:val="26"/>
          <w:szCs w:val="26"/>
        </w:rPr>
        <w:t>October 7, 2019</w:t>
      </w:r>
      <w:r w:rsidR="00713192" w:rsidRPr="00081322">
        <w:rPr>
          <w:sz w:val="26"/>
          <w:szCs w:val="26"/>
        </w:rPr>
        <w:t>.</w:t>
      </w:r>
    </w:p>
    <w:p w14:paraId="531A4785" w14:textId="77777777" w:rsidR="009108BF" w:rsidRDefault="009108BF" w:rsidP="009F0FBD">
      <w:pPr>
        <w:spacing w:line="360" w:lineRule="auto"/>
        <w:contextualSpacing/>
        <w:jc w:val="center"/>
        <w:rPr>
          <w:b/>
          <w:sz w:val="26"/>
          <w:szCs w:val="26"/>
        </w:rPr>
      </w:pPr>
    </w:p>
    <w:p w14:paraId="1E011947" w14:textId="1861E015" w:rsidR="00CA43A5" w:rsidRPr="008F78A8" w:rsidRDefault="00E84735" w:rsidP="00D07678">
      <w:pPr>
        <w:keepNext/>
        <w:keepLines/>
        <w:spacing w:after="0" w:line="360" w:lineRule="auto"/>
        <w:jc w:val="center"/>
        <w:rPr>
          <w:b/>
          <w:sz w:val="26"/>
          <w:szCs w:val="26"/>
        </w:rPr>
      </w:pPr>
      <w:r w:rsidRPr="00E84735">
        <w:rPr>
          <w:b/>
          <w:sz w:val="26"/>
          <w:szCs w:val="26"/>
        </w:rPr>
        <w:t>II.</w:t>
      </w:r>
      <w:r w:rsidRPr="00E84735">
        <w:rPr>
          <w:b/>
          <w:sz w:val="26"/>
          <w:szCs w:val="26"/>
        </w:rPr>
        <w:tab/>
        <w:t>Discussion</w:t>
      </w:r>
    </w:p>
    <w:p w14:paraId="2B3377CF" w14:textId="77777777" w:rsidR="000D5232" w:rsidRPr="008F78A8" w:rsidRDefault="000D5232" w:rsidP="00D07678">
      <w:pPr>
        <w:keepNext/>
        <w:keepLines/>
        <w:spacing w:after="0" w:line="360" w:lineRule="auto"/>
        <w:jc w:val="center"/>
        <w:rPr>
          <w:sz w:val="26"/>
          <w:szCs w:val="26"/>
        </w:rPr>
      </w:pPr>
    </w:p>
    <w:p w14:paraId="159F6BE4" w14:textId="77777777" w:rsidR="00DD61F9" w:rsidRPr="00DD61F9" w:rsidRDefault="00DD61F9" w:rsidP="00DD61F9">
      <w:pPr>
        <w:keepNext/>
        <w:keepLines/>
        <w:spacing w:after="0" w:line="360" w:lineRule="auto"/>
        <w:rPr>
          <w:b/>
          <w:sz w:val="26"/>
          <w:szCs w:val="26"/>
        </w:rPr>
      </w:pPr>
      <w:r w:rsidRPr="00DD61F9">
        <w:rPr>
          <w:b/>
          <w:sz w:val="26"/>
          <w:szCs w:val="26"/>
        </w:rPr>
        <w:t>A.</w:t>
      </w:r>
      <w:r w:rsidRPr="00DD61F9">
        <w:rPr>
          <w:b/>
          <w:sz w:val="26"/>
          <w:szCs w:val="26"/>
        </w:rPr>
        <w:tab/>
        <w:t>Legal Standards</w:t>
      </w:r>
    </w:p>
    <w:p w14:paraId="1FFAD103" w14:textId="12AF3252" w:rsidR="00DD61F9" w:rsidRDefault="00DD61F9" w:rsidP="00DD61F9">
      <w:pPr>
        <w:keepNext/>
        <w:keepLines/>
        <w:spacing w:after="0" w:line="360" w:lineRule="auto"/>
        <w:rPr>
          <w:b/>
          <w:sz w:val="26"/>
          <w:szCs w:val="26"/>
        </w:rPr>
      </w:pPr>
    </w:p>
    <w:p w14:paraId="09839B08" w14:textId="208918C7" w:rsidR="00FA211C" w:rsidRDefault="00FA211C" w:rsidP="006B0FD8">
      <w:pPr>
        <w:spacing w:after="0" w:line="360" w:lineRule="auto"/>
        <w:ind w:firstLine="1440"/>
        <w:rPr>
          <w:rFonts w:eastAsiaTheme="minorHAnsi"/>
          <w:sz w:val="26"/>
          <w:szCs w:val="26"/>
        </w:rPr>
      </w:pPr>
      <w:r>
        <w:rPr>
          <w:sz w:val="26"/>
          <w:szCs w:val="26"/>
        </w:rPr>
        <w:t xml:space="preserve">The Complaint is a timely appeal of a Decision of the Commission’s Bureau of Consumer Services (BCS) in Case Number 3670962.  </w:t>
      </w:r>
      <w:r w:rsidRPr="005E6C49">
        <w:rPr>
          <w:rFonts w:eastAsiaTheme="minorHAnsi"/>
          <w:sz w:val="26"/>
          <w:szCs w:val="26"/>
        </w:rPr>
        <w:t xml:space="preserve">A timely appeal from an informal decision of the BCS is reviewed </w:t>
      </w:r>
      <w:r w:rsidRPr="005E6C49">
        <w:rPr>
          <w:rFonts w:eastAsiaTheme="minorHAnsi"/>
          <w:i/>
          <w:sz w:val="26"/>
          <w:szCs w:val="26"/>
        </w:rPr>
        <w:t>de novo</w:t>
      </w:r>
      <w:r w:rsidRPr="005E6C49">
        <w:rPr>
          <w:rFonts w:eastAsiaTheme="minorHAnsi"/>
          <w:sz w:val="26"/>
          <w:szCs w:val="26"/>
        </w:rPr>
        <w:t>.</w:t>
      </w:r>
      <w:r w:rsidRPr="005E6C49">
        <w:rPr>
          <w:rFonts w:eastAsiaTheme="minorHAnsi"/>
          <w:i/>
          <w:sz w:val="26"/>
          <w:szCs w:val="26"/>
        </w:rPr>
        <w:t xml:space="preserve">  </w:t>
      </w:r>
      <w:r w:rsidRPr="005E6C49">
        <w:rPr>
          <w:sz w:val="26"/>
          <w:szCs w:val="26"/>
        </w:rPr>
        <w:t xml:space="preserve">52 Pa. Code §§ 56.173(a), 56.403(a).  </w:t>
      </w:r>
      <w:r w:rsidRPr="005E6C49">
        <w:rPr>
          <w:i/>
          <w:sz w:val="26"/>
          <w:szCs w:val="26"/>
        </w:rPr>
        <w:t>D</w:t>
      </w:r>
      <w:r w:rsidRPr="005E6C49">
        <w:rPr>
          <w:rFonts w:eastAsiaTheme="minorHAnsi"/>
          <w:i/>
          <w:sz w:val="26"/>
          <w:szCs w:val="26"/>
        </w:rPr>
        <w:t>e novo</w:t>
      </w:r>
      <w:r w:rsidRPr="005E6C49">
        <w:rPr>
          <w:rFonts w:eastAsiaTheme="minorHAnsi"/>
          <w:sz w:val="26"/>
          <w:szCs w:val="26"/>
        </w:rPr>
        <w:t xml:space="preserve"> means that </w:t>
      </w:r>
      <w:r w:rsidRPr="007B5535">
        <w:rPr>
          <w:color w:val="000000"/>
          <w:sz w:val="26"/>
          <w:szCs w:val="26"/>
        </w:rPr>
        <w:t>the review is based on the evidentiary record created at the hearing</w:t>
      </w:r>
      <w:r>
        <w:rPr>
          <w:color w:val="000000"/>
          <w:sz w:val="26"/>
          <w:szCs w:val="26"/>
        </w:rPr>
        <w:t xml:space="preserve"> and </w:t>
      </w:r>
      <w:r w:rsidRPr="005E6C49">
        <w:rPr>
          <w:rFonts w:eastAsiaTheme="minorHAnsi"/>
          <w:sz w:val="26"/>
          <w:szCs w:val="26"/>
        </w:rPr>
        <w:t xml:space="preserve">no part of the record in the informal </w:t>
      </w:r>
      <w:r w:rsidR="004B5933">
        <w:rPr>
          <w:rFonts w:eastAsiaTheme="minorHAnsi"/>
          <w:sz w:val="26"/>
          <w:szCs w:val="26"/>
        </w:rPr>
        <w:t xml:space="preserve">complaint </w:t>
      </w:r>
      <w:r w:rsidRPr="005E6C49">
        <w:rPr>
          <w:rFonts w:eastAsiaTheme="minorHAnsi"/>
          <w:sz w:val="26"/>
          <w:szCs w:val="26"/>
        </w:rPr>
        <w:t xml:space="preserve">proceeding can be relied upon in the formal </w:t>
      </w:r>
      <w:r w:rsidR="004B5933">
        <w:rPr>
          <w:rFonts w:eastAsiaTheme="minorHAnsi"/>
          <w:sz w:val="26"/>
          <w:szCs w:val="26"/>
        </w:rPr>
        <w:t xml:space="preserve">complaint </w:t>
      </w:r>
      <w:r w:rsidRPr="005E6C49">
        <w:rPr>
          <w:rFonts w:eastAsiaTheme="minorHAnsi"/>
          <w:sz w:val="26"/>
          <w:szCs w:val="26"/>
        </w:rPr>
        <w:t xml:space="preserve">proceeding.  </w:t>
      </w:r>
      <w:r w:rsidR="00A5156F" w:rsidRPr="000A428E">
        <w:rPr>
          <w:rFonts w:eastAsiaTheme="minorHAnsi"/>
          <w:i/>
          <w:iCs/>
          <w:sz w:val="26"/>
          <w:szCs w:val="26"/>
        </w:rPr>
        <w:t>Kelvin Thomas v. Philadelphia Gas Works</w:t>
      </w:r>
      <w:r w:rsidR="00A5156F">
        <w:rPr>
          <w:rFonts w:eastAsiaTheme="minorHAnsi"/>
          <w:sz w:val="26"/>
          <w:szCs w:val="26"/>
        </w:rPr>
        <w:t>, Docket No</w:t>
      </w:r>
      <w:r w:rsidR="007A0769">
        <w:rPr>
          <w:rFonts w:eastAsiaTheme="minorHAnsi"/>
          <w:sz w:val="26"/>
          <w:szCs w:val="26"/>
        </w:rPr>
        <w:t>s</w:t>
      </w:r>
      <w:r w:rsidR="00A5156F">
        <w:rPr>
          <w:rFonts w:eastAsiaTheme="minorHAnsi"/>
          <w:sz w:val="26"/>
          <w:szCs w:val="26"/>
        </w:rPr>
        <w:t>.</w:t>
      </w:r>
      <w:r w:rsidR="007A0769">
        <w:rPr>
          <w:rFonts w:eastAsiaTheme="minorHAnsi"/>
          <w:sz w:val="26"/>
          <w:szCs w:val="26"/>
        </w:rPr>
        <w:t xml:space="preserve"> F-2017-2611788, C-2017-2621275</w:t>
      </w:r>
      <w:r w:rsidR="000A428E">
        <w:rPr>
          <w:rFonts w:eastAsiaTheme="minorHAnsi"/>
          <w:sz w:val="26"/>
          <w:szCs w:val="26"/>
        </w:rPr>
        <w:t xml:space="preserve"> (Order entered August 31, 2018)</w:t>
      </w:r>
      <w:r w:rsidR="002625CD">
        <w:rPr>
          <w:rFonts w:eastAsiaTheme="minorHAnsi"/>
          <w:sz w:val="26"/>
          <w:szCs w:val="26"/>
        </w:rPr>
        <w:t xml:space="preserve"> </w:t>
      </w:r>
      <w:r w:rsidR="002625CD" w:rsidRPr="005F5F17">
        <w:rPr>
          <w:rFonts w:eastAsiaTheme="minorHAnsi"/>
          <w:i/>
          <w:iCs/>
          <w:sz w:val="26"/>
          <w:szCs w:val="26"/>
        </w:rPr>
        <w:t>(Kelvin Thomas)</w:t>
      </w:r>
      <w:r w:rsidR="00606B4A">
        <w:rPr>
          <w:rFonts w:eastAsiaTheme="minorHAnsi"/>
          <w:sz w:val="26"/>
          <w:szCs w:val="26"/>
        </w:rPr>
        <w:t xml:space="preserve"> at</w:t>
      </w:r>
      <w:r w:rsidR="00FF6ADB">
        <w:rPr>
          <w:rFonts w:eastAsiaTheme="minorHAnsi"/>
          <w:sz w:val="26"/>
          <w:szCs w:val="26"/>
        </w:rPr>
        <w:t> </w:t>
      </w:r>
      <w:r w:rsidR="00606B4A">
        <w:rPr>
          <w:rFonts w:eastAsiaTheme="minorHAnsi"/>
          <w:sz w:val="26"/>
          <w:szCs w:val="26"/>
        </w:rPr>
        <w:t>8</w:t>
      </w:r>
      <w:r w:rsidR="000A428E">
        <w:rPr>
          <w:rFonts w:eastAsiaTheme="minorHAnsi"/>
          <w:sz w:val="26"/>
          <w:szCs w:val="26"/>
        </w:rPr>
        <w:t xml:space="preserve">. </w:t>
      </w:r>
      <w:r w:rsidR="00A5156F">
        <w:rPr>
          <w:rFonts w:eastAsiaTheme="minorHAnsi"/>
          <w:sz w:val="26"/>
          <w:szCs w:val="26"/>
        </w:rPr>
        <w:t xml:space="preserve"> </w:t>
      </w:r>
      <w:r w:rsidRPr="005E6C49">
        <w:rPr>
          <w:rFonts w:eastAsiaTheme="minorHAnsi"/>
          <w:sz w:val="26"/>
          <w:szCs w:val="26"/>
        </w:rPr>
        <w:t xml:space="preserve">In a </w:t>
      </w:r>
      <w:r w:rsidRPr="005E6C49">
        <w:rPr>
          <w:rFonts w:eastAsiaTheme="minorHAnsi"/>
          <w:i/>
          <w:sz w:val="26"/>
          <w:szCs w:val="26"/>
        </w:rPr>
        <w:t>de novo</w:t>
      </w:r>
      <w:r w:rsidRPr="005E6C49">
        <w:rPr>
          <w:rFonts w:eastAsiaTheme="minorHAnsi"/>
          <w:sz w:val="26"/>
          <w:szCs w:val="26"/>
        </w:rPr>
        <w:t xml:space="preserve"> appeal from a decision of the BCS, the burden of proof remains with </w:t>
      </w:r>
      <w:r w:rsidRPr="005E6C49">
        <w:rPr>
          <w:rFonts w:eastAsiaTheme="minorHAnsi"/>
          <w:sz w:val="26"/>
          <w:szCs w:val="26"/>
        </w:rPr>
        <w:lastRenderedPageBreak/>
        <w:t>the party who filed the original informal complaint.</w:t>
      </w:r>
      <w:r w:rsidR="006328A7">
        <w:rPr>
          <w:rStyle w:val="FootnoteReference"/>
          <w:rFonts w:eastAsiaTheme="minorHAnsi"/>
          <w:sz w:val="26"/>
          <w:szCs w:val="26"/>
        </w:rPr>
        <w:footnoteReference w:id="4"/>
      </w:r>
      <w:r w:rsidRPr="005E6C49">
        <w:rPr>
          <w:rFonts w:eastAsiaTheme="minorHAnsi"/>
          <w:sz w:val="26"/>
          <w:szCs w:val="26"/>
        </w:rPr>
        <w:t xml:space="preserve">  </w:t>
      </w:r>
      <w:r w:rsidR="0041068F">
        <w:rPr>
          <w:rFonts w:eastAsiaTheme="minorHAnsi"/>
          <w:i/>
          <w:iCs/>
          <w:sz w:val="26"/>
          <w:szCs w:val="26"/>
        </w:rPr>
        <w:t>Id</w:t>
      </w:r>
      <w:r w:rsidR="0041068F">
        <w:rPr>
          <w:rFonts w:eastAsiaTheme="minorHAnsi"/>
          <w:sz w:val="26"/>
          <w:szCs w:val="26"/>
        </w:rPr>
        <w:t>.</w:t>
      </w:r>
      <w:r w:rsidR="00FD21EA">
        <w:rPr>
          <w:rFonts w:eastAsiaTheme="minorHAnsi"/>
          <w:sz w:val="26"/>
          <w:szCs w:val="26"/>
        </w:rPr>
        <w:t xml:space="preserve"> </w:t>
      </w:r>
      <w:r w:rsidR="0041068F">
        <w:rPr>
          <w:rFonts w:eastAsiaTheme="minorHAnsi"/>
          <w:sz w:val="26"/>
          <w:szCs w:val="26"/>
        </w:rPr>
        <w:t xml:space="preserve">(citing, </w:t>
      </w:r>
      <w:r w:rsidR="0041068F" w:rsidRPr="0041068F">
        <w:rPr>
          <w:rFonts w:eastAsiaTheme="minorHAnsi"/>
          <w:i/>
          <w:iCs/>
          <w:sz w:val="26"/>
          <w:szCs w:val="26"/>
        </w:rPr>
        <w:t>inter alia</w:t>
      </w:r>
      <w:r w:rsidR="0041068F">
        <w:rPr>
          <w:rFonts w:eastAsiaTheme="minorHAnsi"/>
          <w:sz w:val="26"/>
          <w:szCs w:val="26"/>
        </w:rPr>
        <w:t xml:space="preserve">, </w:t>
      </w:r>
      <w:r w:rsidRPr="005E6C49">
        <w:rPr>
          <w:rFonts w:eastAsiaTheme="minorHAnsi"/>
          <w:sz w:val="26"/>
          <w:szCs w:val="26"/>
        </w:rPr>
        <w:t>52 Pa. Code §</w:t>
      </w:r>
      <w:r w:rsidR="00667ED3">
        <w:rPr>
          <w:rFonts w:eastAsiaTheme="minorHAnsi"/>
          <w:sz w:val="26"/>
          <w:szCs w:val="26"/>
        </w:rPr>
        <w:t> </w:t>
      </w:r>
      <w:r w:rsidRPr="005E6C49">
        <w:rPr>
          <w:rFonts w:eastAsiaTheme="minorHAnsi"/>
          <w:sz w:val="26"/>
          <w:szCs w:val="26"/>
        </w:rPr>
        <w:t>56.173(f)</w:t>
      </w:r>
      <w:r w:rsidR="0041068F">
        <w:rPr>
          <w:rFonts w:eastAsiaTheme="minorHAnsi"/>
          <w:sz w:val="26"/>
          <w:szCs w:val="26"/>
        </w:rPr>
        <w:t>).</w:t>
      </w:r>
    </w:p>
    <w:p w14:paraId="46885632" w14:textId="77777777" w:rsidR="00FF6ADB" w:rsidRDefault="00FF6ADB" w:rsidP="006B0FD8">
      <w:pPr>
        <w:spacing w:after="0" w:line="360" w:lineRule="auto"/>
        <w:ind w:firstLine="1440"/>
        <w:rPr>
          <w:color w:val="000000"/>
          <w:sz w:val="26"/>
          <w:szCs w:val="26"/>
        </w:rPr>
      </w:pPr>
    </w:p>
    <w:p w14:paraId="5C88A422" w14:textId="1BF1B8B3" w:rsidR="006355C7" w:rsidRPr="006355C7" w:rsidRDefault="006355C7" w:rsidP="004602E2">
      <w:pPr>
        <w:spacing w:line="360" w:lineRule="auto"/>
        <w:ind w:firstLine="1440"/>
        <w:contextualSpacing/>
        <w:rPr>
          <w:sz w:val="26"/>
          <w:szCs w:val="26"/>
        </w:rPr>
      </w:pPr>
      <w:r w:rsidRPr="006355C7">
        <w:rPr>
          <w:sz w:val="26"/>
          <w:szCs w:val="26"/>
        </w:rPr>
        <w:t>As the proponent of a rule or order, the Complainant in this proceeding bear</w:t>
      </w:r>
      <w:r w:rsidR="00896015">
        <w:rPr>
          <w:sz w:val="26"/>
          <w:szCs w:val="26"/>
        </w:rPr>
        <w:t>s</w:t>
      </w:r>
      <w:r w:rsidRPr="006355C7">
        <w:rPr>
          <w:sz w:val="26"/>
          <w:szCs w:val="26"/>
        </w:rPr>
        <w:t xml:space="preserve"> the burden of proof pursuant to Section 332(a) of the Code.  66 Pa. C.S. § 332(a).  To establish a sufficient case and satisfy the burden of proof, the Complainant must show that the Respondent is responsible or accountable for the problem described in the Complaint.  </w:t>
      </w:r>
      <w:r w:rsidRPr="006355C7">
        <w:rPr>
          <w:i/>
          <w:sz w:val="26"/>
          <w:szCs w:val="26"/>
        </w:rPr>
        <w:t>Patterson v. The Bell Telephone Company of Pennsylvania</w:t>
      </w:r>
      <w:r w:rsidRPr="006355C7">
        <w:rPr>
          <w:sz w:val="26"/>
          <w:szCs w:val="26"/>
        </w:rPr>
        <w:t>, 72 Pa. P.U.C. 196 (1990)</w:t>
      </w:r>
      <w:r w:rsidR="008F3E68">
        <w:rPr>
          <w:sz w:val="26"/>
          <w:szCs w:val="26"/>
        </w:rPr>
        <w:t xml:space="preserve"> </w:t>
      </w:r>
      <w:r w:rsidR="008F3E68" w:rsidRPr="005F5F17">
        <w:rPr>
          <w:i/>
          <w:iCs/>
          <w:sz w:val="26"/>
          <w:szCs w:val="26"/>
        </w:rPr>
        <w:t>(Patterson)</w:t>
      </w:r>
      <w:r w:rsidRPr="005F5F17">
        <w:rPr>
          <w:i/>
          <w:iCs/>
          <w:sz w:val="26"/>
          <w:szCs w:val="26"/>
        </w:rPr>
        <w:t>.</w:t>
      </w:r>
      <w:r w:rsidRPr="006355C7">
        <w:rPr>
          <w:sz w:val="26"/>
          <w:szCs w:val="26"/>
        </w:rPr>
        <w:t xml:space="preserve">  Such a showing must be by a preponderance of the evidence.  </w:t>
      </w:r>
      <w:r w:rsidRPr="006355C7">
        <w:rPr>
          <w:i/>
          <w:iCs/>
          <w:sz w:val="26"/>
          <w:szCs w:val="26"/>
        </w:rPr>
        <w:t>Samuel J. Lansberry, Inc. v. Pa. PUC</w:t>
      </w:r>
      <w:r w:rsidRPr="006355C7">
        <w:rPr>
          <w:sz w:val="26"/>
          <w:szCs w:val="26"/>
        </w:rPr>
        <w:t xml:space="preserve">, 578 A.2d 600 (Pa. Cmwlth. 1990), </w:t>
      </w:r>
      <w:proofErr w:type="spellStart"/>
      <w:r w:rsidRPr="006355C7">
        <w:rPr>
          <w:i/>
          <w:sz w:val="26"/>
          <w:szCs w:val="26"/>
        </w:rPr>
        <w:t>alloc</w:t>
      </w:r>
      <w:proofErr w:type="spellEnd"/>
      <w:r w:rsidRPr="006355C7">
        <w:rPr>
          <w:i/>
          <w:sz w:val="26"/>
          <w:szCs w:val="26"/>
        </w:rPr>
        <w:t xml:space="preserve">. </w:t>
      </w:r>
      <w:r w:rsidR="000A2600" w:rsidRPr="006355C7">
        <w:rPr>
          <w:i/>
          <w:sz w:val="26"/>
          <w:szCs w:val="26"/>
        </w:rPr>
        <w:t>denied,</w:t>
      </w:r>
      <w:r w:rsidR="000A2600" w:rsidRPr="006355C7">
        <w:rPr>
          <w:sz w:val="26"/>
          <w:szCs w:val="26"/>
        </w:rPr>
        <w:t xml:space="preserve"> 602</w:t>
      </w:r>
      <w:r w:rsidRPr="006355C7">
        <w:rPr>
          <w:sz w:val="26"/>
          <w:szCs w:val="26"/>
        </w:rPr>
        <w:t xml:space="preserve"> A.2d 863 (</w:t>
      </w:r>
      <w:r w:rsidR="00667ED3">
        <w:rPr>
          <w:sz w:val="26"/>
          <w:szCs w:val="26"/>
        </w:rPr>
        <w:t xml:space="preserve">Pa. </w:t>
      </w:r>
      <w:r w:rsidRPr="006355C7">
        <w:rPr>
          <w:sz w:val="26"/>
          <w:szCs w:val="26"/>
        </w:rPr>
        <w:t>1992).  That is, the Complainant’</w:t>
      </w:r>
      <w:r w:rsidR="00BC55D1">
        <w:rPr>
          <w:sz w:val="26"/>
          <w:szCs w:val="26"/>
        </w:rPr>
        <w:t>s</w:t>
      </w:r>
      <w:r w:rsidRPr="006355C7">
        <w:rPr>
          <w:sz w:val="26"/>
          <w:szCs w:val="26"/>
        </w:rPr>
        <w:t xml:space="preserve"> evidence must be more convincing, by even the smallest amount, than that presented by </w:t>
      </w:r>
      <w:r w:rsidR="00C71225">
        <w:rPr>
          <w:sz w:val="26"/>
          <w:szCs w:val="26"/>
        </w:rPr>
        <w:t>PPL</w:t>
      </w:r>
      <w:r w:rsidRPr="006355C7">
        <w:rPr>
          <w:sz w:val="26"/>
          <w:szCs w:val="26"/>
        </w:rPr>
        <w:t xml:space="preserve">.  </w:t>
      </w:r>
      <w:r w:rsidRPr="006355C7">
        <w:rPr>
          <w:i/>
          <w:sz w:val="26"/>
          <w:szCs w:val="26"/>
        </w:rPr>
        <w:t>Se-Ling Hosiery, Inc. v. Margulies</w:t>
      </w:r>
      <w:r w:rsidRPr="006355C7">
        <w:rPr>
          <w:sz w:val="26"/>
          <w:szCs w:val="26"/>
        </w:rPr>
        <w:t>, 70 A.2d 854 (</w:t>
      </w:r>
      <w:r w:rsidR="00667ED3">
        <w:rPr>
          <w:sz w:val="26"/>
          <w:szCs w:val="26"/>
        </w:rPr>
        <w:t xml:space="preserve">Pa. </w:t>
      </w:r>
      <w:r w:rsidRPr="006355C7">
        <w:rPr>
          <w:sz w:val="26"/>
          <w:szCs w:val="26"/>
        </w:rPr>
        <w:t xml:space="preserve">1950).  </w:t>
      </w:r>
    </w:p>
    <w:p w14:paraId="010D8333" w14:textId="77777777" w:rsidR="006355C7" w:rsidRPr="006355C7" w:rsidRDefault="006355C7" w:rsidP="004602E2">
      <w:pPr>
        <w:spacing w:line="360" w:lineRule="auto"/>
        <w:ind w:firstLine="1440"/>
        <w:contextualSpacing/>
        <w:rPr>
          <w:sz w:val="26"/>
          <w:szCs w:val="26"/>
        </w:rPr>
      </w:pPr>
    </w:p>
    <w:p w14:paraId="4EBDA60F" w14:textId="1EF4314D" w:rsidR="006355C7" w:rsidRDefault="006355C7" w:rsidP="009E3BB3">
      <w:pPr>
        <w:spacing w:line="360" w:lineRule="auto"/>
        <w:ind w:firstLine="1440"/>
        <w:contextualSpacing/>
        <w:rPr>
          <w:sz w:val="26"/>
          <w:szCs w:val="26"/>
        </w:rPr>
      </w:pPr>
      <w:r w:rsidRPr="006355C7">
        <w:rPr>
          <w:sz w:val="26"/>
          <w:szCs w:val="26"/>
        </w:rPr>
        <w:t xml:space="preserve">Upon the presentation by the Complainant of evidence sufficient to initially satisfy the burden of proof, the burden of going forward with the evidence to rebut the Complainant’s evidence shifts to </w:t>
      </w:r>
      <w:r w:rsidR="00C71225">
        <w:rPr>
          <w:sz w:val="26"/>
          <w:szCs w:val="26"/>
        </w:rPr>
        <w:t>PPL</w:t>
      </w:r>
      <w:r w:rsidRPr="006355C7">
        <w:rPr>
          <w:sz w:val="26"/>
          <w:szCs w:val="26"/>
        </w:rPr>
        <w:t xml:space="preserve">.  If the evidence presented by </w:t>
      </w:r>
      <w:r w:rsidR="00C71225">
        <w:rPr>
          <w:sz w:val="26"/>
          <w:szCs w:val="26"/>
        </w:rPr>
        <w:t>PPL</w:t>
      </w:r>
      <w:r w:rsidRPr="006355C7">
        <w:rPr>
          <w:sz w:val="26"/>
          <w:szCs w:val="26"/>
        </w:rPr>
        <w:t xml:space="preserve"> is of co-equal value or “weight,” the burden of proof has not been satisfied and the Complainant must provide some additional evidence to rebut that of the Respondent. </w:t>
      </w:r>
      <w:r w:rsidRPr="006355C7">
        <w:rPr>
          <w:iCs/>
          <w:sz w:val="26"/>
          <w:szCs w:val="26"/>
        </w:rPr>
        <w:t xml:space="preserve"> </w:t>
      </w:r>
      <w:r w:rsidRPr="006355C7">
        <w:rPr>
          <w:i/>
          <w:iCs/>
          <w:sz w:val="26"/>
          <w:szCs w:val="26"/>
        </w:rPr>
        <w:t>Burleson v. Pa. PUC,</w:t>
      </w:r>
      <w:r w:rsidRPr="006355C7">
        <w:rPr>
          <w:iCs/>
          <w:sz w:val="26"/>
          <w:szCs w:val="26"/>
        </w:rPr>
        <w:t xml:space="preserve"> 443 A.2d 1373 (Pa. Cmwlth. 1982), </w:t>
      </w:r>
      <w:r w:rsidRPr="006355C7">
        <w:rPr>
          <w:i/>
          <w:iCs/>
          <w:sz w:val="26"/>
          <w:szCs w:val="26"/>
        </w:rPr>
        <w:t>aff’d,</w:t>
      </w:r>
      <w:r w:rsidRPr="006355C7">
        <w:rPr>
          <w:iCs/>
          <w:sz w:val="26"/>
          <w:szCs w:val="26"/>
        </w:rPr>
        <w:t xml:space="preserve"> 461 A.2d 1234 (</w:t>
      </w:r>
      <w:r w:rsidR="00667ED3">
        <w:rPr>
          <w:iCs/>
          <w:sz w:val="26"/>
          <w:szCs w:val="26"/>
        </w:rPr>
        <w:t xml:space="preserve">Pa. </w:t>
      </w:r>
      <w:r w:rsidRPr="006355C7">
        <w:rPr>
          <w:iCs/>
          <w:sz w:val="26"/>
          <w:szCs w:val="26"/>
        </w:rPr>
        <w:t>1983).</w:t>
      </w:r>
      <w:r w:rsidR="00F1204A">
        <w:rPr>
          <w:sz w:val="26"/>
          <w:szCs w:val="26"/>
        </w:rPr>
        <w:t xml:space="preserve">  </w:t>
      </w:r>
      <w:r w:rsidRPr="006355C7">
        <w:rPr>
          <w:sz w:val="26"/>
          <w:szCs w:val="26"/>
        </w:rPr>
        <w:t xml:space="preserve">While the burden of going forward with the evidence may shift back and forth during a proceeding, the burden of proof never shifts.  The burden of proof always remains on the party seeking </w:t>
      </w:r>
      <w:r w:rsidRPr="006355C7">
        <w:rPr>
          <w:sz w:val="26"/>
          <w:szCs w:val="26"/>
        </w:rPr>
        <w:lastRenderedPageBreak/>
        <w:t xml:space="preserve">affirmative relief from the Commission.  </w:t>
      </w:r>
      <w:proofErr w:type="spellStart"/>
      <w:r w:rsidRPr="006355C7">
        <w:rPr>
          <w:i/>
          <w:sz w:val="26"/>
          <w:szCs w:val="26"/>
        </w:rPr>
        <w:t>Milkie</w:t>
      </w:r>
      <w:proofErr w:type="spellEnd"/>
      <w:r w:rsidRPr="006355C7">
        <w:rPr>
          <w:i/>
          <w:sz w:val="26"/>
          <w:szCs w:val="26"/>
        </w:rPr>
        <w:t xml:space="preserve"> v. Pa. PUC, </w:t>
      </w:r>
      <w:r w:rsidRPr="006355C7">
        <w:rPr>
          <w:sz w:val="26"/>
          <w:szCs w:val="26"/>
        </w:rPr>
        <w:t>768 A.2d 1217 (Pa. Cmwlth. 2001).</w:t>
      </w:r>
    </w:p>
    <w:p w14:paraId="3E58EE76" w14:textId="74C10153" w:rsidR="00F1204A" w:rsidRDefault="00F1204A" w:rsidP="004602E2">
      <w:pPr>
        <w:spacing w:line="360" w:lineRule="auto"/>
        <w:ind w:firstLine="1440"/>
        <w:contextualSpacing/>
        <w:rPr>
          <w:sz w:val="26"/>
          <w:szCs w:val="26"/>
        </w:rPr>
      </w:pPr>
    </w:p>
    <w:p w14:paraId="2B5CD2E7" w14:textId="35DDF608" w:rsidR="00F1204A" w:rsidRPr="006355C7" w:rsidRDefault="00A27945" w:rsidP="004602E2">
      <w:pPr>
        <w:spacing w:line="360" w:lineRule="auto"/>
        <w:ind w:firstLine="1440"/>
        <w:contextualSpacing/>
        <w:rPr>
          <w:sz w:val="26"/>
          <w:szCs w:val="26"/>
        </w:rPr>
      </w:pPr>
      <w:r>
        <w:rPr>
          <w:sz w:val="26"/>
          <w:szCs w:val="26"/>
        </w:rPr>
        <w:t>The</w:t>
      </w:r>
      <w:r w:rsidR="00F1204A" w:rsidRPr="006355C7">
        <w:rPr>
          <w:sz w:val="26"/>
          <w:szCs w:val="26"/>
        </w:rPr>
        <w:t xml:space="preserve"> Commission’s decision must be supported by substantial evidence in the record.  More is required than a mere trace of evidence or a suspicion of the existence of a fact sought to be established.  </w:t>
      </w:r>
      <w:r w:rsidR="00F1204A" w:rsidRPr="006355C7">
        <w:rPr>
          <w:i/>
          <w:sz w:val="26"/>
          <w:szCs w:val="26"/>
        </w:rPr>
        <w:t>Norfolk &amp; Western Ry. Co. v. Pa. PUC,</w:t>
      </w:r>
      <w:r w:rsidR="00F1204A" w:rsidRPr="006355C7">
        <w:rPr>
          <w:sz w:val="26"/>
          <w:szCs w:val="26"/>
        </w:rPr>
        <w:t xml:space="preserve"> 413 A.2d 1037 (</w:t>
      </w:r>
      <w:r w:rsidR="00667ED3">
        <w:rPr>
          <w:sz w:val="26"/>
          <w:szCs w:val="26"/>
        </w:rPr>
        <w:t xml:space="preserve">Pa. </w:t>
      </w:r>
      <w:r w:rsidR="00F1204A" w:rsidRPr="006355C7">
        <w:rPr>
          <w:sz w:val="26"/>
          <w:szCs w:val="26"/>
        </w:rPr>
        <w:t>1980).</w:t>
      </w:r>
    </w:p>
    <w:p w14:paraId="3BBA8798" w14:textId="77777777" w:rsidR="001F3A35" w:rsidRPr="001F3A35" w:rsidRDefault="001F3A35" w:rsidP="001F3A35">
      <w:pPr>
        <w:keepNext/>
        <w:keepLines/>
        <w:spacing w:after="0" w:line="360" w:lineRule="auto"/>
        <w:rPr>
          <w:sz w:val="26"/>
          <w:szCs w:val="26"/>
        </w:rPr>
      </w:pPr>
    </w:p>
    <w:p w14:paraId="7DF09AD2" w14:textId="2C2B3BBD" w:rsidR="001F3A35" w:rsidRDefault="001F3A35" w:rsidP="001F3A35">
      <w:pPr>
        <w:spacing w:after="0" w:line="360" w:lineRule="auto"/>
        <w:ind w:firstLine="1440"/>
        <w:rPr>
          <w:sz w:val="26"/>
          <w:szCs w:val="26"/>
        </w:rPr>
      </w:pPr>
      <w:bookmarkStart w:id="2" w:name="_Hlk505935272"/>
      <w:r w:rsidRPr="001F3A35">
        <w:rPr>
          <w:sz w:val="26"/>
          <w:szCs w:val="26"/>
        </w:rPr>
        <w:t xml:space="preserve">The term “foreign load” refers to the situation </w:t>
      </w:r>
      <w:r w:rsidRPr="001F3A35">
        <w:rPr>
          <w:color w:val="000000"/>
          <w:sz w:val="26"/>
          <w:szCs w:val="26"/>
        </w:rPr>
        <w:t xml:space="preserve">where a customer’s meter registers utility usage not </w:t>
      </w:r>
      <w:r w:rsidRPr="001F3A35">
        <w:rPr>
          <w:sz w:val="26"/>
          <w:szCs w:val="26"/>
        </w:rPr>
        <w:t>exclusive to the customer’s dwelling unit or its occupants.  When foreign load is discovered, Section 1529.1 of the Code, 66 Pa.</w:t>
      </w:r>
      <w:r w:rsidR="00043040">
        <w:rPr>
          <w:sz w:val="26"/>
          <w:szCs w:val="26"/>
        </w:rPr>
        <w:t xml:space="preserve"> </w:t>
      </w:r>
      <w:r w:rsidRPr="001F3A35">
        <w:rPr>
          <w:sz w:val="26"/>
          <w:szCs w:val="26"/>
        </w:rPr>
        <w:t>C.S. § 1529.1</w:t>
      </w:r>
      <w:r w:rsidR="00FB1EF1" w:rsidRPr="001F3A35">
        <w:rPr>
          <w:sz w:val="26"/>
          <w:szCs w:val="26"/>
        </w:rPr>
        <w:t>, outlines</w:t>
      </w:r>
      <w:r w:rsidRPr="001F3A35">
        <w:rPr>
          <w:sz w:val="26"/>
          <w:szCs w:val="26"/>
        </w:rPr>
        <w:t xml:space="preserve"> the affirmative duties of the property owner and the utility as follows (emphasis added):</w:t>
      </w:r>
    </w:p>
    <w:p w14:paraId="7DC094CC" w14:textId="77777777" w:rsidR="001F3A35" w:rsidRPr="001F3A35" w:rsidRDefault="001F3A35" w:rsidP="001F3A35">
      <w:pPr>
        <w:keepNext/>
        <w:keepLines/>
        <w:autoSpaceDE w:val="0"/>
        <w:autoSpaceDN w:val="0"/>
        <w:adjustRightInd w:val="0"/>
        <w:spacing w:after="0" w:line="240" w:lineRule="auto"/>
        <w:ind w:left="1440" w:right="1440"/>
        <w:rPr>
          <w:rFonts w:eastAsiaTheme="minorHAnsi"/>
          <w:color w:val="000000"/>
          <w:sz w:val="26"/>
          <w:szCs w:val="26"/>
        </w:rPr>
      </w:pPr>
      <w:r w:rsidRPr="001F3A35">
        <w:rPr>
          <w:rFonts w:eastAsiaTheme="minorHAnsi"/>
          <w:color w:val="000000"/>
          <w:sz w:val="26"/>
          <w:szCs w:val="26"/>
        </w:rPr>
        <w:t xml:space="preserve">§ 1529.1. Duty of owners of rental property </w:t>
      </w:r>
    </w:p>
    <w:p w14:paraId="60194141" w14:textId="77777777" w:rsidR="001F3A35" w:rsidRPr="001F3A35" w:rsidRDefault="001F3A35" w:rsidP="001F3A35">
      <w:pPr>
        <w:keepNext/>
        <w:keepLines/>
        <w:autoSpaceDE w:val="0"/>
        <w:autoSpaceDN w:val="0"/>
        <w:adjustRightInd w:val="0"/>
        <w:spacing w:after="0" w:line="240" w:lineRule="auto"/>
        <w:ind w:left="1440" w:right="1440"/>
        <w:rPr>
          <w:rFonts w:eastAsiaTheme="minorHAnsi"/>
          <w:color w:val="000000"/>
          <w:sz w:val="26"/>
          <w:szCs w:val="26"/>
        </w:rPr>
      </w:pPr>
    </w:p>
    <w:p w14:paraId="43E9513A" w14:textId="77777777" w:rsidR="001F3A35" w:rsidRPr="001F3A35" w:rsidRDefault="001F3A35" w:rsidP="001F3A35">
      <w:pPr>
        <w:autoSpaceDE w:val="0"/>
        <w:autoSpaceDN w:val="0"/>
        <w:adjustRightInd w:val="0"/>
        <w:spacing w:after="0" w:line="240" w:lineRule="auto"/>
        <w:ind w:left="1440" w:right="1440"/>
        <w:rPr>
          <w:rFonts w:eastAsiaTheme="minorHAnsi"/>
          <w:bCs/>
          <w:i/>
          <w:color w:val="000000"/>
          <w:sz w:val="26"/>
          <w:szCs w:val="26"/>
        </w:rPr>
      </w:pPr>
      <w:bookmarkStart w:id="3" w:name="_Hlk505937745"/>
      <w:r w:rsidRPr="001F3A35">
        <w:rPr>
          <w:rFonts w:eastAsiaTheme="minorHAnsi"/>
          <w:color w:val="000000"/>
          <w:sz w:val="26"/>
          <w:szCs w:val="26"/>
        </w:rPr>
        <w:t xml:space="preserve">(a) </w:t>
      </w:r>
      <w:r w:rsidRPr="001F3A35">
        <w:rPr>
          <w:rFonts w:eastAsiaTheme="minorHAnsi"/>
          <w:b/>
          <w:iCs/>
          <w:color w:val="000000"/>
          <w:sz w:val="26"/>
          <w:szCs w:val="26"/>
        </w:rPr>
        <w:t>Notice to public utility</w:t>
      </w:r>
      <w:r w:rsidRPr="001F3A35">
        <w:rPr>
          <w:rFonts w:eastAsiaTheme="minorHAnsi"/>
          <w:i/>
          <w:iCs/>
          <w:color w:val="000000"/>
          <w:sz w:val="26"/>
          <w:szCs w:val="26"/>
        </w:rPr>
        <w:t>.—</w:t>
      </w:r>
      <w:r w:rsidRPr="001F3A35">
        <w:rPr>
          <w:rFonts w:eastAsiaTheme="minorHAnsi"/>
          <w:color w:val="000000"/>
          <w:sz w:val="26"/>
          <w:szCs w:val="26"/>
        </w:rPr>
        <w:t xml:space="preserve">It is the duty of every owner of a residential building . . ., which contains one or more dwelling units, </w:t>
      </w:r>
      <w:r w:rsidRPr="001F3A35">
        <w:rPr>
          <w:rFonts w:eastAsiaTheme="minorHAnsi"/>
          <w:bCs/>
          <w:i/>
          <w:color w:val="000000"/>
          <w:sz w:val="26"/>
          <w:szCs w:val="26"/>
        </w:rPr>
        <w:t>not individually metered</w:t>
      </w:r>
      <w:r w:rsidRPr="001F3A35">
        <w:rPr>
          <w:rFonts w:eastAsiaTheme="minorHAnsi"/>
          <w:bCs/>
          <w:color w:val="000000"/>
          <w:sz w:val="26"/>
          <w:szCs w:val="26"/>
        </w:rPr>
        <w:t>, to notify each public utility from whom utility service is received of their ownership and the fact that the premises served are used for rental purposes</w:t>
      </w:r>
      <w:r w:rsidRPr="001F3A35">
        <w:rPr>
          <w:rFonts w:eastAsiaTheme="minorHAnsi"/>
          <w:bCs/>
          <w:i/>
          <w:color w:val="000000"/>
          <w:sz w:val="26"/>
          <w:szCs w:val="26"/>
        </w:rPr>
        <w:t>.</w:t>
      </w:r>
    </w:p>
    <w:p w14:paraId="68DDE626" w14:textId="77777777" w:rsidR="001F3A35" w:rsidRPr="001F3A35" w:rsidRDefault="001F3A35" w:rsidP="001F3A35">
      <w:pPr>
        <w:autoSpaceDE w:val="0"/>
        <w:autoSpaceDN w:val="0"/>
        <w:adjustRightInd w:val="0"/>
        <w:spacing w:after="0" w:line="240" w:lineRule="auto"/>
        <w:ind w:left="1440" w:right="1440"/>
        <w:rPr>
          <w:rFonts w:eastAsiaTheme="minorHAnsi"/>
          <w:i/>
          <w:iCs/>
          <w:color w:val="000000"/>
          <w:sz w:val="26"/>
          <w:szCs w:val="26"/>
        </w:rPr>
      </w:pPr>
    </w:p>
    <w:p w14:paraId="23D335F8" w14:textId="77777777" w:rsidR="001F3A35" w:rsidRPr="001F3A35" w:rsidRDefault="001F3A35" w:rsidP="001F3A35">
      <w:pPr>
        <w:autoSpaceDE w:val="0"/>
        <w:autoSpaceDN w:val="0"/>
        <w:adjustRightInd w:val="0"/>
        <w:spacing w:after="240" w:line="240" w:lineRule="auto"/>
        <w:ind w:left="1440" w:right="1440"/>
        <w:rPr>
          <w:rFonts w:eastAsiaTheme="minorHAnsi"/>
          <w:color w:val="000000"/>
          <w:sz w:val="26"/>
          <w:szCs w:val="26"/>
        </w:rPr>
      </w:pPr>
      <w:r w:rsidRPr="001F3A35">
        <w:rPr>
          <w:rFonts w:eastAsiaTheme="minorHAnsi"/>
          <w:color w:val="000000"/>
          <w:sz w:val="26"/>
          <w:szCs w:val="26"/>
        </w:rPr>
        <w:t xml:space="preserve">(b) </w:t>
      </w:r>
      <w:r w:rsidRPr="001F3A35">
        <w:rPr>
          <w:rFonts w:eastAsiaTheme="minorHAnsi"/>
          <w:b/>
          <w:color w:val="000000"/>
          <w:sz w:val="26"/>
          <w:szCs w:val="26"/>
        </w:rPr>
        <w:t>H</w:t>
      </w:r>
      <w:r w:rsidRPr="001F3A35">
        <w:rPr>
          <w:rFonts w:eastAsiaTheme="minorHAnsi"/>
          <w:b/>
          <w:iCs/>
          <w:color w:val="000000"/>
          <w:sz w:val="26"/>
          <w:szCs w:val="26"/>
        </w:rPr>
        <w:t>istory of account</w:t>
      </w:r>
      <w:r w:rsidRPr="001F3A35">
        <w:rPr>
          <w:rFonts w:eastAsiaTheme="minorHAnsi"/>
          <w:i/>
          <w:iCs/>
          <w:color w:val="000000"/>
          <w:sz w:val="26"/>
          <w:szCs w:val="26"/>
        </w:rPr>
        <w:t xml:space="preserve">.-- </w:t>
      </w:r>
      <w:r w:rsidRPr="001F3A35">
        <w:rPr>
          <w:rFonts w:eastAsiaTheme="minorHAnsi"/>
          <w:color w:val="000000"/>
          <w:sz w:val="26"/>
          <w:szCs w:val="26"/>
        </w:rPr>
        <w:t xml:space="preserve">Upon receipt of the notice provided in this section, if the . . . residential building contains </w:t>
      </w:r>
      <w:r w:rsidRPr="001F3A35">
        <w:rPr>
          <w:rFonts w:eastAsiaTheme="minorHAnsi"/>
          <w:bCs/>
          <w:color w:val="000000"/>
          <w:sz w:val="26"/>
          <w:szCs w:val="26"/>
        </w:rPr>
        <w:t xml:space="preserve">one or more dwelling units </w:t>
      </w:r>
      <w:r w:rsidRPr="001F3A35">
        <w:rPr>
          <w:rFonts w:eastAsiaTheme="minorHAnsi"/>
          <w:bCs/>
          <w:i/>
          <w:color w:val="000000"/>
          <w:sz w:val="26"/>
          <w:szCs w:val="26"/>
        </w:rPr>
        <w:t>not individually metered</w:t>
      </w:r>
      <w:r w:rsidRPr="001F3A35">
        <w:rPr>
          <w:rFonts w:eastAsiaTheme="minorHAnsi"/>
          <w:bCs/>
          <w:color w:val="000000"/>
          <w:sz w:val="26"/>
          <w:szCs w:val="26"/>
        </w:rPr>
        <w:t xml:space="preserve">, an affected public utility shall forthwith list the account for the premises in question in the name of the owner, and the owner shall thereafter be responsible for the payment for the utility services rendered thereunto . . . </w:t>
      </w:r>
    </w:p>
    <w:p w14:paraId="78CA2FBA" w14:textId="2214BF3F" w:rsidR="001F3A35" w:rsidRPr="001F3A35" w:rsidRDefault="001F3A35" w:rsidP="001F3A35">
      <w:pPr>
        <w:autoSpaceDE w:val="0"/>
        <w:autoSpaceDN w:val="0"/>
        <w:adjustRightInd w:val="0"/>
        <w:spacing w:after="0" w:line="240" w:lineRule="auto"/>
        <w:ind w:left="1440" w:right="1440"/>
        <w:rPr>
          <w:rFonts w:eastAsiaTheme="minorHAnsi"/>
          <w:bCs/>
          <w:color w:val="000000"/>
          <w:sz w:val="26"/>
          <w:szCs w:val="26"/>
        </w:rPr>
      </w:pPr>
      <w:r w:rsidRPr="001F3A35">
        <w:rPr>
          <w:rFonts w:eastAsiaTheme="minorHAnsi"/>
          <w:color w:val="000000"/>
          <w:sz w:val="26"/>
          <w:szCs w:val="26"/>
        </w:rPr>
        <w:t xml:space="preserve">(c) </w:t>
      </w:r>
      <w:r w:rsidRPr="001F3A35">
        <w:rPr>
          <w:rFonts w:eastAsiaTheme="minorHAnsi"/>
          <w:b/>
          <w:iCs/>
          <w:color w:val="000000"/>
          <w:sz w:val="26"/>
          <w:szCs w:val="26"/>
        </w:rPr>
        <w:t xml:space="preserve">Failure to give </w:t>
      </w:r>
      <w:r w:rsidR="002715C8" w:rsidRPr="001F3A35">
        <w:rPr>
          <w:rFonts w:eastAsiaTheme="minorHAnsi"/>
          <w:b/>
          <w:iCs/>
          <w:color w:val="000000"/>
          <w:sz w:val="26"/>
          <w:szCs w:val="26"/>
        </w:rPr>
        <w:t>notice</w:t>
      </w:r>
      <w:r w:rsidR="002715C8" w:rsidRPr="001F3A35">
        <w:rPr>
          <w:rFonts w:eastAsiaTheme="minorHAnsi"/>
          <w:i/>
          <w:iCs/>
          <w:color w:val="000000"/>
          <w:sz w:val="26"/>
          <w:szCs w:val="26"/>
        </w:rPr>
        <w:t>.</w:t>
      </w:r>
      <w:r w:rsidR="002715C8" w:rsidRPr="00986CC4">
        <w:rPr>
          <w:rFonts w:eastAsiaTheme="minorHAnsi"/>
          <w:i/>
          <w:iCs/>
          <w:color w:val="000000"/>
          <w:sz w:val="26"/>
          <w:szCs w:val="26"/>
        </w:rPr>
        <w:t>—</w:t>
      </w:r>
      <w:r w:rsidRPr="001F3A35">
        <w:rPr>
          <w:rFonts w:eastAsiaTheme="minorHAnsi"/>
          <w:bCs/>
          <w:color w:val="000000"/>
          <w:sz w:val="26"/>
          <w:szCs w:val="26"/>
        </w:rPr>
        <w:t>Any owner of a residential building . . . failing to notify affected public utilities as required by this section shall nonetheless be responsible for payment of the utility services as if the required notice had been given</w:t>
      </w:r>
      <w:r w:rsidRPr="001F3A35">
        <w:rPr>
          <w:rFonts w:eastAsiaTheme="minorHAnsi"/>
          <w:bCs/>
          <w:i/>
          <w:color w:val="000000"/>
          <w:sz w:val="26"/>
          <w:szCs w:val="26"/>
        </w:rPr>
        <w:t>.</w:t>
      </w:r>
      <w:bookmarkEnd w:id="3"/>
    </w:p>
    <w:p w14:paraId="7F95DB17" w14:textId="77777777" w:rsidR="001F3A35" w:rsidRPr="001F3A35" w:rsidRDefault="001F3A35" w:rsidP="001F3A35">
      <w:pPr>
        <w:autoSpaceDE w:val="0"/>
        <w:autoSpaceDN w:val="0"/>
        <w:adjustRightInd w:val="0"/>
        <w:spacing w:after="0" w:line="240" w:lineRule="auto"/>
        <w:ind w:left="1440" w:right="1440"/>
        <w:rPr>
          <w:rFonts w:eastAsiaTheme="minorHAnsi"/>
          <w:bCs/>
          <w:color w:val="000000"/>
          <w:sz w:val="26"/>
          <w:szCs w:val="26"/>
        </w:rPr>
      </w:pPr>
    </w:p>
    <w:p w14:paraId="3303108B" w14:textId="77777777" w:rsidR="001F3A35" w:rsidRPr="001F3A35" w:rsidRDefault="001F3A35" w:rsidP="001F3A35">
      <w:pPr>
        <w:autoSpaceDE w:val="0"/>
        <w:autoSpaceDN w:val="0"/>
        <w:adjustRightInd w:val="0"/>
        <w:spacing w:after="0" w:line="240" w:lineRule="auto"/>
        <w:ind w:right="1440"/>
        <w:rPr>
          <w:rFonts w:eastAsiaTheme="minorHAnsi"/>
          <w:bCs/>
          <w:color w:val="000000"/>
          <w:sz w:val="26"/>
          <w:szCs w:val="26"/>
        </w:rPr>
      </w:pPr>
      <w:r w:rsidRPr="001F3A35">
        <w:rPr>
          <w:rFonts w:eastAsiaTheme="minorHAnsi"/>
          <w:bCs/>
          <w:color w:val="000000"/>
          <w:sz w:val="26"/>
          <w:szCs w:val="26"/>
        </w:rPr>
        <w:t>66 Pa. C.S. § 1529.1.</w:t>
      </w:r>
    </w:p>
    <w:p w14:paraId="179E82D5" w14:textId="45E2C0C8" w:rsidR="001F3A35" w:rsidRPr="001F3A35" w:rsidRDefault="001F3A35" w:rsidP="001F3A35">
      <w:pPr>
        <w:spacing w:after="0" w:line="360" w:lineRule="auto"/>
        <w:ind w:firstLine="1440"/>
        <w:rPr>
          <w:sz w:val="26"/>
          <w:szCs w:val="26"/>
        </w:rPr>
      </w:pPr>
      <w:bookmarkStart w:id="4" w:name="_Hlk505159165"/>
      <w:r w:rsidRPr="001F3A35">
        <w:rPr>
          <w:sz w:val="26"/>
          <w:szCs w:val="26"/>
        </w:rPr>
        <w:lastRenderedPageBreak/>
        <w:t xml:space="preserve">If the property owner fails to provide the required notice to the utility under Section 1529.1(a), then Section 1529.1(c) requires the utility to proceed as if the owner had provided such notice.  Thus, a utility has an affirmative duty to investigate a foreign load or high bill complaint, and if the utility discovers the presence of a foreign load, the utility is required pursuant to Section 1529.1(b) to list the account in the landlord’s name and hold the landlord responsible for the payment for utility services rendered to the account.  </w:t>
      </w:r>
      <w:bookmarkStart w:id="5" w:name="_Hlk505164331"/>
      <w:r w:rsidRPr="001F3A35">
        <w:rPr>
          <w:i/>
          <w:sz w:val="26"/>
          <w:szCs w:val="26"/>
        </w:rPr>
        <w:t>See</w:t>
      </w:r>
      <w:r w:rsidR="00667ED3">
        <w:rPr>
          <w:i/>
          <w:sz w:val="26"/>
          <w:szCs w:val="26"/>
        </w:rPr>
        <w:t>,</w:t>
      </w:r>
      <w:r w:rsidRPr="001F3A35">
        <w:rPr>
          <w:i/>
          <w:sz w:val="26"/>
          <w:szCs w:val="26"/>
        </w:rPr>
        <w:t xml:space="preserve"> Ace Check Cashing, Inc. v. Philadelphia Gas Works</w:t>
      </w:r>
      <w:r w:rsidRPr="001F3A35">
        <w:rPr>
          <w:sz w:val="26"/>
          <w:szCs w:val="26"/>
        </w:rPr>
        <w:t>, Docket No. C</w:t>
      </w:r>
      <w:r w:rsidRPr="001F3A35">
        <w:rPr>
          <w:sz w:val="26"/>
          <w:szCs w:val="26"/>
        </w:rPr>
        <w:noBreakHyphen/>
        <w:t>2008</w:t>
      </w:r>
      <w:r w:rsidRPr="001F3A35">
        <w:rPr>
          <w:sz w:val="26"/>
          <w:szCs w:val="26"/>
        </w:rPr>
        <w:noBreakHyphen/>
        <w:t>2056428 (Order entered May 21, 2010) (</w:t>
      </w:r>
      <w:r w:rsidRPr="001F3A35">
        <w:rPr>
          <w:i/>
          <w:sz w:val="26"/>
          <w:szCs w:val="26"/>
        </w:rPr>
        <w:t>Ace Check Cashing</w:t>
      </w:r>
      <w:r w:rsidRPr="001F3A35">
        <w:rPr>
          <w:sz w:val="26"/>
          <w:szCs w:val="26"/>
        </w:rPr>
        <w:t>).</w:t>
      </w:r>
      <w:bookmarkEnd w:id="2"/>
      <w:bookmarkEnd w:id="4"/>
      <w:bookmarkEnd w:id="5"/>
    </w:p>
    <w:p w14:paraId="370DF328" w14:textId="77777777" w:rsidR="001F3A35" w:rsidRPr="001F3A35" w:rsidRDefault="001F3A35" w:rsidP="001F3A35">
      <w:pPr>
        <w:spacing w:after="0" w:line="360" w:lineRule="auto"/>
        <w:ind w:firstLine="1440"/>
        <w:rPr>
          <w:sz w:val="26"/>
          <w:szCs w:val="26"/>
        </w:rPr>
      </w:pPr>
    </w:p>
    <w:p w14:paraId="2D360DD7" w14:textId="77777777" w:rsidR="001F3A35" w:rsidRPr="001F3A35" w:rsidRDefault="001F3A35" w:rsidP="001F3A35">
      <w:pPr>
        <w:spacing w:after="0" w:line="360" w:lineRule="auto"/>
        <w:ind w:firstLine="1440"/>
        <w:rPr>
          <w:sz w:val="26"/>
          <w:szCs w:val="26"/>
        </w:rPr>
      </w:pPr>
      <w:r w:rsidRPr="001F3A35">
        <w:rPr>
          <w:sz w:val="26"/>
          <w:szCs w:val="26"/>
        </w:rPr>
        <w:t>The Commission’s long-standing policy in implementing Section 1529.1 is as follows:</w:t>
      </w:r>
    </w:p>
    <w:p w14:paraId="0DBDAF73" w14:textId="77777777" w:rsidR="001F3A35" w:rsidRPr="001F3A35" w:rsidRDefault="001F3A35" w:rsidP="001F3A35">
      <w:pPr>
        <w:spacing w:after="0" w:line="360" w:lineRule="auto"/>
        <w:ind w:firstLine="1440"/>
        <w:rPr>
          <w:sz w:val="26"/>
          <w:szCs w:val="26"/>
        </w:rPr>
      </w:pPr>
    </w:p>
    <w:p w14:paraId="4100870C" w14:textId="77777777" w:rsidR="001F3A35" w:rsidRPr="001F3A35" w:rsidRDefault="001F3A35" w:rsidP="001F3A35">
      <w:pPr>
        <w:spacing w:after="0" w:line="240" w:lineRule="auto"/>
        <w:ind w:left="1440" w:right="1440"/>
        <w:rPr>
          <w:sz w:val="26"/>
          <w:szCs w:val="26"/>
        </w:rPr>
      </w:pPr>
      <w:r w:rsidRPr="001F3A35">
        <w:rPr>
          <w:sz w:val="26"/>
          <w:szCs w:val="26"/>
        </w:rPr>
        <w:t xml:space="preserve">Upon the finding of foreign load, the utility would list the account, including any arrearages, in the name of the landlord.  The landlord had the responsibility to pay the utility bills until the foreign load was corrected.  Once the foreign load was corrected by the landlord and verified by the utility, the utility would place the account back in the name of the tenant.  However, the arrearage, if any, was to remain with the landlord.  There was no </w:t>
      </w:r>
      <w:r w:rsidRPr="001F3A35">
        <w:rPr>
          <w:i/>
          <w:sz w:val="26"/>
          <w:szCs w:val="26"/>
        </w:rPr>
        <w:t>de minimis</w:t>
      </w:r>
      <w:r w:rsidRPr="001F3A35">
        <w:rPr>
          <w:sz w:val="26"/>
          <w:szCs w:val="26"/>
        </w:rPr>
        <w:t xml:space="preserve"> exception, and any dispute regarding the financial responsibilities of the parties [as between landlord and tenant] was a matter to be resolved in the Court of Common Pleas and outside this Commission’s jurisdiction.</w:t>
      </w:r>
    </w:p>
    <w:p w14:paraId="4C49C102" w14:textId="77777777" w:rsidR="001F3A35" w:rsidRPr="001F3A35" w:rsidRDefault="001F3A35" w:rsidP="001F3A35">
      <w:pPr>
        <w:spacing w:after="0" w:line="240" w:lineRule="auto"/>
        <w:ind w:right="1440"/>
        <w:rPr>
          <w:sz w:val="26"/>
          <w:szCs w:val="26"/>
        </w:rPr>
      </w:pPr>
    </w:p>
    <w:p w14:paraId="447E47E9" w14:textId="77777777" w:rsidR="001F3A35" w:rsidRPr="001F3A35" w:rsidRDefault="001F3A35" w:rsidP="001F3A35">
      <w:pPr>
        <w:spacing w:after="0" w:line="240" w:lineRule="auto"/>
        <w:ind w:right="1440"/>
        <w:rPr>
          <w:sz w:val="26"/>
          <w:szCs w:val="26"/>
        </w:rPr>
      </w:pPr>
    </w:p>
    <w:p w14:paraId="7194ED27" w14:textId="2A92FDDA" w:rsidR="00EC65F3" w:rsidRDefault="001F3A35" w:rsidP="001F3A35">
      <w:pPr>
        <w:spacing w:after="0" w:line="360" w:lineRule="auto"/>
        <w:contextualSpacing/>
        <w:rPr>
          <w:sz w:val="26"/>
          <w:szCs w:val="26"/>
        </w:rPr>
      </w:pPr>
      <w:r w:rsidRPr="001F3A35">
        <w:rPr>
          <w:i/>
          <w:sz w:val="26"/>
          <w:szCs w:val="26"/>
        </w:rPr>
        <w:t xml:space="preserve">Ace Check Cashing </w:t>
      </w:r>
      <w:r w:rsidRPr="001F3A35">
        <w:rPr>
          <w:sz w:val="26"/>
          <w:szCs w:val="26"/>
        </w:rPr>
        <w:t>(citing</w:t>
      </w:r>
      <w:r w:rsidRPr="001F3A35">
        <w:rPr>
          <w:i/>
          <w:sz w:val="26"/>
          <w:szCs w:val="26"/>
        </w:rPr>
        <w:t xml:space="preserve"> Elizabeth</w:t>
      </w:r>
      <w:r w:rsidRPr="001F3A35">
        <w:rPr>
          <w:sz w:val="26"/>
          <w:szCs w:val="26"/>
        </w:rPr>
        <w:t xml:space="preserve"> </w:t>
      </w:r>
      <w:r w:rsidRPr="001F3A35">
        <w:rPr>
          <w:i/>
          <w:sz w:val="26"/>
          <w:szCs w:val="26"/>
        </w:rPr>
        <w:t>Santos v. Metropolitan Edison Company</w:t>
      </w:r>
      <w:r w:rsidRPr="001F3A35">
        <w:rPr>
          <w:sz w:val="26"/>
          <w:szCs w:val="26"/>
        </w:rPr>
        <w:t>, Docket No. C-00967757 (Order entered August 7, 1997) (</w:t>
      </w:r>
      <w:r w:rsidRPr="001F3A35">
        <w:rPr>
          <w:i/>
          <w:sz w:val="26"/>
          <w:szCs w:val="26"/>
        </w:rPr>
        <w:t>Santos</w:t>
      </w:r>
      <w:r w:rsidRPr="001F3A35">
        <w:rPr>
          <w:sz w:val="26"/>
          <w:szCs w:val="26"/>
        </w:rPr>
        <w:t>)).</w:t>
      </w:r>
    </w:p>
    <w:p w14:paraId="64216DA8" w14:textId="7178C196" w:rsidR="001A6E79" w:rsidRDefault="001A6E79" w:rsidP="001F3A35">
      <w:pPr>
        <w:spacing w:after="0" w:line="360" w:lineRule="auto"/>
        <w:contextualSpacing/>
        <w:rPr>
          <w:sz w:val="26"/>
          <w:szCs w:val="26"/>
        </w:rPr>
      </w:pPr>
    </w:p>
    <w:p w14:paraId="40A7857D" w14:textId="53D5F2D9" w:rsidR="001A6E79" w:rsidRDefault="00F1204A" w:rsidP="009E3BB3">
      <w:pPr>
        <w:spacing w:after="0" w:line="360" w:lineRule="auto"/>
        <w:ind w:firstLine="1440"/>
        <w:contextualSpacing/>
        <w:rPr>
          <w:sz w:val="26"/>
          <w:szCs w:val="26"/>
        </w:rPr>
      </w:pPr>
      <w:r>
        <w:rPr>
          <w:sz w:val="26"/>
          <w:szCs w:val="26"/>
        </w:rPr>
        <w:t>Finally, a</w:t>
      </w:r>
      <w:r w:rsidR="001A6E79" w:rsidRPr="00837061">
        <w:rPr>
          <w:sz w:val="26"/>
          <w:szCs w:val="26"/>
        </w:rPr>
        <w:t xml:space="preserve">ny </w:t>
      </w:r>
      <w:r w:rsidR="00386C19">
        <w:rPr>
          <w:sz w:val="26"/>
          <w:szCs w:val="26"/>
        </w:rPr>
        <w:t>argument</w:t>
      </w:r>
      <w:r w:rsidR="001A6E79" w:rsidRPr="00837061">
        <w:rPr>
          <w:sz w:val="26"/>
          <w:szCs w:val="26"/>
        </w:rPr>
        <w:t xml:space="preserve"> or Exception that we do not specifically address shall be deemed to have been duly considered and denied without further discussion.  The Commission is not required to consider, either expressly or at length, each contention or argument raised by the Parties.  </w:t>
      </w:r>
      <w:r w:rsidR="001A6E79">
        <w:rPr>
          <w:rStyle w:val="Emphasis"/>
          <w:sz w:val="26"/>
          <w:szCs w:val="26"/>
        </w:rPr>
        <w:t>Consolidated Rail Corp. v.</w:t>
      </w:r>
      <w:r w:rsidR="001A6E79" w:rsidRPr="00837061">
        <w:rPr>
          <w:rStyle w:val="Emphasis"/>
          <w:sz w:val="26"/>
          <w:szCs w:val="26"/>
        </w:rPr>
        <w:t xml:space="preserve"> Pa. PUC, </w:t>
      </w:r>
      <w:r w:rsidR="001A6E79" w:rsidRPr="00837061">
        <w:rPr>
          <w:sz w:val="26"/>
          <w:szCs w:val="26"/>
        </w:rPr>
        <w:t xml:space="preserve">625 A.2d 741 (Pa. </w:t>
      </w:r>
      <w:r w:rsidR="001A6E79" w:rsidRPr="00837061">
        <w:rPr>
          <w:sz w:val="26"/>
          <w:szCs w:val="26"/>
        </w:rPr>
        <w:lastRenderedPageBreak/>
        <w:t xml:space="preserve">Cmwlth. 1993); </w:t>
      </w:r>
      <w:r w:rsidR="001A6E79" w:rsidRPr="00837061">
        <w:rPr>
          <w:i/>
          <w:sz w:val="26"/>
          <w:szCs w:val="26"/>
        </w:rPr>
        <w:t xml:space="preserve">also </w:t>
      </w:r>
      <w:r w:rsidR="001A6E79" w:rsidRPr="00837061">
        <w:rPr>
          <w:rStyle w:val="Emphasis"/>
          <w:sz w:val="26"/>
          <w:szCs w:val="26"/>
        </w:rPr>
        <w:t>see, generally, University of Pennsylvania v. Pa. PUC</w:t>
      </w:r>
      <w:r w:rsidR="001A6E79" w:rsidRPr="00837061">
        <w:rPr>
          <w:sz w:val="26"/>
          <w:szCs w:val="26"/>
        </w:rPr>
        <w:t>, 485 A.2d 1217 (Pa. Cmwlth. 1984).</w:t>
      </w:r>
    </w:p>
    <w:p w14:paraId="6B22D729" w14:textId="77777777" w:rsidR="006355C7" w:rsidRPr="00241BE3" w:rsidRDefault="006355C7" w:rsidP="001F3A35">
      <w:pPr>
        <w:spacing w:after="0" w:line="360" w:lineRule="auto"/>
        <w:contextualSpacing/>
        <w:rPr>
          <w:sz w:val="26"/>
          <w:szCs w:val="26"/>
        </w:rPr>
      </w:pPr>
    </w:p>
    <w:p w14:paraId="22ED4EFF" w14:textId="1D1C59EA" w:rsidR="00006F35" w:rsidRDefault="00307594" w:rsidP="00307594">
      <w:pPr>
        <w:keepNext/>
        <w:keepLines/>
        <w:spacing w:line="360" w:lineRule="auto"/>
        <w:contextualSpacing/>
        <w:rPr>
          <w:b/>
          <w:sz w:val="26"/>
          <w:szCs w:val="26"/>
        </w:rPr>
      </w:pPr>
      <w:r w:rsidRPr="00307594">
        <w:rPr>
          <w:b/>
          <w:sz w:val="26"/>
          <w:szCs w:val="26"/>
        </w:rPr>
        <w:t>B.</w:t>
      </w:r>
      <w:r w:rsidRPr="00307594">
        <w:rPr>
          <w:b/>
          <w:sz w:val="26"/>
          <w:szCs w:val="26"/>
        </w:rPr>
        <w:tab/>
        <w:t>ALJ’s Initial Decision</w:t>
      </w:r>
    </w:p>
    <w:p w14:paraId="63B21EBA" w14:textId="77777777" w:rsidR="00307594" w:rsidRDefault="00307594" w:rsidP="00307594">
      <w:pPr>
        <w:keepNext/>
        <w:keepLines/>
        <w:spacing w:line="360" w:lineRule="auto"/>
        <w:contextualSpacing/>
        <w:rPr>
          <w:sz w:val="26"/>
          <w:szCs w:val="26"/>
        </w:rPr>
      </w:pPr>
    </w:p>
    <w:p w14:paraId="04FC47D6" w14:textId="473A236D" w:rsidR="00087CC1" w:rsidRPr="00081322" w:rsidRDefault="00087CC1" w:rsidP="009F0FBD">
      <w:pPr>
        <w:spacing w:line="360" w:lineRule="auto"/>
        <w:ind w:firstLine="1440"/>
        <w:contextualSpacing/>
        <w:rPr>
          <w:sz w:val="26"/>
          <w:szCs w:val="26"/>
        </w:rPr>
      </w:pPr>
      <w:r w:rsidRPr="00081322">
        <w:rPr>
          <w:sz w:val="26"/>
          <w:szCs w:val="26"/>
        </w:rPr>
        <w:t xml:space="preserve">ALJ </w:t>
      </w:r>
      <w:r w:rsidR="009B1802">
        <w:rPr>
          <w:sz w:val="26"/>
          <w:szCs w:val="26"/>
        </w:rPr>
        <w:t>Myers</w:t>
      </w:r>
      <w:r w:rsidRPr="00081322">
        <w:rPr>
          <w:sz w:val="26"/>
          <w:szCs w:val="26"/>
        </w:rPr>
        <w:t xml:space="preserve"> made </w:t>
      </w:r>
      <w:r w:rsidR="00417A3B">
        <w:rPr>
          <w:sz w:val="26"/>
          <w:szCs w:val="26"/>
        </w:rPr>
        <w:t>eighteen</w:t>
      </w:r>
      <w:r w:rsidRPr="00081322">
        <w:rPr>
          <w:sz w:val="26"/>
          <w:szCs w:val="26"/>
        </w:rPr>
        <w:t xml:space="preserve"> Findings of Fact an</w:t>
      </w:r>
      <w:r w:rsidR="00081322" w:rsidRPr="00081322">
        <w:rPr>
          <w:sz w:val="26"/>
          <w:szCs w:val="26"/>
        </w:rPr>
        <w:t xml:space="preserve">d reached </w:t>
      </w:r>
      <w:r w:rsidR="001E2949">
        <w:rPr>
          <w:sz w:val="26"/>
          <w:szCs w:val="26"/>
        </w:rPr>
        <w:t>eight</w:t>
      </w:r>
      <w:r w:rsidR="000E7B0A">
        <w:rPr>
          <w:sz w:val="26"/>
          <w:szCs w:val="26"/>
        </w:rPr>
        <w:t xml:space="preserve"> Conclusions of Law.  I.D. at </w:t>
      </w:r>
      <w:r w:rsidR="002F139F">
        <w:rPr>
          <w:sz w:val="26"/>
          <w:szCs w:val="26"/>
        </w:rPr>
        <w:t>3-</w:t>
      </w:r>
      <w:r w:rsidR="00081322" w:rsidRPr="00081322">
        <w:rPr>
          <w:sz w:val="26"/>
          <w:szCs w:val="26"/>
        </w:rPr>
        <w:t>4</w:t>
      </w:r>
      <w:r w:rsidR="000E7B0A">
        <w:rPr>
          <w:sz w:val="26"/>
          <w:szCs w:val="26"/>
        </w:rPr>
        <w:t xml:space="preserve">, </w:t>
      </w:r>
      <w:r w:rsidR="001E2949">
        <w:rPr>
          <w:sz w:val="26"/>
          <w:szCs w:val="26"/>
        </w:rPr>
        <w:t>9</w:t>
      </w:r>
      <w:r w:rsidRPr="00081322">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50F0E7A" w14:textId="77777777" w:rsidR="00BA204F" w:rsidRDefault="00BA204F" w:rsidP="009F0FBD">
      <w:pPr>
        <w:spacing w:line="360" w:lineRule="auto"/>
        <w:ind w:firstLine="1440"/>
        <w:contextualSpacing/>
        <w:rPr>
          <w:sz w:val="26"/>
          <w:szCs w:val="26"/>
        </w:rPr>
      </w:pPr>
    </w:p>
    <w:p w14:paraId="4E5EBC9F" w14:textId="49D6578B" w:rsidR="00AA6469" w:rsidRDefault="00AA6469" w:rsidP="009F0FBD">
      <w:pPr>
        <w:spacing w:line="360" w:lineRule="auto"/>
        <w:ind w:firstLine="1440"/>
        <w:contextualSpacing/>
        <w:rPr>
          <w:sz w:val="26"/>
          <w:szCs w:val="26"/>
        </w:rPr>
      </w:pPr>
      <w:r>
        <w:rPr>
          <w:sz w:val="26"/>
          <w:szCs w:val="26"/>
        </w:rPr>
        <w:t xml:space="preserve">In his Initial Decision, the ALJ stated the </w:t>
      </w:r>
      <w:r w:rsidR="00D23F61" w:rsidRPr="00D23F61">
        <w:rPr>
          <w:sz w:val="26"/>
          <w:szCs w:val="26"/>
        </w:rPr>
        <w:t xml:space="preserve">Complainant </w:t>
      </w:r>
      <w:r w:rsidR="00973DB8">
        <w:rPr>
          <w:sz w:val="26"/>
          <w:szCs w:val="26"/>
        </w:rPr>
        <w:t>argues</w:t>
      </w:r>
      <w:r w:rsidR="00D23F61" w:rsidRPr="00D23F61">
        <w:rPr>
          <w:sz w:val="26"/>
          <w:szCs w:val="26"/>
        </w:rPr>
        <w:t xml:space="preserve"> that </w:t>
      </w:r>
      <w:r w:rsidR="00072B52">
        <w:rPr>
          <w:sz w:val="26"/>
          <w:szCs w:val="26"/>
        </w:rPr>
        <w:t xml:space="preserve">he should </w:t>
      </w:r>
      <w:r w:rsidR="00FD46EE">
        <w:rPr>
          <w:sz w:val="26"/>
          <w:szCs w:val="26"/>
        </w:rPr>
        <w:t xml:space="preserve">not be responsible </w:t>
      </w:r>
      <w:r w:rsidR="002613A8">
        <w:rPr>
          <w:sz w:val="26"/>
          <w:szCs w:val="26"/>
        </w:rPr>
        <w:t>for the former tenants</w:t>
      </w:r>
      <w:r w:rsidR="0073532A">
        <w:rPr>
          <w:sz w:val="26"/>
          <w:szCs w:val="26"/>
        </w:rPr>
        <w:t>’</w:t>
      </w:r>
      <w:r w:rsidR="00EF55CE">
        <w:rPr>
          <w:sz w:val="26"/>
          <w:szCs w:val="26"/>
        </w:rPr>
        <w:t xml:space="preserve"> </w:t>
      </w:r>
      <w:r w:rsidR="0073532A">
        <w:rPr>
          <w:sz w:val="26"/>
          <w:szCs w:val="26"/>
        </w:rPr>
        <w:t xml:space="preserve">outstanding balance </w:t>
      </w:r>
      <w:r w:rsidR="00A03F1E">
        <w:rPr>
          <w:sz w:val="26"/>
          <w:szCs w:val="26"/>
        </w:rPr>
        <w:t xml:space="preserve">and PPL should be prohibited from continuing to attempt to collect </w:t>
      </w:r>
      <w:r w:rsidR="001C4D09">
        <w:rPr>
          <w:sz w:val="26"/>
          <w:szCs w:val="26"/>
        </w:rPr>
        <w:t xml:space="preserve">the balance </w:t>
      </w:r>
      <w:r w:rsidR="00022C49">
        <w:rPr>
          <w:sz w:val="26"/>
          <w:szCs w:val="26"/>
        </w:rPr>
        <w:t xml:space="preserve">by transferring it </w:t>
      </w:r>
      <w:r w:rsidR="009A47E5">
        <w:rPr>
          <w:sz w:val="26"/>
          <w:szCs w:val="26"/>
        </w:rPr>
        <w:t xml:space="preserve">to </w:t>
      </w:r>
      <w:r w:rsidR="00B37920">
        <w:rPr>
          <w:sz w:val="26"/>
          <w:szCs w:val="26"/>
        </w:rPr>
        <w:t>his new accounts</w:t>
      </w:r>
      <w:r w:rsidR="00D23F61" w:rsidRPr="00D23F61">
        <w:rPr>
          <w:sz w:val="26"/>
          <w:szCs w:val="26"/>
        </w:rPr>
        <w:t xml:space="preserve"> </w:t>
      </w:r>
      <w:r w:rsidR="0067520D">
        <w:rPr>
          <w:sz w:val="26"/>
          <w:szCs w:val="26"/>
        </w:rPr>
        <w:t>since</w:t>
      </w:r>
      <w:r w:rsidR="00D23F61" w:rsidRPr="00D23F61">
        <w:rPr>
          <w:sz w:val="26"/>
          <w:szCs w:val="26"/>
        </w:rPr>
        <w:t xml:space="preserve"> more than four years had passed</w:t>
      </w:r>
      <w:r w:rsidR="00C63EE7">
        <w:rPr>
          <w:sz w:val="26"/>
          <w:szCs w:val="26"/>
        </w:rPr>
        <w:t xml:space="preserve"> after it was initially transferred </w:t>
      </w:r>
      <w:r w:rsidR="00E6199A">
        <w:rPr>
          <w:sz w:val="26"/>
          <w:szCs w:val="26"/>
        </w:rPr>
        <w:t>to his account</w:t>
      </w:r>
      <w:r w:rsidR="00D23F61" w:rsidRPr="00D23F61">
        <w:rPr>
          <w:sz w:val="26"/>
          <w:szCs w:val="26"/>
        </w:rPr>
        <w:t>.</w:t>
      </w:r>
      <w:r w:rsidR="00FA7774">
        <w:rPr>
          <w:sz w:val="26"/>
          <w:szCs w:val="26"/>
        </w:rPr>
        <w:t xml:space="preserve">  I.D. at 7.</w:t>
      </w:r>
    </w:p>
    <w:p w14:paraId="27D94908" w14:textId="0BE03526" w:rsidR="00AA6469" w:rsidRDefault="00AA6469" w:rsidP="009F0FBD">
      <w:pPr>
        <w:spacing w:line="360" w:lineRule="auto"/>
        <w:ind w:firstLine="1440"/>
        <w:contextualSpacing/>
        <w:rPr>
          <w:sz w:val="26"/>
          <w:szCs w:val="26"/>
        </w:rPr>
      </w:pPr>
    </w:p>
    <w:p w14:paraId="3DE2A88C" w14:textId="57ED07E4" w:rsidR="006A69C2" w:rsidRDefault="006A69C2" w:rsidP="00D40033">
      <w:pPr>
        <w:spacing w:line="360" w:lineRule="auto"/>
        <w:ind w:firstLine="1440"/>
        <w:contextualSpacing/>
        <w:rPr>
          <w:sz w:val="26"/>
          <w:szCs w:val="26"/>
        </w:rPr>
      </w:pPr>
      <w:r w:rsidRPr="006A69C2">
        <w:rPr>
          <w:sz w:val="26"/>
          <w:szCs w:val="26"/>
        </w:rPr>
        <w:t xml:space="preserve">The ALJ </w:t>
      </w:r>
      <w:r w:rsidR="00B747AE">
        <w:rPr>
          <w:sz w:val="26"/>
          <w:szCs w:val="26"/>
        </w:rPr>
        <w:t>no</w:t>
      </w:r>
      <w:r w:rsidR="00033792">
        <w:rPr>
          <w:sz w:val="26"/>
          <w:szCs w:val="26"/>
        </w:rPr>
        <w:t>ted</w:t>
      </w:r>
      <w:r w:rsidRPr="006A69C2">
        <w:rPr>
          <w:sz w:val="26"/>
          <w:szCs w:val="26"/>
        </w:rPr>
        <w:t xml:space="preserve"> Mr. </w:t>
      </w:r>
      <w:r w:rsidR="00AD4E71">
        <w:rPr>
          <w:sz w:val="26"/>
          <w:szCs w:val="26"/>
        </w:rPr>
        <w:t xml:space="preserve">Vianello </w:t>
      </w:r>
      <w:r w:rsidRPr="006A69C2">
        <w:rPr>
          <w:sz w:val="26"/>
          <w:szCs w:val="26"/>
        </w:rPr>
        <w:t xml:space="preserve">testified that </w:t>
      </w:r>
      <w:r w:rsidR="002625E0">
        <w:rPr>
          <w:sz w:val="26"/>
          <w:szCs w:val="26"/>
        </w:rPr>
        <w:t>i</w:t>
      </w:r>
      <w:r w:rsidR="00753AA8">
        <w:rPr>
          <w:sz w:val="26"/>
          <w:szCs w:val="26"/>
        </w:rPr>
        <w:t>n 2011</w:t>
      </w:r>
      <w:r w:rsidR="002625E0">
        <w:rPr>
          <w:sz w:val="26"/>
          <w:szCs w:val="26"/>
        </w:rPr>
        <w:t xml:space="preserve"> he </w:t>
      </w:r>
      <w:r w:rsidR="000355A2">
        <w:rPr>
          <w:sz w:val="26"/>
          <w:szCs w:val="26"/>
        </w:rPr>
        <w:t xml:space="preserve">purchased </w:t>
      </w:r>
      <w:r w:rsidR="002625E0">
        <w:rPr>
          <w:sz w:val="26"/>
          <w:szCs w:val="26"/>
        </w:rPr>
        <w:t>Silver Valley Apartments</w:t>
      </w:r>
      <w:r w:rsidRPr="006A69C2">
        <w:rPr>
          <w:sz w:val="26"/>
          <w:szCs w:val="26"/>
        </w:rPr>
        <w:t>.</w:t>
      </w:r>
      <w:r w:rsidR="00F151D5">
        <w:rPr>
          <w:sz w:val="26"/>
          <w:szCs w:val="26"/>
        </w:rPr>
        <w:t xml:space="preserve">  The property consists of </w:t>
      </w:r>
      <w:r w:rsidR="00AE26ED">
        <w:rPr>
          <w:sz w:val="26"/>
          <w:szCs w:val="26"/>
        </w:rPr>
        <w:t>a house, a garage apartment</w:t>
      </w:r>
      <w:r w:rsidR="00F22FEC">
        <w:rPr>
          <w:sz w:val="26"/>
          <w:szCs w:val="26"/>
        </w:rPr>
        <w:t>, and four duplex apartments.</w:t>
      </w:r>
      <w:r w:rsidRPr="006A69C2">
        <w:rPr>
          <w:sz w:val="26"/>
          <w:szCs w:val="26"/>
        </w:rPr>
        <w:t xml:space="preserve">  </w:t>
      </w:r>
      <w:r w:rsidR="00E0406C">
        <w:rPr>
          <w:sz w:val="26"/>
          <w:szCs w:val="26"/>
        </w:rPr>
        <w:t>After pur</w:t>
      </w:r>
      <w:r w:rsidR="0085213C">
        <w:rPr>
          <w:sz w:val="26"/>
          <w:szCs w:val="26"/>
        </w:rPr>
        <w:t xml:space="preserve">chasing the property, the </w:t>
      </w:r>
      <w:r w:rsidR="00B1156F">
        <w:rPr>
          <w:sz w:val="26"/>
          <w:szCs w:val="26"/>
        </w:rPr>
        <w:t>Complainant</w:t>
      </w:r>
      <w:r w:rsidR="0085213C">
        <w:rPr>
          <w:sz w:val="26"/>
          <w:szCs w:val="26"/>
        </w:rPr>
        <w:t xml:space="preserve"> rented the house </w:t>
      </w:r>
      <w:r w:rsidR="00B1156F">
        <w:rPr>
          <w:sz w:val="26"/>
          <w:szCs w:val="26"/>
        </w:rPr>
        <w:t>with</w:t>
      </w:r>
      <w:r w:rsidR="00FF1B57">
        <w:rPr>
          <w:sz w:val="26"/>
          <w:szCs w:val="26"/>
        </w:rPr>
        <w:t xml:space="preserve"> the</w:t>
      </w:r>
      <w:r w:rsidR="00B1156F">
        <w:rPr>
          <w:sz w:val="26"/>
          <w:szCs w:val="26"/>
        </w:rPr>
        <w:t xml:space="preserve"> service address</w:t>
      </w:r>
      <w:r w:rsidR="00FF1B57">
        <w:rPr>
          <w:sz w:val="26"/>
          <w:szCs w:val="26"/>
        </w:rPr>
        <w:t xml:space="preserve"> of 254 Silver Valley Road, Saylor</w:t>
      </w:r>
      <w:r w:rsidR="0015001C">
        <w:rPr>
          <w:sz w:val="26"/>
          <w:szCs w:val="26"/>
        </w:rPr>
        <w:t>sburg, Pennsylvania</w:t>
      </w:r>
      <w:r w:rsidR="007F3759">
        <w:rPr>
          <w:sz w:val="26"/>
          <w:szCs w:val="26"/>
        </w:rPr>
        <w:t>, to two tenants.</w:t>
      </w:r>
      <w:r w:rsidR="00B1156F">
        <w:rPr>
          <w:sz w:val="26"/>
          <w:szCs w:val="26"/>
        </w:rPr>
        <w:t xml:space="preserve"> </w:t>
      </w:r>
      <w:r w:rsidR="000C2990">
        <w:rPr>
          <w:sz w:val="26"/>
          <w:szCs w:val="26"/>
        </w:rPr>
        <w:t xml:space="preserve">All of the units at the </w:t>
      </w:r>
      <w:r w:rsidR="009354A9">
        <w:rPr>
          <w:sz w:val="26"/>
          <w:szCs w:val="26"/>
        </w:rPr>
        <w:t>property</w:t>
      </w:r>
      <w:r w:rsidR="000C2990">
        <w:rPr>
          <w:sz w:val="26"/>
          <w:szCs w:val="26"/>
        </w:rPr>
        <w:t xml:space="preserve"> are served </w:t>
      </w:r>
      <w:r w:rsidR="004876ED">
        <w:rPr>
          <w:sz w:val="26"/>
          <w:szCs w:val="26"/>
        </w:rPr>
        <w:t xml:space="preserve">by a single </w:t>
      </w:r>
      <w:r w:rsidR="00600985">
        <w:rPr>
          <w:sz w:val="26"/>
          <w:szCs w:val="26"/>
        </w:rPr>
        <w:t>well as the water source</w:t>
      </w:r>
      <w:r w:rsidR="00467C82">
        <w:rPr>
          <w:sz w:val="26"/>
          <w:szCs w:val="26"/>
        </w:rPr>
        <w:t xml:space="preserve">.  This well </w:t>
      </w:r>
      <w:r w:rsidR="002C153E">
        <w:rPr>
          <w:sz w:val="26"/>
          <w:szCs w:val="26"/>
        </w:rPr>
        <w:t xml:space="preserve">was connected to the meter located at </w:t>
      </w:r>
      <w:r w:rsidR="000D1DBB">
        <w:rPr>
          <w:sz w:val="26"/>
          <w:szCs w:val="26"/>
        </w:rPr>
        <w:t xml:space="preserve">the rental house within the </w:t>
      </w:r>
      <w:r w:rsidR="00DB1E98">
        <w:rPr>
          <w:sz w:val="26"/>
          <w:szCs w:val="26"/>
        </w:rPr>
        <w:t>property</w:t>
      </w:r>
      <w:r w:rsidR="000D1DBB">
        <w:rPr>
          <w:sz w:val="26"/>
          <w:szCs w:val="26"/>
        </w:rPr>
        <w:t xml:space="preserve">.  </w:t>
      </w:r>
      <w:r w:rsidRPr="006A69C2">
        <w:rPr>
          <w:sz w:val="26"/>
          <w:szCs w:val="26"/>
        </w:rPr>
        <w:t xml:space="preserve">I.D. at </w:t>
      </w:r>
      <w:r w:rsidR="00F22FEC">
        <w:rPr>
          <w:sz w:val="26"/>
          <w:szCs w:val="26"/>
        </w:rPr>
        <w:t>3</w:t>
      </w:r>
      <w:r w:rsidRPr="006A69C2">
        <w:rPr>
          <w:sz w:val="26"/>
          <w:szCs w:val="26"/>
        </w:rPr>
        <w:t xml:space="preserve"> (citing Tr. at </w:t>
      </w:r>
      <w:r w:rsidR="00EF0DD1">
        <w:rPr>
          <w:sz w:val="26"/>
          <w:szCs w:val="26"/>
        </w:rPr>
        <w:t>10</w:t>
      </w:r>
      <w:r w:rsidR="00987C1A">
        <w:rPr>
          <w:sz w:val="26"/>
          <w:szCs w:val="26"/>
        </w:rPr>
        <w:t>-</w:t>
      </w:r>
      <w:r w:rsidR="000D1DBB">
        <w:rPr>
          <w:sz w:val="26"/>
          <w:szCs w:val="26"/>
        </w:rPr>
        <w:t>13</w:t>
      </w:r>
      <w:r w:rsidR="00EF0DD1">
        <w:rPr>
          <w:sz w:val="26"/>
          <w:szCs w:val="26"/>
        </w:rPr>
        <w:t>)</w:t>
      </w:r>
      <w:r>
        <w:rPr>
          <w:sz w:val="26"/>
          <w:szCs w:val="26"/>
        </w:rPr>
        <w:t>.</w:t>
      </w:r>
      <w:r w:rsidR="00D40033">
        <w:rPr>
          <w:sz w:val="26"/>
          <w:szCs w:val="26"/>
        </w:rPr>
        <w:t xml:space="preserve">  </w:t>
      </w:r>
      <w:r w:rsidR="00C011DE">
        <w:rPr>
          <w:sz w:val="26"/>
          <w:szCs w:val="26"/>
        </w:rPr>
        <w:t xml:space="preserve">The ALJ </w:t>
      </w:r>
      <w:r w:rsidR="00850436">
        <w:rPr>
          <w:sz w:val="26"/>
          <w:szCs w:val="26"/>
        </w:rPr>
        <w:t>found that o</w:t>
      </w:r>
      <w:r w:rsidR="00643FD2">
        <w:rPr>
          <w:sz w:val="26"/>
          <w:szCs w:val="26"/>
        </w:rPr>
        <w:t>n February 14, 2012</w:t>
      </w:r>
      <w:r w:rsidR="005837BF">
        <w:rPr>
          <w:sz w:val="26"/>
          <w:szCs w:val="26"/>
        </w:rPr>
        <w:t>,</w:t>
      </w:r>
      <w:r w:rsidR="00643FD2">
        <w:rPr>
          <w:sz w:val="26"/>
          <w:szCs w:val="26"/>
        </w:rPr>
        <w:t xml:space="preserve"> it was discovered that the meter at the rental house was associated with the well that provided water to all of the rental units in the complex.  </w:t>
      </w:r>
      <w:r w:rsidR="00B76762">
        <w:rPr>
          <w:sz w:val="26"/>
          <w:szCs w:val="26"/>
        </w:rPr>
        <w:t>The ALJ continued</w:t>
      </w:r>
      <w:r w:rsidR="00A531D8">
        <w:rPr>
          <w:sz w:val="26"/>
          <w:szCs w:val="26"/>
        </w:rPr>
        <w:t xml:space="preserve"> by finding </w:t>
      </w:r>
      <w:r w:rsidR="00E14D5E">
        <w:rPr>
          <w:sz w:val="26"/>
          <w:szCs w:val="26"/>
        </w:rPr>
        <w:t>that o</w:t>
      </w:r>
      <w:r w:rsidR="00FC19BF">
        <w:rPr>
          <w:sz w:val="26"/>
          <w:szCs w:val="26"/>
        </w:rPr>
        <w:t>n February 17, 2012</w:t>
      </w:r>
      <w:r w:rsidR="005837BF">
        <w:rPr>
          <w:sz w:val="26"/>
          <w:szCs w:val="26"/>
        </w:rPr>
        <w:t xml:space="preserve">, </w:t>
      </w:r>
      <w:r w:rsidR="005E3F62">
        <w:rPr>
          <w:sz w:val="26"/>
          <w:szCs w:val="26"/>
        </w:rPr>
        <w:t xml:space="preserve">PPL </w:t>
      </w:r>
      <w:r w:rsidR="00D9503E">
        <w:rPr>
          <w:sz w:val="26"/>
          <w:szCs w:val="26"/>
        </w:rPr>
        <w:t xml:space="preserve">transferred the balance of the </w:t>
      </w:r>
      <w:r w:rsidR="009E2D11">
        <w:rPr>
          <w:sz w:val="26"/>
          <w:szCs w:val="26"/>
        </w:rPr>
        <w:t xml:space="preserve">rental house </w:t>
      </w:r>
      <w:r w:rsidR="006D67A3">
        <w:rPr>
          <w:sz w:val="26"/>
          <w:szCs w:val="26"/>
        </w:rPr>
        <w:t>tenant</w:t>
      </w:r>
      <w:r w:rsidR="005F484D">
        <w:rPr>
          <w:sz w:val="26"/>
          <w:szCs w:val="26"/>
        </w:rPr>
        <w:t xml:space="preserve">’s </w:t>
      </w:r>
      <w:r w:rsidR="00D9503E">
        <w:rPr>
          <w:sz w:val="26"/>
          <w:szCs w:val="26"/>
        </w:rPr>
        <w:t>account</w:t>
      </w:r>
      <w:r w:rsidR="00BE2187">
        <w:rPr>
          <w:sz w:val="26"/>
          <w:szCs w:val="26"/>
        </w:rPr>
        <w:t xml:space="preserve">, </w:t>
      </w:r>
      <w:r w:rsidR="009E2D11">
        <w:rPr>
          <w:sz w:val="26"/>
          <w:szCs w:val="26"/>
        </w:rPr>
        <w:t xml:space="preserve">in the amount of </w:t>
      </w:r>
      <w:r w:rsidR="00BE2187">
        <w:rPr>
          <w:sz w:val="26"/>
          <w:szCs w:val="26"/>
        </w:rPr>
        <w:t>$1,1</w:t>
      </w:r>
      <w:r w:rsidR="008C0CA0">
        <w:rPr>
          <w:sz w:val="26"/>
          <w:szCs w:val="26"/>
        </w:rPr>
        <w:t>92.83,</w:t>
      </w:r>
      <w:r w:rsidR="005F484D">
        <w:rPr>
          <w:sz w:val="26"/>
          <w:szCs w:val="26"/>
        </w:rPr>
        <w:t xml:space="preserve"> </w:t>
      </w:r>
      <w:r w:rsidR="004953D6">
        <w:rPr>
          <w:sz w:val="26"/>
          <w:szCs w:val="26"/>
        </w:rPr>
        <w:t>to the Complainant</w:t>
      </w:r>
      <w:r w:rsidR="008C0CA0">
        <w:rPr>
          <w:sz w:val="26"/>
          <w:szCs w:val="26"/>
        </w:rPr>
        <w:t>’s Silver Valley Apartments account</w:t>
      </w:r>
      <w:r w:rsidR="008C179D">
        <w:rPr>
          <w:sz w:val="26"/>
          <w:szCs w:val="26"/>
        </w:rPr>
        <w:t xml:space="preserve">.  </w:t>
      </w:r>
      <w:r w:rsidR="00662597">
        <w:rPr>
          <w:sz w:val="26"/>
          <w:szCs w:val="26"/>
        </w:rPr>
        <w:t xml:space="preserve">After the </w:t>
      </w:r>
      <w:r w:rsidR="004B5C11">
        <w:rPr>
          <w:sz w:val="26"/>
          <w:szCs w:val="26"/>
        </w:rPr>
        <w:t>$1,192.83</w:t>
      </w:r>
      <w:r w:rsidR="00B31B0D">
        <w:rPr>
          <w:sz w:val="26"/>
          <w:szCs w:val="26"/>
        </w:rPr>
        <w:t xml:space="preserve"> account balance was transferred to </w:t>
      </w:r>
      <w:r w:rsidR="008F3E68">
        <w:rPr>
          <w:sz w:val="26"/>
          <w:szCs w:val="26"/>
        </w:rPr>
        <w:t xml:space="preserve">the </w:t>
      </w:r>
      <w:r w:rsidR="00B31B0D">
        <w:rPr>
          <w:sz w:val="26"/>
          <w:szCs w:val="26"/>
        </w:rPr>
        <w:t>Silver Valley Apartments account</w:t>
      </w:r>
      <w:r w:rsidR="00AD691C">
        <w:rPr>
          <w:sz w:val="26"/>
          <w:szCs w:val="26"/>
        </w:rPr>
        <w:t xml:space="preserve">, the ALJ found </w:t>
      </w:r>
      <w:r w:rsidR="00F668C5">
        <w:rPr>
          <w:sz w:val="26"/>
          <w:szCs w:val="26"/>
        </w:rPr>
        <w:t xml:space="preserve">that </w:t>
      </w:r>
      <w:r w:rsidR="00DD323F">
        <w:rPr>
          <w:sz w:val="26"/>
          <w:szCs w:val="26"/>
        </w:rPr>
        <w:t xml:space="preserve">other charges </w:t>
      </w:r>
      <w:r w:rsidR="00662597">
        <w:rPr>
          <w:sz w:val="26"/>
          <w:szCs w:val="26"/>
        </w:rPr>
        <w:t xml:space="preserve">accumulated </w:t>
      </w:r>
      <w:r w:rsidR="009D54D9">
        <w:rPr>
          <w:sz w:val="26"/>
          <w:szCs w:val="26"/>
        </w:rPr>
        <w:t xml:space="preserve">on </w:t>
      </w:r>
      <w:r w:rsidR="00363FAC">
        <w:rPr>
          <w:sz w:val="26"/>
          <w:szCs w:val="26"/>
        </w:rPr>
        <w:t>the</w:t>
      </w:r>
      <w:r w:rsidR="009D54D9">
        <w:rPr>
          <w:sz w:val="26"/>
          <w:szCs w:val="26"/>
        </w:rPr>
        <w:t xml:space="preserve"> account </w:t>
      </w:r>
      <w:r w:rsidR="00052C70">
        <w:rPr>
          <w:sz w:val="26"/>
          <w:szCs w:val="26"/>
        </w:rPr>
        <w:t>increasing the balance to</w:t>
      </w:r>
      <w:r w:rsidR="00FC1705">
        <w:rPr>
          <w:sz w:val="26"/>
          <w:szCs w:val="26"/>
        </w:rPr>
        <w:t xml:space="preserve"> $1,577.59.</w:t>
      </w:r>
      <w:r w:rsidR="00623DBF">
        <w:rPr>
          <w:sz w:val="26"/>
          <w:szCs w:val="26"/>
        </w:rPr>
        <w:t xml:space="preserve">  </w:t>
      </w:r>
      <w:r w:rsidR="000B39D7">
        <w:rPr>
          <w:sz w:val="26"/>
          <w:szCs w:val="26"/>
        </w:rPr>
        <w:t xml:space="preserve">After </w:t>
      </w:r>
      <w:r w:rsidR="000E3D6E">
        <w:rPr>
          <w:sz w:val="26"/>
          <w:szCs w:val="26"/>
        </w:rPr>
        <w:lastRenderedPageBreak/>
        <w:t>this</w:t>
      </w:r>
      <w:r w:rsidR="00EC7073">
        <w:rPr>
          <w:sz w:val="26"/>
          <w:szCs w:val="26"/>
        </w:rPr>
        <w:t xml:space="preserve"> transfer, t</w:t>
      </w:r>
      <w:r w:rsidR="00623DBF">
        <w:rPr>
          <w:sz w:val="26"/>
          <w:szCs w:val="26"/>
        </w:rPr>
        <w:t xml:space="preserve">he ALJ noted </w:t>
      </w:r>
      <w:r w:rsidR="00163CAA">
        <w:rPr>
          <w:sz w:val="26"/>
          <w:szCs w:val="26"/>
        </w:rPr>
        <w:t xml:space="preserve">the Silver Valley Apartments account </w:t>
      </w:r>
      <w:r w:rsidR="001C0C9B">
        <w:rPr>
          <w:sz w:val="26"/>
          <w:szCs w:val="26"/>
        </w:rPr>
        <w:t>was finalized and c</w:t>
      </w:r>
      <w:r w:rsidR="000605A3">
        <w:rPr>
          <w:sz w:val="26"/>
          <w:szCs w:val="26"/>
        </w:rPr>
        <w:t xml:space="preserve">losed </w:t>
      </w:r>
      <w:r w:rsidR="002F43FE">
        <w:rPr>
          <w:sz w:val="26"/>
          <w:szCs w:val="26"/>
        </w:rPr>
        <w:t>t</w:t>
      </w:r>
      <w:r w:rsidR="00DD129A">
        <w:rPr>
          <w:sz w:val="26"/>
          <w:szCs w:val="26"/>
        </w:rPr>
        <w:t>w</w:t>
      </w:r>
      <w:r w:rsidR="00FF032E">
        <w:rPr>
          <w:sz w:val="26"/>
          <w:szCs w:val="26"/>
        </w:rPr>
        <w:t xml:space="preserve">ice more.  </w:t>
      </w:r>
      <w:r w:rsidR="002559ED">
        <w:rPr>
          <w:sz w:val="26"/>
          <w:szCs w:val="26"/>
        </w:rPr>
        <w:t xml:space="preserve">Each time the </w:t>
      </w:r>
      <w:r w:rsidR="00E908A2">
        <w:rPr>
          <w:sz w:val="26"/>
          <w:szCs w:val="26"/>
        </w:rPr>
        <w:t xml:space="preserve">previous account was closed, a </w:t>
      </w:r>
      <w:r w:rsidR="002559ED">
        <w:rPr>
          <w:sz w:val="26"/>
          <w:szCs w:val="26"/>
        </w:rPr>
        <w:t xml:space="preserve">new account </w:t>
      </w:r>
      <w:r w:rsidR="0036588A">
        <w:rPr>
          <w:sz w:val="26"/>
          <w:szCs w:val="26"/>
        </w:rPr>
        <w:t xml:space="preserve">in the </w:t>
      </w:r>
      <w:r w:rsidR="007C46EC">
        <w:rPr>
          <w:sz w:val="26"/>
          <w:szCs w:val="26"/>
        </w:rPr>
        <w:t xml:space="preserve">name of Silver Valley Apartments </w:t>
      </w:r>
      <w:r w:rsidR="00E908A2">
        <w:rPr>
          <w:sz w:val="26"/>
          <w:szCs w:val="26"/>
        </w:rPr>
        <w:t>was ope</w:t>
      </w:r>
      <w:r w:rsidR="009B236F">
        <w:rPr>
          <w:sz w:val="26"/>
          <w:szCs w:val="26"/>
        </w:rPr>
        <w:t>ned</w:t>
      </w:r>
      <w:r w:rsidR="00601E83">
        <w:rPr>
          <w:sz w:val="26"/>
          <w:szCs w:val="26"/>
        </w:rPr>
        <w:t xml:space="preserve">.  </w:t>
      </w:r>
      <w:r w:rsidR="009B236F">
        <w:rPr>
          <w:sz w:val="26"/>
          <w:szCs w:val="26"/>
        </w:rPr>
        <w:t>T</w:t>
      </w:r>
      <w:r w:rsidR="00E903A6">
        <w:rPr>
          <w:sz w:val="26"/>
          <w:szCs w:val="26"/>
        </w:rPr>
        <w:t xml:space="preserve">he </w:t>
      </w:r>
      <w:r w:rsidR="007C3633">
        <w:rPr>
          <w:sz w:val="26"/>
          <w:szCs w:val="26"/>
        </w:rPr>
        <w:t xml:space="preserve">outstanding balance of $1,577.59 was transferred </w:t>
      </w:r>
      <w:r w:rsidR="00171F74">
        <w:rPr>
          <w:sz w:val="26"/>
          <w:szCs w:val="26"/>
        </w:rPr>
        <w:t xml:space="preserve">to the new accounts </w:t>
      </w:r>
      <w:r w:rsidR="00D56830">
        <w:rPr>
          <w:sz w:val="26"/>
          <w:szCs w:val="26"/>
        </w:rPr>
        <w:t xml:space="preserve">in addition to </w:t>
      </w:r>
      <w:r w:rsidR="00496CE1">
        <w:rPr>
          <w:sz w:val="26"/>
          <w:szCs w:val="26"/>
        </w:rPr>
        <w:t>new charges</w:t>
      </w:r>
      <w:r w:rsidR="006D0913">
        <w:rPr>
          <w:sz w:val="26"/>
          <w:szCs w:val="26"/>
        </w:rPr>
        <w:t xml:space="preserve">.  The ALJ noted </w:t>
      </w:r>
      <w:r w:rsidR="008F3E68">
        <w:rPr>
          <w:sz w:val="26"/>
          <w:szCs w:val="26"/>
        </w:rPr>
        <w:t xml:space="preserve">that </w:t>
      </w:r>
      <w:r w:rsidR="008B2346">
        <w:rPr>
          <w:sz w:val="26"/>
          <w:szCs w:val="26"/>
        </w:rPr>
        <w:t>at the time the most recent account was closed and finalized</w:t>
      </w:r>
      <w:r w:rsidR="00E126C1">
        <w:rPr>
          <w:sz w:val="26"/>
          <w:szCs w:val="26"/>
        </w:rPr>
        <w:t>, it had an outstanding balance of $1,624.10</w:t>
      </w:r>
      <w:r w:rsidR="00AA1E66">
        <w:rPr>
          <w:sz w:val="26"/>
          <w:szCs w:val="26"/>
        </w:rPr>
        <w:t xml:space="preserve">.  </w:t>
      </w:r>
      <w:r w:rsidR="00351C99" w:rsidRPr="006A69C2">
        <w:rPr>
          <w:sz w:val="26"/>
          <w:szCs w:val="26"/>
        </w:rPr>
        <w:t xml:space="preserve">I.D. at </w:t>
      </w:r>
      <w:r w:rsidR="00351C99">
        <w:rPr>
          <w:sz w:val="26"/>
          <w:szCs w:val="26"/>
        </w:rPr>
        <w:t>3</w:t>
      </w:r>
      <w:r w:rsidR="00C93B3D">
        <w:rPr>
          <w:sz w:val="26"/>
          <w:szCs w:val="26"/>
        </w:rPr>
        <w:t>-4</w:t>
      </w:r>
      <w:r w:rsidR="00351C99" w:rsidRPr="006A69C2">
        <w:rPr>
          <w:sz w:val="26"/>
          <w:szCs w:val="26"/>
        </w:rPr>
        <w:t xml:space="preserve"> (citing Tr. at </w:t>
      </w:r>
      <w:r w:rsidR="007B6A4F">
        <w:rPr>
          <w:sz w:val="26"/>
          <w:szCs w:val="26"/>
        </w:rPr>
        <w:t>32-</w:t>
      </w:r>
      <w:r w:rsidR="00D15F1D">
        <w:rPr>
          <w:sz w:val="26"/>
          <w:szCs w:val="26"/>
        </w:rPr>
        <w:t>41</w:t>
      </w:r>
      <w:r w:rsidR="00351C99">
        <w:rPr>
          <w:sz w:val="26"/>
          <w:szCs w:val="26"/>
        </w:rPr>
        <w:t>).</w:t>
      </w:r>
    </w:p>
    <w:p w14:paraId="596FBE68" w14:textId="2EE882A9" w:rsidR="00705DC3" w:rsidRDefault="00705DC3" w:rsidP="009F0FBD">
      <w:pPr>
        <w:spacing w:line="360" w:lineRule="auto"/>
        <w:ind w:firstLine="1440"/>
        <w:contextualSpacing/>
        <w:rPr>
          <w:sz w:val="26"/>
          <w:szCs w:val="26"/>
        </w:rPr>
      </w:pPr>
    </w:p>
    <w:p w14:paraId="28E94FEF" w14:textId="4346E551" w:rsidR="00705DC3" w:rsidRDefault="00705DC3" w:rsidP="009F0FBD">
      <w:pPr>
        <w:spacing w:line="360" w:lineRule="auto"/>
        <w:ind w:firstLine="1440"/>
        <w:contextualSpacing/>
        <w:rPr>
          <w:sz w:val="26"/>
          <w:szCs w:val="26"/>
        </w:rPr>
      </w:pPr>
      <w:r>
        <w:rPr>
          <w:sz w:val="26"/>
          <w:szCs w:val="26"/>
        </w:rPr>
        <w:t>T</w:t>
      </w:r>
      <w:r w:rsidR="0031263E">
        <w:rPr>
          <w:sz w:val="26"/>
          <w:szCs w:val="26"/>
        </w:rPr>
        <w:t xml:space="preserve">he ALJ </w:t>
      </w:r>
      <w:r w:rsidR="00056FB9">
        <w:rPr>
          <w:sz w:val="26"/>
          <w:szCs w:val="26"/>
        </w:rPr>
        <w:t>stated</w:t>
      </w:r>
      <w:r w:rsidR="00ED4667">
        <w:rPr>
          <w:sz w:val="26"/>
          <w:szCs w:val="26"/>
        </w:rPr>
        <w:t xml:space="preserve"> </w:t>
      </w:r>
      <w:r w:rsidR="006232F9">
        <w:rPr>
          <w:sz w:val="26"/>
          <w:szCs w:val="26"/>
        </w:rPr>
        <w:t>the issue in this matter is the transfer of the tenant</w:t>
      </w:r>
      <w:r w:rsidR="000C6C50">
        <w:rPr>
          <w:sz w:val="26"/>
          <w:szCs w:val="26"/>
        </w:rPr>
        <w:t xml:space="preserve">s’ outstanding balance to the account of the Complainant </w:t>
      </w:r>
      <w:r w:rsidR="00E14D5E">
        <w:rPr>
          <w:sz w:val="26"/>
          <w:szCs w:val="26"/>
        </w:rPr>
        <w:t>on February 17, 2012</w:t>
      </w:r>
      <w:r w:rsidR="00583108">
        <w:rPr>
          <w:sz w:val="26"/>
          <w:szCs w:val="26"/>
        </w:rPr>
        <w:t xml:space="preserve">, after it was discovered </w:t>
      </w:r>
      <w:r w:rsidR="003319DF">
        <w:rPr>
          <w:sz w:val="26"/>
          <w:szCs w:val="26"/>
        </w:rPr>
        <w:t xml:space="preserve">that a well </w:t>
      </w:r>
      <w:r w:rsidR="000972E8">
        <w:rPr>
          <w:sz w:val="26"/>
          <w:szCs w:val="26"/>
        </w:rPr>
        <w:t xml:space="preserve">providing service to all of the tenants </w:t>
      </w:r>
      <w:r w:rsidR="008C0A94">
        <w:rPr>
          <w:sz w:val="26"/>
          <w:szCs w:val="26"/>
        </w:rPr>
        <w:t>at Silver Valley Apartments was associated with the meter of</w:t>
      </w:r>
      <w:r w:rsidR="00BB3785">
        <w:rPr>
          <w:sz w:val="26"/>
          <w:szCs w:val="26"/>
        </w:rPr>
        <w:t xml:space="preserve"> the tenants residing in the rental house.</w:t>
      </w:r>
      <w:r w:rsidR="00D477F3">
        <w:rPr>
          <w:sz w:val="26"/>
          <w:szCs w:val="26"/>
        </w:rPr>
        <w:t xml:space="preserve">  </w:t>
      </w:r>
      <w:r w:rsidR="00AF3E09">
        <w:rPr>
          <w:sz w:val="26"/>
          <w:szCs w:val="26"/>
        </w:rPr>
        <w:t xml:space="preserve">The ALJ </w:t>
      </w:r>
      <w:r w:rsidR="00FC7883">
        <w:rPr>
          <w:sz w:val="26"/>
          <w:szCs w:val="26"/>
        </w:rPr>
        <w:t xml:space="preserve">explained </w:t>
      </w:r>
      <w:r w:rsidR="002515F2">
        <w:rPr>
          <w:sz w:val="26"/>
          <w:szCs w:val="26"/>
        </w:rPr>
        <w:t xml:space="preserve">that </w:t>
      </w:r>
      <w:r w:rsidR="00A90807">
        <w:rPr>
          <w:sz w:val="26"/>
          <w:szCs w:val="26"/>
        </w:rPr>
        <w:t>the well</w:t>
      </w:r>
      <w:r w:rsidR="003C5835">
        <w:rPr>
          <w:sz w:val="26"/>
          <w:szCs w:val="26"/>
        </w:rPr>
        <w:t xml:space="preserve">, </w:t>
      </w:r>
      <w:r w:rsidR="008510E5">
        <w:rPr>
          <w:sz w:val="26"/>
          <w:szCs w:val="26"/>
        </w:rPr>
        <w:t>associated with the meter for the rental house</w:t>
      </w:r>
      <w:r w:rsidR="00D515D4">
        <w:rPr>
          <w:sz w:val="26"/>
          <w:szCs w:val="26"/>
        </w:rPr>
        <w:t xml:space="preserve"> and</w:t>
      </w:r>
      <w:r w:rsidR="00A90807">
        <w:rPr>
          <w:sz w:val="26"/>
          <w:szCs w:val="26"/>
        </w:rPr>
        <w:t xml:space="preserve"> providing </w:t>
      </w:r>
      <w:r w:rsidR="00317180">
        <w:rPr>
          <w:sz w:val="26"/>
          <w:szCs w:val="26"/>
        </w:rPr>
        <w:t xml:space="preserve">service to all of the </w:t>
      </w:r>
      <w:r w:rsidR="007B6A4F">
        <w:rPr>
          <w:sz w:val="26"/>
          <w:szCs w:val="26"/>
        </w:rPr>
        <w:t xml:space="preserve">tenants </w:t>
      </w:r>
      <w:r w:rsidR="00F03F75">
        <w:rPr>
          <w:sz w:val="26"/>
          <w:szCs w:val="26"/>
        </w:rPr>
        <w:t>at Silver Valley Ap</w:t>
      </w:r>
      <w:r w:rsidR="007E0A30">
        <w:rPr>
          <w:sz w:val="26"/>
          <w:szCs w:val="26"/>
        </w:rPr>
        <w:t>artments</w:t>
      </w:r>
      <w:r w:rsidR="0055234F">
        <w:rPr>
          <w:sz w:val="26"/>
          <w:szCs w:val="26"/>
        </w:rPr>
        <w:t>,</w:t>
      </w:r>
      <w:r w:rsidR="00A0644A">
        <w:rPr>
          <w:sz w:val="26"/>
          <w:szCs w:val="26"/>
        </w:rPr>
        <w:t xml:space="preserve"> is referred to as </w:t>
      </w:r>
      <w:r w:rsidR="00B202A7">
        <w:rPr>
          <w:sz w:val="26"/>
          <w:szCs w:val="26"/>
        </w:rPr>
        <w:t xml:space="preserve">“foreign </w:t>
      </w:r>
      <w:r w:rsidR="00351C99">
        <w:rPr>
          <w:sz w:val="26"/>
          <w:szCs w:val="26"/>
        </w:rPr>
        <w:t xml:space="preserve">wiring” or “foreign load”.  </w:t>
      </w:r>
      <w:r w:rsidR="00CF585F" w:rsidRPr="006A69C2">
        <w:rPr>
          <w:sz w:val="26"/>
          <w:szCs w:val="26"/>
        </w:rPr>
        <w:t xml:space="preserve">I.D. at </w:t>
      </w:r>
      <w:r w:rsidR="000F6402">
        <w:rPr>
          <w:sz w:val="26"/>
          <w:szCs w:val="26"/>
        </w:rPr>
        <w:t>5.</w:t>
      </w:r>
    </w:p>
    <w:p w14:paraId="2519F5CB" w14:textId="77777777" w:rsidR="006D4102" w:rsidRDefault="006D4102" w:rsidP="009F0FBD">
      <w:pPr>
        <w:spacing w:line="360" w:lineRule="auto"/>
        <w:ind w:firstLine="1440"/>
        <w:contextualSpacing/>
        <w:rPr>
          <w:sz w:val="26"/>
          <w:szCs w:val="26"/>
        </w:rPr>
      </w:pPr>
    </w:p>
    <w:p w14:paraId="48C28F0A" w14:textId="6B842F70" w:rsidR="00C74776" w:rsidRDefault="002D7AD0" w:rsidP="00C74776">
      <w:pPr>
        <w:spacing w:line="360" w:lineRule="auto"/>
        <w:ind w:firstLine="1440"/>
        <w:contextualSpacing/>
        <w:rPr>
          <w:sz w:val="26"/>
          <w:szCs w:val="26"/>
        </w:rPr>
      </w:pPr>
      <w:r>
        <w:rPr>
          <w:sz w:val="26"/>
          <w:szCs w:val="26"/>
        </w:rPr>
        <w:t>The ALJ stated f</w:t>
      </w:r>
      <w:r w:rsidR="0016750A" w:rsidRPr="0016750A">
        <w:rPr>
          <w:sz w:val="26"/>
          <w:szCs w:val="26"/>
        </w:rPr>
        <w:t>oreign load is, by law, defined as a condition where the utility meter for a dwelling unit is registering usage not exclusive to the dwelling unit or its occupants.</w:t>
      </w:r>
      <w:r w:rsidR="004B3C0A">
        <w:rPr>
          <w:sz w:val="26"/>
          <w:szCs w:val="26"/>
        </w:rPr>
        <w:t xml:space="preserve">  </w:t>
      </w:r>
      <w:r w:rsidR="0016750A" w:rsidRPr="004B3C0A">
        <w:rPr>
          <w:i/>
          <w:iCs/>
          <w:sz w:val="26"/>
          <w:szCs w:val="26"/>
        </w:rPr>
        <w:t>1-A Realty v. Pa. Pub. Util. Comm’n</w:t>
      </w:r>
      <w:r w:rsidR="0016750A" w:rsidRPr="0016750A">
        <w:rPr>
          <w:sz w:val="26"/>
          <w:szCs w:val="26"/>
        </w:rPr>
        <w:t>, 63 A.3d 480 (Pa. Cmwlth. 2013), appeal denied, 74 A.3d 1033 (</w:t>
      </w:r>
      <w:r w:rsidR="00667ED3">
        <w:rPr>
          <w:sz w:val="26"/>
          <w:szCs w:val="26"/>
        </w:rPr>
        <w:t xml:space="preserve">Pa. </w:t>
      </w:r>
      <w:r w:rsidR="0016750A" w:rsidRPr="0016750A">
        <w:rPr>
          <w:sz w:val="26"/>
          <w:szCs w:val="26"/>
        </w:rPr>
        <w:t>2013).</w:t>
      </w:r>
      <w:r>
        <w:rPr>
          <w:sz w:val="26"/>
          <w:szCs w:val="26"/>
        </w:rPr>
        <w:t xml:space="preserve">  </w:t>
      </w:r>
      <w:r w:rsidR="00625FD8">
        <w:rPr>
          <w:sz w:val="26"/>
          <w:szCs w:val="26"/>
        </w:rPr>
        <w:t xml:space="preserve">The ALJ </w:t>
      </w:r>
      <w:r w:rsidR="00777AD1">
        <w:rPr>
          <w:sz w:val="26"/>
          <w:szCs w:val="26"/>
        </w:rPr>
        <w:t xml:space="preserve">explained </w:t>
      </w:r>
      <w:r w:rsidR="00421F93">
        <w:rPr>
          <w:sz w:val="26"/>
          <w:szCs w:val="26"/>
        </w:rPr>
        <w:t xml:space="preserve">that </w:t>
      </w:r>
      <w:r w:rsidR="00811665">
        <w:rPr>
          <w:sz w:val="26"/>
          <w:szCs w:val="26"/>
        </w:rPr>
        <w:t>PPL</w:t>
      </w:r>
      <w:r w:rsidR="0016750A" w:rsidRPr="0016750A">
        <w:rPr>
          <w:sz w:val="26"/>
          <w:szCs w:val="26"/>
        </w:rPr>
        <w:t xml:space="preserve"> was </w:t>
      </w:r>
      <w:r w:rsidR="000000F9">
        <w:rPr>
          <w:sz w:val="26"/>
          <w:szCs w:val="26"/>
        </w:rPr>
        <w:t>required</w:t>
      </w:r>
      <w:r w:rsidR="000000F9" w:rsidRPr="0016750A">
        <w:rPr>
          <w:sz w:val="26"/>
          <w:szCs w:val="26"/>
        </w:rPr>
        <w:t xml:space="preserve"> </w:t>
      </w:r>
      <w:r w:rsidR="0016750A" w:rsidRPr="0016750A">
        <w:rPr>
          <w:sz w:val="26"/>
          <w:szCs w:val="26"/>
        </w:rPr>
        <w:t>to follow the provisions of Section 1529.1 of the Code, 66 Pa. C.S. § 1529.1, and its tariff regulations.</w:t>
      </w:r>
      <w:r w:rsidR="002F1DAD">
        <w:rPr>
          <w:sz w:val="26"/>
          <w:szCs w:val="26"/>
        </w:rPr>
        <w:t xml:space="preserve">  </w:t>
      </w:r>
      <w:r w:rsidR="00F33641">
        <w:rPr>
          <w:sz w:val="26"/>
          <w:szCs w:val="26"/>
        </w:rPr>
        <w:t>T</w:t>
      </w:r>
      <w:r w:rsidR="009F4625">
        <w:rPr>
          <w:sz w:val="26"/>
          <w:szCs w:val="26"/>
        </w:rPr>
        <w:t>he ALJ</w:t>
      </w:r>
      <w:r w:rsidR="00C6669B">
        <w:rPr>
          <w:sz w:val="26"/>
          <w:szCs w:val="26"/>
        </w:rPr>
        <w:t xml:space="preserve"> </w:t>
      </w:r>
      <w:r w:rsidR="009916A9">
        <w:rPr>
          <w:sz w:val="26"/>
          <w:szCs w:val="26"/>
        </w:rPr>
        <w:t xml:space="preserve">also </w:t>
      </w:r>
      <w:r w:rsidR="009448AF">
        <w:rPr>
          <w:sz w:val="26"/>
          <w:szCs w:val="26"/>
        </w:rPr>
        <w:t xml:space="preserve">explained </w:t>
      </w:r>
      <w:r w:rsidR="00604AD1">
        <w:rPr>
          <w:sz w:val="26"/>
          <w:szCs w:val="26"/>
        </w:rPr>
        <w:t xml:space="preserve">that </w:t>
      </w:r>
      <w:r w:rsidR="00604AD1" w:rsidRPr="00604AD1">
        <w:rPr>
          <w:sz w:val="26"/>
          <w:szCs w:val="26"/>
        </w:rPr>
        <w:t xml:space="preserve">Section 1529.1 of the Code </w:t>
      </w:r>
      <w:r w:rsidR="00C574EC">
        <w:rPr>
          <w:sz w:val="26"/>
          <w:szCs w:val="26"/>
        </w:rPr>
        <w:t>requires</w:t>
      </w:r>
      <w:r w:rsidR="008877BC">
        <w:rPr>
          <w:sz w:val="26"/>
          <w:szCs w:val="26"/>
        </w:rPr>
        <w:t xml:space="preserve">, </w:t>
      </w:r>
      <w:r w:rsidR="00F33641">
        <w:rPr>
          <w:sz w:val="26"/>
          <w:szCs w:val="26"/>
        </w:rPr>
        <w:t xml:space="preserve">once the </w:t>
      </w:r>
      <w:r w:rsidR="00F23967">
        <w:rPr>
          <w:sz w:val="26"/>
          <w:szCs w:val="26"/>
        </w:rPr>
        <w:t xml:space="preserve">high bill/foreign wiring </w:t>
      </w:r>
      <w:r w:rsidR="00F33641">
        <w:rPr>
          <w:sz w:val="26"/>
          <w:szCs w:val="26"/>
        </w:rPr>
        <w:t>condition is brough</w:t>
      </w:r>
      <w:r w:rsidR="009916A9">
        <w:rPr>
          <w:sz w:val="26"/>
          <w:szCs w:val="26"/>
        </w:rPr>
        <w:t>t</w:t>
      </w:r>
      <w:r w:rsidR="00F33641">
        <w:rPr>
          <w:sz w:val="26"/>
          <w:szCs w:val="26"/>
        </w:rPr>
        <w:t xml:space="preserve"> to the attention of the utility, the utility has an affirmative duty to investigate and, upon </w:t>
      </w:r>
      <w:r w:rsidR="008877BC">
        <w:rPr>
          <w:sz w:val="26"/>
          <w:szCs w:val="26"/>
        </w:rPr>
        <w:t>confirm</w:t>
      </w:r>
      <w:r w:rsidR="003956C0">
        <w:rPr>
          <w:sz w:val="26"/>
          <w:szCs w:val="26"/>
        </w:rPr>
        <w:t xml:space="preserve">ation of the existence of </w:t>
      </w:r>
      <w:r w:rsidR="001119CA">
        <w:rPr>
          <w:sz w:val="26"/>
          <w:szCs w:val="26"/>
        </w:rPr>
        <w:t xml:space="preserve">a </w:t>
      </w:r>
      <w:r w:rsidR="003956C0">
        <w:rPr>
          <w:sz w:val="26"/>
          <w:szCs w:val="26"/>
        </w:rPr>
        <w:t xml:space="preserve">foreign load </w:t>
      </w:r>
      <w:r w:rsidR="001119CA">
        <w:rPr>
          <w:sz w:val="26"/>
          <w:szCs w:val="26"/>
        </w:rPr>
        <w:t xml:space="preserve">condition, </w:t>
      </w:r>
      <w:r w:rsidR="00F33641">
        <w:rPr>
          <w:sz w:val="26"/>
          <w:szCs w:val="26"/>
        </w:rPr>
        <w:t>to place the ac</w:t>
      </w:r>
      <w:r w:rsidR="00F23967">
        <w:rPr>
          <w:sz w:val="26"/>
          <w:szCs w:val="26"/>
        </w:rPr>
        <w:t>c</w:t>
      </w:r>
      <w:r w:rsidR="00F33641">
        <w:rPr>
          <w:sz w:val="26"/>
          <w:szCs w:val="26"/>
        </w:rPr>
        <w:t>ount</w:t>
      </w:r>
      <w:r w:rsidR="001119CA">
        <w:rPr>
          <w:sz w:val="26"/>
          <w:szCs w:val="26"/>
        </w:rPr>
        <w:t xml:space="preserve"> in the name of the pro</w:t>
      </w:r>
      <w:r w:rsidR="008024FA">
        <w:rPr>
          <w:sz w:val="26"/>
          <w:szCs w:val="26"/>
        </w:rPr>
        <w:t xml:space="preserve">perty owner.  </w:t>
      </w:r>
      <w:r w:rsidR="00A31DCB" w:rsidRPr="00A31DCB">
        <w:rPr>
          <w:sz w:val="26"/>
          <w:szCs w:val="26"/>
        </w:rPr>
        <w:t>I.D. at 5.</w:t>
      </w:r>
    </w:p>
    <w:p w14:paraId="59ABFA60" w14:textId="77777777" w:rsidR="005558D1" w:rsidRDefault="005558D1" w:rsidP="00C74776">
      <w:pPr>
        <w:spacing w:line="360" w:lineRule="auto"/>
        <w:ind w:firstLine="1440"/>
        <w:contextualSpacing/>
        <w:rPr>
          <w:sz w:val="26"/>
          <w:szCs w:val="26"/>
        </w:rPr>
      </w:pPr>
    </w:p>
    <w:p w14:paraId="1769E29F" w14:textId="25200D53" w:rsidR="00DC565D" w:rsidRDefault="00DC565D" w:rsidP="00C74776">
      <w:pPr>
        <w:spacing w:line="360" w:lineRule="auto"/>
        <w:ind w:firstLine="1440"/>
        <w:contextualSpacing/>
        <w:rPr>
          <w:sz w:val="26"/>
          <w:szCs w:val="26"/>
        </w:rPr>
      </w:pPr>
      <w:r>
        <w:rPr>
          <w:sz w:val="26"/>
          <w:szCs w:val="26"/>
        </w:rPr>
        <w:t xml:space="preserve">The ALJ </w:t>
      </w:r>
      <w:r w:rsidR="003E01A4">
        <w:rPr>
          <w:sz w:val="26"/>
          <w:szCs w:val="26"/>
        </w:rPr>
        <w:t xml:space="preserve">noted </w:t>
      </w:r>
      <w:r w:rsidR="002653CC" w:rsidRPr="002653CC">
        <w:rPr>
          <w:sz w:val="26"/>
          <w:szCs w:val="26"/>
        </w:rPr>
        <w:t>the Commission has determined that well-established precedent “holds the property owner financially responsible for a tenant’s entire</w:t>
      </w:r>
      <w:r w:rsidR="002D233B">
        <w:rPr>
          <w:sz w:val="26"/>
          <w:szCs w:val="26"/>
        </w:rPr>
        <w:t xml:space="preserve"> </w:t>
      </w:r>
      <w:r w:rsidR="002D233B" w:rsidRPr="002D233B">
        <w:rPr>
          <w:sz w:val="26"/>
          <w:szCs w:val="26"/>
        </w:rPr>
        <w:t>account, once foreign load is verified on the tenant’s service.”</w:t>
      </w:r>
      <w:r w:rsidR="00767E00">
        <w:rPr>
          <w:sz w:val="26"/>
          <w:szCs w:val="26"/>
        </w:rPr>
        <w:t xml:space="preserve">  </w:t>
      </w:r>
      <w:r w:rsidR="00767E00" w:rsidRPr="00767E00">
        <w:rPr>
          <w:sz w:val="26"/>
          <w:szCs w:val="26"/>
        </w:rPr>
        <w:t xml:space="preserve">I.D. at </w:t>
      </w:r>
      <w:r w:rsidR="00443B1F">
        <w:rPr>
          <w:sz w:val="26"/>
          <w:szCs w:val="26"/>
        </w:rPr>
        <w:t>6-</w:t>
      </w:r>
      <w:r w:rsidR="00767E00">
        <w:rPr>
          <w:sz w:val="26"/>
          <w:szCs w:val="26"/>
        </w:rPr>
        <w:t>7</w:t>
      </w:r>
      <w:r w:rsidR="00767E00" w:rsidRPr="00767E00">
        <w:rPr>
          <w:sz w:val="26"/>
          <w:szCs w:val="26"/>
        </w:rPr>
        <w:t xml:space="preserve"> (citing </w:t>
      </w:r>
      <w:r w:rsidR="00767E00" w:rsidRPr="00767E00">
        <w:rPr>
          <w:i/>
          <w:iCs/>
          <w:sz w:val="26"/>
          <w:szCs w:val="26"/>
        </w:rPr>
        <w:t>Ace Check Cashing</w:t>
      </w:r>
      <w:r w:rsidR="00767E00" w:rsidRPr="00767E00">
        <w:rPr>
          <w:sz w:val="26"/>
          <w:szCs w:val="26"/>
        </w:rPr>
        <w:t>).</w:t>
      </w:r>
      <w:r w:rsidR="006929F2">
        <w:rPr>
          <w:sz w:val="26"/>
          <w:szCs w:val="26"/>
        </w:rPr>
        <w:t xml:space="preserve">  </w:t>
      </w:r>
      <w:r w:rsidR="006929F2" w:rsidRPr="006929F2">
        <w:rPr>
          <w:sz w:val="26"/>
          <w:szCs w:val="26"/>
        </w:rPr>
        <w:t xml:space="preserve">Upon finding foreign load, the utility must list the account, including any </w:t>
      </w:r>
      <w:r w:rsidR="006929F2" w:rsidRPr="006929F2">
        <w:rPr>
          <w:sz w:val="26"/>
          <w:szCs w:val="26"/>
        </w:rPr>
        <w:lastRenderedPageBreak/>
        <w:t>arrearages, in the landlord’s name.</w:t>
      </w:r>
      <w:r w:rsidR="00E77FF0">
        <w:rPr>
          <w:sz w:val="26"/>
          <w:szCs w:val="26"/>
        </w:rPr>
        <w:t xml:space="preserve">  </w:t>
      </w:r>
      <w:r w:rsidR="006929F2" w:rsidRPr="006929F2">
        <w:rPr>
          <w:sz w:val="26"/>
          <w:szCs w:val="26"/>
        </w:rPr>
        <w:t>The landlord is responsible for paying the utility bills until the foreign load is corrected.</w:t>
      </w:r>
      <w:r w:rsidR="00E77FF0">
        <w:rPr>
          <w:sz w:val="26"/>
          <w:szCs w:val="26"/>
        </w:rPr>
        <w:t xml:space="preserve">  </w:t>
      </w:r>
      <w:r w:rsidR="006929F2" w:rsidRPr="006929F2">
        <w:rPr>
          <w:sz w:val="26"/>
          <w:szCs w:val="26"/>
        </w:rPr>
        <w:t>After the foreign load is corrected by the landlord and verified by the utility, the utility is to place the account back into the tenant’s name.</w:t>
      </w:r>
      <w:r w:rsidR="00E77FF0">
        <w:rPr>
          <w:sz w:val="26"/>
          <w:szCs w:val="26"/>
        </w:rPr>
        <w:t xml:space="preserve">  </w:t>
      </w:r>
      <w:r w:rsidR="006929F2" w:rsidRPr="006929F2">
        <w:rPr>
          <w:sz w:val="26"/>
          <w:szCs w:val="26"/>
        </w:rPr>
        <w:t xml:space="preserve">However, </w:t>
      </w:r>
      <w:r w:rsidR="006929F2" w:rsidRPr="000D200D">
        <w:rPr>
          <w:sz w:val="26"/>
          <w:szCs w:val="26"/>
        </w:rPr>
        <w:t>the landlord remains responsible for any arrearages on the tenant’s account.</w:t>
      </w:r>
      <w:r w:rsidR="00B956FD">
        <w:rPr>
          <w:sz w:val="26"/>
          <w:szCs w:val="26"/>
        </w:rPr>
        <w:t xml:space="preserve">  </w:t>
      </w:r>
      <w:r w:rsidR="001532CF" w:rsidRPr="001532CF">
        <w:rPr>
          <w:sz w:val="26"/>
          <w:szCs w:val="26"/>
        </w:rPr>
        <w:t>The ALJ explained that any dispute between the landlord and tenant regarding the financial responsibilities of the parties is a matter to be resolved</w:t>
      </w:r>
      <w:r w:rsidR="00024511">
        <w:rPr>
          <w:sz w:val="26"/>
          <w:szCs w:val="26"/>
        </w:rPr>
        <w:t xml:space="preserve"> through a magisterial district </w:t>
      </w:r>
      <w:r w:rsidR="00EA1BFA">
        <w:rPr>
          <w:sz w:val="26"/>
          <w:szCs w:val="26"/>
        </w:rPr>
        <w:t>court or</w:t>
      </w:r>
      <w:r w:rsidR="001532CF" w:rsidRPr="001532CF">
        <w:rPr>
          <w:sz w:val="26"/>
          <w:szCs w:val="26"/>
        </w:rPr>
        <w:t xml:space="preserve"> </w:t>
      </w:r>
      <w:r w:rsidR="00731D84">
        <w:rPr>
          <w:sz w:val="26"/>
          <w:szCs w:val="26"/>
        </w:rPr>
        <w:t>c</w:t>
      </w:r>
      <w:r w:rsidR="001532CF" w:rsidRPr="001532CF">
        <w:rPr>
          <w:sz w:val="26"/>
          <w:szCs w:val="26"/>
        </w:rPr>
        <w:t xml:space="preserve">ourt of </w:t>
      </w:r>
      <w:r w:rsidR="00731D84">
        <w:rPr>
          <w:sz w:val="26"/>
          <w:szCs w:val="26"/>
        </w:rPr>
        <w:t>c</w:t>
      </w:r>
      <w:r w:rsidR="001532CF" w:rsidRPr="001532CF">
        <w:rPr>
          <w:sz w:val="26"/>
          <w:szCs w:val="26"/>
        </w:rPr>
        <w:t xml:space="preserve">ommon </w:t>
      </w:r>
      <w:r w:rsidR="00731D84">
        <w:rPr>
          <w:sz w:val="26"/>
          <w:szCs w:val="26"/>
        </w:rPr>
        <w:t>p</w:t>
      </w:r>
      <w:r w:rsidR="001532CF" w:rsidRPr="001532CF">
        <w:rPr>
          <w:sz w:val="26"/>
          <w:szCs w:val="26"/>
        </w:rPr>
        <w:t>leas.</w:t>
      </w:r>
      <w:r w:rsidR="00912B2B">
        <w:rPr>
          <w:sz w:val="26"/>
          <w:szCs w:val="26"/>
        </w:rPr>
        <w:t xml:space="preserve">  </w:t>
      </w:r>
      <w:r w:rsidR="00912B2B" w:rsidRPr="00912B2B">
        <w:rPr>
          <w:sz w:val="26"/>
          <w:szCs w:val="26"/>
        </w:rPr>
        <w:t xml:space="preserve">I.D. at 7.  </w:t>
      </w:r>
    </w:p>
    <w:p w14:paraId="0F4D8E48" w14:textId="77777777" w:rsidR="00E65DF0" w:rsidRDefault="00E65DF0" w:rsidP="00C74776">
      <w:pPr>
        <w:spacing w:line="360" w:lineRule="auto"/>
        <w:ind w:firstLine="1440"/>
        <w:contextualSpacing/>
        <w:rPr>
          <w:sz w:val="26"/>
          <w:szCs w:val="26"/>
        </w:rPr>
      </w:pPr>
    </w:p>
    <w:p w14:paraId="402FE762" w14:textId="784EAA50" w:rsidR="009B2262" w:rsidRDefault="00DC78C1" w:rsidP="009F0FBD">
      <w:pPr>
        <w:spacing w:line="360" w:lineRule="auto"/>
        <w:ind w:firstLine="1440"/>
        <w:contextualSpacing/>
        <w:rPr>
          <w:sz w:val="26"/>
          <w:szCs w:val="26"/>
        </w:rPr>
      </w:pPr>
      <w:r>
        <w:rPr>
          <w:sz w:val="26"/>
          <w:szCs w:val="26"/>
        </w:rPr>
        <w:t xml:space="preserve">The ALJ </w:t>
      </w:r>
      <w:r w:rsidR="00FD1929">
        <w:rPr>
          <w:sz w:val="26"/>
          <w:szCs w:val="26"/>
        </w:rPr>
        <w:t xml:space="preserve">remarked </w:t>
      </w:r>
      <w:r w:rsidR="00CC7CFD">
        <w:rPr>
          <w:sz w:val="26"/>
          <w:szCs w:val="26"/>
        </w:rPr>
        <w:t>that</w:t>
      </w:r>
      <w:r w:rsidR="007D162A">
        <w:rPr>
          <w:sz w:val="26"/>
          <w:szCs w:val="26"/>
        </w:rPr>
        <w:t xml:space="preserve"> the Complainant does</w:t>
      </w:r>
      <w:r w:rsidR="001A045A">
        <w:rPr>
          <w:sz w:val="26"/>
          <w:szCs w:val="26"/>
        </w:rPr>
        <w:t xml:space="preserve"> not </w:t>
      </w:r>
      <w:r w:rsidR="007D162A">
        <w:rPr>
          <w:sz w:val="26"/>
          <w:szCs w:val="26"/>
        </w:rPr>
        <w:t>dispute</w:t>
      </w:r>
      <w:r w:rsidR="001A045A">
        <w:rPr>
          <w:sz w:val="26"/>
          <w:szCs w:val="26"/>
        </w:rPr>
        <w:t xml:space="preserve"> </w:t>
      </w:r>
      <w:r w:rsidR="004A4259">
        <w:rPr>
          <w:sz w:val="26"/>
          <w:szCs w:val="26"/>
        </w:rPr>
        <w:t>that foreign load was discovered</w:t>
      </w:r>
      <w:r w:rsidR="007D162A">
        <w:rPr>
          <w:sz w:val="26"/>
          <w:szCs w:val="26"/>
        </w:rPr>
        <w:t>.</w:t>
      </w:r>
      <w:r w:rsidR="004A4259">
        <w:rPr>
          <w:sz w:val="26"/>
          <w:szCs w:val="26"/>
        </w:rPr>
        <w:t xml:space="preserve"> </w:t>
      </w:r>
      <w:r w:rsidR="007D162A">
        <w:rPr>
          <w:sz w:val="26"/>
          <w:szCs w:val="26"/>
        </w:rPr>
        <w:t xml:space="preserve"> In addition, </w:t>
      </w:r>
      <w:r w:rsidR="004A4259">
        <w:rPr>
          <w:sz w:val="26"/>
          <w:szCs w:val="26"/>
        </w:rPr>
        <w:t>the Complainant does not dispute the amount of the outstanding balance</w:t>
      </w:r>
      <w:r w:rsidR="007D162A">
        <w:rPr>
          <w:sz w:val="26"/>
          <w:szCs w:val="26"/>
        </w:rPr>
        <w:t>,</w:t>
      </w:r>
      <w:r w:rsidR="004A4259">
        <w:rPr>
          <w:sz w:val="26"/>
          <w:szCs w:val="26"/>
        </w:rPr>
        <w:t xml:space="preserve"> which has continued to be tra</w:t>
      </w:r>
      <w:r w:rsidR="00DA3DA0">
        <w:rPr>
          <w:sz w:val="26"/>
          <w:szCs w:val="26"/>
        </w:rPr>
        <w:t xml:space="preserve">nsferred to his new accounts with </w:t>
      </w:r>
      <w:r w:rsidR="005E1256">
        <w:rPr>
          <w:sz w:val="26"/>
          <w:szCs w:val="26"/>
        </w:rPr>
        <w:t>PPL.</w:t>
      </w:r>
      <w:r w:rsidR="00F452E9">
        <w:rPr>
          <w:sz w:val="26"/>
          <w:szCs w:val="26"/>
        </w:rPr>
        <w:t xml:space="preserve">  The ALJ </w:t>
      </w:r>
      <w:r w:rsidR="00CD172F">
        <w:rPr>
          <w:sz w:val="26"/>
          <w:szCs w:val="26"/>
        </w:rPr>
        <w:t xml:space="preserve">summarized the </w:t>
      </w:r>
      <w:r w:rsidR="006C27DE">
        <w:rPr>
          <w:sz w:val="26"/>
          <w:szCs w:val="26"/>
        </w:rPr>
        <w:t xml:space="preserve">Complainant’s argument </w:t>
      </w:r>
      <w:r w:rsidR="00F54B69">
        <w:rPr>
          <w:sz w:val="26"/>
          <w:szCs w:val="26"/>
        </w:rPr>
        <w:t>as he should</w:t>
      </w:r>
      <w:r w:rsidR="005A7BA0">
        <w:rPr>
          <w:sz w:val="26"/>
          <w:szCs w:val="26"/>
        </w:rPr>
        <w:t xml:space="preserve"> not be responsible for the </w:t>
      </w:r>
      <w:r w:rsidR="008F23B1">
        <w:rPr>
          <w:sz w:val="26"/>
          <w:szCs w:val="26"/>
        </w:rPr>
        <w:t>former tenants’</w:t>
      </w:r>
      <w:r w:rsidR="00074485">
        <w:rPr>
          <w:sz w:val="26"/>
          <w:szCs w:val="26"/>
        </w:rPr>
        <w:t xml:space="preserve"> outstanding balance </w:t>
      </w:r>
      <w:r w:rsidR="002C5782">
        <w:rPr>
          <w:sz w:val="26"/>
          <w:szCs w:val="26"/>
        </w:rPr>
        <w:t xml:space="preserve">and PPL should be </w:t>
      </w:r>
      <w:r w:rsidR="00042D12">
        <w:rPr>
          <w:sz w:val="26"/>
          <w:szCs w:val="26"/>
        </w:rPr>
        <w:t xml:space="preserve">prohibited from </w:t>
      </w:r>
      <w:r w:rsidR="00BC0FC8">
        <w:rPr>
          <w:sz w:val="26"/>
          <w:szCs w:val="26"/>
        </w:rPr>
        <w:t xml:space="preserve">continuing to collect this balance by transferring it to each new account </w:t>
      </w:r>
      <w:r w:rsidR="00AB3B10">
        <w:rPr>
          <w:sz w:val="26"/>
          <w:szCs w:val="26"/>
        </w:rPr>
        <w:t xml:space="preserve">more than four years after it was initially </w:t>
      </w:r>
      <w:r w:rsidR="00C56D73">
        <w:rPr>
          <w:sz w:val="26"/>
          <w:szCs w:val="26"/>
        </w:rPr>
        <w:t xml:space="preserve">transferred to the Complainant.  </w:t>
      </w:r>
      <w:r w:rsidR="00B779DA">
        <w:rPr>
          <w:sz w:val="26"/>
          <w:szCs w:val="26"/>
        </w:rPr>
        <w:t xml:space="preserve">The ALJ found </w:t>
      </w:r>
      <w:r w:rsidR="005C7080">
        <w:rPr>
          <w:sz w:val="26"/>
          <w:szCs w:val="26"/>
        </w:rPr>
        <w:t xml:space="preserve">the </w:t>
      </w:r>
      <w:r w:rsidR="00290FF6">
        <w:rPr>
          <w:sz w:val="26"/>
          <w:szCs w:val="26"/>
        </w:rPr>
        <w:t>former tenants’ account balance was required to be transferred to the Complainant once the foreign load was discovered</w:t>
      </w:r>
      <w:r w:rsidR="004222F2">
        <w:rPr>
          <w:sz w:val="26"/>
          <w:szCs w:val="26"/>
        </w:rPr>
        <w:t xml:space="preserve"> and the </w:t>
      </w:r>
      <w:r w:rsidR="009A576E">
        <w:rPr>
          <w:sz w:val="26"/>
          <w:szCs w:val="26"/>
        </w:rPr>
        <w:t xml:space="preserve">Complainant remains responsible for the </w:t>
      </w:r>
      <w:r w:rsidR="00160194">
        <w:rPr>
          <w:sz w:val="26"/>
          <w:szCs w:val="26"/>
        </w:rPr>
        <w:t xml:space="preserve">outstanding balance under </w:t>
      </w:r>
      <w:r w:rsidR="003470A2" w:rsidRPr="0016750A">
        <w:rPr>
          <w:sz w:val="26"/>
          <w:szCs w:val="26"/>
        </w:rPr>
        <w:t>Section 1529.1 of the Code</w:t>
      </w:r>
      <w:r w:rsidR="003470A2">
        <w:rPr>
          <w:sz w:val="26"/>
          <w:szCs w:val="26"/>
        </w:rPr>
        <w:t>.</w:t>
      </w:r>
      <w:r w:rsidR="003F2A01">
        <w:rPr>
          <w:sz w:val="26"/>
          <w:szCs w:val="26"/>
        </w:rPr>
        <w:t xml:space="preserve">  </w:t>
      </w:r>
      <w:r w:rsidR="00486BCB" w:rsidRPr="003F2A01">
        <w:rPr>
          <w:sz w:val="26"/>
          <w:szCs w:val="26"/>
        </w:rPr>
        <w:t xml:space="preserve">I.D. at </w:t>
      </w:r>
      <w:r w:rsidR="00486BCB">
        <w:rPr>
          <w:sz w:val="26"/>
          <w:szCs w:val="26"/>
        </w:rPr>
        <w:t xml:space="preserve">7-8.  </w:t>
      </w:r>
      <w:r w:rsidR="003F2A01" w:rsidRPr="003F2A01">
        <w:rPr>
          <w:sz w:val="26"/>
          <w:szCs w:val="26"/>
        </w:rPr>
        <w:t xml:space="preserve">The ALJ found that the Complainant failed to </w:t>
      </w:r>
      <w:r w:rsidR="000F104A">
        <w:rPr>
          <w:sz w:val="26"/>
          <w:szCs w:val="26"/>
        </w:rPr>
        <w:t>meet his burden of proof</w:t>
      </w:r>
      <w:r w:rsidR="005D4740">
        <w:rPr>
          <w:sz w:val="26"/>
          <w:szCs w:val="26"/>
        </w:rPr>
        <w:t xml:space="preserve"> to show</w:t>
      </w:r>
      <w:r w:rsidR="003F2A01" w:rsidRPr="003F2A01">
        <w:rPr>
          <w:sz w:val="26"/>
          <w:szCs w:val="26"/>
        </w:rPr>
        <w:t xml:space="preserve"> that </w:t>
      </w:r>
      <w:r w:rsidR="00EB2A0A">
        <w:rPr>
          <w:sz w:val="26"/>
          <w:szCs w:val="26"/>
        </w:rPr>
        <w:t>PPL</w:t>
      </w:r>
      <w:r w:rsidR="003F2A01" w:rsidRPr="003F2A01">
        <w:rPr>
          <w:sz w:val="26"/>
          <w:szCs w:val="26"/>
        </w:rPr>
        <w:t xml:space="preserve"> violated a </w:t>
      </w:r>
      <w:r w:rsidR="00667ED3">
        <w:rPr>
          <w:sz w:val="26"/>
          <w:szCs w:val="26"/>
        </w:rPr>
        <w:t>s</w:t>
      </w:r>
      <w:r w:rsidR="000A07C6">
        <w:rPr>
          <w:sz w:val="26"/>
          <w:szCs w:val="26"/>
        </w:rPr>
        <w:t xml:space="preserve">tatute, </w:t>
      </w:r>
      <w:r w:rsidR="003F2A01" w:rsidRPr="003F2A01">
        <w:rPr>
          <w:sz w:val="26"/>
          <w:szCs w:val="26"/>
        </w:rPr>
        <w:t xml:space="preserve">Commission </w:t>
      </w:r>
      <w:r w:rsidR="000A07C6">
        <w:rPr>
          <w:sz w:val="26"/>
          <w:szCs w:val="26"/>
        </w:rPr>
        <w:t>R</w:t>
      </w:r>
      <w:r w:rsidR="003F2A01" w:rsidRPr="003F2A01">
        <w:rPr>
          <w:sz w:val="26"/>
          <w:szCs w:val="26"/>
        </w:rPr>
        <w:t xml:space="preserve">egulation or </w:t>
      </w:r>
      <w:r w:rsidR="00667ED3">
        <w:rPr>
          <w:sz w:val="26"/>
          <w:szCs w:val="26"/>
        </w:rPr>
        <w:t>o</w:t>
      </w:r>
      <w:r w:rsidR="003F2A01" w:rsidRPr="003F2A01">
        <w:rPr>
          <w:sz w:val="26"/>
          <w:szCs w:val="26"/>
        </w:rPr>
        <w:t xml:space="preserve">rder in its actions concerning the foreign load </w:t>
      </w:r>
      <w:r w:rsidR="009101CB">
        <w:rPr>
          <w:sz w:val="26"/>
          <w:szCs w:val="26"/>
        </w:rPr>
        <w:t xml:space="preserve">and attempts to collect </w:t>
      </w:r>
      <w:r w:rsidR="001B2324">
        <w:rPr>
          <w:sz w:val="26"/>
          <w:szCs w:val="26"/>
        </w:rPr>
        <w:t>the Complainant’s account balance, thus the ALJ</w:t>
      </w:r>
      <w:r w:rsidR="003F2A01" w:rsidRPr="003F2A01">
        <w:rPr>
          <w:sz w:val="26"/>
          <w:szCs w:val="26"/>
        </w:rPr>
        <w:t xml:space="preserve"> dismissed the Complaint.  I.D. at </w:t>
      </w:r>
      <w:r w:rsidR="00CD7947">
        <w:rPr>
          <w:sz w:val="26"/>
          <w:szCs w:val="26"/>
        </w:rPr>
        <w:t>9</w:t>
      </w:r>
      <w:r w:rsidR="003F2A01" w:rsidRPr="003F2A01">
        <w:rPr>
          <w:sz w:val="26"/>
          <w:szCs w:val="26"/>
        </w:rPr>
        <w:t>.</w:t>
      </w:r>
    </w:p>
    <w:p w14:paraId="4BD38737" w14:textId="424D2C76" w:rsidR="00024D5A" w:rsidRDefault="00D10443" w:rsidP="00C2267A">
      <w:pPr>
        <w:keepNext/>
        <w:keepLines/>
        <w:spacing w:after="0" w:line="360" w:lineRule="auto"/>
        <w:contextualSpacing/>
        <w:rPr>
          <w:b/>
          <w:sz w:val="26"/>
          <w:szCs w:val="26"/>
        </w:rPr>
      </w:pPr>
      <w:r w:rsidRPr="00D10443">
        <w:rPr>
          <w:b/>
          <w:sz w:val="26"/>
          <w:szCs w:val="26"/>
        </w:rPr>
        <w:lastRenderedPageBreak/>
        <w:t>C.</w:t>
      </w:r>
      <w:r w:rsidRPr="00D10443">
        <w:rPr>
          <w:b/>
          <w:sz w:val="26"/>
          <w:szCs w:val="26"/>
        </w:rPr>
        <w:tab/>
        <w:t xml:space="preserve"> Exceptions and Replies</w:t>
      </w:r>
    </w:p>
    <w:p w14:paraId="14B53F13" w14:textId="77777777" w:rsidR="00D10443" w:rsidRPr="00837061" w:rsidRDefault="00D10443" w:rsidP="00C2267A">
      <w:pPr>
        <w:keepNext/>
        <w:keepLines/>
        <w:spacing w:after="0" w:line="360" w:lineRule="auto"/>
        <w:contextualSpacing/>
        <w:rPr>
          <w:sz w:val="26"/>
          <w:szCs w:val="26"/>
        </w:rPr>
      </w:pPr>
    </w:p>
    <w:p w14:paraId="5541B681" w14:textId="250729C9" w:rsidR="00B935FF" w:rsidRDefault="00817781" w:rsidP="00514DF2">
      <w:pPr>
        <w:spacing w:line="360" w:lineRule="auto"/>
        <w:ind w:firstLine="1440"/>
        <w:contextualSpacing/>
        <w:rPr>
          <w:sz w:val="26"/>
          <w:szCs w:val="26"/>
        </w:rPr>
      </w:pPr>
      <w:r>
        <w:rPr>
          <w:sz w:val="26"/>
          <w:szCs w:val="26"/>
        </w:rPr>
        <w:t>In his Exceptions,</w:t>
      </w:r>
      <w:r w:rsidR="001A6E79">
        <w:rPr>
          <w:rStyle w:val="FootnoteReference"/>
          <w:sz w:val="26"/>
          <w:szCs w:val="26"/>
        </w:rPr>
        <w:footnoteReference w:id="5"/>
      </w:r>
      <w:r>
        <w:rPr>
          <w:sz w:val="26"/>
          <w:szCs w:val="26"/>
        </w:rPr>
        <w:t xml:space="preserve"> the Complainant </w:t>
      </w:r>
      <w:r w:rsidR="00744458">
        <w:rPr>
          <w:sz w:val="26"/>
          <w:szCs w:val="26"/>
        </w:rPr>
        <w:t xml:space="preserve">excepts to </w:t>
      </w:r>
      <w:r w:rsidR="009421FA">
        <w:rPr>
          <w:sz w:val="26"/>
          <w:szCs w:val="26"/>
        </w:rPr>
        <w:t>the ALJ</w:t>
      </w:r>
      <w:r w:rsidR="00386C19">
        <w:rPr>
          <w:sz w:val="26"/>
          <w:szCs w:val="26"/>
        </w:rPr>
        <w:t>’s</w:t>
      </w:r>
      <w:r w:rsidR="005D2785">
        <w:rPr>
          <w:sz w:val="26"/>
          <w:szCs w:val="26"/>
        </w:rPr>
        <w:t xml:space="preserve"> decision to</w:t>
      </w:r>
      <w:r w:rsidR="009421FA">
        <w:rPr>
          <w:sz w:val="26"/>
          <w:szCs w:val="26"/>
        </w:rPr>
        <w:t xml:space="preserve"> dismiss the </w:t>
      </w:r>
      <w:r w:rsidR="00E27E50">
        <w:rPr>
          <w:sz w:val="26"/>
          <w:szCs w:val="26"/>
        </w:rPr>
        <w:t xml:space="preserve">Complaint for </w:t>
      </w:r>
      <w:r w:rsidR="002F5807">
        <w:rPr>
          <w:sz w:val="26"/>
          <w:szCs w:val="26"/>
        </w:rPr>
        <w:t xml:space="preserve">the </w:t>
      </w:r>
      <w:r w:rsidR="00CA6B86">
        <w:rPr>
          <w:sz w:val="26"/>
          <w:szCs w:val="26"/>
        </w:rPr>
        <w:t xml:space="preserve">Complainant’s </w:t>
      </w:r>
      <w:r w:rsidR="00E27E50">
        <w:rPr>
          <w:sz w:val="26"/>
          <w:szCs w:val="26"/>
        </w:rPr>
        <w:t>failure to meet</w:t>
      </w:r>
      <w:r w:rsidR="00CA6B86">
        <w:rPr>
          <w:sz w:val="26"/>
          <w:szCs w:val="26"/>
        </w:rPr>
        <w:t xml:space="preserve"> his</w:t>
      </w:r>
      <w:r w:rsidR="00A70527">
        <w:rPr>
          <w:sz w:val="26"/>
          <w:szCs w:val="26"/>
        </w:rPr>
        <w:t xml:space="preserve"> burden of proof</w:t>
      </w:r>
      <w:r>
        <w:rPr>
          <w:sz w:val="26"/>
          <w:szCs w:val="26"/>
        </w:rPr>
        <w:t xml:space="preserve">.  </w:t>
      </w:r>
      <w:r w:rsidR="0036768E">
        <w:rPr>
          <w:sz w:val="26"/>
          <w:szCs w:val="26"/>
        </w:rPr>
        <w:t>Although the Complainant’s Exceptions are unnumbered, the Exceptions can be grouped into four Exceptions</w:t>
      </w:r>
      <w:r w:rsidR="00647FF5">
        <w:rPr>
          <w:sz w:val="26"/>
          <w:szCs w:val="26"/>
        </w:rPr>
        <w:t>, as described below</w:t>
      </w:r>
      <w:r w:rsidR="0036768E">
        <w:rPr>
          <w:sz w:val="26"/>
          <w:szCs w:val="26"/>
        </w:rPr>
        <w:t xml:space="preserve">.  </w:t>
      </w:r>
    </w:p>
    <w:p w14:paraId="7A68E9A5" w14:textId="77777777" w:rsidR="00B935FF" w:rsidRDefault="00B935FF" w:rsidP="00686D29">
      <w:pPr>
        <w:spacing w:line="360" w:lineRule="auto"/>
        <w:ind w:firstLine="1440"/>
        <w:contextualSpacing/>
        <w:rPr>
          <w:sz w:val="26"/>
          <w:szCs w:val="26"/>
        </w:rPr>
      </w:pPr>
    </w:p>
    <w:p w14:paraId="15E60359" w14:textId="15FED147" w:rsidR="00465A25" w:rsidRDefault="00FE030D" w:rsidP="00686D29">
      <w:pPr>
        <w:spacing w:line="360" w:lineRule="auto"/>
        <w:ind w:firstLine="1440"/>
        <w:contextualSpacing/>
        <w:rPr>
          <w:sz w:val="26"/>
          <w:szCs w:val="26"/>
        </w:rPr>
      </w:pPr>
      <w:r>
        <w:rPr>
          <w:sz w:val="26"/>
          <w:szCs w:val="26"/>
        </w:rPr>
        <w:t xml:space="preserve">The </w:t>
      </w:r>
      <w:r w:rsidR="000E620A">
        <w:rPr>
          <w:sz w:val="26"/>
          <w:szCs w:val="26"/>
        </w:rPr>
        <w:t xml:space="preserve">Complainant’s </w:t>
      </w:r>
      <w:r w:rsidR="00631A4F">
        <w:rPr>
          <w:sz w:val="26"/>
          <w:szCs w:val="26"/>
        </w:rPr>
        <w:t xml:space="preserve">first </w:t>
      </w:r>
      <w:r w:rsidR="000E620A">
        <w:rPr>
          <w:sz w:val="26"/>
          <w:szCs w:val="26"/>
        </w:rPr>
        <w:t>E</w:t>
      </w:r>
      <w:r w:rsidR="00631A4F">
        <w:rPr>
          <w:sz w:val="26"/>
          <w:szCs w:val="26"/>
        </w:rPr>
        <w:t>xception</w:t>
      </w:r>
      <w:r w:rsidR="002B78FF" w:rsidRPr="002B78FF">
        <w:rPr>
          <w:sz w:val="26"/>
          <w:szCs w:val="26"/>
        </w:rPr>
        <w:t xml:space="preserve"> </w:t>
      </w:r>
      <w:r w:rsidR="000E620A">
        <w:rPr>
          <w:sz w:val="26"/>
          <w:szCs w:val="26"/>
        </w:rPr>
        <w:t xml:space="preserve">cites to </w:t>
      </w:r>
      <w:r w:rsidR="00C724B6">
        <w:rPr>
          <w:sz w:val="26"/>
          <w:szCs w:val="26"/>
        </w:rPr>
        <w:t>the BCS</w:t>
      </w:r>
      <w:r w:rsidR="00667ED3">
        <w:rPr>
          <w:sz w:val="26"/>
          <w:szCs w:val="26"/>
        </w:rPr>
        <w:t>’</w:t>
      </w:r>
      <w:r w:rsidR="0024501A">
        <w:rPr>
          <w:sz w:val="26"/>
          <w:szCs w:val="26"/>
        </w:rPr>
        <w:t xml:space="preserve"> </w:t>
      </w:r>
      <w:r w:rsidR="00667ED3">
        <w:rPr>
          <w:sz w:val="26"/>
          <w:szCs w:val="26"/>
        </w:rPr>
        <w:t>I</w:t>
      </w:r>
      <w:r w:rsidR="0024501A">
        <w:rPr>
          <w:sz w:val="26"/>
          <w:szCs w:val="26"/>
        </w:rPr>
        <w:t xml:space="preserve">nformal </w:t>
      </w:r>
      <w:r w:rsidR="00667ED3">
        <w:rPr>
          <w:sz w:val="26"/>
          <w:szCs w:val="26"/>
        </w:rPr>
        <w:t>D</w:t>
      </w:r>
      <w:r w:rsidR="002B78FF" w:rsidRPr="002B78FF">
        <w:rPr>
          <w:sz w:val="26"/>
          <w:szCs w:val="26"/>
        </w:rPr>
        <w:t>ecision</w:t>
      </w:r>
      <w:r w:rsidR="00C724B6">
        <w:rPr>
          <w:sz w:val="26"/>
          <w:szCs w:val="26"/>
        </w:rPr>
        <w:t xml:space="preserve"> </w:t>
      </w:r>
      <w:r w:rsidR="00667ED3">
        <w:rPr>
          <w:sz w:val="26"/>
          <w:szCs w:val="26"/>
        </w:rPr>
        <w:t>N</w:t>
      </w:r>
      <w:r w:rsidR="00C724B6">
        <w:rPr>
          <w:sz w:val="26"/>
          <w:szCs w:val="26"/>
        </w:rPr>
        <w:t>o.</w:t>
      </w:r>
      <w:r w:rsidR="005F5F17">
        <w:rPr>
          <w:sz w:val="26"/>
          <w:szCs w:val="26"/>
        </w:rPr>
        <w:t> </w:t>
      </w:r>
      <w:r w:rsidR="00CD5DD3">
        <w:rPr>
          <w:sz w:val="26"/>
          <w:szCs w:val="26"/>
        </w:rPr>
        <w:t>367096</w:t>
      </w:r>
      <w:r w:rsidR="002A6F2D">
        <w:rPr>
          <w:sz w:val="26"/>
          <w:szCs w:val="26"/>
        </w:rPr>
        <w:t xml:space="preserve"> </w:t>
      </w:r>
      <w:r w:rsidR="003A4BE1">
        <w:rPr>
          <w:sz w:val="26"/>
          <w:szCs w:val="26"/>
        </w:rPr>
        <w:t xml:space="preserve">to </w:t>
      </w:r>
      <w:r w:rsidR="00B06245">
        <w:rPr>
          <w:sz w:val="26"/>
          <w:szCs w:val="26"/>
        </w:rPr>
        <w:t xml:space="preserve">substantiate and </w:t>
      </w:r>
      <w:r w:rsidR="000E620A">
        <w:rPr>
          <w:sz w:val="26"/>
          <w:szCs w:val="26"/>
        </w:rPr>
        <w:t>argue</w:t>
      </w:r>
      <w:r w:rsidR="00B06245">
        <w:rPr>
          <w:sz w:val="26"/>
          <w:szCs w:val="26"/>
        </w:rPr>
        <w:t xml:space="preserve"> his</w:t>
      </w:r>
      <w:r w:rsidR="000E620A">
        <w:rPr>
          <w:sz w:val="26"/>
          <w:szCs w:val="26"/>
        </w:rPr>
        <w:t xml:space="preserve"> </w:t>
      </w:r>
      <w:r w:rsidR="003A4BE1">
        <w:rPr>
          <w:sz w:val="26"/>
          <w:szCs w:val="26"/>
        </w:rPr>
        <w:t>claim</w:t>
      </w:r>
      <w:r w:rsidR="00A02D05">
        <w:rPr>
          <w:sz w:val="26"/>
          <w:szCs w:val="26"/>
        </w:rPr>
        <w:t>, as raised in his Complaint,</w:t>
      </w:r>
      <w:r w:rsidR="00CD5DD3">
        <w:rPr>
          <w:sz w:val="26"/>
          <w:szCs w:val="26"/>
        </w:rPr>
        <w:t xml:space="preserve"> </w:t>
      </w:r>
      <w:r w:rsidR="000E620A">
        <w:rPr>
          <w:sz w:val="26"/>
          <w:szCs w:val="26"/>
        </w:rPr>
        <w:t xml:space="preserve">that </w:t>
      </w:r>
      <w:r w:rsidR="00B33F62">
        <w:rPr>
          <w:sz w:val="26"/>
          <w:szCs w:val="26"/>
        </w:rPr>
        <w:t>$1,565.83</w:t>
      </w:r>
      <w:r w:rsidR="00D004AC">
        <w:rPr>
          <w:sz w:val="26"/>
          <w:szCs w:val="26"/>
        </w:rPr>
        <w:t xml:space="preserve"> </w:t>
      </w:r>
      <w:r w:rsidR="00D55D13">
        <w:rPr>
          <w:sz w:val="26"/>
          <w:szCs w:val="26"/>
        </w:rPr>
        <w:t>of the to</w:t>
      </w:r>
      <w:r w:rsidR="0092401F">
        <w:rPr>
          <w:sz w:val="26"/>
          <w:szCs w:val="26"/>
        </w:rPr>
        <w:t xml:space="preserve">tal </w:t>
      </w:r>
      <w:r w:rsidR="00E51B3C">
        <w:rPr>
          <w:sz w:val="26"/>
          <w:szCs w:val="26"/>
        </w:rPr>
        <w:t>$1,624.10 balance</w:t>
      </w:r>
      <w:r w:rsidR="00B06245">
        <w:rPr>
          <w:sz w:val="26"/>
          <w:szCs w:val="26"/>
        </w:rPr>
        <w:t>, whic</w:t>
      </w:r>
      <w:r w:rsidR="00767DC2">
        <w:rPr>
          <w:sz w:val="26"/>
          <w:szCs w:val="26"/>
        </w:rPr>
        <w:t xml:space="preserve">h </w:t>
      </w:r>
      <w:r w:rsidR="000E620A">
        <w:rPr>
          <w:sz w:val="26"/>
          <w:szCs w:val="26"/>
        </w:rPr>
        <w:t>PPL seeks to collect from him</w:t>
      </w:r>
      <w:r w:rsidR="00767DC2">
        <w:rPr>
          <w:sz w:val="26"/>
          <w:szCs w:val="26"/>
        </w:rPr>
        <w:t>,</w:t>
      </w:r>
      <w:r w:rsidR="000E620A">
        <w:rPr>
          <w:sz w:val="26"/>
          <w:szCs w:val="26"/>
        </w:rPr>
        <w:t xml:space="preserve"> </w:t>
      </w:r>
      <w:r w:rsidR="00D004AC">
        <w:rPr>
          <w:sz w:val="26"/>
          <w:szCs w:val="26"/>
        </w:rPr>
        <w:t xml:space="preserve">accrued over four years ago and </w:t>
      </w:r>
      <w:r w:rsidR="009C26F4">
        <w:rPr>
          <w:sz w:val="26"/>
          <w:szCs w:val="26"/>
        </w:rPr>
        <w:t xml:space="preserve">hence </w:t>
      </w:r>
      <w:r w:rsidR="00D004AC">
        <w:rPr>
          <w:sz w:val="26"/>
          <w:szCs w:val="26"/>
        </w:rPr>
        <w:t xml:space="preserve">is not under the Commission’s </w:t>
      </w:r>
      <w:r w:rsidR="003D2AF7">
        <w:rPr>
          <w:sz w:val="26"/>
          <w:szCs w:val="26"/>
        </w:rPr>
        <w:t>jurisdiction</w:t>
      </w:r>
      <w:r w:rsidR="002B78FF" w:rsidRPr="002B78FF">
        <w:rPr>
          <w:sz w:val="26"/>
          <w:szCs w:val="26"/>
        </w:rPr>
        <w:t>.</w:t>
      </w:r>
      <w:r w:rsidR="000B6CB6">
        <w:rPr>
          <w:sz w:val="26"/>
          <w:szCs w:val="26"/>
        </w:rPr>
        <w:t xml:space="preserve">  </w:t>
      </w:r>
      <w:r w:rsidR="00E42C2E" w:rsidRPr="00E42C2E">
        <w:rPr>
          <w:sz w:val="26"/>
          <w:szCs w:val="26"/>
        </w:rPr>
        <w:t>Exc. at 1.</w:t>
      </w:r>
      <w:r w:rsidR="00936412">
        <w:rPr>
          <w:sz w:val="26"/>
          <w:szCs w:val="26"/>
        </w:rPr>
        <w:t xml:space="preserve">  </w:t>
      </w:r>
    </w:p>
    <w:p w14:paraId="1397CAE7" w14:textId="77777777" w:rsidR="00465A25" w:rsidRDefault="00465A25" w:rsidP="00686D29">
      <w:pPr>
        <w:spacing w:line="360" w:lineRule="auto"/>
        <w:ind w:firstLine="1440"/>
        <w:contextualSpacing/>
        <w:rPr>
          <w:sz w:val="26"/>
          <w:szCs w:val="26"/>
        </w:rPr>
      </w:pPr>
    </w:p>
    <w:p w14:paraId="381A714E" w14:textId="4A94905C" w:rsidR="00310B3A" w:rsidRDefault="00EB2465" w:rsidP="00686D29">
      <w:pPr>
        <w:spacing w:line="360" w:lineRule="auto"/>
        <w:ind w:firstLine="1440"/>
        <w:contextualSpacing/>
        <w:rPr>
          <w:sz w:val="26"/>
          <w:szCs w:val="26"/>
        </w:rPr>
      </w:pPr>
      <w:r>
        <w:rPr>
          <w:sz w:val="26"/>
          <w:szCs w:val="26"/>
        </w:rPr>
        <w:t xml:space="preserve">In Replies, PPL </w:t>
      </w:r>
      <w:r w:rsidR="00CD5DD3">
        <w:rPr>
          <w:sz w:val="26"/>
          <w:szCs w:val="26"/>
        </w:rPr>
        <w:t xml:space="preserve">argues that </w:t>
      </w:r>
      <w:r>
        <w:rPr>
          <w:sz w:val="26"/>
          <w:szCs w:val="26"/>
        </w:rPr>
        <w:t>t</w:t>
      </w:r>
      <w:r w:rsidRPr="00340509">
        <w:rPr>
          <w:sz w:val="26"/>
          <w:szCs w:val="26"/>
        </w:rPr>
        <w:t xml:space="preserve">he Initial Decision of ALJ Myers is a </w:t>
      </w:r>
      <w:r w:rsidRPr="00340509">
        <w:rPr>
          <w:i/>
          <w:iCs/>
          <w:sz w:val="26"/>
          <w:szCs w:val="26"/>
        </w:rPr>
        <w:t>de novo</w:t>
      </w:r>
      <w:r w:rsidRPr="00340509">
        <w:rPr>
          <w:sz w:val="26"/>
          <w:szCs w:val="26"/>
        </w:rPr>
        <w:t xml:space="preserve"> decision </w:t>
      </w:r>
      <w:r w:rsidR="00F5085D">
        <w:rPr>
          <w:sz w:val="26"/>
          <w:szCs w:val="26"/>
        </w:rPr>
        <w:t xml:space="preserve">based </w:t>
      </w:r>
      <w:r w:rsidRPr="00340509">
        <w:rPr>
          <w:sz w:val="26"/>
          <w:szCs w:val="26"/>
        </w:rPr>
        <w:t>on the</w:t>
      </w:r>
      <w:r w:rsidR="00F5085D">
        <w:rPr>
          <w:sz w:val="26"/>
          <w:szCs w:val="26"/>
        </w:rPr>
        <w:t xml:space="preserve"> record developed in this</w:t>
      </w:r>
      <w:r w:rsidRPr="00340509">
        <w:rPr>
          <w:sz w:val="26"/>
          <w:szCs w:val="26"/>
        </w:rPr>
        <w:t xml:space="preserve"> formal Complaint </w:t>
      </w:r>
      <w:r w:rsidR="00F5085D">
        <w:rPr>
          <w:sz w:val="26"/>
          <w:szCs w:val="26"/>
        </w:rPr>
        <w:t>proceeding.</w:t>
      </w:r>
      <w:r w:rsidRPr="00340509">
        <w:rPr>
          <w:sz w:val="26"/>
          <w:szCs w:val="26"/>
        </w:rPr>
        <w:t xml:space="preserve">  Therefore,</w:t>
      </w:r>
      <w:r w:rsidR="00CD5DD3">
        <w:rPr>
          <w:sz w:val="26"/>
          <w:szCs w:val="26"/>
        </w:rPr>
        <w:t xml:space="preserve"> PPL asserts that</w:t>
      </w:r>
      <w:r w:rsidRPr="00340509">
        <w:rPr>
          <w:sz w:val="26"/>
          <w:szCs w:val="26"/>
        </w:rPr>
        <w:t xml:space="preserve"> the reasoning and decision of </w:t>
      </w:r>
      <w:r w:rsidR="00F5085D">
        <w:rPr>
          <w:sz w:val="26"/>
          <w:szCs w:val="26"/>
        </w:rPr>
        <w:t xml:space="preserve">the </w:t>
      </w:r>
      <w:r>
        <w:rPr>
          <w:sz w:val="26"/>
          <w:szCs w:val="26"/>
        </w:rPr>
        <w:t>BCS</w:t>
      </w:r>
      <w:r w:rsidRPr="00340509">
        <w:rPr>
          <w:sz w:val="26"/>
          <w:szCs w:val="26"/>
        </w:rPr>
        <w:t xml:space="preserve"> cannot form the basis of exceptions to the Initial Decision.  52 Pa</w:t>
      </w:r>
      <w:r w:rsidR="00936A23">
        <w:rPr>
          <w:sz w:val="26"/>
          <w:szCs w:val="26"/>
        </w:rPr>
        <w:t>.</w:t>
      </w:r>
      <w:r w:rsidRPr="00340509">
        <w:rPr>
          <w:sz w:val="26"/>
          <w:szCs w:val="26"/>
        </w:rPr>
        <w:t xml:space="preserve"> Code § 56.173(a)</w:t>
      </w:r>
      <w:r>
        <w:rPr>
          <w:sz w:val="26"/>
          <w:szCs w:val="26"/>
        </w:rPr>
        <w:t xml:space="preserve">.  </w:t>
      </w:r>
      <w:r>
        <w:rPr>
          <w:rFonts w:eastAsia="Calibri"/>
          <w:sz w:val="26"/>
          <w:szCs w:val="26"/>
        </w:rPr>
        <w:t>R. Exc. at 2.</w:t>
      </w:r>
    </w:p>
    <w:p w14:paraId="3FF7446D" w14:textId="77777777" w:rsidR="005F5F17" w:rsidRDefault="005F5F17" w:rsidP="00686D29">
      <w:pPr>
        <w:spacing w:line="360" w:lineRule="auto"/>
        <w:ind w:firstLine="1440"/>
        <w:contextualSpacing/>
        <w:rPr>
          <w:sz w:val="26"/>
          <w:szCs w:val="26"/>
        </w:rPr>
      </w:pPr>
    </w:p>
    <w:p w14:paraId="32A44F82" w14:textId="6BAF525A" w:rsidR="002E4706" w:rsidRDefault="00936412" w:rsidP="00686D29">
      <w:pPr>
        <w:spacing w:line="360" w:lineRule="auto"/>
        <w:ind w:firstLine="1440"/>
        <w:contextualSpacing/>
        <w:rPr>
          <w:sz w:val="26"/>
          <w:szCs w:val="26"/>
        </w:rPr>
      </w:pPr>
      <w:r>
        <w:rPr>
          <w:sz w:val="26"/>
          <w:szCs w:val="26"/>
        </w:rPr>
        <w:t xml:space="preserve">The </w:t>
      </w:r>
      <w:r w:rsidR="00F008CE">
        <w:rPr>
          <w:sz w:val="26"/>
          <w:szCs w:val="26"/>
        </w:rPr>
        <w:t xml:space="preserve">Complainant’s </w:t>
      </w:r>
      <w:r>
        <w:rPr>
          <w:sz w:val="26"/>
          <w:szCs w:val="26"/>
        </w:rPr>
        <w:t xml:space="preserve">second </w:t>
      </w:r>
      <w:r w:rsidR="00F008CE">
        <w:rPr>
          <w:sz w:val="26"/>
          <w:szCs w:val="26"/>
        </w:rPr>
        <w:t>E</w:t>
      </w:r>
      <w:r w:rsidR="00E8753C">
        <w:rPr>
          <w:sz w:val="26"/>
          <w:szCs w:val="26"/>
        </w:rPr>
        <w:t xml:space="preserve">xception </w:t>
      </w:r>
      <w:r w:rsidR="00B65423">
        <w:rPr>
          <w:sz w:val="26"/>
          <w:szCs w:val="26"/>
        </w:rPr>
        <w:t>appears to</w:t>
      </w:r>
      <w:r w:rsidR="004E49C4">
        <w:rPr>
          <w:sz w:val="26"/>
          <w:szCs w:val="26"/>
        </w:rPr>
        <w:t xml:space="preserve"> address </w:t>
      </w:r>
      <w:r w:rsidR="009B5053">
        <w:rPr>
          <w:sz w:val="26"/>
          <w:szCs w:val="26"/>
        </w:rPr>
        <w:t>an</w:t>
      </w:r>
      <w:r w:rsidR="00484385">
        <w:rPr>
          <w:sz w:val="26"/>
          <w:szCs w:val="26"/>
        </w:rPr>
        <w:t>other</w:t>
      </w:r>
      <w:r w:rsidR="008B2296">
        <w:rPr>
          <w:sz w:val="26"/>
          <w:szCs w:val="26"/>
        </w:rPr>
        <w:t xml:space="preserve"> </w:t>
      </w:r>
      <w:r w:rsidR="00B53D8A">
        <w:rPr>
          <w:sz w:val="26"/>
          <w:szCs w:val="26"/>
        </w:rPr>
        <w:t xml:space="preserve">BCS </w:t>
      </w:r>
      <w:r w:rsidR="00460FB5" w:rsidRPr="00460FB5">
        <w:rPr>
          <w:sz w:val="26"/>
          <w:szCs w:val="26"/>
        </w:rPr>
        <w:t>informal complaint decision</w:t>
      </w:r>
      <w:r w:rsidR="00394883">
        <w:rPr>
          <w:sz w:val="26"/>
          <w:szCs w:val="26"/>
        </w:rPr>
        <w:t>,</w:t>
      </w:r>
      <w:r w:rsidR="006F4D3B">
        <w:rPr>
          <w:sz w:val="26"/>
          <w:szCs w:val="26"/>
        </w:rPr>
        <w:t xml:space="preserve"> involving </w:t>
      </w:r>
      <w:r w:rsidR="0000423F">
        <w:rPr>
          <w:sz w:val="26"/>
          <w:szCs w:val="26"/>
        </w:rPr>
        <w:t>a different ser</w:t>
      </w:r>
      <w:r w:rsidR="00EE2698">
        <w:rPr>
          <w:sz w:val="26"/>
          <w:szCs w:val="26"/>
        </w:rPr>
        <w:t>vice address</w:t>
      </w:r>
      <w:r w:rsidR="00394883">
        <w:rPr>
          <w:sz w:val="26"/>
          <w:szCs w:val="26"/>
        </w:rPr>
        <w:t xml:space="preserve"> separate from the </w:t>
      </w:r>
      <w:r w:rsidR="00E350EF">
        <w:rPr>
          <w:sz w:val="26"/>
          <w:szCs w:val="26"/>
        </w:rPr>
        <w:t>instant matter</w:t>
      </w:r>
      <w:r w:rsidR="002D25EB">
        <w:rPr>
          <w:sz w:val="26"/>
          <w:szCs w:val="26"/>
        </w:rPr>
        <w:t xml:space="preserve">.  </w:t>
      </w:r>
      <w:r w:rsidR="00AC741C">
        <w:rPr>
          <w:sz w:val="26"/>
          <w:szCs w:val="26"/>
        </w:rPr>
        <w:t>The Complainan</w:t>
      </w:r>
      <w:r w:rsidR="00043EF5">
        <w:rPr>
          <w:sz w:val="26"/>
          <w:szCs w:val="26"/>
        </w:rPr>
        <w:t>t exc</w:t>
      </w:r>
      <w:r w:rsidR="00E57BCE">
        <w:rPr>
          <w:sz w:val="26"/>
          <w:szCs w:val="26"/>
        </w:rPr>
        <w:t xml:space="preserve">epts to the ALJ not addressing </w:t>
      </w:r>
      <w:r w:rsidR="00002629">
        <w:rPr>
          <w:sz w:val="26"/>
          <w:szCs w:val="26"/>
        </w:rPr>
        <w:t xml:space="preserve">the issues of the </w:t>
      </w:r>
      <w:r w:rsidR="0036284E">
        <w:rPr>
          <w:sz w:val="26"/>
          <w:szCs w:val="26"/>
        </w:rPr>
        <w:t>separate</w:t>
      </w:r>
      <w:r w:rsidR="00BB1F3F">
        <w:rPr>
          <w:sz w:val="26"/>
          <w:szCs w:val="26"/>
        </w:rPr>
        <w:t xml:space="preserve"> </w:t>
      </w:r>
      <w:r w:rsidR="00BB1F3F" w:rsidRPr="00460FB5">
        <w:rPr>
          <w:sz w:val="26"/>
          <w:szCs w:val="26"/>
        </w:rPr>
        <w:t>informal complaint decision</w:t>
      </w:r>
      <w:r w:rsidR="00BB1F3F">
        <w:rPr>
          <w:sz w:val="26"/>
          <w:szCs w:val="26"/>
        </w:rPr>
        <w:t xml:space="preserve">. </w:t>
      </w:r>
      <w:r w:rsidR="00002629">
        <w:rPr>
          <w:sz w:val="26"/>
          <w:szCs w:val="26"/>
        </w:rPr>
        <w:t xml:space="preserve"> </w:t>
      </w:r>
      <w:r w:rsidR="00D366E1" w:rsidRPr="00E42C2E">
        <w:rPr>
          <w:sz w:val="26"/>
          <w:szCs w:val="26"/>
        </w:rPr>
        <w:t>Exc. at 1</w:t>
      </w:r>
      <w:r w:rsidR="00D366E1">
        <w:rPr>
          <w:sz w:val="26"/>
          <w:szCs w:val="26"/>
        </w:rPr>
        <w:t>-2</w:t>
      </w:r>
      <w:r w:rsidR="00D366E1" w:rsidRPr="00E42C2E">
        <w:rPr>
          <w:sz w:val="26"/>
          <w:szCs w:val="26"/>
        </w:rPr>
        <w:t>.</w:t>
      </w:r>
      <w:r w:rsidR="00D366E1">
        <w:rPr>
          <w:sz w:val="26"/>
          <w:szCs w:val="26"/>
        </w:rPr>
        <w:t xml:space="preserve">  </w:t>
      </w:r>
    </w:p>
    <w:p w14:paraId="40717782" w14:textId="77777777" w:rsidR="002E4706" w:rsidRDefault="002E4706" w:rsidP="00686D29">
      <w:pPr>
        <w:spacing w:line="360" w:lineRule="auto"/>
        <w:ind w:firstLine="1440"/>
        <w:contextualSpacing/>
        <w:rPr>
          <w:sz w:val="26"/>
          <w:szCs w:val="26"/>
        </w:rPr>
      </w:pPr>
    </w:p>
    <w:p w14:paraId="6CD4C6AF" w14:textId="12B7BC5D" w:rsidR="00890B4E" w:rsidRDefault="008A4D16" w:rsidP="00686D29">
      <w:pPr>
        <w:spacing w:line="360" w:lineRule="auto"/>
        <w:ind w:firstLine="1440"/>
        <w:contextualSpacing/>
        <w:rPr>
          <w:sz w:val="26"/>
          <w:szCs w:val="26"/>
        </w:rPr>
      </w:pPr>
      <w:r>
        <w:rPr>
          <w:rFonts w:eastAsia="Calibri"/>
          <w:sz w:val="26"/>
          <w:szCs w:val="26"/>
        </w:rPr>
        <w:t xml:space="preserve">In </w:t>
      </w:r>
      <w:r w:rsidR="000E620A">
        <w:rPr>
          <w:rFonts w:eastAsia="Calibri"/>
          <w:sz w:val="26"/>
          <w:szCs w:val="26"/>
        </w:rPr>
        <w:t>Replies</w:t>
      </w:r>
      <w:r>
        <w:rPr>
          <w:rFonts w:eastAsia="Calibri"/>
          <w:sz w:val="26"/>
          <w:szCs w:val="26"/>
        </w:rPr>
        <w:t>, PPL asserts the Complainant is mingling the instant complaint with another complaint, filed at F</w:t>
      </w:r>
      <w:r>
        <w:rPr>
          <w:rFonts w:eastAsia="Calibri"/>
          <w:sz w:val="26"/>
          <w:szCs w:val="26"/>
        </w:rPr>
        <w:noBreakHyphen/>
        <w:t>2019</w:t>
      </w:r>
      <w:r>
        <w:rPr>
          <w:rFonts w:eastAsia="Calibri"/>
          <w:sz w:val="26"/>
          <w:szCs w:val="26"/>
        </w:rPr>
        <w:noBreakHyphen/>
        <w:t xml:space="preserve">3009942.  PPL states the two complaints were </w:t>
      </w:r>
      <w:r>
        <w:rPr>
          <w:rFonts w:eastAsia="Calibri"/>
          <w:sz w:val="26"/>
          <w:szCs w:val="26"/>
        </w:rPr>
        <w:lastRenderedPageBreak/>
        <w:t>filed as separate issues, never consolidated, and the arguments in F</w:t>
      </w:r>
      <w:r>
        <w:rPr>
          <w:rFonts w:eastAsia="Calibri"/>
          <w:sz w:val="26"/>
          <w:szCs w:val="26"/>
        </w:rPr>
        <w:noBreakHyphen/>
        <w:t>2019</w:t>
      </w:r>
      <w:r>
        <w:rPr>
          <w:rFonts w:eastAsia="Calibri"/>
          <w:sz w:val="26"/>
          <w:szCs w:val="26"/>
        </w:rPr>
        <w:noBreakHyphen/>
        <w:t xml:space="preserve">3009942 cannot be used in the instant complaint.  </w:t>
      </w:r>
      <w:r w:rsidRPr="00FA3928">
        <w:rPr>
          <w:rFonts w:eastAsia="Calibri"/>
          <w:sz w:val="26"/>
          <w:szCs w:val="26"/>
        </w:rPr>
        <w:t>R. Exc. at 2.</w:t>
      </w:r>
    </w:p>
    <w:p w14:paraId="0C99C06D" w14:textId="77777777" w:rsidR="00890B4E" w:rsidRDefault="00890B4E" w:rsidP="00686D29">
      <w:pPr>
        <w:spacing w:line="360" w:lineRule="auto"/>
        <w:ind w:firstLine="1440"/>
        <w:contextualSpacing/>
        <w:rPr>
          <w:sz w:val="26"/>
          <w:szCs w:val="26"/>
        </w:rPr>
      </w:pPr>
    </w:p>
    <w:p w14:paraId="29CCDC85" w14:textId="6CADCB2E" w:rsidR="009E49FC" w:rsidRDefault="00336B5B" w:rsidP="00686D29">
      <w:pPr>
        <w:spacing w:line="360" w:lineRule="auto"/>
        <w:ind w:firstLine="1440"/>
        <w:contextualSpacing/>
        <w:rPr>
          <w:sz w:val="26"/>
          <w:szCs w:val="26"/>
        </w:rPr>
      </w:pPr>
      <w:r>
        <w:rPr>
          <w:sz w:val="26"/>
          <w:szCs w:val="26"/>
        </w:rPr>
        <w:t>The</w:t>
      </w:r>
      <w:r w:rsidR="00D366E1">
        <w:rPr>
          <w:sz w:val="26"/>
          <w:szCs w:val="26"/>
        </w:rPr>
        <w:t xml:space="preserve"> </w:t>
      </w:r>
      <w:r>
        <w:rPr>
          <w:sz w:val="26"/>
          <w:szCs w:val="26"/>
        </w:rPr>
        <w:t>Complainant’s</w:t>
      </w:r>
      <w:r w:rsidR="009B7FFA">
        <w:rPr>
          <w:sz w:val="26"/>
          <w:szCs w:val="26"/>
        </w:rPr>
        <w:t xml:space="preserve"> third </w:t>
      </w:r>
      <w:r w:rsidR="00F008CE">
        <w:rPr>
          <w:sz w:val="26"/>
          <w:szCs w:val="26"/>
        </w:rPr>
        <w:t>E</w:t>
      </w:r>
      <w:r w:rsidR="009B7FFA">
        <w:rPr>
          <w:sz w:val="26"/>
          <w:szCs w:val="26"/>
        </w:rPr>
        <w:t xml:space="preserve">xception </w:t>
      </w:r>
      <w:r w:rsidR="00406837">
        <w:rPr>
          <w:sz w:val="26"/>
          <w:szCs w:val="26"/>
        </w:rPr>
        <w:t xml:space="preserve">is to </w:t>
      </w:r>
      <w:r w:rsidR="003011D4">
        <w:rPr>
          <w:sz w:val="26"/>
          <w:szCs w:val="26"/>
        </w:rPr>
        <w:t xml:space="preserve">ALJ Myers’ </w:t>
      </w:r>
      <w:r w:rsidR="00C53DFF">
        <w:rPr>
          <w:sz w:val="26"/>
          <w:szCs w:val="26"/>
        </w:rPr>
        <w:t xml:space="preserve">Finding of Fact </w:t>
      </w:r>
      <w:r w:rsidR="004B451A">
        <w:rPr>
          <w:sz w:val="26"/>
          <w:szCs w:val="26"/>
        </w:rPr>
        <w:t>No.</w:t>
      </w:r>
      <w:r w:rsidR="005F5F17">
        <w:rPr>
          <w:sz w:val="26"/>
          <w:szCs w:val="26"/>
        </w:rPr>
        <w:t> </w:t>
      </w:r>
      <w:r w:rsidR="00C53DFF">
        <w:rPr>
          <w:sz w:val="26"/>
          <w:szCs w:val="26"/>
        </w:rPr>
        <w:t>5</w:t>
      </w:r>
      <w:r w:rsidR="002E342E">
        <w:rPr>
          <w:sz w:val="26"/>
          <w:szCs w:val="26"/>
        </w:rPr>
        <w:t>.</w:t>
      </w:r>
      <w:r w:rsidR="004B451A">
        <w:rPr>
          <w:rStyle w:val="FootnoteReference"/>
          <w:sz w:val="26"/>
          <w:szCs w:val="26"/>
        </w:rPr>
        <w:footnoteReference w:id="6"/>
      </w:r>
      <w:r w:rsidR="00B15F69">
        <w:rPr>
          <w:sz w:val="26"/>
          <w:szCs w:val="26"/>
        </w:rPr>
        <w:t xml:space="preserve">  </w:t>
      </w:r>
      <w:r w:rsidR="00F139E9">
        <w:rPr>
          <w:sz w:val="26"/>
          <w:szCs w:val="26"/>
        </w:rPr>
        <w:t xml:space="preserve">The Complainant </w:t>
      </w:r>
      <w:r w:rsidR="00EF1851">
        <w:rPr>
          <w:sz w:val="26"/>
          <w:szCs w:val="26"/>
        </w:rPr>
        <w:t xml:space="preserve">states there was a tenant </w:t>
      </w:r>
      <w:r w:rsidR="00FE1092">
        <w:rPr>
          <w:sz w:val="26"/>
          <w:szCs w:val="26"/>
        </w:rPr>
        <w:t>renting</w:t>
      </w:r>
      <w:r w:rsidR="00EF1851">
        <w:rPr>
          <w:sz w:val="26"/>
          <w:szCs w:val="26"/>
        </w:rPr>
        <w:t xml:space="preserve"> the house at the time he purchased the property.  </w:t>
      </w:r>
      <w:r w:rsidR="00B15F69">
        <w:rPr>
          <w:sz w:val="26"/>
          <w:szCs w:val="26"/>
        </w:rPr>
        <w:t xml:space="preserve">Citing </w:t>
      </w:r>
      <w:r w:rsidR="009F7EAC">
        <w:rPr>
          <w:sz w:val="26"/>
          <w:szCs w:val="26"/>
        </w:rPr>
        <w:t xml:space="preserve">to </w:t>
      </w:r>
      <w:r w:rsidR="00B15F69" w:rsidRPr="00B15F69">
        <w:rPr>
          <w:sz w:val="26"/>
          <w:szCs w:val="26"/>
        </w:rPr>
        <w:t>Section 1529.1 of the Code</w:t>
      </w:r>
      <w:r w:rsidR="00B15F69">
        <w:rPr>
          <w:sz w:val="26"/>
          <w:szCs w:val="26"/>
        </w:rPr>
        <w:t>, the Complainant</w:t>
      </w:r>
      <w:r w:rsidR="006049BC">
        <w:rPr>
          <w:sz w:val="26"/>
          <w:szCs w:val="26"/>
        </w:rPr>
        <w:t xml:space="preserve"> </w:t>
      </w:r>
      <w:r w:rsidR="00FE1092">
        <w:rPr>
          <w:sz w:val="26"/>
          <w:szCs w:val="26"/>
        </w:rPr>
        <w:t>argues</w:t>
      </w:r>
      <w:r w:rsidR="009A435F">
        <w:rPr>
          <w:sz w:val="26"/>
          <w:szCs w:val="26"/>
        </w:rPr>
        <w:t xml:space="preserve"> </w:t>
      </w:r>
      <w:r w:rsidR="00041092">
        <w:rPr>
          <w:sz w:val="26"/>
          <w:szCs w:val="26"/>
        </w:rPr>
        <w:t xml:space="preserve">that all units of the rental property were </w:t>
      </w:r>
      <w:r w:rsidR="00957269">
        <w:rPr>
          <w:sz w:val="26"/>
          <w:szCs w:val="26"/>
        </w:rPr>
        <w:t xml:space="preserve">rented </w:t>
      </w:r>
      <w:r w:rsidR="00DB5CCE">
        <w:rPr>
          <w:sz w:val="26"/>
          <w:szCs w:val="26"/>
        </w:rPr>
        <w:t xml:space="preserve">by the </w:t>
      </w:r>
      <w:r w:rsidR="00110535">
        <w:rPr>
          <w:sz w:val="26"/>
          <w:szCs w:val="26"/>
        </w:rPr>
        <w:t>previous owner and therefore</w:t>
      </w:r>
      <w:r w:rsidR="00CE7FC7">
        <w:rPr>
          <w:sz w:val="26"/>
          <w:szCs w:val="26"/>
        </w:rPr>
        <w:t xml:space="preserve"> any notifications required under</w:t>
      </w:r>
      <w:r w:rsidR="00C61DE6">
        <w:rPr>
          <w:sz w:val="26"/>
          <w:szCs w:val="26"/>
        </w:rPr>
        <w:t xml:space="preserve"> </w:t>
      </w:r>
      <w:r w:rsidR="00960DF9" w:rsidRPr="00960DF9">
        <w:rPr>
          <w:sz w:val="26"/>
          <w:szCs w:val="26"/>
        </w:rPr>
        <w:t>Section 1529.1</w:t>
      </w:r>
      <w:r w:rsidR="00774B52">
        <w:rPr>
          <w:sz w:val="26"/>
          <w:szCs w:val="26"/>
        </w:rPr>
        <w:t xml:space="preserve"> should have been done by the previous owner.</w:t>
      </w:r>
      <w:r w:rsidR="0049022A">
        <w:rPr>
          <w:sz w:val="26"/>
          <w:szCs w:val="26"/>
        </w:rPr>
        <w:t xml:space="preserve">  </w:t>
      </w:r>
      <w:r w:rsidR="00914430">
        <w:rPr>
          <w:sz w:val="26"/>
          <w:szCs w:val="26"/>
        </w:rPr>
        <w:t xml:space="preserve">Additionally, the Complainant </w:t>
      </w:r>
      <w:r w:rsidR="00D224A6">
        <w:rPr>
          <w:sz w:val="26"/>
          <w:szCs w:val="26"/>
        </w:rPr>
        <w:t xml:space="preserve">contends </w:t>
      </w:r>
      <w:r w:rsidR="00FE045A">
        <w:rPr>
          <w:sz w:val="26"/>
          <w:szCs w:val="26"/>
        </w:rPr>
        <w:t xml:space="preserve">that </w:t>
      </w:r>
      <w:r w:rsidR="00FE045A" w:rsidRPr="00FE045A">
        <w:rPr>
          <w:sz w:val="26"/>
          <w:szCs w:val="26"/>
        </w:rPr>
        <w:t>Section 1529.1</w:t>
      </w:r>
      <w:r w:rsidR="00FE045A">
        <w:rPr>
          <w:sz w:val="26"/>
          <w:szCs w:val="26"/>
        </w:rPr>
        <w:t xml:space="preserve"> </w:t>
      </w:r>
      <w:r w:rsidR="00446686">
        <w:rPr>
          <w:sz w:val="26"/>
          <w:szCs w:val="26"/>
        </w:rPr>
        <w:t xml:space="preserve">does not apply </w:t>
      </w:r>
      <w:r w:rsidR="00366874">
        <w:rPr>
          <w:sz w:val="26"/>
          <w:szCs w:val="26"/>
        </w:rPr>
        <w:t xml:space="preserve">to the rental house </w:t>
      </w:r>
      <w:r w:rsidR="00BF6CCB">
        <w:rPr>
          <w:sz w:val="26"/>
          <w:szCs w:val="26"/>
        </w:rPr>
        <w:t>in this matter</w:t>
      </w:r>
      <w:r w:rsidR="008F5D4A">
        <w:rPr>
          <w:sz w:val="26"/>
          <w:szCs w:val="26"/>
        </w:rPr>
        <w:t xml:space="preserve"> as it is individually </w:t>
      </w:r>
      <w:r w:rsidR="006B5038">
        <w:rPr>
          <w:sz w:val="26"/>
          <w:szCs w:val="26"/>
        </w:rPr>
        <w:t>metered,</w:t>
      </w:r>
      <w:r w:rsidR="00B444F6">
        <w:rPr>
          <w:sz w:val="26"/>
          <w:szCs w:val="26"/>
        </w:rPr>
        <w:t xml:space="preserve"> and that </w:t>
      </w:r>
      <w:r w:rsidR="00B444F6" w:rsidRPr="00B444F6">
        <w:rPr>
          <w:sz w:val="26"/>
          <w:szCs w:val="26"/>
        </w:rPr>
        <w:t>Section 1529.1</w:t>
      </w:r>
      <w:r w:rsidR="00B444F6">
        <w:rPr>
          <w:sz w:val="26"/>
          <w:szCs w:val="26"/>
        </w:rPr>
        <w:t xml:space="preserve"> does not </w:t>
      </w:r>
      <w:r w:rsidR="00DE1888">
        <w:rPr>
          <w:sz w:val="26"/>
          <w:szCs w:val="26"/>
        </w:rPr>
        <w:t xml:space="preserve">address foreign load.  </w:t>
      </w:r>
      <w:r w:rsidR="004933B7">
        <w:rPr>
          <w:sz w:val="26"/>
          <w:szCs w:val="26"/>
        </w:rPr>
        <w:t>The Complainant further</w:t>
      </w:r>
      <w:r w:rsidR="00FF7A5B">
        <w:rPr>
          <w:sz w:val="26"/>
          <w:szCs w:val="26"/>
        </w:rPr>
        <w:t xml:space="preserve"> states that he does not dispute </w:t>
      </w:r>
      <w:r w:rsidR="00571651">
        <w:rPr>
          <w:sz w:val="26"/>
          <w:szCs w:val="26"/>
        </w:rPr>
        <w:t xml:space="preserve">the policy to put the meter in the </w:t>
      </w:r>
      <w:r w:rsidR="00CA6553">
        <w:rPr>
          <w:sz w:val="26"/>
          <w:szCs w:val="26"/>
        </w:rPr>
        <w:t>proper</w:t>
      </w:r>
      <w:r w:rsidR="00FD10AF">
        <w:rPr>
          <w:sz w:val="26"/>
          <w:szCs w:val="26"/>
        </w:rPr>
        <w:t>ty</w:t>
      </w:r>
      <w:r w:rsidR="00CA6553">
        <w:rPr>
          <w:sz w:val="26"/>
          <w:szCs w:val="26"/>
        </w:rPr>
        <w:t xml:space="preserve"> owner</w:t>
      </w:r>
      <w:r w:rsidR="00DD3506">
        <w:rPr>
          <w:sz w:val="26"/>
          <w:szCs w:val="26"/>
        </w:rPr>
        <w:t>’s name once a foreign load is discovered</w:t>
      </w:r>
      <w:r w:rsidR="00D2192F">
        <w:rPr>
          <w:sz w:val="26"/>
          <w:szCs w:val="26"/>
        </w:rPr>
        <w:t xml:space="preserve">.  </w:t>
      </w:r>
      <w:r w:rsidR="007030F4">
        <w:rPr>
          <w:sz w:val="26"/>
          <w:szCs w:val="26"/>
        </w:rPr>
        <w:t>However, t</w:t>
      </w:r>
      <w:r w:rsidR="00866675">
        <w:rPr>
          <w:sz w:val="26"/>
          <w:szCs w:val="26"/>
        </w:rPr>
        <w:t xml:space="preserve">he </w:t>
      </w:r>
      <w:r w:rsidR="007030F4">
        <w:rPr>
          <w:sz w:val="26"/>
          <w:szCs w:val="26"/>
        </w:rPr>
        <w:t>Complainant</w:t>
      </w:r>
      <w:r w:rsidR="008F2A81">
        <w:rPr>
          <w:sz w:val="26"/>
          <w:szCs w:val="26"/>
        </w:rPr>
        <w:t xml:space="preserve"> disputes </w:t>
      </w:r>
      <w:r w:rsidR="004C5C21">
        <w:rPr>
          <w:sz w:val="26"/>
          <w:szCs w:val="26"/>
        </w:rPr>
        <w:t xml:space="preserve">making the property owner responsible for </w:t>
      </w:r>
      <w:r w:rsidR="00E041F5">
        <w:rPr>
          <w:sz w:val="26"/>
          <w:szCs w:val="26"/>
        </w:rPr>
        <w:t xml:space="preserve">tenant </w:t>
      </w:r>
      <w:r w:rsidR="00A96F9F">
        <w:rPr>
          <w:sz w:val="26"/>
          <w:szCs w:val="26"/>
        </w:rPr>
        <w:t>arrearages</w:t>
      </w:r>
      <w:r w:rsidR="009710EF">
        <w:rPr>
          <w:sz w:val="26"/>
          <w:szCs w:val="26"/>
        </w:rPr>
        <w:t xml:space="preserve">.  </w:t>
      </w:r>
      <w:r w:rsidR="009710EF" w:rsidRPr="00E42C2E">
        <w:rPr>
          <w:sz w:val="26"/>
          <w:szCs w:val="26"/>
        </w:rPr>
        <w:t xml:space="preserve">Exc. at </w:t>
      </w:r>
      <w:r w:rsidR="009710EF">
        <w:rPr>
          <w:sz w:val="26"/>
          <w:szCs w:val="26"/>
        </w:rPr>
        <w:t>2-3</w:t>
      </w:r>
      <w:r w:rsidR="00C7545C">
        <w:rPr>
          <w:sz w:val="26"/>
          <w:szCs w:val="26"/>
        </w:rPr>
        <w:t>.</w:t>
      </w:r>
      <w:r w:rsidR="00CF51DE">
        <w:rPr>
          <w:sz w:val="26"/>
          <w:szCs w:val="26"/>
        </w:rPr>
        <w:t xml:space="preserve">  </w:t>
      </w:r>
    </w:p>
    <w:p w14:paraId="07C51626" w14:textId="77777777" w:rsidR="009E49FC" w:rsidRDefault="009E49FC" w:rsidP="00686D29">
      <w:pPr>
        <w:spacing w:line="360" w:lineRule="auto"/>
        <w:ind w:firstLine="1440"/>
        <w:contextualSpacing/>
        <w:rPr>
          <w:sz w:val="26"/>
          <w:szCs w:val="26"/>
        </w:rPr>
      </w:pPr>
    </w:p>
    <w:p w14:paraId="07C73420" w14:textId="5EAB245E" w:rsidR="00781F1A" w:rsidRDefault="0084278E" w:rsidP="00686D29">
      <w:pPr>
        <w:spacing w:line="360" w:lineRule="auto"/>
        <w:ind w:firstLine="1440"/>
        <w:contextualSpacing/>
        <w:rPr>
          <w:sz w:val="26"/>
          <w:szCs w:val="26"/>
        </w:rPr>
      </w:pPr>
      <w:r>
        <w:rPr>
          <w:sz w:val="26"/>
          <w:szCs w:val="26"/>
        </w:rPr>
        <w:t xml:space="preserve">In Replies, </w:t>
      </w:r>
      <w:r w:rsidR="00F61501" w:rsidRPr="00F61501">
        <w:rPr>
          <w:sz w:val="26"/>
          <w:szCs w:val="26"/>
        </w:rPr>
        <w:t>PPL</w:t>
      </w:r>
      <w:r>
        <w:rPr>
          <w:sz w:val="26"/>
          <w:szCs w:val="26"/>
        </w:rPr>
        <w:t xml:space="preserve"> </w:t>
      </w:r>
      <w:r w:rsidR="00F61501" w:rsidRPr="00F61501">
        <w:rPr>
          <w:sz w:val="26"/>
          <w:szCs w:val="26"/>
        </w:rPr>
        <w:t xml:space="preserve">asserts at the time of the foreign load investigation, the Complainant owned the property.  Additionally, PPL maintains Section 1529.1 directs PPL to place the account for the tenant’s property in the name of the landlord, along with the balance on the tenant’s account.  R. Exc. at 3 (citing </w:t>
      </w:r>
      <w:r w:rsidR="00F61501" w:rsidRPr="00F61501">
        <w:rPr>
          <w:i/>
          <w:iCs/>
          <w:sz w:val="26"/>
          <w:szCs w:val="26"/>
        </w:rPr>
        <w:t>1-A Realty</w:t>
      </w:r>
      <w:r w:rsidR="00F61501" w:rsidRPr="00F61501">
        <w:rPr>
          <w:sz w:val="26"/>
          <w:szCs w:val="26"/>
        </w:rPr>
        <w:t>).  PPL also notes the Complainant does not dispute the amount of the outstanding balance that transferred to his accounts.  At the time of the hearing, PPL avers the only argument the Complainant raised is that he should not be responsible for the tenant’s balance once the foreign load is discovered.  R. Exc. at 3 (citing Exc. at 3).</w:t>
      </w:r>
    </w:p>
    <w:p w14:paraId="00E6BB92" w14:textId="77777777" w:rsidR="00781F1A" w:rsidRDefault="00781F1A" w:rsidP="00686D29">
      <w:pPr>
        <w:spacing w:line="360" w:lineRule="auto"/>
        <w:ind w:firstLine="1440"/>
        <w:contextualSpacing/>
        <w:rPr>
          <w:sz w:val="26"/>
          <w:szCs w:val="26"/>
        </w:rPr>
      </w:pPr>
    </w:p>
    <w:p w14:paraId="013D03D8" w14:textId="21F7B0C8" w:rsidR="00CB44B1" w:rsidRDefault="00CF51DE" w:rsidP="00686D29">
      <w:pPr>
        <w:spacing w:line="360" w:lineRule="auto"/>
        <w:ind w:firstLine="1440"/>
        <w:contextualSpacing/>
        <w:rPr>
          <w:sz w:val="26"/>
          <w:szCs w:val="26"/>
        </w:rPr>
      </w:pPr>
      <w:r>
        <w:rPr>
          <w:sz w:val="26"/>
          <w:szCs w:val="26"/>
        </w:rPr>
        <w:lastRenderedPageBreak/>
        <w:t>The C</w:t>
      </w:r>
      <w:r w:rsidR="005C44B5">
        <w:rPr>
          <w:sz w:val="26"/>
          <w:szCs w:val="26"/>
        </w:rPr>
        <w:t xml:space="preserve">omplainant’s </w:t>
      </w:r>
      <w:r w:rsidR="00794449">
        <w:rPr>
          <w:sz w:val="26"/>
          <w:szCs w:val="26"/>
        </w:rPr>
        <w:t>fourth</w:t>
      </w:r>
      <w:r w:rsidR="005C44B5">
        <w:rPr>
          <w:sz w:val="26"/>
          <w:szCs w:val="26"/>
        </w:rPr>
        <w:t xml:space="preserve"> </w:t>
      </w:r>
      <w:r w:rsidR="00F008CE">
        <w:rPr>
          <w:sz w:val="26"/>
          <w:szCs w:val="26"/>
        </w:rPr>
        <w:t>E</w:t>
      </w:r>
      <w:r w:rsidR="005C44B5">
        <w:rPr>
          <w:sz w:val="26"/>
          <w:szCs w:val="26"/>
        </w:rPr>
        <w:t xml:space="preserve">xception is to </w:t>
      </w:r>
      <w:r w:rsidR="007B4E48">
        <w:rPr>
          <w:sz w:val="26"/>
          <w:szCs w:val="26"/>
        </w:rPr>
        <w:t xml:space="preserve">the ALJ’s </w:t>
      </w:r>
      <w:r w:rsidR="00051BA5">
        <w:rPr>
          <w:sz w:val="26"/>
          <w:szCs w:val="26"/>
        </w:rPr>
        <w:t xml:space="preserve">Conclusion of Law </w:t>
      </w:r>
      <w:r w:rsidR="009F7EAC">
        <w:rPr>
          <w:sz w:val="26"/>
          <w:szCs w:val="26"/>
        </w:rPr>
        <w:t>No.</w:t>
      </w:r>
      <w:r w:rsidR="002B2B1F">
        <w:rPr>
          <w:sz w:val="26"/>
          <w:szCs w:val="26"/>
        </w:rPr>
        <w:t> </w:t>
      </w:r>
      <w:r w:rsidR="00F81DC1">
        <w:rPr>
          <w:sz w:val="26"/>
          <w:szCs w:val="26"/>
        </w:rPr>
        <w:t>2.</w:t>
      </w:r>
      <w:r w:rsidR="009F7EAC">
        <w:rPr>
          <w:rStyle w:val="FootnoteReference"/>
          <w:sz w:val="26"/>
          <w:szCs w:val="26"/>
        </w:rPr>
        <w:footnoteReference w:id="7"/>
      </w:r>
      <w:r w:rsidR="00F81DC1">
        <w:rPr>
          <w:sz w:val="26"/>
          <w:szCs w:val="26"/>
        </w:rPr>
        <w:t xml:space="preserve">  </w:t>
      </w:r>
      <w:r w:rsidR="00A22302">
        <w:rPr>
          <w:sz w:val="26"/>
          <w:szCs w:val="26"/>
        </w:rPr>
        <w:t>T</w:t>
      </w:r>
      <w:r w:rsidR="00297046">
        <w:rPr>
          <w:sz w:val="26"/>
          <w:szCs w:val="26"/>
        </w:rPr>
        <w:t xml:space="preserve">he Complainant </w:t>
      </w:r>
      <w:r w:rsidR="00857C2C">
        <w:rPr>
          <w:sz w:val="26"/>
          <w:szCs w:val="26"/>
        </w:rPr>
        <w:t xml:space="preserve">asserts the burden of proof </w:t>
      </w:r>
      <w:r w:rsidR="00804BC5">
        <w:rPr>
          <w:sz w:val="26"/>
          <w:szCs w:val="26"/>
        </w:rPr>
        <w:t>in this proceeding is on PPL.</w:t>
      </w:r>
      <w:r w:rsidR="00794449">
        <w:rPr>
          <w:sz w:val="26"/>
          <w:szCs w:val="26"/>
        </w:rPr>
        <w:t xml:space="preserve">  </w:t>
      </w:r>
      <w:r w:rsidR="00F723BE">
        <w:rPr>
          <w:sz w:val="26"/>
          <w:szCs w:val="26"/>
        </w:rPr>
        <w:t>T</w:t>
      </w:r>
      <w:r w:rsidR="00794449">
        <w:rPr>
          <w:sz w:val="26"/>
          <w:szCs w:val="26"/>
        </w:rPr>
        <w:t xml:space="preserve">he </w:t>
      </w:r>
      <w:r w:rsidR="00CA70A4">
        <w:rPr>
          <w:sz w:val="26"/>
          <w:szCs w:val="26"/>
        </w:rPr>
        <w:t xml:space="preserve">Complainant </w:t>
      </w:r>
      <w:r w:rsidR="00F20183">
        <w:rPr>
          <w:sz w:val="26"/>
          <w:szCs w:val="26"/>
        </w:rPr>
        <w:t>claims the transfer of tenant</w:t>
      </w:r>
      <w:r w:rsidR="00B838D6">
        <w:rPr>
          <w:sz w:val="26"/>
          <w:szCs w:val="26"/>
        </w:rPr>
        <w:t xml:space="preserve"> arrearages to the landlord </w:t>
      </w:r>
      <w:r w:rsidR="00C70190">
        <w:rPr>
          <w:sz w:val="26"/>
          <w:szCs w:val="26"/>
        </w:rPr>
        <w:t>is harsh and penal in nature</w:t>
      </w:r>
      <w:r w:rsidR="00397A2D">
        <w:rPr>
          <w:sz w:val="26"/>
          <w:szCs w:val="26"/>
        </w:rPr>
        <w:t xml:space="preserve">.  He states that </w:t>
      </w:r>
      <w:r w:rsidR="00531D0F">
        <w:rPr>
          <w:sz w:val="26"/>
          <w:szCs w:val="26"/>
        </w:rPr>
        <w:t>a fair and imparti</w:t>
      </w:r>
      <w:r w:rsidR="00D741FF">
        <w:rPr>
          <w:sz w:val="26"/>
          <w:szCs w:val="26"/>
        </w:rPr>
        <w:t xml:space="preserve">al hearing is required under </w:t>
      </w:r>
      <w:r w:rsidR="00F0043F">
        <w:rPr>
          <w:sz w:val="26"/>
          <w:szCs w:val="26"/>
        </w:rPr>
        <w:t>both state and federal law</w:t>
      </w:r>
      <w:r w:rsidR="00A304BC">
        <w:rPr>
          <w:sz w:val="26"/>
          <w:szCs w:val="26"/>
        </w:rPr>
        <w:t xml:space="preserve">.  </w:t>
      </w:r>
      <w:r w:rsidR="00B320B2">
        <w:rPr>
          <w:sz w:val="26"/>
          <w:szCs w:val="26"/>
        </w:rPr>
        <w:t>The Complai</w:t>
      </w:r>
      <w:r w:rsidR="00887324">
        <w:rPr>
          <w:sz w:val="26"/>
          <w:szCs w:val="26"/>
        </w:rPr>
        <w:t>n</w:t>
      </w:r>
      <w:r w:rsidR="00B320B2">
        <w:rPr>
          <w:sz w:val="26"/>
          <w:szCs w:val="26"/>
        </w:rPr>
        <w:t xml:space="preserve">ant </w:t>
      </w:r>
      <w:r w:rsidR="0084278E">
        <w:rPr>
          <w:sz w:val="26"/>
          <w:szCs w:val="26"/>
        </w:rPr>
        <w:t>argues that his civil rights were violated</w:t>
      </w:r>
      <w:r w:rsidR="00887324">
        <w:rPr>
          <w:sz w:val="26"/>
          <w:szCs w:val="26"/>
        </w:rPr>
        <w:t xml:space="preserve"> due to </w:t>
      </w:r>
      <w:r w:rsidR="00887324" w:rsidRPr="00887324">
        <w:rPr>
          <w:sz w:val="26"/>
          <w:szCs w:val="26"/>
        </w:rPr>
        <w:t xml:space="preserve">the transfer of tenant arrearages to </w:t>
      </w:r>
      <w:r w:rsidR="0084278E">
        <w:rPr>
          <w:sz w:val="26"/>
          <w:szCs w:val="26"/>
        </w:rPr>
        <w:t>him as the property owner</w:t>
      </w:r>
      <w:r w:rsidR="00887324">
        <w:rPr>
          <w:sz w:val="26"/>
          <w:szCs w:val="26"/>
        </w:rPr>
        <w:t xml:space="preserve">.  </w:t>
      </w:r>
      <w:r w:rsidR="00071F6B">
        <w:rPr>
          <w:sz w:val="26"/>
          <w:szCs w:val="26"/>
        </w:rPr>
        <w:t>Lastly, t</w:t>
      </w:r>
      <w:r w:rsidR="008F3A44">
        <w:rPr>
          <w:sz w:val="26"/>
          <w:szCs w:val="26"/>
        </w:rPr>
        <w:t xml:space="preserve">he </w:t>
      </w:r>
      <w:r w:rsidR="001528D7">
        <w:rPr>
          <w:sz w:val="26"/>
          <w:szCs w:val="26"/>
        </w:rPr>
        <w:t xml:space="preserve">Complainant </w:t>
      </w:r>
      <w:r w:rsidR="00687E77">
        <w:rPr>
          <w:sz w:val="26"/>
          <w:szCs w:val="26"/>
        </w:rPr>
        <w:t>declar</w:t>
      </w:r>
      <w:r w:rsidR="00071F6B">
        <w:rPr>
          <w:sz w:val="26"/>
          <w:szCs w:val="26"/>
        </w:rPr>
        <w:t>ed</w:t>
      </w:r>
      <w:r w:rsidR="00687E77">
        <w:rPr>
          <w:sz w:val="26"/>
          <w:szCs w:val="26"/>
        </w:rPr>
        <w:t xml:space="preserve"> the </w:t>
      </w:r>
      <w:r w:rsidR="0084278E">
        <w:rPr>
          <w:sz w:val="26"/>
          <w:szCs w:val="26"/>
        </w:rPr>
        <w:t xml:space="preserve">Commission’s foreign load </w:t>
      </w:r>
      <w:r w:rsidR="00687E77">
        <w:rPr>
          <w:sz w:val="26"/>
          <w:szCs w:val="26"/>
        </w:rPr>
        <w:t>policy im</w:t>
      </w:r>
      <w:r w:rsidR="00CB2A1B">
        <w:rPr>
          <w:sz w:val="26"/>
          <w:szCs w:val="26"/>
        </w:rPr>
        <w:t xml:space="preserve">properly shifts the burden </w:t>
      </w:r>
      <w:r w:rsidR="0084278E">
        <w:rPr>
          <w:sz w:val="26"/>
          <w:szCs w:val="26"/>
        </w:rPr>
        <w:t xml:space="preserve">from the utility </w:t>
      </w:r>
      <w:r w:rsidR="00CB2A1B">
        <w:rPr>
          <w:sz w:val="26"/>
          <w:szCs w:val="26"/>
        </w:rPr>
        <w:t xml:space="preserve">to </w:t>
      </w:r>
      <w:r w:rsidR="00B66D04">
        <w:rPr>
          <w:sz w:val="26"/>
          <w:szCs w:val="26"/>
        </w:rPr>
        <w:t>a landlord to collect unpaid utility bills.</w:t>
      </w:r>
      <w:r w:rsidR="00051C8C">
        <w:rPr>
          <w:sz w:val="26"/>
          <w:szCs w:val="26"/>
        </w:rPr>
        <w:t xml:space="preserve">  </w:t>
      </w:r>
      <w:r w:rsidR="00051C8C" w:rsidRPr="00E42C2E">
        <w:rPr>
          <w:sz w:val="26"/>
          <w:szCs w:val="26"/>
        </w:rPr>
        <w:t xml:space="preserve">Exc. at </w:t>
      </w:r>
      <w:r w:rsidR="00997B81">
        <w:rPr>
          <w:sz w:val="26"/>
          <w:szCs w:val="26"/>
        </w:rPr>
        <w:t>3</w:t>
      </w:r>
      <w:r w:rsidR="00051C8C">
        <w:rPr>
          <w:sz w:val="26"/>
          <w:szCs w:val="26"/>
        </w:rPr>
        <w:t>.</w:t>
      </w:r>
    </w:p>
    <w:p w14:paraId="0A1434D6" w14:textId="443BA0FA" w:rsidR="00465A25" w:rsidRDefault="00465A25" w:rsidP="00686D29">
      <w:pPr>
        <w:spacing w:line="360" w:lineRule="auto"/>
        <w:ind w:firstLine="1440"/>
        <w:contextualSpacing/>
        <w:rPr>
          <w:sz w:val="26"/>
          <w:szCs w:val="26"/>
        </w:rPr>
      </w:pPr>
    </w:p>
    <w:p w14:paraId="3E9B693E" w14:textId="5391B84C" w:rsidR="00465A25" w:rsidRDefault="0084278E" w:rsidP="00686D29">
      <w:pPr>
        <w:spacing w:line="360" w:lineRule="auto"/>
        <w:ind w:firstLine="1440"/>
        <w:contextualSpacing/>
        <w:rPr>
          <w:sz w:val="26"/>
          <w:szCs w:val="26"/>
        </w:rPr>
      </w:pPr>
      <w:r>
        <w:rPr>
          <w:sz w:val="26"/>
          <w:szCs w:val="26"/>
        </w:rPr>
        <w:t>In Replies</w:t>
      </w:r>
      <w:r w:rsidR="00465A25" w:rsidRPr="00465A25">
        <w:rPr>
          <w:sz w:val="26"/>
          <w:szCs w:val="26"/>
        </w:rPr>
        <w:t xml:space="preserve">, PPL avers the ALJ’s Conclusion of Law </w:t>
      </w:r>
      <w:r w:rsidR="00403144">
        <w:rPr>
          <w:sz w:val="26"/>
          <w:szCs w:val="26"/>
        </w:rPr>
        <w:t xml:space="preserve">No. </w:t>
      </w:r>
      <w:r w:rsidR="00465A25" w:rsidRPr="00465A25">
        <w:rPr>
          <w:sz w:val="26"/>
          <w:szCs w:val="26"/>
        </w:rPr>
        <w:t xml:space="preserve">2 is well supported by law.  PPL states the </w:t>
      </w:r>
      <w:r w:rsidR="008240F3">
        <w:rPr>
          <w:sz w:val="26"/>
          <w:szCs w:val="26"/>
        </w:rPr>
        <w:t xml:space="preserve">law </w:t>
      </w:r>
      <w:r w:rsidR="00371299">
        <w:rPr>
          <w:sz w:val="26"/>
          <w:szCs w:val="26"/>
        </w:rPr>
        <w:t xml:space="preserve">is clear that the </w:t>
      </w:r>
      <w:r w:rsidR="00465A25" w:rsidRPr="00465A25">
        <w:rPr>
          <w:sz w:val="26"/>
          <w:szCs w:val="26"/>
        </w:rPr>
        <w:t xml:space="preserve">Complainant has the burden of proof to show that PPL violated the Code, a Commission </w:t>
      </w:r>
      <w:r w:rsidR="00157757">
        <w:rPr>
          <w:sz w:val="26"/>
          <w:szCs w:val="26"/>
        </w:rPr>
        <w:t>R</w:t>
      </w:r>
      <w:r w:rsidR="00465A25" w:rsidRPr="00465A25">
        <w:rPr>
          <w:sz w:val="26"/>
          <w:szCs w:val="26"/>
        </w:rPr>
        <w:t>egulation</w:t>
      </w:r>
      <w:r w:rsidR="001B2F16">
        <w:rPr>
          <w:sz w:val="26"/>
          <w:szCs w:val="26"/>
        </w:rPr>
        <w:t xml:space="preserve"> or order</w:t>
      </w:r>
      <w:r w:rsidR="00465A25" w:rsidRPr="00465A25">
        <w:rPr>
          <w:sz w:val="26"/>
          <w:szCs w:val="26"/>
        </w:rPr>
        <w:t>, or Commission</w:t>
      </w:r>
      <w:r w:rsidR="001B2F16">
        <w:rPr>
          <w:sz w:val="26"/>
          <w:szCs w:val="26"/>
        </w:rPr>
        <w:t>-</w:t>
      </w:r>
      <w:r w:rsidR="00465A25" w:rsidRPr="00465A25">
        <w:rPr>
          <w:sz w:val="26"/>
          <w:szCs w:val="26"/>
        </w:rPr>
        <w:t xml:space="preserve">approved tariff.  R. Exc. at 4 (citing 66 Pa. C.S. § 701; </w:t>
      </w:r>
      <w:r w:rsidR="00465A25" w:rsidRPr="00465A25">
        <w:rPr>
          <w:i/>
          <w:iCs/>
          <w:sz w:val="26"/>
          <w:szCs w:val="26"/>
        </w:rPr>
        <w:t>Patterson</w:t>
      </w:r>
      <w:r w:rsidR="00465A25" w:rsidRPr="00465A25">
        <w:rPr>
          <w:sz w:val="26"/>
          <w:szCs w:val="26"/>
        </w:rPr>
        <w:t>).  Finally, PPL requests that the Complainant’s Exceptions be dismissed.</w:t>
      </w:r>
    </w:p>
    <w:p w14:paraId="423875BD" w14:textId="0A9FF837" w:rsidR="0085198F" w:rsidRDefault="0085198F" w:rsidP="009F0FBD">
      <w:pPr>
        <w:spacing w:line="360" w:lineRule="auto"/>
        <w:ind w:firstLine="1440"/>
        <w:contextualSpacing/>
        <w:rPr>
          <w:sz w:val="26"/>
          <w:szCs w:val="26"/>
        </w:rPr>
      </w:pPr>
    </w:p>
    <w:p w14:paraId="2A7401E1" w14:textId="3645B2B0" w:rsidR="00006F35" w:rsidRDefault="00927B0F" w:rsidP="00927B0F">
      <w:pPr>
        <w:keepNext/>
        <w:keepLines/>
        <w:spacing w:line="360" w:lineRule="auto"/>
        <w:contextualSpacing/>
        <w:rPr>
          <w:b/>
          <w:sz w:val="26"/>
          <w:szCs w:val="26"/>
        </w:rPr>
      </w:pPr>
      <w:r w:rsidRPr="00927B0F">
        <w:rPr>
          <w:b/>
          <w:sz w:val="26"/>
          <w:szCs w:val="26"/>
        </w:rPr>
        <w:t>D.</w:t>
      </w:r>
      <w:r w:rsidRPr="00927B0F">
        <w:rPr>
          <w:b/>
          <w:sz w:val="26"/>
          <w:szCs w:val="26"/>
        </w:rPr>
        <w:tab/>
        <w:t>Disposition</w:t>
      </w:r>
    </w:p>
    <w:p w14:paraId="6375227E" w14:textId="77777777" w:rsidR="00927B0F" w:rsidRPr="0092195B" w:rsidRDefault="00927B0F" w:rsidP="00927B0F">
      <w:pPr>
        <w:keepNext/>
        <w:keepLines/>
        <w:spacing w:line="360" w:lineRule="auto"/>
        <w:contextualSpacing/>
        <w:rPr>
          <w:b/>
          <w:sz w:val="26"/>
          <w:szCs w:val="26"/>
        </w:rPr>
      </w:pPr>
    </w:p>
    <w:p w14:paraId="62951B48" w14:textId="77777777" w:rsidR="000A242F" w:rsidRDefault="00B12C2E" w:rsidP="0085198F">
      <w:pPr>
        <w:spacing w:line="360" w:lineRule="auto"/>
        <w:ind w:firstLine="1440"/>
        <w:contextualSpacing/>
        <w:rPr>
          <w:sz w:val="26"/>
          <w:szCs w:val="26"/>
        </w:rPr>
      </w:pPr>
      <w:r w:rsidRPr="0092195B">
        <w:rPr>
          <w:sz w:val="26"/>
          <w:szCs w:val="26"/>
        </w:rPr>
        <w:t xml:space="preserve">We shall deny the Complainant’s Exceptions and adopt the Initial Decision of ALJ </w:t>
      </w:r>
      <w:r w:rsidR="00ED30D4">
        <w:rPr>
          <w:sz w:val="26"/>
          <w:szCs w:val="26"/>
        </w:rPr>
        <w:t>Myers</w:t>
      </w:r>
      <w:r w:rsidRPr="0092195B">
        <w:rPr>
          <w:sz w:val="26"/>
          <w:szCs w:val="26"/>
        </w:rPr>
        <w:t xml:space="preserve"> consistent with the following discussion.  </w:t>
      </w:r>
    </w:p>
    <w:p w14:paraId="175842AA" w14:textId="77777777" w:rsidR="000A242F" w:rsidRDefault="000A242F" w:rsidP="0085198F">
      <w:pPr>
        <w:spacing w:line="360" w:lineRule="auto"/>
        <w:ind w:firstLine="1440"/>
        <w:contextualSpacing/>
        <w:rPr>
          <w:sz w:val="26"/>
          <w:szCs w:val="26"/>
        </w:rPr>
      </w:pPr>
    </w:p>
    <w:p w14:paraId="43BE5477" w14:textId="0D42D78E" w:rsidR="002F1DAD" w:rsidRDefault="0085198F" w:rsidP="0085198F">
      <w:pPr>
        <w:spacing w:line="360" w:lineRule="auto"/>
        <w:ind w:firstLine="1440"/>
        <w:contextualSpacing/>
        <w:rPr>
          <w:sz w:val="26"/>
          <w:szCs w:val="26"/>
        </w:rPr>
      </w:pPr>
      <w:r>
        <w:rPr>
          <w:sz w:val="26"/>
          <w:szCs w:val="26"/>
        </w:rPr>
        <w:t xml:space="preserve">In </w:t>
      </w:r>
      <w:r w:rsidR="000A242F">
        <w:rPr>
          <w:sz w:val="26"/>
          <w:szCs w:val="26"/>
        </w:rPr>
        <w:t xml:space="preserve">his first </w:t>
      </w:r>
      <w:r>
        <w:rPr>
          <w:sz w:val="26"/>
          <w:szCs w:val="26"/>
        </w:rPr>
        <w:t>Exception</w:t>
      </w:r>
      <w:r w:rsidR="00874B71">
        <w:rPr>
          <w:sz w:val="26"/>
          <w:szCs w:val="26"/>
        </w:rPr>
        <w:t xml:space="preserve">, </w:t>
      </w:r>
      <w:r w:rsidR="003F711E">
        <w:rPr>
          <w:sz w:val="26"/>
          <w:szCs w:val="26"/>
        </w:rPr>
        <w:t>the Complai</w:t>
      </w:r>
      <w:r w:rsidR="00A14A28">
        <w:rPr>
          <w:sz w:val="26"/>
          <w:szCs w:val="26"/>
        </w:rPr>
        <w:t>n</w:t>
      </w:r>
      <w:r w:rsidR="003F711E">
        <w:rPr>
          <w:sz w:val="26"/>
          <w:szCs w:val="26"/>
        </w:rPr>
        <w:t xml:space="preserve">ant </w:t>
      </w:r>
      <w:r w:rsidR="000A242F">
        <w:rPr>
          <w:sz w:val="26"/>
          <w:szCs w:val="26"/>
        </w:rPr>
        <w:t xml:space="preserve">cites to </w:t>
      </w:r>
      <w:r w:rsidR="00F1204A">
        <w:rPr>
          <w:sz w:val="26"/>
          <w:szCs w:val="26"/>
        </w:rPr>
        <w:t xml:space="preserve">the BCS </w:t>
      </w:r>
      <w:r w:rsidR="00403144">
        <w:rPr>
          <w:sz w:val="26"/>
          <w:szCs w:val="26"/>
        </w:rPr>
        <w:t>I</w:t>
      </w:r>
      <w:r w:rsidR="00F1204A">
        <w:rPr>
          <w:sz w:val="26"/>
          <w:szCs w:val="26"/>
        </w:rPr>
        <w:t xml:space="preserve">nformal </w:t>
      </w:r>
      <w:r w:rsidR="00403144">
        <w:rPr>
          <w:sz w:val="26"/>
          <w:szCs w:val="26"/>
        </w:rPr>
        <w:t>D</w:t>
      </w:r>
      <w:r w:rsidR="00F1204A">
        <w:rPr>
          <w:sz w:val="26"/>
          <w:szCs w:val="26"/>
        </w:rPr>
        <w:t xml:space="preserve">ecision </w:t>
      </w:r>
      <w:r w:rsidR="00403144">
        <w:rPr>
          <w:sz w:val="26"/>
          <w:szCs w:val="26"/>
        </w:rPr>
        <w:t>N</w:t>
      </w:r>
      <w:r w:rsidR="00F1204A">
        <w:rPr>
          <w:sz w:val="26"/>
          <w:szCs w:val="26"/>
        </w:rPr>
        <w:t xml:space="preserve">o. </w:t>
      </w:r>
      <w:r w:rsidR="0036200E">
        <w:rPr>
          <w:sz w:val="26"/>
          <w:szCs w:val="26"/>
        </w:rPr>
        <w:t>3670962</w:t>
      </w:r>
      <w:r w:rsidR="000D1B5C">
        <w:rPr>
          <w:sz w:val="26"/>
          <w:szCs w:val="26"/>
        </w:rPr>
        <w:t xml:space="preserve">, </w:t>
      </w:r>
      <w:r w:rsidR="000D1B5C" w:rsidRPr="000D1B5C">
        <w:rPr>
          <w:i/>
          <w:iCs/>
          <w:sz w:val="26"/>
          <w:szCs w:val="26"/>
        </w:rPr>
        <w:t>supra</w:t>
      </w:r>
      <w:r w:rsidR="000D1B5C">
        <w:rPr>
          <w:sz w:val="26"/>
          <w:szCs w:val="26"/>
        </w:rPr>
        <w:t xml:space="preserve">, </w:t>
      </w:r>
      <w:r w:rsidR="00166316">
        <w:rPr>
          <w:sz w:val="26"/>
          <w:szCs w:val="26"/>
        </w:rPr>
        <w:t xml:space="preserve">to </w:t>
      </w:r>
      <w:r w:rsidR="000A242F">
        <w:rPr>
          <w:sz w:val="26"/>
          <w:szCs w:val="26"/>
        </w:rPr>
        <w:t>substantiate and argue his claim</w:t>
      </w:r>
      <w:r w:rsidR="000D1B5C">
        <w:rPr>
          <w:sz w:val="26"/>
          <w:szCs w:val="26"/>
        </w:rPr>
        <w:t>, as stated in his Complaint,</w:t>
      </w:r>
      <w:r w:rsidR="000A242F">
        <w:rPr>
          <w:sz w:val="26"/>
          <w:szCs w:val="26"/>
        </w:rPr>
        <w:t xml:space="preserve"> </w:t>
      </w:r>
      <w:r w:rsidR="00550CC8">
        <w:rPr>
          <w:sz w:val="26"/>
          <w:szCs w:val="26"/>
        </w:rPr>
        <w:t xml:space="preserve">that a portion of </w:t>
      </w:r>
      <w:r w:rsidR="0094793D">
        <w:rPr>
          <w:sz w:val="26"/>
          <w:szCs w:val="26"/>
        </w:rPr>
        <w:t xml:space="preserve">the </w:t>
      </w:r>
      <w:r w:rsidR="009015BA">
        <w:rPr>
          <w:sz w:val="26"/>
          <w:szCs w:val="26"/>
        </w:rPr>
        <w:t xml:space="preserve">balance </w:t>
      </w:r>
      <w:r w:rsidR="000D1B5C">
        <w:rPr>
          <w:sz w:val="26"/>
          <w:szCs w:val="26"/>
        </w:rPr>
        <w:t xml:space="preserve">PPL seeks to collect from him </w:t>
      </w:r>
      <w:r w:rsidR="00646E7E">
        <w:rPr>
          <w:sz w:val="26"/>
          <w:szCs w:val="26"/>
        </w:rPr>
        <w:t>accrued out of the four-year rule, which is</w:t>
      </w:r>
      <w:r w:rsidR="006F2113">
        <w:rPr>
          <w:sz w:val="26"/>
          <w:szCs w:val="26"/>
        </w:rPr>
        <w:t xml:space="preserve"> </w:t>
      </w:r>
      <w:r w:rsidR="004641F9">
        <w:rPr>
          <w:sz w:val="26"/>
          <w:szCs w:val="26"/>
        </w:rPr>
        <w:t xml:space="preserve">outside the Commission’s jurisdiction.  </w:t>
      </w:r>
      <w:r w:rsidR="00E41A8A">
        <w:rPr>
          <w:sz w:val="26"/>
          <w:szCs w:val="26"/>
        </w:rPr>
        <w:t>As explained above, because o</w:t>
      </w:r>
      <w:r w:rsidR="004F2AE4" w:rsidRPr="004F2AE4">
        <w:rPr>
          <w:sz w:val="26"/>
          <w:szCs w:val="26"/>
        </w:rPr>
        <w:t xml:space="preserve">ur </w:t>
      </w:r>
      <w:r w:rsidR="004F2AE4" w:rsidRPr="004F2AE4">
        <w:rPr>
          <w:sz w:val="26"/>
          <w:szCs w:val="26"/>
        </w:rPr>
        <w:lastRenderedPageBreak/>
        <w:t xml:space="preserve">decision is </w:t>
      </w:r>
      <w:r w:rsidR="007A7CDE" w:rsidRPr="007A7CDE">
        <w:rPr>
          <w:i/>
          <w:iCs/>
          <w:sz w:val="26"/>
          <w:szCs w:val="26"/>
        </w:rPr>
        <w:t>de novo</w:t>
      </w:r>
      <w:r w:rsidR="007A7CDE">
        <w:rPr>
          <w:sz w:val="26"/>
          <w:szCs w:val="26"/>
        </w:rPr>
        <w:t xml:space="preserve"> and </w:t>
      </w:r>
      <w:r w:rsidR="004F2AE4" w:rsidRPr="004F2AE4">
        <w:rPr>
          <w:sz w:val="26"/>
          <w:szCs w:val="26"/>
        </w:rPr>
        <w:t xml:space="preserve">based solely upon the record in this matter, </w:t>
      </w:r>
      <w:r w:rsidR="00E41A8A">
        <w:rPr>
          <w:sz w:val="26"/>
          <w:szCs w:val="26"/>
        </w:rPr>
        <w:t xml:space="preserve">we will not rely upon the BCS decision </w:t>
      </w:r>
      <w:r w:rsidR="000B7064">
        <w:rPr>
          <w:sz w:val="26"/>
          <w:szCs w:val="26"/>
        </w:rPr>
        <w:t>for any facts or analysis</w:t>
      </w:r>
      <w:r w:rsidR="00E41A8A">
        <w:rPr>
          <w:sz w:val="26"/>
          <w:szCs w:val="26"/>
        </w:rPr>
        <w:t xml:space="preserve">.  </w:t>
      </w:r>
    </w:p>
    <w:p w14:paraId="57E0688E" w14:textId="5717E275" w:rsidR="00E41A8A" w:rsidRDefault="00E41A8A" w:rsidP="0085198F">
      <w:pPr>
        <w:spacing w:line="360" w:lineRule="auto"/>
        <w:ind w:firstLine="1440"/>
        <w:contextualSpacing/>
        <w:rPr>
          <w:sz w:val="26"/>
          <w:szCs w:val="26"/>
        </w:rPr>
      </w:pPr>
    </w:p>
    <w:p w14:paraId="44CA7E68" w14:textId="185825B6" w:rsidR="008974F2" w:rsidRDefault="005B6B2A" w:rsidP="00BB035F">
      <w:pPr>
        <w:spacing w:line="360" w:lineRule="auto"/>
        <w:ind w:firstLine="1440"/>
        <w:contextualSpacing/>
        <w:rPr>
          <w:sz w:val="26"/>
          <w:szCs w:val="26"/>
        </w:rPr>
      </w:pPr>
      <w:r>
        <w:rPr>
          <w:sz w:val="26"/>
          <w:szCs w:val="26"/>
        </w:rPr>
        <w:t>Nevertheless, w</w:t>
      </w:r>
      <w:r w:rsidR="00E41A8A">
        <w:rPr>
          <w:sz w:val="26"/>
          <w:szCs w:val="26"/>
        </w:rPr>
        <w:t>e note that th</w:t>
      </w:r>
      <w:r>
        <w:rPr>
          <w:sz w:val="26"/>
          <w:szCs w:val="26"/>
        </w:rPr>
        <w:t>e Complainant’s</w:t>
      </w:r>
      <w:r w:rsidR="00E41A8A">
        <w:rPr>
          <w:sz w:val="26"/>
          <w:szCs w:val="26"/>
        </w:rPr>
        <w:t xml:space="preserve"> claim about the account </w:t>
      </w:r>
      <w:r w:rsidR="00EC0A5D">
        <w:rPr>
          <w:sz w:val="26"/>
          <w:szCs w:val="26"/>
        </w:rPr>
        <w:t>balance</w:t>
      </w:r>
      <w:r w:rsidR="00E41A8A">
        <w:rPr>
          <w:sz w:val="26"/>
          <w:szCs w:val="26"/>
        </w:rPr>
        <w:t xml:space="preserve"> </w:t>
      </w:r>
      <w:r w:rsidR="00EC0A5D">
        <w:rPr>
          <w:sz w:val="26"/>
          <w:szCs w:val="26"/>
        </w:rPr>
        <w:t xml:space="preserve">transferred to his current account </w:t>
      </w:r>
      <w:r w:rsidR="00E41A8A">
        <w:rPr>
          <w:sz w:val="26"/>
          <w:szCs w:val="26"/>
        </w:rPr>
        <w:t>being over four years old was initially raised in the Complaint</w:t>
      </w:r>
      <w:r w:rsidR="003A2D10">
        <w:rPr>
          <w:sz w:val="26"/>
          <w:szCs w:val="26"/>
        </w:rPr>
        <w:t>.</w:t>
      </w:r>
      <w:r w:rsidR="00C2267A">
        <w:rPr>
          <w:sz w:val="26"/>
          <w:szCs w:val="26"/>
        </w:rPr>
        <w:t xml:space="preserve"> </w:t>
      </w:r>
      <w:r w:rsidR="00C640E3">
        <w:rPr>
          <w:sz w:val="26"/>
          <w:szCs w:val="26"/>
        </w:rPr>
        <w:t xml:space="preserve"> In its Answer, PPL denied the allegation and explained that “the balance transferred to [the] Complainant’s current account from</w:t>
      </w:r>
      <w:r w:rsidR="00B75131">
        <w:rPr>
          <w:sz w:val="26"/>
          <w:szCs w:val="26"/>
        </w:rPr>
        <w:t xml:space="preserve"> [the Complainant’s prior account]</w:t>
      </w:r>
      <w:r w:rsidR="00C640E3">
        <w:rPr>
          <w:sz w:val="26"/>
          <w:szCs w:val="26"/>
        </w:rPr>
        <w:t xml:space="preserve"> was done so in less than four </w:t>
      </w:r>
      <w:r w:rsidR="00B75131">
        <w:rPr>
          <w:sz w:val="26"/>
          <w:szCs w:val="26"/>
        </w:rPr>
        <w:t>(4) years.  Accordingly, such transfer is valid.”</w:t>
      </w:r>
      <w:r w:rsidR="000B7064">
        <w:rPr>
          <w:sz w:val="26"/>
          <w:szCs w:val="26"/>
        </w:rPr>
        <w:t xml:space="preserve"> </w:t>
      </w:r>
      <w:r w:rsidR="0037301F">
        <w:rPr>
          <w:sz w:val="26"/>
          <w:szCs w:val="26"/>
        </w:rPr>
        <w:t xml:space="preserve"> </w:t>
      </w:r>
      <w:r w:rsidR="00723D01">
        <w:rPr>
          <w:sz w:val="26"/>
          <w:szCs w:val="26"/>
        </w:rPr>
        <w:t>T</w:t>
      </w:r>
      <w:r>
        <w:rPr>
          <w:sz w:val="26"/>
          <w:szCs w:val="26"/>
        </w:rPr>
        <w:t xml:space="preserve">he </w:t>
      </w:r>
      <w:r w:rsidR="00FC0909">
        <w:rPr>
          <w:sz w:val="26"/>
          <w:szCs w:val="26"/>
        </w:rPr>
        <w:t xml:space="preserve">Complainant does not cite to any statute provision or Commission Regulation </w:t>
      </w:r>
      <w:r w:rsidR="007813E1">
        <w:rPr>
          <w:sz w:val="26"/>
          <w:szCs w:val="26"/>
        </w:rPr>
        <w:t xml:space="preserve">or make legal argument </w:t>
      </w:r>
      <w:r w:rsidR="00FC0909">
        <w:rPr>
          <w:sz w:val="26"/>
          <w:szCs w:val="26"/>
        </w:rPr>
        <w:t xml:space="preserve">in support of his claim and the </w:t>
      </w:r>
      <w:r>
        <w:rPr>
          <w:sz w:val="26"/>
          <w:szCs w:val="26"/>
        </w:rPr>
        <w:t>Initial Decision does not address the issue.</w:t>
      </w:r>
      <w:r w:rsidR="008974F2">
        <w:rPr>
          <w:sz w:val="26"/>
          <w:szCs w:val="26"/>
        </w:rPr>
        <w:t xml:space="preserve">  </w:t>
      </w:r>
    </w:p>
    <w:p w14:paraId="316041A6" w14:textId="77777777" w:rsidR="008974F2" w:rsidRDefault="008974F2" w:rsidP="00BB035F">
      <w:pPr>
        <w:spacing w:line="360" w:lineRule="auto"/>
        <w:ind w:firstLine="1440"/>
        <w:contextualSpacing/>
        <w:rPr>
          <w:sz w:val="26"/>
          <w:szCs w:val="26"/>
        </w:rPr>
      </w:pPr>
    </w:p>
    <w:p w14:paraId="65071735" w14:textId="6748AD56" w:rsidR="008974F2" w:rsidRDefault="004F0E91" w:rsidP="00BB035F">
      <w:pPr>
        <w:spacing w:line="360" w:lineRule="auto"/>
        <w:ind w:firstLine="1440"/>
        <w:contextualSpacing/>
        <w:rPr>
          <w:sz w:val="26"/>
          <w:szCs w:val="26"/>
        </w:rPr>
      </w:pPr>
      <w:r>
        <w:rPr>
          <w:sz w:val="26"/>
          <w:szCs w:val="26"/>
        </w:rPr>
        <w:t>R</w:t>
      </w:r>
      <w:r w:rsidR="007813E1">
        <w:rPr>
          <w:sz w:val="26"/>
          <w:szCs w:val="26"/>
        </w:rPr>
        <w:t xml:space="preserve">ecognizing that the Complainant is </w:t>
      </w:r>
      <w:r w:rsidR="007813E1" w:rsidRPr="007813E1">
        <w:rPr>
          <w:i/>
          <w:iCs/>
          <w:sz w:val="26"/>
          <w:szCs w:val="26"/>
        </w:rPr>
        <w:t>pro se</w:t>
      </w:r>
      <w:r w:rsidR="007813E1">
        <w:rPr>
          <w:sz w:val="26"/>
          <w:szCs w:val="26"/>
        </w:rPr>
        <w:t xml:space="preserve">, we will </w:t>
      </w:r>
      <w:r w:rsidR="006B4DB4">
        <w:rPr>
          <w:sz w:val="26"/>
          <w:szCs w:val="26"/>
        </w:rPr>
        <w:t>address</w:t>
      </w:r>
      <w:r w:rsidR="007813E1">
        <w:rPr>
          <w:sz w:val="26"/>
          <w:szCs w:val="26"/>
        </w:rPr>
        <w:t xml:space="preserve"> why </w:t>
      </w:r>
      <w:r w:rsidR="00514DF2">
        <w:rPr>
          <w:sz w:val="26"/>
          <w:szCs w:val="26"/>
        </w:rPr>
        <w:t>his</w:t>
      </w:r>
      <w:r w:rsidR="007813E1">
        <w:rPr>
          <w:sz w:val="26"/>
          <w:szCs w:val="26"/>
        </w:rPr>
        <w:t xml:space="preserve"> claim</w:t>
      </w:r>
      <w:r w:rsidR="00514DF2">
        <w:rPr>
          <w:sz w:val="26"/>
          <w:szCs w:val="26"/>
        </w:rPr>
        <w:t xml:space="preserve"> </w:t>
      </w:r>
      <w:r w:rsidR="00471769">
        <w:rPr>
          <w:sz w:val="26"/>
          <w:szCs w:val="26"/>
        </w:rPr>
        <w:t>regarding PPL’s attempt to collect</w:t>
      </w:r>
      <w:r w:rsidR="00A07BEB">
        <w:rPr>
          <w:sz w:val="26"/>
          <w:szCs w:val="26"/>
        </w:rPr>
        <w:t xml:space="preserve"> </w:t>
      </w:r>
      <w:r w:rsidR="00DC3032">
        <w:rPr>
          <w:sz w:val="26"/>
          <w:szCs w:val="26"/>
        </w:rPr>
        <w:t>the</w:t>
      </w:r>
      <w:r w:rsidR="00514DF2">
        <w:rPr>
          <w:sz w:val="26"/>
          <w:szCs w:val="26"/>
        </w:rPr>
        <w:t xml:space="preserve"> outstanding account balance</w:t>
      </w:r>
      <w:r w:rsidR="00DC3032">
        <w:rPr>
          <w:sz w:val="26"/>
          <w:szCs w:val="26"/>
        </w:rPr>
        <w:t xml:space="preserve"> due</w:t>
      </w:r>
      <w:r w:rsidR="00487F87">
        <w:rPr>
          <w:sz w:val="26"/>
          <w:szCs w:val="26"/>
        </w:rPr>
        <w:t xml:space="preserve"> on his account</w:t>
      </w:r>
      <w:r w:rsidR="00DC3032">
        <w:rPr>
          <w:sz w:val="26"/>
          <w:szCs w:val="26"/>
        </w:rPr>
        <w:t xml:space="preserve">, </w:t>
      </w:r>
      <w:r w:rsidR="0087694B">
        <w:rPr>
          <w:sz w:val="26"/>
          <w:szCs w:val="26"/>
        </w:rPr>
        <w:t xml:space="preserve">a portion of </w:t>
      </w:r>
      <w:r w:rsidR="00DC3032">
        <w:rPr>
          <w:sz w:val="26"/>
          <w:szCs w:val="26"/>
        </w:rPr>
        <w:t>which</w:t>
      </w:r>
      <w:r w:rsidR="00471769">
        <w:rPr>
          <w:sz w:val="26"/>
          <w:szCs w:val="26"/>
        </w:rPr>
        <w:t xml:space="preserve"> is </w:t>
      </w:r>
      <w:r w:rsidR="00514DF2">
        <w:rPr>
          <w:sz w:val="26"/>
          <w:szCs w:val="26"/>
        </w:rPr>
        <w:t>over four years old</w:t>
      </w:r>
      <w:r w:rsidR="00DC3032">
        <w:rPr>
          <w:sz w:val="26"/>
          <w:szCs w:val="26"/>
        </w:rPr>
        <w:t>,</w:t>
      </w:r>
      <w:r w:rsidR="00514DF2">
        <w:rPr>
          <w:sz w:val="26"/>
          <w:szCs w:val="26"/>
        </w:rPr>
        <w:t xml:space="preserve"> </w:t>
      </w:r>
      <w:r w:rsidR="007813E1">
        <w:rPr>
          <w:sz w:val="26"/>
          <w:szCs w:val="26"/>
        </w:rPr>
        <w:t xml:space="preserve">is meritless in this proceeding.  </w:t>
      </w:r>
      <w:r w:rsidR="004958A9">
        <w:rPr>
          <w:sz w:val="26"/>
          <w:szCs w:val="26"/>
        </w:rPr>
        <w:t>A</w:t>
      </w:r>
      <w:r w:rsidR="006E03E3">
        <w:rPr>
          <w:sz w:val="26"/>
          <w:szCs w:val="26"/>
        </w:rPr>
        <w:t xml:space="preserve">t the hearing, PPL’s exhibits show that the Complainant’s account is served under a residential rate schedule.  </w:t>
      </w:r>
      <w:r w:rsidR="006A3A32">
        <w:rPr>
          <w:sz w:val="26"/>
          <w:szCs w:val="26"/>
        </w:rPr>
        <w:t xml:space="preserve">PPL Exh. </w:t>
      </w:r>
      <w:r w:rsidR="002A16D7">
        <w:rPr>
          <w:sz w:val="26"/>
          <w:szCs w:val="26"/>
        </w:rPr>
        <w:t xml:space="preserve">8.  </w:t>
      </w:r>
      <w:r w:rsidR="00B415DE">
        <w:rPr>
          <w:sz w:val="26"/>
          <w:szCs w:val="26"/>
        </w:rPr>
        <w:t>As a residential account, it is subject to the Commission’s Chapter 56 Regulations,</w:t>
      </w:r>
      <w:r w:rsidR="00F766D5">
        <w:rPr>
          <w:sz w:val="26"/>
          <w:szCs w:val="26"/>
        </w:rPr>
        <w:t xml:space="preserve"> including</w:t>
      </w:r>
      <w:r w:rsidR="00B415DE">
        <w:rPr>
          <w:sz w:val="26"/>
          <w:szCs w:val="26"/>
        </w:rPr>
        <w:t xml:space="preserve"> specifically </w:t>
      </w:r>
      <w:r w:rsidR="00115B7B">
        <w:rPr>
          <w:sz w:val="26"/>
          <w:szCs w:val="26"/>
        </w:rPr>
        <w:t xml:space="preserve">Section 56.35(a), which states: </w:t>
      </w:r>
    </w:p>
    <w:p w14:paraId="40A808BE" w14:textId="77777777" w:rsidR="008974F2" w:rsidRDefault="008974F2" w:rsidP="008974F2">
      <w:pPr>
        <w:spacing w:line="360" w:lineRule="auto"/>
        <w:contextualSpacing/>
        <w:rPr>
          <w:sz w:val="26"/>
          <w:szCs w:val="26"/>
        </w:rPr>
      </w:pPr>
    </w:p>
    <w:p w14:paraId="28FA7CF1" w14:textId="503E1D30" w:rsidR="00BB035F" w:rsidRPr="00033D63" w:rsidRDefault="00BB035F" w:rsidP="00033D63">
      <w:pPr>
        <w:spacing w:after="0" w:line="240" w:lineRule="auto"/>
        <w:ind w:left="1440" w:right="1440"/>
        <w:contextualSpacing/>
        <w:rPr>
          <w:sz w:val="26"/>
          <w:szCs w:val="26"/>
        </w:rPr>
      </w:pPr>
      <w:r w:rsidRPr="00033D63">
        <w:rPr>
          <w:color w:val="000000"/>
          <w:sz w:val="26"/>
          <w:szCs w:val="26"/>
        </w:rPr>
        <w:t>A public utility may require, as a condition of the furnishing of residential service to an applicant, the payment of any outstanding residential</w:t>
      </w:r>
      <w:r w:rsidR="008974F2" w:rsidRPr="00033D63">
        <w:rPr>
          <w:color w:val="000000"/>
          <w:sz w:val="26"/>
          <w:szCs w:val="26"/>
        </w:rPr>
        <w:t xml:space="preserve"> account </w:t>
      </w:r>
      <w:r w:rsidRPr="00033D63">
        <w:rPr>
          <w:color w:val="000000"/>
          <w:sz w:val="26"/>
          <w:szCs w:val="26"/>
        </w:rPr>
        <w:t>with the public utility which accrued within the past</w:t>
      </w:r>
      <w:r w:rsidR="008974F2" w:rsidRPr="00033D63">
        <w:rPr>
          <w:color w:val="000000"/>
          <w:sz w:val="26"/>
          <w:szCs w:val="26"/>
        </w:rPr>
        <w:t xml:space="preserve"> 4 years </w:t>
      </w:r>
      <w:r w:rsidRPr="00033D63">
        <w:rPr>
          <w:color w:val="000000"/>
          <w:sz w:val="26"/>
          <w:szCs w:val="26"/>
        </w:rPr>
        <w:t>for which the applicant is legally responsible and for which the applicant was billed properly.</w:t>
      </w:r>
    </w:p>
    <w:p w14:paraId="0CC11000" w14:textId="79F2A445" w:rsidR="006A3A32" w:rsidRDefault="006A3A32" w:rsidP="008974F2">
      <w:pPr>
        <w:spacing w:line="360" w:lineRule="auto"/>
        <w:contextualSpacing/>
        <w:rPr>
          <w:sz w:val="26"/>
          <w:szCs w:val="26"/>
        </w:rPr>
      </w:pPr>
    </w:p>
    <w:p w14:paraId="6C94EDE4" w14:textId="0A32D3D8" w:rsidR="008974F2" w:rsidRDefault="008974F2" w:rsidP="008974F2">
      <w:pPr>
        <w:spacing w:line="360" w:lineRule="auto"/>
        <w:contextualSpacing/>
        <w:rPr>
          <w:sz w:val="26"/>
          <w:szCs w:val="26"/>
        </w:rPr>
      </w:pPr>
      <w:r>
        <w:rPr>
          <w:sz w:val="26"/>
          <w:szCs w:val="26"/>
        </w:rPr>
        <w:t>52 Pa. Code § 56.35(a).</w:t>
      </w:r>
      <w:r w:rsidR="006F5C2A">
        <w:rPr>
          <w:sz w:val="26"/>
          <w:szCs w:val="26"/>
        </w:rPr>
        <w:t xml:space="preserve">  This Regulation has been interpreted to mean that </w:t>
      </w:r>
      <w:r w:rsidR="00C74143">
        <w:rPr>
          <w:sz w:val="26"/>
          <w:szCs w:val="26"/>
        </w:rPr>
        <w:t>Section 56.35</w:t>
      </w:r>
      <w:r w:rsidR="00061198">
        <w:rPr>
          <w:sz w:val="26"/>
          <w:szCs w:val="26"/>
        </w:rPr>
        <w:t>(a)</w:t>
      </w:r>
      <w:r w:rsidR="00C74143">
        <w:rPr>
          <w:sz w:val="26"/>
          <w:szCs w:val="26"/>
        </w:rPr>
        <w:t xml:space="preserve"> does not prohibit a utility from holding a customer responsible for a total account balance that includes amounts that are over four years old; rather, it prohibits a utility from requiring an applicant for new service to pay an outstanding balance that accrued longer than four years prior to the request for new</w:t>
      </w:r>
      <w:r w:rsidR="00FA0409">
        <w:rPr>
          <w:sz w:val="26"/>
          <w:szCs w:val="26"/>
        </w:rPr>
        <w:t xml:space="preserve"> service, as a condition of </w:t>
      </w:r>
      <w:r w:rsidR="00FA0409">
        <w:rPr>
          <w:sz w:val="26"/>
          <w:szCs w:val="26"/>
        </w:rPr>
        <w:lastRenderedPageBreak/>
        <w:t xml:space="preserve">furnishing that service to the applicant. </w:t>
      </w:r>
      <w:r w:rsidR="005F6D5E">
        <w:rPr>
          <w:sz w:val="26"/>
          <w:szCs w:val="26"/>
        </w:rPr>
        <w:t xml:space="preserve"> </w:t>
      </w:r>
      <w:r w:rsidR="00033D63">
        <w:rPr>
          <w:i/>
          <w:sz w:val="26"/>
          <w:szCs w:val="26"/>
        </w:rPr>
        <w:t>S</w:t>
      </w:r>
      <w:r w:rsidR="00033D63" w:rsidRPr="002E573B">
        <w:rPr>
          <w:i/>
          <w:sz w:val="26"/>
          <w:szCs w:val="26"/>
        </w:rPr>
        <w:t>ee</w:t>
      </w:r>
      <w:r w:rsidR="00667ED3">
        <w:rPr>
          <w:i/>
          <w:sz w:val="26"/>
          <w:szCs w:val="26"/>
        </w:rPr>
        <w:t>,</w:t>
      </w:r>
      <w:r w:rsidR="00033D63" w:rsidRPr="002E573B">
        <w:rPr>
          <w:i/>
          <w:sz w:val="26"/>
          <w:szCs w:val="26"/>
        </w:rPr>
        <w:t xml:space="preserve"> Beth </w:t>
      </w:r>
      <w:proofErr w:type="spellStart"/>
      <w:r w:rsidR="00033D63" w:rsidRPr="002E573B">
        <w:rPr>
          <w:i/>
          <w:sz w:val="26"/>
          <w:szCs w:val="26"/>
        </w:rPr>
        <w:t>Trivelpiece</w:t>
      </w:r>
      <w:proofErr w:type="spellEnd"/>
      <w:r w:rsidR="00033D63" w:rsidRPr="002E573B">
        <w:rPr>
          <w:i/>
          <w:sz w:val="26"/>
          <w:szCs w:val="26"/>
        </w:rPr>
        <w:t xml:space="preserve"> v. PECO Energy Co.,</w:t>
      </w:r>
      <w:r w:rsidR="00033D63" w:rsidRPr="002E573B">
        <w:rPr>
          <w:sz w:val="26"/>
          <w:szCs w:val="26"/>
        </w:rPr>
        <w:t xml:space="preserve"> Docket No. C-2015-2462644 (Order entered September 22, 2016).</w:t>
      </w:r>
    </w:p>
    <w:p w14:paraId="4F0121FD" w14:textId="77777777" w:rsidR="006A3A32" w:rsidRDefault="006A3A32" w:rsidP="00B02D6F">
      <w:pPr>
        <w:spacing w:line="360" w:lineRule="auto"/>
        <w:ind w:firstLine="1440"/>
        <w:contextualSpacing/>
        <w:rPr>
          <w:sz w:val="26"/>
          <w:szCs w:val="26"/>
        </w:rPr>
      </w:pPr>
    </w:p>
    <w:p w14:paraId="6543D875" w14:textId="7BBDD6A1" w:rsidR="002F1DAD" w:rsidRDefault="006A3A32" w:rsidP="005207E2">
      <w:pPr>
        <w:spacing w:line="360" w:lineRule="auto"/>
        <w:ind w:firstLine="1440"/>
        <w:contextualSpacing/>
        <w:rPr>
          <w:sz w:val="26"/>
          <w:szCs w:val="26"/>
        </w:rPr>
      </w:pPr>
      <w:r>
        <w:rPr>
          <w:sz w:val="26"/>
          <w:szCs w:val="26"/>
        </w:rPr>
        <w:t>At the hearing, it</w:t>
      </w:r>
      <w:r w:rsidR="00A22FBC">
        <w:rPr>
          <w:sz w:val="26"/>
          <w:szCs w:val="26"/>
        </w:rPr>
        <w:t xml:space="preserve"> was established that the balance associated with the foreign load account was transferred to </w:t>
      </w:r>
      <w:r w:rsidR="00304D12">
        <w:rPr>
          <w:sz w:val="26"/>
          <w:szCs w:val="26"/>
        </w:rPr>
        <w:t>the Complainant’s</w:t>
      </w:r>
      <w:r w:rsidR="00A22FBC">
        <w:rPr>
          <w:sz w:val="26"/>
          <w:szCs w:val="26"/>
        </w:rPr>
        <w:t xml:space="preserve"> account</w:t>
      </w:r>
      <w:r w:rsidR="00C05798">
        <w:rPr>
          <w:sz w:val="26"/>
          <w:szCs w:val="26"/>
        </w:rPr>
        <w:t xml:space="preserve"> ending in 10</w:t>
      </w:r>
      <w:r w:rsidR="003F62E9">
        <w:rPr>
          <w:sz w:val="26"/>
          <w:szCs w:val="26"/>
        </w:rPr>
        <w:t>87</w:t>
      </w:r>
      <w:r w:rsidR="00304D12">
        <w:rPr>
          <w:sz w:val="26"/>
          <w:szCs w:val="26"/>
        </w:rPr>
        <w:t>, in the name of Silver Valley Apartments,</w:t>
      </w:r>
      <w:r w:rsidR="00A22FBC">
        <w:rPr>
          <w:sz w:val="26"/>
          <w:szCs w:val="26"/>
        </w:rPr>
        <w:t xml:space="preserve"> </w:t>
      </w:r>
      <w:r w:rsidR="0081460C">
        <w:rPr>
          <w:sz w:val="26"/>
          <w:szCs w:val="26"/>
        </w:rPr>
        <w:t>a</w:t>
      </w:r>
      <w:r w:rsidR="00E350C2">
        <w:rPr>
          <w:sz w:val="26"/>
          <w:szCs w:val="26"/>
        </w:rPr>
        <w:t xml:space="preserve">t </w:t>
      </w:r>
      <w:r w:rsidR="00304D12">
        <w:rPr>
          <w:sz w:val="26"/>
          <w:szCs w:val="26"/>
        </w:rPr>
        <w:t>the</w:t>
      </w:r>
      <w:r w:rsidR="00E350C2">
        <w:rPr>
          <w:sz w:val="26"/>
          <w:szCs w:val="26"/>
        </w:rPr>
        <w:t xml:space="preserve"> service address</w:t>
      </w:r>
      <w:r w:rsidR="00304D12">
        <w:rPr>
          <w:sz w:val="26"/>
          <w:szCs w:val="26"/>
        </w:rPr>
        <w:t xml:space="preserve"> of record,</w:t>
      </w:r>
      <w:r w:rsidR="00E350C2">
        <w:rPr>
          <w:sz w:val="26"/>
          <w:szCs w:val="26"/>
        </w:rPr>
        <w:t xml:space="preserve"> </w:t>
      </w:r>
      <w:r w:rsidR="00A22FBC">
        <w:rPr>
          <w:sz w:val="26"/>
          <w:szCs w:val="26"/>
        </w:rPr>
        <w:t xml:space="preserve">on February 17, 2012 in the amount of $1,192.83. </w:t>
      </w:r>
      <w:r w:rsidR="00FD0C2F">
        <w:rPr>
          <w:sz w:val="26"/>
          <w:szCs w:val="26"/>
        </w:rPr>
        <w:t xml:space="preserve"> Tr. at 32, 33.  </w:t>
      </w:r>
      <w:r w:rsidR="0081460C">
        <w:rPr>
          <w:sz w:val="26"/>
          <w:szCs w:val="26"/>
        </w:rPr>
        <w:t>It was also established that</w:t>
      </w:r>
      <w:r w:rsidR="00E350C2">
        <w:rPr>
          <w:sz w:val="26"/>
          <w:szCs w:val="26"/>
        </w:rPr>
        <w:t xml:space="preserve"> the</w:t>
      </w:r>
      <w:r w:rsidR="00014405">
        <w:rPr>
          <w:sz w:val="26"/>
          <w:szCs w:val="26"/>
        </w:rPr>
        <w:t xml:space="preserve"> </w:t>
      </w:r>
      <w:r w:rsidR="00B1751E">
        <w:rPr>
          <w:sz w:val="26"/>
          <w:szCs w:val="26"/>
        </w:rPr>
        <w:t>Complainant’s account ending in 10</w:t>
      </w:r>
      <w:r w:rsidR="003F62E9">
        <w:rPr>
          <w:sz w:val="26"/>
          <w:szCs w:val="26"/>
        </w:rPr>
        <w:t>87</w:t>
      </w:r>
      <w:r w:rsidR="00B1751E">
        <w:rPr>
          <w:sz w:val="26"/>
          <w:szCs w:val="26"/>
        </w:rPr>
        <w:t xml:space="preserve"> </w:t>
      </w:r>
      <w:r w:rsidR="00E717CD">
        <w:rPr>
          <w:sz w:val="26"/>
          <w:szCs w:val="26"/>
        </w:rPr>
        <w:t xml:space="preserve">was closed </w:t>
      </w:r>
      <w:r w:rsidR="00014405">
        <w:rPr>
          <w:sz w:val="26"/>
          <w:szCs w:val="26"/>
        </w:rPr>
        <w:t xml:space="preserve">and </w:t>
      </w:r>
      <w:r w:rsidR="00A809FE">
        <w:rPr>
          <w:sz w:val="26"/>
          <w:szCs w:val="26"/>
        </w:rPr>
        <w:t xml:space="preserve">a </w:t>
      </w:r>
      <w:r w:rsidR="003C0259">
        <w:rPr>
          <w:sz w:val="26"/>
          <w:szCs w:val="26"/>
        </w:rPr>
        <w:t xml:space="preserve">first </w:t>
      </w:r>
      <w:r w:rsidR="00A809FE">
        <w:rPr>
          <w:sz w:val="26"/>
          <w:szCs w:val="26"/>
        </w:rPr>
        <w:t xml:space="preserve">new account </w:t>
      </w:r>
      <w:r w:rsidR="00C05798">
        <w:rPr>
          <w:sz w:val="26"/>
          <w:szCs w:val="26"/>
        </w:rPr>
        <w:t>ending in</w:t>
      </w:r>
      <w:r w:rsidR="003F62E9">
        <w:rPr>
          <w:sz w:val="26"/>
          <w:szCs w:val="26"/>
        </w:rPr>
        <w:t xml:space="preserve"> 1070</w:t>
      </w:r>
      <w:r w:rsidR="00C05798">
        <w:rPr>
          <w:sz w:val="26"/>
          <w:szCs w:val="26"/>
        </w:rPr>
        <w:t xml:space="preserve"> </w:t>
      </w:r>
      <w:r w:rsidR="00A809FE">
        <w:rPr>
          <w:sz w:val="26"/>
          <w:szCs w:val="26"/>
        </w:rPr>
        <w:t xml:space="preserve">was </w:t>
      </w:r>
      <w:r w:rsidR="00014405">
        <w:rPr>
          <w:sz w:val="26"/>
          <w:szCs w:val="26"/>
        </w:rPr>
        <w:t>opened</w:t>
      </w:r>
      <w:r w:rsidR="00C05798">
        <w:rPr>
          <w:sz w:val="26"/>
          <w:szCs w:val="26"/>
        </w:rPr>
        <w:t xml:space="preserve"> for the same service address</w:t>
      </w:r>
      <w:r w:rsidR="003F62E9">
        <w:rPr>
          <w:sz w:val="26"/>
          <w:szCs w:val="26"/>
        </w:rPr>
        <w:t xml:space="preserve"> in the name of Silver Valley Apartments</w:t>
      </w:r>
      <w:r w:rsidR="003C0259">
        <w:rPr>
          <w:sz w:val="26"/>
          <w:szCs w:val="26"/>
        </w:rPr>
        <w:t xml:space="preserve">.  </w:t>
      </w:r>
      <w:r w:rsidR="003F62E9">
        <w:rPr>
          <w:sz w:val="26"/>
          <w:szCs w:val="26"/>
        </w:rPr>
        <w:t xml:space="preserve">The account ending in 1070 was subsequently closed and a </w:t>
      </w:r>
      <w:r w:rsidR="00A809FE">
        <w:rPr>
          <w:sz w:val="26"/>
          <w:szCs w:val="26"/>
        </w:rPr>
        <w:t>second new account</w:t>
      </w:r>
      <w:r w:rsidR="009F1DDF">
        <w:rPr>
          <w:sz w:val="26"/>
          <w:szCs w:val="26"/>
        </w:rPr>
        <w:t xml:space="preserve"> ending in 1114 was opened for </w:t>
      </w:r>
      <w:r w:rsidR="003F62E9">
        <w:rPr>
          <w:sz w:val="26"/>
          <w:szCs w:val="26"/>
        </w:rPr>
        <w:t>the same service addresses</w:t>
      </w:r>
      <w:r w:rsidR="009F1DDF">
        <w:rPr>
          <w:sz w:val="26"/>
          <w:szCs w:val="26"/>
        </w:rPr>
        <w:t xml:space="preserve"> in the name of Silver Valley Apartments.  </w:t>
      </w:r>
      <w:r w:rsidR="00A809FE">
        <w:rPr>
          <w:sz w:val="26"/>
          <w:szCs w:val="26"/>
        </w:rPr>
        <w:t>Each time a</w:t>
      </w:r>
      <w:r w:rsidR="009F1DDF">
        <w:rPr>
          <w:sz w:val="26"/>
          <w:szCs w:val="26"/>
        </w:rPr>
        <w:t xml:space="preserve"> new account was opened for Silver Valley Apartments at the same service address</w:t>
      </w:r>
      <w:r w:rsidR="00A809FE">
        <w:rPr>
          <w:sz w:val="26"/>
          <w:szCs w:val="26"/>
        </w:rPr>
        <w:t>, the balance from the closed account was transferred to the new account</w:t>
      </w:r>
      <w:r w:rsidR="009F1DDF">
        <w:rPr>
          <w:sz w:val="26"/>
          <w:szCs w:val="26"/>
        </w:rPr>
        <w:t>.  This</w:t>
      </w:r>
      <w:r w:rsidR="00A809FE">
        <w:rPr>
          <w:sz w:val="26"/>
          <w:szCs w:val="26"/>
        </w:rPr>
        <w:t xml:space="preserve"> includ</w:t>
      </w:r>
      <w:r w:rsidR="009F1DDF">
        <w:rPr>
          <w:sz w:val="26"/>
          <w:szCs w:val="26"/>
        </w:rPr>
        <w:t>ed</w:t>
      </w:r>
      <w:r w:rsidR="00A809FE">
        <w:rPr>
          <w:sz w:val="26"/>
          <w:szCs w:val="26"/>
        </w:rPr>
        <w:t xml:space="preserve"> the </w:t>
      </w:r>
      <w:r w:rsidR="009F1DDF">
        <w:rPr>
          <w:sz w:val="26"/>
          <w:szCs w:val="26"/>
        </w:rPr>
        <w:t xml:space="preserve">original </w:t>
      </w:r>
      <w:r w:rsidR="00A809FE">
        <w:rPr>
          <w:sz w:val="26"/>
          <w:szCs w:val="26"/>
        </w:rPr>
        <w:t>out</w:t>
      </w:r>
      <w:r w:rsidR="006302A8">
        <w:rPr>
          <w:sz w:val="26"/>
          <w:szCs w:val="26"/>
        </w:rPr>
        <w:t>standing balance connected to the foreign load balance</w:t>
      </w:r>
      <w:r w:rsidR="009F1DDF">
        <w:rPr>
          <w:sz w:val="26"/>
          <w:szCs w:val="26"/>
        </w:rPr>
        <w:t xml:space="preserve"> transferred in 2012</w:t>
      </w:r>
      <w:r w:rsidR="006302A8">
        <w:rPr>
          <w:sz w:val="26"/>
          <w:szCs w:val="26"/>
        </w:rPr>
        <w:t>.  Tr. at 35</w:t>
      </w:r>
      <w:r w:rsidR="004C27B7">
        <w:rPr>
          <w:sz w:val="26"/>
          <w:szCs w:val="26"/>
        </w:rPr>
        <w:t>, 38-41.</w:t>
      </w:r>
      <w:r w:rsidR="00B67F12">
        <w:rPr>
          <w:sz w:val="26"/>
          <w:szCs w:val="26"/>
        </w:rPr>
        <w:t xml:space="preserve">  Although the dates associated with the opening of the new accounts was not established on the record, nothing in the record suggested that </w:t>
      </w:r>
      <w:r w:rsidR="00BE1CE7">
        <w:rPr>
          <w:sz w:val="26"/>
          <w:szCs w:val="26"/>
        </w:rPr>
        <w:t xml:space="preserve">PPL </w:t>
      </w:r>
      <w:r w:rsidR="00C86470">
        <w:rPr>
          <w:sz w:val="26"/>
          <w:szCs w:val="26"/>
        </w:rPr>
        <w:t>required the Complainant to pay</w:t>
      </w:r>
      <w:r w:rsidR="006032BC">
        <w:rPr>
          <w:sz w:val="26"/>
          <w:szCs w:val="26"/>
        </w:rPr>
        <w:t xml:space="preserve"> </w:t>
      </w:r>
      <w:r w:rsidR="00C86470">
        <w:rPr>
          <w:sz w:val="26"/>
          <w:szCs w:val="26"/>
        </w:rPr>
        <w:t>an outstanding balance that accrued longer than four years prior to the request for new service, as a condition of furnishing that service to the applicant.</w:t>
      </w:r>
      <w:r w:rsidR="007813E1">
        <w:rPr>
          <w:rStyle w:val="FootnoteReference"/>
          <w:sz w:val="26"/>
          <w:szCs w:val="26"/>
        </w:rPr>
        <w:footnoteReference w:id="8"/>
      </w:r>
      <w:r w:rsidR="007813E1">
        <w:rPr>
          <w:sz w:val="26"/>
          <w:szCs w:val="26"/>
        </w:rPr>
        <w:t xml:space="preserve"> </w:t>
      </w:r>
      <w:r w:rsidR="006B36AD">
        <w:rPr>
          <w:sz w:val="26"/>
          <w:szCs w:val="26"/>
        </w:rPr>
        <w:t xml:space="preserve">  Thus, </w:t>
      </w:r>
      <w:r w:rsidR="00061198">
        <w:rPr>
          <w:sz w:val="26"/>
          <w:szCs w:val="26"/>
        </w:rPr>
        <w:t>we deny this</w:t>
      </w:r>
      <w:r w:rsidR="006B36AD">
        <w:rPr>
          <w:sz w:val="26"/>
          <w:szCs w:val="26"/>
        </w:rPr>
        <w:t xml:space="preserve"> claim in </w:t>
      </w:r>
      <w:r w:rsidR="00061198">
        <w:rPr>
          <w:sz w:val="26"/>
          <w:szCs w:val="26"/>
        </w:rPr>
        <w:t>the</w:t>
      </w:r>
      <w:r w:rsidR="006B36AD">
        <w:rPr>
          <w:sz w:val="26"/>
          <w:szCs w:val="26"/>
        </w:rPr>
        <w:t xml:space="preserve"> Complaint and </w:t>
      </w:r>
      <w:r w:rsidR="00061198">
        <w:rPr>
          <w:sz w:val="26"/>
          <w:szCs w:val="26"/>
        </w:rPr>
        <w:t>the Comp</w:t>
      </w:r>
      <w:r w:rsidR="00AC1B3E">
        <w:rPr>
          <w:sz w:val="26"/>
          <w:szCs w:val="26"/>
        </w:rPr>
        <w:t>lai</w:t>
      </w:r>
      <w:r w:rsidR="00061198">
        <w:rPr>
          <w:sz w:val="26"/>
          <w:szCs w:val="26"/>
        </w:rPr>
        <w:t xml:space="preserve">nant’s </w:t>
      </w:r>
      <w:r w:rsidR="006B36AD">
        <w:rPr>
          <w:sz w:val="26"/>
          <w:szCs w:val="26"/>
        </w:rPr>
        <w:t>first Exception.</w:t>
      </w:r>
    </w:p>
    <w:p w14:paraId="24AE070E" w14:textId="6DB9D03A" w:rsidR="005207E2" w:rsidRDefault="00B40D47" w:rsidP="005207E2">
      <w:pPr>
        <w:spacing w:line="360" w:lineRule="auto"/>
        <w:ind w:firstLine="1440"/>
        <w:contextualSpacing/>
        <w:rPr>
          <w:sz w:val="26"/>
          <w:szCs w:val="26"/>
        </w:rPr>
      </w:pPr>
      <w:r>
        <w:rPr>
          <w:sz w:val="26"/>
          <w:szCs w:val="26"/>
        </w:rPr>
        <w:lastRenderedPageBreak/>
        <w:t xml:space="preserve">The second </w:t>
      </w:r>
      <w:r w:rsidR="00767DC2">
        <w:rPr>
          <w:sz w:val="26"/>
          <w:szCs w:val="26"/>
        </w:rPr>
        <w:t>E</w:t>
      </w:r>
      <w:r>
        <w:rPr>
          <w:sz w:val="26"/>
          <w:szCs w:val="26"/>
        </w:rPr>
        <w:t>xception</w:t>
      </w:r>
      <w:r w:rsidR="00FD3A69" w:rsidRPr="00FD3A69">
        <w:rPr>
          <w:sz w:val="26"/>
          <w:szCs w:val="26"/>
        </w:rPr>
        <w:t xml:space="preserve"> </w:t>
      </w:r>
      <w:r w:rsidR="00FD3A69">
        <w:rPr>
          <w:sz w:val="26"/>
          <w:szCs w:val="26"/>
        </w:rPr>
        <w:t>requests</w:t>
      </w:r>
      <w:r w:rsidR="003C24A5">
        <w:rPr>
          <w:sz w:val="26"/>
          <w:szCs w:val="26"/>
        </w:rPr>
        <w:t xml:space="preserve"> </w:t>
      </w:r>
      <w:r w:rsidR="00FD3A69">
        <w:rPr>
          <w:sz w:val="26"/>
          <w:szCs w:val="26"/>
        </w:rPr>
        <w:t xml:space="preserve">the </w:t>
      </w:r>
      <w:r w:rsidR="009029C6">
        <w:rPr>
          <w:sz w:val="26"/>
          <w:szCs w:val="26"/>
        </w:rPr>
        <w:t xml:space="preserve">Initial Decision of </w:t>
      </w:r>
      <w:r w:rsidR="00C94438">
        <w:rPr>
          <w:sz w:val="26"/>
          <w:szCs w:val="26"/>
        </w:rPr>
        <w:t>ALJ Myers be thrown ou</w:t>
      </w:r>
      <w:r w:rsidR="00103A9B">
        <w:rPr>
          <w:sz w:val="26"/>
          <w:szCs w:val="26"/>
        </w:rPr>
        <w:t xml:space="preserve">t for not addressing issues </w:t>
      </w:r>
      <w:r w:rsidR="008058DC">
        <w:rPr>
          <w:sz w:val="26"/>
          <w:szCs w:val="26"/>
        </w:rPr>
        <w:t>in a separate</w:t>
      </w:r>
      <w:r w:rsidR="008841A2">
        <w:rPr>
          <w:sz w:val="26"/>
          <w:szCs w:val="26"/>
        </w:rPr>
        <w:t xml:space="preserve"> complaint</w:t>
      </w:r>
      <w:r w:rsidR="00A75B2A">
        <w:rPr>
          <w:sz w:val="26"/>
          <w:szCs w:val="26"/>
        </w:rPr>
        <w:t>.</w:t>
      </w:r>
      <w:r w:rsidR="00345231">
        <w:rPr>
          <w:sz w:val="26"/>
          <w:szCs w:val="26"/>
        </w:rPr>
        <w:t xml:space="preserve">  </w:t>
      </w:r>
      <w:r w:rsidR="000807BD">
        <w:rPr>
          <w:rFonts w:eastAsia="Calibri"/>
          <w:sz w:val="26"/>
          <w:szCs w:val="26"/>
        </w:rPr>
        <w:t>T</w:t>
      </w:r>
      <w:r w:rsidR="00A8581E">
        <w:rPr>
          <w:rFonts w:eastAsia="Calibri"/>
          <w:sz w:val="26"/>
          <w:szCs w:val="26"/>
        </w:rPr>
        <w:t>his</w:t>
      </w:r>
      <w:r w:rsidR="007128FA">
        <w:rPr>
          <w:rFonts w:eastAsia="Calibri"/>
          <w:sz w:val="26"/>
          <w:szCs w:val="26"/>
        </w:rPr>
        <w:t xml:space="preserve"> </w:t>
      </w:r>
      <w:r w:rsidR="00FD2C35">
        <w:rPr>
          <w:rFonts w:eastAsia="Calibri"/>
          <w:sz w:val="26"/>
          <w:szCs w:val="26"/>
        </w:rPr>
        <w:t xml:space="preserve">Exception </w:t>
      </w:r>
      <w:r w:rsidR="0093660D">
        <w:rPr>
          <w:rFonts w:eastAsia="Calibri"/>
          <w:sz w:val="26"/>
          <w:szCs w:val="26"/>
        </w:rPr>
        <w:t>relates</w:t>
      </w:r>
      <w:r w:rsidR="00767F3E">
        <w:rPr>
          <w:rFonts w:eastAsia="Calibri"/>
          <w:sz w:val="26"/>
          <w:szCs w:val="26"/>
        </w:rPr>
        <w:t xml:space="preserve"> to</w:t>
      </w:r>
      <w:r w:rsidR="009D7581">
        <w:rPr>
          <w:rFonts w:eastAsia="Calibri"/>
          <w:sz w:val="26"/>
          <w:szCs w:val="26"/>
        </w:rPr>
        <w:t xml:space="preserve"> </w:t>
      </w:r>
      <w:r w:rsidR="00704A9B">
        <w:rPr>
          <w:rFonts w:eastAsia="Calibri"/>
          <w:sz w:val="26"/>
          <w:szCs w:val="26"/>
        </w:rPr>
        <w:t>a separate complaint matter</w:t>
      </w:r>
      <w:r w:rsidR="009D7581">
        <w:rPr>
          <w:rFonts w:eastAsia="Calibri"/>
          <w:sz w:val="26"/>
          <w:szCs w:val="26"/>
        </w:rPr>
        <w:t xml:space="preserve"> and</w:t>
      </w:r>
      <w:r w:rsidR="00704A9B">
        <w:rPr>
          <w:rFonts w:eastAsia="Calibri"/>
          <w:sz w:val="26"/>
          <w:szCs w:val="26"/>
        </w:rPr>
        <w:t xml:space="preserve"> therefore not relevant here.</w:t>
      </w:r>
      <w:r w:rsidR="009D7581">
        <w:rPr>
          <w:rFonts w:eastAsia="Calibri"/>
          <w:sz w:val="26"/>
          <w:szCs w:val="26"/>
        </w:rPr>
        <w:t xml:space="preserve">  </w:t>
      </w:r>
      <w:r w:rsidR="00CA5D55">
        <w:rPr>
          <w:rFonts w:eastAsia="Calibri"/>
          <w:sz w:val="26"/>
          <w:szCs w:val="26"/>
        </w:rPr>
        <w:t>Accordingly, w</w:t>
      </w:r>
      <w:r w:rsidR="00094893" w:rsidRPr="00094893">
        <w:rPr>
          <w:sz w:val="26"/>
          <w:szCs w:val="26"/>
        </w:rPr>
        <w:t xml:space="preserve">e shall deny the Complainant’s </w:t>
      </w:r>
      <w:r w:rsidR="00EC64EF">
        <w:rPr>
          <w:sz w:val="26"/>
          <w:szCs w:val="26"/>
        </w:rPr>
        <w:t xml:space="preserve">request to </w:t>
      </w:r>
      <w:r w:rsidR="00C51BE5">
        <w:rPr>
          <w:sz w:val="26"/>
          <w:szCs w:val="26"/>
        </w:rPr>
        <w:t xml:space="preserve">rescind </w:t>
      </w:r>
      <w:r w:rsidR="00741A96">
        <w:rPr>
          <w:sz w:val="26"/>
          <w:szCs w:val="26"/>
        </w:rPr>
        <w:t xml:space="preserve">the Initial Decision of ALJ Myers </w:t>
      </w:r>
      <w:r w:rsidR="00C51BE5">
        <w:rPr>
          <w:sz w:val="26"/>
          <w:szCs w:val="26"/>
        </w:rPr>
        <w:t xml:space="preserve">on the basis of </w:t>
      </w:r>
      <w:r w:rsidR="00741A96">
        <w:rPr>
          <w:sz w:val="26"/>
          <w:szCs w:val="26"/>
        </w:rPr>
        <w:t>not addressing issues in a separate complaint</w:t>
      </w:r>
      <w:r w:rsidR="00C51BE5">
        <w:rPr>
          <w:sz w:val="26"/>
          <w:szCs w:val="26"/>
        </w:rPr>
        <w:t xml:space="preserve"> proceeding</w:t>
      </w:r>
      <w:r w:rsidR="00094893" w:rsidRPr="00094893">
        <w:rPr>
          <w:sz w:val="26"/>
          <w:szCs w:val="26"/>
        </w:rPr>
        <w:t>.</w:t>
      </w:r>
      <w:r w:rsidR="00F37379">
        <w:rPr>
          <w:sz w:val="26"/>
          <w:szCs w:val="26"/>
        </w:rPr>
        <w:t xml:space="preserve">  </w:t>
      </w:r>
    </w:p>
    <w:p w14:paraId="6394DC04" w14:textId="60C97D30" w:rsidR="00F95C0F" w:rsidRDefault="00F95C0F" w:rsidP="005A24C0">
      <w:pPr>
        <w:spacing w:line="360" w:lineRule="auto"/>
        <w:contextualSpacing/>
        <w:rPr>
          <w:sz w:val="26"/>
          <w:szCs w:val="26"/>
        </w:rPr>
      </w:pPr>
    </w:p>
    <w:p w14:paraId="7D84A68B" w14:textId="6ACC69E8" w:rsidR="002F1DAD" w:rsidRDefault="005428B2" w:rsidP="00F95C0F">
      <w:pPr>
        <w:spacing w:line="360" w:lineRule="auto"/>
        <w:ind w:firstLine="1440"/>
        <w:contextualSpacing/>
        <w:rPr>
          <w:sz w:val="26"/>
          <w:szCs w:val="26"/>
        </w:rPr>
      </w:pPr>
      <w:r>
        <w:rPr>
          <w:sz w:val="26"/>
          <w:szCs w:val="26"/>
        </w:rPr>
        <w:t>Next,</w:t>
      </w:r>
      <w:r w:rsidR="002265B5">
        <w:rPr>
          <w:sz w:val="26"/>
          <w:szCs w:val="26"/>
        </w:rPr>
        <w:t xml:space="preserve"> we will </w:t>
      </w:r>
      <w:r w:rsidR="0052235D">
        <w:rPr>
          <w:sz w:val="26"/>
          <w:szCs w:val="26"/>
        </w:rPr>
        <w:t xml:space="preserve">discuss the Complainant’s third </w:t>
      </w:r>
      <w:r w:rsidR="00767DC2">
        <w:rPr>
          <w:sz w:val="26"/>
          <w:szCs w:val="26"/>
        </w:rPr>
        <w:t>E</w:t>
      </w:r>
      <w:r w:rsidR="0052235D">
        <w:rPr>
          <w:sz w:val="26"/>
          <w:szCs w:val="26"/>
        </w:rPr>
        <w:t xml:space="preserve">xception to Finding of Fact </w:t>
      </w:r>
      <w:r w:rsidR="00A3754D">
        <w:rPr>
          <w:sz w:val="26"/>
          <w:szCs w:val="26"/>
        </w:rPr>
        <w:t xml:space="preserve">No. </w:t>
      </w:r>
      <w:r w:rsidR="0052235D">
        <w:rPr>
          <w:sz w:val="26"/>
          <w:szCs w:val="26"/>
        </w:rPr>
        <w:t>5</w:t>
      </w:r>
      <w:r>
        <w:rPr>
          <w:sz w:val="26"/>
          <w:szCs w:val="26"/>
        </w:rPr>
        <w:t xml:space="preserve">.  </w:t>
      </w:r>
      <w:r w:rsidR="00567661">
        <w:rPr>
          <w:sz w:val="26"/>
          <w:szCs w:val="26"/>
        </w:rPr>
        <w:t>Based on the record evidence, w</w:t>
      </w:r>
      <w:r w:rsidR="00ED1ED1">
        <w:rPr>
          <w:sz w:val="26"/>
          <w:szCs w:val="26"/>
        </w:rPr>
        <w:t xml:space="preserve">e agree </w:t>
      </w:r>
      <w:r w:rsidR="00852270">
        <w:rPr>
          <w:sz w:val="26"/>
          <w:szCs w:val="26"/>
        </w:rPr>
        <w:t>with the ALJ</w:t>
      </w:r>
      <w:r w:rsidR="00A3754D">
        <w:rPr>
          <w:sz w:val="26"/>
          <w:szCs w:val="26"/>
        </w:rPr>
        <w:t>’s</w:t>
      </w:r>
      <w:r w:rsidR="00852270">
        <w:rPr>
          <w:sz w:val="26"/>
          <w:szCs w:val="26"/>
        </w:rPr>
        <w:t xml:space="preserve"> </w:t>
      </w:r>
      <w:r w:rsidR="00292D65">
        <w:rPr>
          <w:sz w:val="26"/>
          <w:szCs w:val="26"/>
        </w:rPr>
        <w:t xml:space="preserve">finding </w:t>
      </w:r>
      <w:r w:rsidR="00742484">
        <w:rPr>
          <w:sz w:val="26"/>
          <w:szCs w:val="26"/>
        </w:rPr>
        <w:t xml:space="preserve">that the </w:t>
      </w:r>
      <w:r w:rsidR="00EA415D">
        <w:rPr>
          <w:sz w:val="26"/>
          <w:szCs w:val="26"/>
        </w:rPr>
        <w:t xml:space="preserve">Complainant owned the </w:t>
      </w:r>
      <w:r w:rsidR="003F7CC3">
        <w:rPr>
          <w:sz w:val="26"/>
          <w:szCs w:val="26"/>
        </w:rPr>
        <w:t xml:space="preserve">house </w:t>
      </w:r>
      <w:r w:rsidR="002D58D4">
        <w:rPr>
          <w:sz w:val="26"/>
          <w:szCs w:val="26"/>
        </w:rPr>
        <w:t>with the ser</w:t>
      </w:r>
      <w:r w:rsidR="0066122B">
        <w:rPr>
          <w:sz w:val="26"/>
          <w:szCs w:val="26"/>
        </w:rPr>
        <w:t>vice address of 254 Silver Valley Road</w:t>
      </w:r>
      <w:r w:rsidR="009E5E68">
        <w:rPr>
          <w:sz w:val="26"/>
          <w:szCs w:val="26"/>
        </w:rPr>
        <w:t xml:space="preserve">, Saylorsburg, Pennsylvania </w:t>
      </w:r>
      <w:r w:rsidR="003227FA">
        <w:rPr>
          <w:sz w:val="26"/>
          <w:szCs w:val="26"/>
        </w:rPr>
        <w:t xml:space="preserve">and rented it to two tenants.  </w:t>
      </w:r>
      <w:r w:rsidR="00714850" w:rsidRPr="006A69C2">
        <w:rPr>
          <w:sz w:val="26"/>
          <w:szCs w:val="26"/>
        </w:rPr>
        <w:t xml:space="preserve">Tr. at </w:t>
      </w:r>
      <w:r w:rsidR="00714850">
        <w:rPr>
          <w:sz w:val="26"/>
          <w:szCs w:val="26"/>
        </w:rPr>
        <w:t xml:space="preserve">10-13.  </w:t>
      </w:r>
      <w:r w:rsidR="00D93F66">
        <w:rPr>
          <w:sz w:val="26"/>
          <w:szCs w:val="26"/>
        </w:rPr>
        <w:t>U</w:t>
      </w:r>
      <w:r w:rsidR="00D93F66" w:rsidRPr="0092195B">
        <w:rPr>
          <w:sz w:val="26"/>
          <w:szCs w:val="26"/>
        </w:rPr>
        <w:t xml:space="preserve">pon </w:t>
      </w:r>
      <w:r w:rsidR="00D93F66">
        <w:rPr>
          <w:sz w:val="26"/>
          <w:szCs w:val="26"/>
        </w:rPr>
        <w:t>discoveri</w:t>
      </w:r>
      <w:r w:rsidR="00D93F66" w:rsidRPr="0092195B">
        <w:rPr>
          <w:sz w:val="26"/>
          <w:szCs w:val="26"/>
        </w:rPr>
        <w:t xml:space="preserve">ng foreign load, the utility must list the </w:t>
      </w:r>
      <w:r w:rsidR="004739F3">
        <w:rPr>
          <w:sz w:val="26"/>
          <w:szCs w:val="26"/>
        </w:rPr>
        <w:t xml:space="preserve">tenants’ </w:t>
      </w:r>
      <w:r w:rsidR="00D93F66" w:rsidRPr="0092195B">
        <w:rPr>
          <w:sz w:val="26"/>
          <w:szCs w:val="26"/>
        </w:rPr>
        <w:t>account, including any arrearages, in the landlord’s name and the landlord must assume the responsibility of paying the utility bills at the service address until the foreign load is corrected.</w:t>
      </w:r>
      <w:r w:rsidR="00E35ABF">
        <w:rPr>
          <w:sz w:val="26"/>
          <w:szCs w:val="26"/>
        </w:rPr>
        <w:t xml:space="preserve">  </w:t>
      </w:r>
      <w:r w:rsidR="00D93F66" w:rsidRPr="0092195B">
        <w:rPr>
          <w:sz w:val="26"/>
          <w:szCs w:val="26"/>
        </w:rPr>
        <w:t>After the foreign load is corrected by the landlord and verified by the utility, the utility is to place the account back into the tenant’s name.</w:t>
      </w:r>
      <w:r w:rsidR="00D93F66">
        <w:rPr>
          <w:sz w:val="26"/>
          <w:szCs w:val="26"/>
        </w:rPr>
        <w:t xml:space="preserve">  </w:t>
      </w:r>
      <w:r w:rsidR="00D93F66" w:rsidRPr="0092195B">
        <w:rPr>
          <w:sz w:val="26"/>
          <w:szCs w:val="26"/>
        </w:rPr>
        <w:t xml:space="preserve">However, the landlord remains responsible for any arrearages on the tenant’s account.  </w:t>
      </w:r>
      <w:r w:rsidR="008E2168" w:rsidRPr="0092195B">
        <w:rPr>
          <w:i/>
          <w:sz w:val="26"/>
          <w:szCs w:val="26"/>
        </w:rPr>
        <w:t>Ace Check Cashing</w:t>
      </w:r>
      <w:r w:rsidR="008E2168" w:rsidRPr="0092195B" w:rsidDel="00DB52BA">
        <w:rPr>
          <w:i/>
          <w:sz w:val="26"/>
          <w:szCs w:val="26"/>
        </w:rPr>
        <w:t xml:space="preserve"> </w:t>
      </w:r>
      <w:r w:rsidR="008E2168" w:rsidRPr="0092195B">
        <w:rPr>
          <w:sz w:val="26"/>
          <w:szCs w:val="26"/>
        </w:rPr>
        <w:t xml:space="preserve">at </w:t>
      </w:r>
      <w:r w:rsidR="008E2168">
        <w:rPr>
          <w:sz w:val="26"/>
          <w:szCs w:val="26"/>
        </w:rPr>
        <w:t xml:space="preserve">7-8.  </w:t>
      </w:r>
      <w:r w:rsidR="00D93F66">
        <w:rPr>
          <w:sz w:val="26"/>
          <w:szCs w:val="26"/>
        </w:rPr>
        <w:t xml:space="preserve">We also </w:t>
      </w:r>
      <w:r w:rsidR="00E42642">
        <w:rPr>
          <w:sz w:val="26"/>
          <w:szCs w:val="26"/>
        </w:rPr>
        <w:t xml:space="preserve">agree with the ALJ </w:t>
      </w:r>
      <w:r w:rsidR="00D93F66">
        <w:rPr>
          <w:sz w:val="26"/>
          <w:szCs w:val="26"/>
        </w:rPr>
        <w:t xml:space="preserve">that </w:t>
      </w:r>
      <w:r w:rsidR="00825CDC">
        <w:rPr>
          <w:sz w:val="26"/>
          <w:szCs w:val="26"/>
        </w:rPr>
        <w:t>the Commission has</w:t>
      </w:r>
      <w:r w:rsidR="00D93F66" w:rsidRPr="0092195B">
        <w:rPr>
          <w:sz w:val="26"/>
          <w:szCs w:val="26"/>
        </w:rPr>
        <w:t xml:space="preserve"> </w:t>
      </w:r>
      <w:r w:rsidR="00D93F66">
        <w:rPr>
          <w:sz w:val="26"/>
          <w:szCs w:val="26"/>
        </w:rPr>
        <w:t xml:space="preserve">no </w:t>
      </w:r>
      <w:r w:rsidR="00D93F66" w:rsidRPr="0092195B">
        <w:rPr>
          <w:sz w:val="26"/>
          <w:szCs w:val="26"/>
        </w:rPr>
        <w:t xml:space="preserve">jurisdiction over disputes concerning the financial responsibilities of private parties, such as the landlord and tenant, and such matters are to be resolved </w:t>
      </w:r>
      <w:r w:rsidR="00D93F66">
        <w:rPr>
          <w:sz w:val="26"/>
          <w:szCs w:val="26"/>
        </w:rPr>
        <w:t>through</w:t>
      </w:r>
      <w:r w:rsidR="00D93F66" w:rsidRPr="0092195B">
        <w:rPr>
          <w:sz w:val="26"/>
          <w:szCs w:val="26"/>
        </w:rPr>
        <w:t xml:space="preserve"> </w:t>
      </w:r>
      <w:r w:rsidR="00E04757">
        <w:rPr>
          <w:sz w:val="26"/>
          <w:szCs w:val="26"/>
        </w:rPr>
        <w:t xml:space="preserve">a </w:t>
      </w:r>
      <w:r w:rsidR="00E04757" w:rsidRPr="00E04757">
        <w:rPr>
          <w:sz w:val="26"/>
          <w:szCs w:val="26"/>
        </w:rPr>
        <w:t>magisterial district court or court of common pleas</w:t>
      </w:r>
      <w:r w:rsidR="00D93F66" w:rsidRPr="0092195B">
        <w:rPr>
          <w:sz w:val="26"/>
          <w:szCs w:val="26"/>
        </w:rPr>
        <w:t xml:space="preserve">.  </w:t>
      </w:r>
      <w:r w:rsidR="00D93F66" w:rsidRPr="0092195B">
        <w:rPr>
          <w:i/>
          <w:sz w:val="26"/>
          <w:szCs w:val="26"/>
        </w:rPr>
        <w:t>Id</w:t>
      </w:r>
      <w:r w:rsidR="00D93F66" w:rsidRPr="0092195B">
        <w:rPr>
          <w:sz w:val="26"/>
          <w:szCs w:val="26"/>
        </w:rPr>
        <w:t xml:space="preserve">. at </w:t>
      </w:r>
      <w:r w:rsidR="006C170D">
        <w:rPr>
          <w:sz w:val="26"/>
          <w:szCs w:val="26"/>
        </w:rPr>
        <w:t>7</w:t>
      </w:r>
      <w:r w:rsidR="00D93F66">
        <w:rPr>
          <w:sz w:val="26"/>
          <w:szCs w:val="26"/>
        </w:rPr>
        <w:t xml:space="preserve">.  </w:t>
      </w:r>
      <w:r w:rsidR="0067742F">
        <w:rPr>
          <w:sz w:val="26"/>
          <w:szCs w:val="26"/>
        </w:rPr>
        <w:t>F</w:t>
      </w:r>
      <w:r w:rsidR="00B35C1D">
        <w:rPr>
          <w:sz w:val="26"/>
          <w:szCs w:val="26"/>
        </w:rPr>
        <w:t>inally, w</w:t>
      </w:r>
      <w:r w:rsidR="002F1DAD">
        <w:rPr>
          <w:sz w:val="26"/>
          <w:szCs w:val="26"/>
        </w:rPr>
        <w:t>e agree</w:t>
      </w:r>
      <w:r w:rsidR="008F63CA">
        <w:rPr>
          <w:sz w:val="26"/>
          <w:szCs w:val="26"/>
        </w:rPr>
        <w:t xml:space="preserve"> with the ALJ, and w</w:t>
      </w:r>
      <w:r w:rsidR="00D9152B" w:rsidRPr="00D92FAD">
        <w:rPr>
          <w:sz w:val="26"/>
          <w:szCs w:val="26"/>
        </w:rPr>
        <w:t>e find that the law</w:t>
      </w:r>
      <w:r w:rsidR="008F63CA">
        <w:rPr>
          <w:sz w:val="26"/>
          <w:szCs w:val="26"/>
        </w:rPr>
        <w:t xml:space="preserve"> to be applied in this case</w:t>
      </w:r>
      <w:r w:rsidR="00D9152B" w:rsidRPr="00D92FAD">
        <w:rPr>
          <w:sz w:val="26"/>
          <w:szCs w:val="26"/>
        </w:rPr>
        <w:t xml:space="preserve"> is clear and </w:t>
      </w:r>
      <w:r w:rsidR="00F3659B">
        <w:rPr>
          <w:sz w:val="26"/>
          <w:szCs w:val="26"/>
        </w:rPr>
        <w:t xml:space="preserve">that it </w:t>
      </w:r>
      <w:r w:rsidR="00D9152B" w:rsidRPr="00D92FAD">
        <w:rPr>
          <w:sz w:val="26"/>
          <w:szCs w:val="26"/>
        </w:rPr>
        <w:t xml:space="preserve">has been </w:t>
      </w:r>
      <w:r w:rsidR="00D9152B">
        <w:rPr>
          <w:sz w:val="26"/>
          <w:szCs w:val="26"/>
        </w:rPr>
        <w:t xml:space="preserve">applied </w:t>
      </w:r>
      <w:r w:rsidR="00F3659B">
        <w:rPr>
          <w:sz w:val="26"/>
          <w:szCs w:val="26"/>
        </w:rPr>
        <w:t>correctly</w:t>
      </w:r>
      <w:r w:rsidR="00D9152B">
        <w:rPr>
          <w:sz w:val="26"/>
          <w:szCs w:val="26"/>
        </w:rPr>
        <w:t xml:space="preserve"> by the ALJ in </w:t>
      </w:r>
      <w:r w:rsidR="008F63CA">
        <w:rPr>
          <w:sz w:val="26"/>
          <w:szCs w:val="26"/>
        </w:rPr>
        <w:t>the Initial Decision</w:t>
      </w:r>
      <w:r w:rsidR="00D9152B">
        <w:rPr>
          <w:sz w:val="26"/>
          <w:szCs w:val="26"/>
        </w:rPr>
        <w:t>.</w:t>
      </w:r>
    </w:p>
    <w:p w14:paraId="0174E0B0" w14:textId="77777777" w:rsidR="00D9152B" w:rsidRDefault="00D9152B" w:rsidP="00D07678">
      <w:pPr>
        <w:ind w:right="1440"/>
        <w:contextualSpacing/>
        <w:rPr>
          <w:rFonts w:eastAsia="Calibri"/>
          <w:sz w:val="26"/>
          <w:szCs w:val="26"/>
        </w:rPr>
      </w:pPr>
    </w:p>
    <w:p w14:paraId="16C30650" w14:textId="7E207AD8" w:rsidR="00B123DB" w:rsidRDefault="00370DDA" w:rsidP="00102DE8">
      <w:pPr>
        <w:spacing w:line="360" w:lineRule="auto"/>
        <w:ind w:firstLine="1440"/>
        <w:contextualSpacing/>
        <w:rPr>
          <w:iCs/>
          <w:sz w:val="26"/>
          <w:szCs w:val="26"/>
        </w:rPr>
      </w:pPr>
      <w:r>
        <w:rPr>
          <w:sz w:val="26"/>
        </w:rPr>
        <w:t>Regarding</w:t>
      </w:r>
      <w:r w:rsidR="00BA6A63">
        <w:rPr>
          <w:sz w:val="26"/>
        </w:rPr>
        <w:t xml:space="preserve"> </w:t>
      </w:r>
      <w:r w:rsidR="00BD7673">
        <w:rPr>
          <w:sz w:val="26"/>
        </w:rPr>
        <w:t>the Complainant’s fourth Exception</w:t>
      </w:r>
      <w:r w:rsidR="00E81907">
        <w:rPr>
          <w:sz w:val="26"/>
        </w:rPr>
        <w:t xml:space="preserve">, </w:t>
      </w:r>
      <w:r w:rsidR="0015212F">
        <w:rPr>
          <w:sz w:val="26"/>
        </w:rPr>
        <w:t xml:space="preserve">it is settled law that </w:t>
      </w:r>
      <w:r w:rsidR="00876EE1">
        <w:rPr>
          <w:sz w:val="26"/>
        </w:rPr>
        <w:t>the burden of proof in this proceeding is on the Complainant</w:t>
      </w:r>
      <w:r w:rsidR="006052DD">
        <w:rPr>
          <w:sz w:val="26"/>
        </w:rPr>
        <w:t xml:space="preserve">.  </w:t>
      </w:r>
      <w:r w:rsidR="006052DD" w:rsidRPr="006052DD">
        <w:rPr>
          <w:sz w:val="26"/>
        </w:rPr>
        <w:t>66 Pa. C.S. § 332(a)</w:t>
      </w:r>
      <w:r w:rsidR="00B82F77">
        <w:rPr>
          <w:sz w:val="26"/>
        </w:rPr>
        <w:t xml:space="preserve">; </w:t>
      </w:r>
      <w:r w:rsidR="00B82F77" w:rsidRPr="006355C7">
        <w:rPr>
          <w:i/>
          <w:sz w:val="26"/>
          <w:szCs w:val="26"/>
        </w:rPr>
        <w:t>Patterson</w:t>
      </w:r>
      <w:r w:rsidR="00B82F77">
        <w:rPr>
          <w:i/>
          <w:sz w:val="26"/>
          <w:szCs w:val="26"/>
        </w:rPr>
        <w:t>.</w:t>
      </w:r>
      <w:r w:rsidR="0005596B">
        <w:rPr>
          <w:iCs/>
          <w:sz w:val="26"/>
          <w:szCs w:val="26"/>
        </w:rPr>
        <w:t xml:space="preserve">  </w:t>
      </w:r>
      <w:r w:rsidR="0015212F">
        <w:rPr>
          <w:iCs/>
          <w:sz w:val="26"/>
          <w:szCs w:val="26"/>
        </w:rPr>
        <w:t>T</w:t>
      </w:r>
      <w:r w:rsidR="00DB18FB" w:rsidRPr="00DB18FB">
        <w:rPr>
          <w:iCs/>
          <w:sz w:val="26"/>
          <w:szCs w:val="26"/>
        </w:rPr>
        <w:t xml:space="preserve">he Complainant </w:t>
      </w:r>
      <w:r w:rsidR="0015212F">
        <w:rPr>
          <w:iCs/>
          <w:sz w:val="26"/>
          <w:szCs w:val="26"/>
        </w:rPr>
        <w:t xml:space="preserve">has the burden to show by a preponderance of the evidence </w:t>
      </w:r>
      <w:r w:rsidR="00DB18FB" w:rsidRPr="00DB18FB">
        <w:rPr>
          <w:iCs/>
          <w:sz w:val="26"/>
          <w:szCs w:val="26"/>
        </w:rPr>
        <w:t xml:space="preserve">that </w:t>
      </w:r>
      <w:r w:rsidR="00D811B9">
        <w:rPr>
          <w:iCs/>
          <w:sz w:val="26"/>
          <w:szCs w:val="26"/>
        </w:rPr>
        <w:t>PPL</w:t>
      </w:r>
      <w:r w:rsidR="00DB18FB" w:rsidRPr="00DB18FB">
        <w:rPr>
          <w:iCs/>
          <w:sz w:val="26"/>
          <w:szCs w:val="26"/>
        </w:rPr>
        <w:t xml:space="preserve"> violated the Code, a Commission </w:t>
      </w:r>
      <w:r w:rsidR="00BD7673">
        <w:rPr>
          <w:iCs/>
          <w:sz w:val="26"/>
          <w:szCs w:val="26"/>
        </w:rPr>
        <w:t>O</w:t>
      </w:r>
      <w:r w:rsidR="00DB18FB" w:rsidRPr="00DB18FB">
        <w:rPr>
          <w:iCs/>
          <w:sz w:val="26"/>
          <w:szCs w:val="26"/>
        </w:rPr>
        <w:t xml:space="preserve">rder, </w:t>
      </w:r>
      <w:r w:rsidR="0015212F">
        <w:rPr>
          <w:iCs/>
          <w:sz w:val="26"/>
          <w:szCs w:val="26"/>
        </w:rPr>
        <w:t xml:space="preserve">Commission </w:t>
      </w:r>
      <w:r w:rsidR="00BD7673">
        <w:rPr>
          <w:iCs/>
          <w:sz w:val="26"/>
          <w:szCs w:val="26"/>
        </w:rPr>
        <w:t>R</w:t>
      </w:r>
      <w:r w:rsidR="00DB18FB" w:rsidRPr="00DB18FB">
        <w:rPr>
          <w:iCs/>
          <w:sz w:val="26"/>
          <w:szCs w:val="26"/>
        </w:rPr>
        <w:t>egulation or Commission-approved tariff.</w:t>
      </w:r>
      <w:r w:rsidR="00DB18FB">
        <w:rPr>
          <w:iCs/>
          <w:sz w:val="26"/>
          <w:szCs w:val="26"/>
        </w:rPr>
        <w:t xml:space="preserve">  </w:t>
      </w:r>
      <w:r w:rsidR="00DB18FB" w:rsidRPr="00DB18FB">
        <w:rPr>
          <w:iCs/>
          <w:sz w:val="26"/>
          <w:szCs w:val="26"/>
        </w:rPr>
        <w:t xml:space="preserve">66 </w:t>
      </w:r>
      <w:proofErr w:type="spellStart"/>
      <w:r w:rsidR="00DB18FB" w:rsidRPr="00DB18FB">
        <w:rPr>
          <w:iCs/>
          <w:sz w:val="26"/>
          <w:szCs w:val="26"/>
        </w:rPr>
        <w:t>Pa.C.S</w:t>
      </w:r>
      <w:proofErr w:type="spellEnd"/>
      <w:r w:rsidR="00DB18FB" w:rsidRPr="00DB18FB">
        <w:rPr>
          <w:iCs/>
          <w:sz w:val="26"/>
          <w:szCs w:val="26"/>
        </w:rPr>
        <w:t>. § 701.</w:t>
      </w:r>
      <w:r w:rsidR="00CC2A4C">
        <w:rPr>
          <w:iCs/>
          <w:sz w:val="26"/>
          <w:szCs w:val="26"/>
        </w:rPr>
        <w:t xml:space="preserve">  </w:t>
      </w:r>
      <w:r w:rsidR="00EB3A44">
        <w:rPr>
          <w:iCs/>
          <w:sz w:val="26"/>
          <w:szCs w:val="26"/>
        </w:rPr>
        <w:t>We agree with the ALJ</w:t>
      </w:r>
      <w:r w:rsidR="0015212F">
        <w:rPr>
          <w:iCs/>
          <w:sz w:val="26"/>
          <w:szCs w:val="26"/>
        </w:rPr>
        <w:t>’s</w:t>
      </w:r>
      <w:r w:rsidR="00EB3A44">
        <w:rPr>
          <w:iCs/>
          <w:sz w:val="26"/>
          <w:szCs w:val="26"/>
        </w:rPr>
        <w:t xml:space="preserve"> finding that the Complainant </w:t>
      </w:r>
      <w:r w:rsidR="0015212F">
        <w:rPr>
          <w:iCs/>
          <w:sz w:val="26"/>
          <w:szCs w:val="26"/>
        </w:rPr>
        <w:t>failed to meet his</w:t>
      </w:r>
      <w:r w:rsidR="00EB3A44">
        <w:rPr>
          <w:iCs/>
          <w:sz w:val="26"/>
          <w:szCs w:val="26"/>
        </w:rPr>
        <w:t xml:space="preserve"> burden of proof</w:t>
      </w:r>
      <w:r w:rsidR="0015212F">
        <w:rPr>
          <w:iCs/>
          <w:sz w:val="26"/>
          <w:szCs w:val="26"/>
        </w:rPr>
        <w:t xml:space="preserve"> in </w:t>
      </w:r>
      <w:r w:rsidR="006A2AF6">
        <w:rPr>
          <w:iCs/>
          <w:sz w:val="26"/>
          <w:szCs w:val="26"/>
        </w:rPr>
        <w:t xml:space="preserve">demonstrating a PPL violation in </w:t>
      </w:r>
      <w:r w:rsidR="0015212F">
        <w:rPr>
          <w:iCs/>
          <w:sz w:val="26"/>
          <w:szCs w:val="26"/>
        </w:rPr>
        <w:t>this proceeding</w:t>
      </w:r>
      <w:r w:rsidR="008F6F84">
        <w:rPr>
          <w:iCs/>
          <w:sz w:val="26"/>
          <w:szCs w:val="26"/>
        </w:rPr>
        <w:t xml:space="preserve">. </w:t>
      </w:r>
      <w:r w:rsidR="00A941AC" w:rsidRPr="00A941AC">
        <w:rPr>
          <w:sz w:val="26"/>
          <w:szCs w:val="26"/>
        </w:rPr>
        <w:t xml:space="preserve"> </w:t>
      </w:r>
      <w:r w:rsidR="00B123DB">
        <w:rPr>
          <w:sz w:val="26"/>
          <w:szCs w:val="26"/>
        </w:rPr>
        <w:t xml:space="preserve">The Complainant claims the transfer of tenant arrearages to his account, as </w:t>
      </w:r>
      <w:r w:rsidR="00B123DB">
        <w:rPr>
          <w:sz w:val="26"/>
          <w:szCs w:val="26"/>
        </w:rPr>
        <w:lastRenderedPageBreak/>
        <w:t xml:space="preserve">the property owner, is penal in nature.  </w:t>
      </w:r>
      <w:r w:rsidR="00A941AC" w:rsidRPr="00A941AC">
        <w:rPr>
          <w:sz w:val="26"/>
          <w:szCs w:val="26"/>
        </w:rPr>
        <w:t xml:space="preserve">We are reminded here that the policy behind Section 1529.1 of the Code is to protect residential tenants from the loss of utility service because another customer has service terminated by the utility.  </w:t>
      </w:r>
      <w:r w:rsidR="00B123DB" w:rsidRPr="00A941AC">
        <w:rPr>
          <w:i/>
          <w:sz w:val="26"/>
          <w:szCs w:val="26"/>
        </w:rPr>
        <w:t>See</w:t>
      </w:r>
      <w:r w:rsidR="00667ED3">
        <w:rPr>
          <w:i/>
          <w:sz w:val="26"/>
          <w:szCs w:val="26"/>
        </w:rPr>
        <w:t>,</w:t>
      </w:r>
      <w:r w:rsidR="00B123DB" w:rsidRPr="00A941AC">
        <w:rPr>
          <w:sz w:val="26"/>
          <w:szCs w:val="26"/>
        </w:rPr>
        <w:t xml:space="preserve"> </w:t>
      </w:r>
      <w:r w:rsidR="00B123DB">
        <w:rPr>
          <w:i/>
          <w:sz w:val="26"/>
          <w:szCs w:val="26"/>
        </w:rPr>
        <w:t xml:space="preserve">Glen DeHaven v. PECO Energy </w:t>
      </w:r>
      <w:r w:rsidR="00B123DB" w:rsidRPr="00410263">
        <w:rPr>
          <w:i/>
          <w:sz w:val="26"/>
          <w:szCs w:val="26"/>
        </w:rPr>
        <w:t>Company</w:t>
      </w:r>
      <w:r w:rsidR="00B123DB">
        <w:rPr>
          <w:iCs/>
          <w:sz w:val="26"/>
          <w:szCs w:val="26"/>
        </w:rPr>
        <w:t>, Docket No. C-2017-2585680 (Order entered January 17, 2019) (</w:t>
      </w:r>
      <w:r w:rsidR="00B123DB" w:rsidRPr="00410263">
        <w:rPr>
          <w:i/>
          <w:sz w:val="26"/>
          <w:szCs w:val="26"/>
        </w:rPr>
        <w:t>DeHaven</w:t>
      </w:r>
      <w:r w:rsidR="00B123DB">
        <w:rPr>
          <w:iCs/>
          <w:sz w:val="26"/>
          <w:szCs w:val="26"/>
        </w:rPr>
        <w:t xml:space="preserve">) at 18 (citations omitted).  </w:t>
      </w:r>
      <w:r w:rsidR="00A941AC" w:rsidRPr="00A941AC">
        <w:rPr>
          <w:sz w:val="26"/>
          <w:szCs w:val="26"/>
        </w:rPr>
        <w:t xml:space="preserve">The policy also recognizes that the property owner is in a better position than the tenant to know about, and correct, the foreign load.  </w:t>
      </w:r>
      <w:r w:rsidR="00B123DB">
        <w:rPr>
          <w:i/>
          <w:sz w:val="26"/>
          <w:szCs w:val="26"/>
        </w:rPr>
        <w:t>Id</w:t>
      </w:r>
      <w:r w:rsidR="00B123DB">
        <w:rPr>
          <w:iCs/>
          <w:sz w:val="26"/>
          <w:szCs w:val="26"/>
        </w:rPr>
        <w:t xml:space="preserve">. at 18 (citations omitted).  </w:t>
      </w:r>
      <w:r w:rsidR="00A941AC" w:rsidRPr="00A941AC">
        <w:rPr>
          <w:sz w:val="26"/>
          <w:szCs w:val="26"/>
        </w:rPr>
        <w:t>The operation of Section 1529.1, while punitive in nature</w:t>
      </w:r>
      <w:r w:rsidR="00CF5A22">
        <w:rPr>
          <w:sz w:val="26"/>
          <w:szCs w:val="26"/>
        </w:rPr>
        <w:t xml:space="preserve"> to the property owner</w:t>
      </w:r>
      <w:r w:rsidR="00A941AC" w:rsidRPr="00A941AC">
        <w:rPr>
          <w:sz w:val="26"/>
          <w:szCs w:val="26"/>
        </w:rPr>
        <w:t xml:space="preserve">, provides </w:t>
      </w:r>
      <w:r w:rsidR="00CF5A22">
        <w:rPr>
          <w:sz w:val="26"/>
          <w:szCs w:val="26"/>
        </w:rPr>
        <w:t xml:space="preserve">proper </w:t>
      </w:r>
      <w:r w:rsidR="00410263">
        <w:rPr>
          <w:sz w:val="26"/>
          <w:szCs w:val="26"/>
        </w:rPr>
        <w:t>incentive</w:t>
      </w:r>
      <w:r w:rsidR="00A941AC" w:rsidRPr="00A941AC">
        <w:rPr>
          <w:sz w:val="26"/>
          <w:szCs w:val="26"/>
        </w:rPr>
        <w:t xml:space="preserve"> for the</w:t>
      </w:r>
      <w:r w:rsidR="00CF5A22">
        <w:rPr>
          <w:sz w:val="26"/>
          <w:szCs w:val="26"/>
        </w:rPr>
        <w:t xml:space="preserve"> property</w:t>
      </w:r>
      <w:r w:rsidR="00A941AC" w:rsidRPr="00A941AC">
        <w:rPr>
          <w:sz w:val="26"/>
          <w:szCs w:val="26"/>
        </w:rPr>
        <w:t xml:space="preserve"> owner to correct the foreign load situation resulting from the wiring, plumbing or piping for which the owner is responsible.  </w:t>
      </w:r>
      <w:r w:rsidR="00B123DB">
        <w:rPr>
          <w:i/>
          <w:sz w:val="26"/>
          <w:szCs w:val="26"/>
        </w:rPr>
        <w:t>Id</w:t>
      </w:r>
      <w:r w:rsidR="00B123DB">
        <w:rPr>
          <w:iCs/>
          <w:sz w:val="26"/>
          <w:szCs w:val="26"/>
        </w:rPr>
        <w:t>.</w:t>
      </w:r>
      <w:r w:rsidR="00410263">
        <w:rPr>
          <w:iCs/>
          <w:sz w:val="26"/>
          <w:szCs w:val="26"/>
        </w:rPr>
        <w:t xml:space="preserve"> at 18 (citations omitted).</w:t>
      </w:r>
    </w:p>
    <w:p w14:paraId="56344C2E" w14:textId="77777777" w:rsidR="00102DE8" w:rsidRDefault="00102DE8" w:rsidP="00102DE8">
      <w:pPr>
        <w:spacing w:line="360" w:lineRule="auto"/>
        <w:ind w:firstLine="1440"/>
        <w:contextualSpacing/>
        <w:rPr>
          <w:iCs/>
          <w:sz w:val="26"/>
          <w:szCs w:val="26"/>
        </w:rPr>
      </w:pPr>
    </w:p>
    <w:p w14:paraId="244CDFF3" w14:textId="7C1D0CAD" w:rsidR="00802078" w:rsidRDefault="00B123DB" w:rsidP="00102DE8">
      <w:pPr>
        <w:pStyle w:val="ListParagraph"/>
        <w:shd w:val="clear" w:color="auto" w:fill="FFFFFF"/>
        <w:spacing w:after="0" w:line="360" w:lineRule="auto"/>
        <w:ind w:left="0" w:firstLine="1440"/>
        <w:contextualSpacing w:val="0"/>
        <w:rPr>
          <w:sz w:val="26"/>
          <w:szCs w:val="26"/>
        </w:rPr>
      </w:pPr>
      <w:r>
        <w:rPr>
          <w:iCs/>
          <w:sz w:val="26"/>
          <w:szCs w:val="26"/>
        </w:rPr>
        <w:t>Finally, we reject the Complainant’s argument</w:t>
      </w:r>
      <w:r w:rsidR="00721C4A">
        <w:rPr>
          <w:iCs/>
          <w:sz w:val="26"/>
          <w:szCs w:val="26"/>
        </w:rPr>
        <w:t xml:space="preserve"> </w:t>
      </w:r>
      <w:r w:rsidR="00061198">
        <w:rPr>
          <w:iCs/>
          <w:sz w:val="26"/>
          <w:szCs w:val="26"/>
        </w:rPr>
        <w:t xml:space="preserve">in his fourth Exception </w:t>
      </w:r>
      <w:r w:rsidR="00721C4A">
        <w:rPr>
          <w:iCs/>
          <w:sz w:val="26"/>
          <w:szCs w:val="26"/>
        </w:rPr>
        <w:t>that he is due a</w:t>
      </w:r>
      <w:r w:rsidR="000A2600">
        <w:rPr>
          <w:iCs/>
          <w:sz w:val="26"/>
          <w:szCs w:val="26"/>
        </w:rPr>
        <w:t>n additional</w:t>
      </w:r>
      <w:r w:rsidR="00721C4A">
        <w:rPr>
          <w:iCs/>
          <w:sz w:val="26"/>
          <w:szCs w:val="26"/>
        </w:rPr>
        <w:t xml:space="preserve"> “fair and impartial hearing</w:t>
      </w:r>
      <w:r>
        <w:rPr>
          <w:iCs/>
          <w:sz w:val="26"/>
          <w:szCs w:val="26"/>
        </w:rPr>
        <w:t>.</w:t>
      </w:r>
      <w:r w:rsidR="00721C4A">
        <w:rPr>
          <w:iCs/>
          <w:sz w:val="26"/>
          <w:szCs w:val="26"/>
        </w:rPr>
        <w:t>”</w:t>
      </w:r>
      <w:r>
        <w:rPr>
          <w:iCs/>
          <w:sz w:val="26"/>
          <w:szCs w:val="26"/>
        </w:rPr>
        <w:t xml:space="preserve">  </w:t>
      </w:r>
      <w:r w:rsidR="00102DE8">
        <w:rPr>
          <w:iCs/>
          <w:sz w:val="26"/>
          <w:szCs w:val="26"/>
        </w:rPr>
        <w:t>T</w:t>
      </w:r>
      <w:r w:rsidR="00802078">
        <w:rPr>
          <w:sz w:val="26"/>
          <w:szCs w:val="26"/>
        </w:rPr>
        <w:t xml:space="preserve">he Complainant has received </w:t>
      </w:r>
      <w:bookmarkStart w:id="6" w:name="_Hlk13665345"/>
      <w:r w:rsidR="00802078">
        <w:rPr>
          <w:sz w:val="26"/>
          <w:szCs w:val="26"/>
        </w:rPr>
        <w:t xml:space="preserve">adequate notice and a meaningful opportunity </w:t>
      </w:r>
      <w:bookmarkEnd w:id="6"/>
      <w:r w:rsidR="00802078">
        <w:rPr>
          <w:sz w:val="26"/>
          <w:szCs w:val="26"/>
        </w:rPr>
        <w:t xml:space="preserve">to be heard at the initial hearing before the ALJ and again at the stage of Exceptions and Replies before the Commission.  </w:t>
      </w:r>
      <w:r w:rsidR="00802078" w:rsidRPr="00E248A5">
        <w:rPr>
          <w:sz w:val="26"/>
          <w:szCs w:val="26"/>
        </w:rPr>
        <w:t>As an administrative agency of the Commonwealth, the Commission is required to provide due process to the parties appearing before it.</w:t>
      </w:r>
      <w:r w:rsidR="00802078">
        <w:rPr>
          <w:sz w:val="26"/>
          <w:szCs w:val="26"/>
        </w:rPr>
        <w:t xml:space="preserve">  </w:t>
      </w:r>
      <w:r w:rsidR="00802078" w:rsidRPr="00E248A5">
        <w:rPr>
          <w:i/>
          <w:sz w:val="26"/>
          <w:szCs w:val="26"/>
        </w:rPr>
        <w:t>Schneider v. Pa. PUC</w:t>
      </w:r>
      <w:r w:rsidR="00802078" w:rsidRPr="00E248A5">
        <w:rPr>
          <w:sz w:val="26"/>
          <w:szCs w:val="26"/>
        </w:rPr>
        <w:t>, 479 A.2d 10, 15 (Pa. Cmwlth. 1984) (</w:t>
      </w:r>
      <w:r w:rsidR="00802078" w:rsidRPr="00E248A5">
        <w:rPr>
          <w:i/>
          <w:sz w:val="26"/>
          <w:szCs w:val="26"/>
        </w:rPr>
        <w:t>Schneider</w:t>
      </w:r>
      <w:r w:rsidR="00802078" w:rsidRPr="00E248A5">
        <w:rPr>
          <w:sz w:val="26"/>
          <w:szCs w:val="26"/>
        </w:rPr>
        <w:t xml:space="preserve">), citing </w:t>
      </w:r>
      <w:proofErr w:type="spellStart"/>
      <w:r w:rsidR="00802078" w:rsidRPr="00E248A5">
        <w:rPr>
          <w:i/>
          <w:sz w:val="26"/>
          <w:szCs w:val="26"/>
        </w:rPr>
        <w:t>Fusaro</w:t>
      </w:r>
      <w:proofErr w:type="spellEnd"/>
      <w:r w:rsidR="00802078" w:rsidRPr="00E248A5">
        <w:rPr>
          <w:i/>
          <w:sz w:val="26"/>
          <w:szCs w:val="26"/>
        </w:rPr>
        <w:t xml:space="preserve"> v. Pa. PUC</w:t>
      </w:r>
      <w:r w:rsidR="00802078" w:rsidRPr="00E248A5">
        <w:rPr>
          <w:sz w:val="26"/>
          <w:szCs w:val="26"/>
        </w:rPr>
        <w:t>, 382 A.2d 794 (Pa. Cmwlth. 1978).</w:t>
      </w:r>
      <w:r w:rsidR="00802078">
        <w:rPr>
          <w:sz w:val="26"/>
          <w:szCs w:val="26"/>
        </w:rPr>
        <w:t xml:space="preserve">  </w:t>
      </w:r>
      <w:r w:rsidR="00802078" w:rsidRPr="00E248A5">
        <w:rPr>
          <w:sz w:val="26"/>
          <w:szCs w:val="26"/>
        </w:rPr>
        <w:t xml:space="preserve">Due process is satisfied when the parties are afforded notice and the opportunity to appear and be heard.  </w:t>
      </w:r>
      <w:r w:rsidR="00802078" w:rsidRPr="00E248A5">
        <w:rPr>
          <w:i/>
          <w:sz w:val="26"/>
          <w:szCs w:val="26"/>
        </w:rPr>
        <w:t>Schneider</w:t>
      </w:r>
      <w:r w:rsidR="00802078" w:rsidRPr="00E248A5">
        <w:rPr>
          <w:sz w:val="26"/>
          <w:szCs w:val="26"/>
        </w:rPr>
        <w:t>, 479 A.2d at</w:t>
      </w:r>
      <w:r w:rsidR="00802078">
        <w:rPr>
          <w:sz w:val="26"/>
          <w:szCs w:val="26"/>
        </w:rPr>
        <w:t> </w:t>
      </w:r>
      <w:r w:rsidR="00802078" w:rsidRPr="00E248A5">
        <w:rPr>
          <w:sz w:val="26"/>
          <w:szCs w:val="26"/>
        </w:rPr>
        <w:t xml:space="preserve">15 (Pa.  Cmwlth. 1984), citing </w:t>
      </w:r>
      <w:r w:rsidR="00802078" w:rsidRPr="00E248A5">
        <w:rPr>
          <w:i/>
          <w:sz w:val="26"/>
          <w:szCs w:val="26"/>
        </w:rPr>
        <w:t>Township of Middleton v. The Institute District of the County of Delaware</w:t>
      </w:r>
      <w:r w:rsidR="00802078" w:rsidRPr="00E248A5">
        <w:rPr>
          <w:sz w:val="26"/>
          <w:szCs w:val="26"/>
        </w:rPr>
        <w:t>, 293 A.2d 885 (Pa. Cmwlth. 1972), aff’d 450 Pa. 282, 299 A.2d 599 (Pa. Cmwlth. 1973).</w:t>
      </w:r>
      <w:r w:rsidR="00802078">
        <w:rPr>
          <w:sz w:val="26"/>
          <w:szCs w:val="26"/>
        </w:rPr>
        <w:t xml:space="preserve">  </w:t>
      </w:r>
      <w:r w:rsidR="00802078" w:rsidRPr="00E248A5">
        <w:rPr>
          <w:sz w:val="26"/>
          <w:szCs w:val="26"/>
        </w:rPr>
        <w:t>The fundamental requirement of due process is the opportunity to be heard at a meaningful time and in a meaningful manner.</w:t>
      </w:r>
      <w:r w:rsidR="00802078">
        <w:rPr>
          <w:sz w:val="26"/>
          <w:szCs w:val="26"/>
        </w:rPr>
        <w:t xml:space="preserve">  </w:t>
      </w:r>
      <w:r w:rsidR="00802078" w:rsidRPr="00E248A5">
        <w:rPr>
          <w:i/>
          <w:sz w:val="26"/>
          <w:szCs w:val="26"/>
        </w:rPr>
        <w:t xml:space="preserve">Montefiore Hospital </w:t>
      </w:r>
      <w:proofErr w:type="spellStart"/>
      <w:r w:rsidR="00802078" w:rsidRPr="00E248A5">
        <w:rPr>
          <w:i/>
          <w:sz w:val="26"/>
          <w:szCs w:val="26"/>
        </w:rPr>
        <w:t>Ass’n</w:t>
      </w:r>
      <w:proofErr w:type="spellEnd"/>
      <w:r w:rsidR="00802078" w:rsidRPr="00E248A5">
        <w:rPr>
          <w:i/>
          <w:sz w:val="26"/>
          <w:szCs w:val="26"/>
        </w:rPr>
        <w:t xml:space="preserve"> of Western Pennsylvania v. Pa. PUC</w:t>
      </w:r>
      <w:r w:rsidR="00802078" w:rsidRPr="00E248A5">
        <w:rPr>
          <w:sz w:val="26"/>
          <w:szCs w:val="26"/>
        </w:rPr>
        <w:t>, 421 A.2d 481, 484 (Pa. Cmwlth. 1980).</w:t>
      </w:r>
      <w:r w:rsidR="00802078">
        <w:rPr>
          <w:sz w:val="26"/>
          <w:szCs w:val="26"/>
        </w:rPr>
        <w:t xml:space="preserve"> </w:t>
      </w:r>
    </w:p>
    <w:p w14:paraId="08D50C60" w14:textId="77777777" w:rsidR="00AE2026" w:rsidRPr="008F78A8" w:rsidRDefault="00AE2026" w:rsidP="009F0FBD">
      <w:pPr>
        <w:spacing w:line="360" w:lineRule="auto"/>
        <w:contextualSpacing/>
        <w:rPr>
          <w:sz w:val="26"/>
          <w:szCs w:val="26"/>
        </w:rPr>
      </w:pPr>
    </w:p>
    <w:p w14:paraId="70486277" w14:textId="77777777" w:rsidR="00CA43A5" w:rsidRPr="008F78A8" w:rsidRDefault="00CA43A5" w:rsidP="00D07678">
      <w:pPr>
        <w:keepNext/>
        <w:keepLines/>
        <w:spacing w:line="360" w:lineRule="auto"/>
        <w:contextualSpacing/>
        <w:jc w:val="center"/>
        <w:rPr>
          <w:b/>
          <w:sz w:val="26"/>
          <w:szCs w:val="26"/>
        </w:rPr>
      </w:pPr>
      <w:r w:rsidRPr="008F78A8">
        <w:rPr>
          <w:b/>
          <w:sz w:val="26"/>
          <w:szCs w:val="26"/>
        </w:rPr>
        <w:lastRenderedPageBreak/>
        <w:t>Conclusion</w:t>
      </w:r>
    </w:p>
    <w:p w14:paraId="23F653C9" w14:textId="77777777" w:rsidR="00CA43A5" w:rsidRPr="008F78A8" w:rsidRDefault="00CA43A5" w:rsidP="00D07678">
      <w:pPr>
        <w:keepNext/>
        <w:keepLines/>
        <w:spacing w:line="360" w:lineRule="auto"/>
        <w:ind w:firstLine="1440"/>
        <w:contextualSpacing/>
        <w:rPr>
          <w:sz w:val="26"/>
          <w:szCs w:val="26"/>
        </w:rPr>
      </w:pPr>
    </w:p>
    <w:p w14:paraId="3BF916DE" w14:textId="1D24CD6C" w:rsidR="00CA43A5" w:rsidRPr="008F78A8" w:rsidRDefault="00990900" w:rsidP="009F0FBD">
      <w:pPr>
        <w:spacing w:line="360" w:lineRule="auto"/>
        <w:ind w:firstLine="1440"/>
        <w:contextualSpacing/>
        <w:rPr>
          <w:sz w:val="26"/>
          <w:szCs w:val="26"/>
        </w:rPr>
      </w:pPr>
      <w:r w:rsidRPr="00990900">
        <w:rPr>
          <w:sz w:val="26"/>
          <w:szCs w:val="26"/>
        </w:rPr>
        <w:t>Consistent with</w:t>
      </w:r>
      <w:r w:rsidR="00234374">
        <w:rPr>
          <w:sz w:val="26"/>
          <w:szCs w:val="26"/>
        </w:rPr>
        <w:t xml:space="preserve"> the foregoing reasons, </w:t>
      </w:r>
      <w:r w:rsidR="00CA43A5" w:rsidRPr="008F78A8">
        <w:rPr>
          <w:sz w:val="26"/>
          <w:szCs w:val="26"/>
        </w:rPr>
        <w:t xml:space="preserve">we shall </w:t>
      </w:r>
      <w:r w:rsidR="006E4254" w:rsidRPr="008F78A8">
        <w:rPr>
          <w:sz w:val="26"/>
          <w:szCs w:val="26"/>
        </w:rPr>
        <w:t>deny the Complainant’s Exceptions</w:t>
      </w:r>
      <w:r w:rsidR="00184513">
        <w:rPr>
          <w:sz w:val="26"/>
          <w:szCs w:val="26"/>
        </w:rPr>
        <w:t xml:space="preserve">, </w:t>
      </w:r>
      <w:r w:rsidR="009D4C89" w:rsidRPr="008F78A8">
        <w:rPr>
          <w:sz w:val="26"/>
          <w:szCs w:val="26"/>
        </w:rPr>
        <w:t>adopt the Initial Decision</w:t>
      </w:r>
      <w:r w:rsidR="008F78A8" w:rsidRPr="008F78A8">
        <w:rPr>
          <w:sz w:val="26"/>
          <w:szCs w:val="26"/>
        </w:rPr>
        <w:t xml:space="preserve"> </w:t>
      </w:r>
      <w:r w:rsidR="008F5185">
        <w:rPr>
          <w:sz w:val="26"/>
          <w:szCs w:val="26"/>
        </w:rPr>
        <w:t xml:space="preserve">of ALJ Meyers </w:t>
      </w:r>
      <w:r w:rsidR="007A3B16">
        <w:rPr>
          <w:sz w:val="26"/>
          <w:szCs w:val="26"/>
        </w:rPr>
        <w:t xml:space="preserve">and </w:t>
      </w:r>
      <w:r w:rsidR="008F78A8" w:rsidRPr="008F78A8">
        <w:rPr>
          <w:sz w:val="26"/>
          <w:szCs w:val="26"/>
        </w:rPr>
        <w:t xml:space="preserve">dismiss the Complaint </w:t>
      </w:r>
      <w:r w:rsidR="00CA43A5" w:rsidRPr="008F78A8">
        <w:rPr>
          <w:sz w:val="26"/>
          <w:szCs w:val="26"/>
        </w:rPr>
        <w:t>consistent with th</w:t>
      </w:r>
      <w:r w:rsidR="0008598C" w:rsidRPr="008F78A8">
        <w:rPr>
          <w:sz w:val="26"/>
          <w:szCs w:val="26"/>
        </w:rPr>
        <w:t>is Opinion and Order</w:t>
      </w:r>
      <w:r w:rsidR="00CA43A5" w:rsidRPr="008F78A8">
        <w:rPr>
          <w:sz w:val="26"/>
          <w:szCs w:val="26"/>
        </w:rPr>
        <w:t xml:space="preserve">; </w:t>
      </w:r>
      <w:r w:rsidR="00CA43A5" w:rsidRPr="008F78A8">
        <w:rPr>
          <w:b/>
          <w:sz w:val="26"/>
          <w:szCs w:val="26"/>
        </w:rPr>
        <w:t>THEREFORE,</w:t>
      </w:r>
    </w:p>
    <w:p w14:paraId="5DEF1C1C" w14:textId="77777777" w:rsidR="00AE2026" w:rsidRPr="008F78A8" w:rsidRDefault="00AE2026" w:rsidP="009F0FBD">
      <w:pPr>
        <w:spacing w:line="360" w:lineRule="auto"/>
        <w:ind w:firstLine="1440"/>
        <w:contextualSpacing/>
        <w:rPr>
          <w:sz w:val="26"/>
          <w:szCs w:val="26"/>
        </w:rPr>
      </w:pPr>
    </w:p>
    <w:p w14:paraId="391659BB" w14:textId="77777777" w:rsidR="00CA43A5" w:rsidRPr="008F78A8" w:rsidRDefault="00CA43A5" w:rsidP="009F0FBD">
      <w:pPr>
        <w:keepNext/>
        <w:ind w:firstLine="1440"/>
        <w:contextualSpacing/>
        <w:rPr>
          <w:b/>
          <w:sz w:val="26"/>
          <w:szCs w:val="26"/>
        </w:rPr>
      </w:pPr>
      <w:r w:rsidRPr="008F78A8">
        <w:rPr>
          <w:b/>
          <w:sz w:val="26"/>
          <w:szCs w:val="26"/>
        </w:rPr>
        <w:t>IT IS ORDERED:</w:t>
      </w:r>
    </w:p>
    <w:p w14:paraId="297D2291" w14:textId="77777777" w:rsidR="00A61618" w:rsidRPr="008F78A8" w:rsidRDefault="00A61618" w:rsidP="009F0FBD">
      <w:pPr>
        <w:keepNext/>
        <w:ind w:firstLine="1440"/>
        <w:contextualSpacing/>
        <w:rPr>
          <w:b/>
          <w:sz w:val="26"/>
          <w:szCs w:val="26"/>
        </w:rPr>
      </w:pPr>
    </w:p>
    <w:p w14:paraId="40A3E107" w14:textId="77777777" w:rsidR="00CA43A5" w:rsidRPr="008F78A8" w:rsidRDefault="00CA43A5" w:rsidP="009F0FBD">
      <w:pPr>
        <w:keepNext/>
        <w:contextualSpacing/>
        <w:rPr>
          <w:sz w:val="26"/>
          <w:szCs w:val="26"/>
        </w:rPr>
      </w:pPr>
    </w:p>
    <w:p w14:paraId="69FCA6E7" w14:textId="58541337" w:rsidR="009155F7" w:rsidRPr="008F78A8" w:rsidRDefault="009155F7" w:rsidP="009F0FBD">
      <w:pPr>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5173B3" w:rsidRPr="005173B3">
        <w:rPr>
          <w:sz w:val="26"/>
          <w:szCs w:val="26"/>
        </w:rPr>
        <w:t xml:space="preserve">Silver Valley Apartments c/o Mike Vianello </w:t>
      </w:r>
      <w:r w:rsidR="00234374">
        <w:rPr>
          <w:sz w:val="26"/>
          <w:szCs w:val="26"/>
        </w:rPr>
        <w:t xml:space="preserve">that were </w:t>
      </w:r>
      <w:r w:rsidR="009D4C89" w:rsidRPr="008F78A8">
        <w:rPr>
          <w:sz w:val="26"/>
          <w:szCs w:val="26"/>
        </w:rPr>
        <w:t xml:space="preserve">filed on </w:t>
      </w:r>
      <w:r w:rsidR="00A3754D">
        <w:rPr>
          <w:sz w:val="26"/>
          <w:szCs w:val="26"/>
        </w:rPr>
        <w:t>September 25,</w:t>
      </w:r>
      <w:r w:rsidR="008F5185">
        <w:rPr>
          <w:sz w:val="26"/>
          <w:szCs w:val="26"/>
        </w:rPr>
        <w:t xml:space="preserve"> 2019</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14:paraId="1C9BD233" w14:textId="77777777" w:rsidR="0008598C" w:rsidRPr="008F78A8" w:rsidRDefault="0008598C" w:rsidP="009F0FBD">
      <w:pPr>
        <w:spacing w:line="360" w:lineRule="auto"/>
        <w:ind w:left="1440"/>
        <w:contextualSpacing/>
        <w:rPr>
          <w:sz w:val="26"/>
          <w:szCs w:val="26"/>
        </w:rPr>
      </w:pPr>
    </w:p>
    <w:p w14:paraId="20DB9FAF" w14:textId="331A3360" w:rsidR="003F51F4" w:rsidRPr="008F78A8" w:rsidRDefault="009D4C89" w:rsidP="009F0FBD">
      <w:pPr>
        <w:spacing w:line="360" w:lineRule="auto"/>
        <w:ind w:firstLine="1440"/>
        <w:contextualSpacing/>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8F5185" w:rsidRPr="008F5185">
        <w:rPr>
          <w:sz w:val="26"/>
        </w:rPr>
        <w:t>Benjamin J. Myers</w:t>
      </w:r>
      <w:r w:rsidR="00B56D48" w:rsidRPr="008F78A8">
        <w:rPr>
          <w:sz w:val="26"/>
        </w:rPr>
        <w:t xml:space="preserve">, </w:t>
      </w:r>
      <w:r w:rsidRPr="008F78A8">
        <w:rPr>
          <w:sz w:val="26"/>
        </w:rPr>
        <w:t xml:space="preserve">issued on </w:t>
      </w:r>
      <w:r w:rsidR="00A3754D">
        <w:rPr>
          <w:sz w:val="26"/>
        </w:rPr>
        <w:t>August 27,</w:t>
      </w:r>
      <w:r w:rsidR="008F5185">
        <w:rPr>
          <w:sz w:val="26"/>
        </w:rPr>
        <w:t xml:space="preserve"> 2019</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14:paraId="2489B60C" w14:textId="77777777" w:rsidR="00CA43A5" w:rsidRPr="008F78A8" w:rsidRDefault="00CA43A5" w:rsidP="009F0FBD">
      <w:pPr>
        <w:spacing w:line="360" w:lineRule="auto"/>
        <w:ind w:firstLine="1440"/>
        <w:contextualSpacing/>
        <w:rPr>
          <w:sz w:val="26"/>
          <w:szCs w:val="26"/>
        </w:rPr>
      </w:pPr>
    </w:p>
    <w:p w14:paraId="5219AA0C" w14:textId="1FF5311D" w:rsidR="009D4C89" w:rsidRDefault="009D4C89" w:rsidP="005A7ABF">
      <w:pPr>
        <w:spacing w:line="360" w:lineRule="auto"/>
        <w:ind w:firstLine="1440"/>
        <w:contextualSpacing/>
        <w:rPr>
          <w:sz w:val="26"/>
          <w:szCs w:val="26"/>
        </w:rPr>
      </w:pPr>
      <w:r w:rsidRPr="008F78A8">
        <w:rPr>
          <w:sz w:val="26"/>
          <w:szCs w:val="26"/>
        </w:rPr>
        <w:t>3.</w:t>
      </w:r>
      <w:r w:rsidRPr="008F78A8">
        <w:rPr>
          <w:sz w:val="26"/>
          <w:szCs w:val="26"/>
        </w:rPr>
        <w:tab/>
        <w:t xml:space="preserve">That the Complaint of </w:t>
      </w:r>
      <w:r w:rsidR="00853632" w:rsidRPr="00853632">
        <w:rPr>
          <w:sz w:val="26"/>
          <w:szCs w:val="26"/>
        </w:rPr>
        <w:t>Silver Valley Apartments</w:t>
      </w:r>
      <w:r w:rsidR="005A7ABF">
        <w:rPr>
          <w:sz w:val="26"/>
          <w:szCs w:val="26"/>
        </w:rPr>
        <w:t xml:space="preserve"> </w:t>
      </w:r>
      <w:r w:rsidR="00853632" w:rsidRPr="00853632">
        <w:rPr>
          <w:sz w:val="26"/>
          <w:szCs w:val="26"/>
        </w:rPr>
        <w:t xml:space="preserve">c/o Mike Vianello </w:t>
      </w:r>
      <w:r w:rsidRPr="008F78A8">
        <w:rPr>
          <w:sz w:val="26"/>
          <w:szCs w:val="26"/>
        </w:rPr>
        <w:t xml:space="preserve">against </w:t>
      </w:r>
      <w:r w:rsidR="00F10539" w:rsidRPr="00F10539">
        <w:rPr>
          <w:sz w:val="26"/>
          <w:szCs w:val="26"/>
        </w:rPr>
        <w:t>PPL Electric Utilities Corporation</w:t>
      </w:r>
      <w:r w:rsidR="0008598C" w:rsidRPr="008F78A8">
        <w:rPr>
          <w:sz w:val="26"/>
          <w:szCs w:val="26"/>
        </w:rPr>
        <w:t>,</w:t>
      </w:r>
      <w:r w:rsidRPr="008F78A8">
        <w:rPr>
          <w:sz w:val="26"/>
          <w:szCs w:val="26"/>
        </w:rPr>
        <w:t xml:space="preserve"> </w:t>
      </w:r>
      <w:r w:rsidR="00A3754D">
        <w:rPr>
          <w:sz w:val="26"/>
          <w:szCs w:val="26"/>
        </w:rPr>
        <w:t xml:space="preserve">filed on March 14, 2019, </w:t>
      </w:r>
      <w:r w:rsidRPr="008F78A8">
        <w:rPr>
          <w:sz w:val="26"/>
          <w:szCs w:val="26"/>
        </w:rPr>
        <w:t xml:space="preserve">at Docket No. </w:t>
      </w:r>
      <w:r w:rsidR="00B2679B" w:rsidRPr="00B2679B">
        <w:rPr>
          <w:sz w:val="26"/>
          <w:szCs w:val="26"/>
        </w:rPr>
        <w:t>F</w:t>
      </w:r>
      <w:r w:rsidR="002B2B1F">
        <w:rPr>
          <w:sz w:val="26"/>
          <w:szCs w:val="26"/>
        </w:rPr>
        <w:noBreakHyphen/>
      </w:r>
      <w:r w:rsidR="00B2679B" w:rsidRPr="00B2679B">
        <w:rPr>
          <w:sz w:val="26"/>
          <w:szCs w:val="26"/>
        </w:rPr>
        <w:t>2019-3008686</w:t>
      </w:r>
      <w:r w:rsidR="0008598C" w:rsidRPr="008F78A8">
        <w:rPr>
          <w:sz w:val="26"/>
          <w:szCs w:val="26"/>
        </w:rPr>
        <w:t>,</w:t>
      </w:r>
      <w:r w:rsidRPr="008F78A8">
        <w:rPr>
          <w:sz w:val="26"/>
          <w:szCs w:val="26"/>
        </w:rPr>
        <w:t xml:space="preserve"> is </w:t>
      </w:r>
      <w:r w:rsidR="000E33AF" w:rsidRPr="008F78A8">
        <w:rPr>
          <w:sz w:val="26"/>
          <w:szCs w:val="26"/>
        </w:rPr>
        <w:t>dismissed</w:t>
      </w:r>
      <w:r w:rsidRPr="008F78A8">
        <w:rPr>
          <w:sz w:val="26"/>
          <w:szCs w:val="26"/>
        </w:rPr>
        <w:t xml:space="preserve">. </w:t>
      </w:r>
    </w:p>
    <w:p w14:paraId="42184145" w14:textId="77777777" w:rsidR="000F76F4" w:rsidRPr="008F78A8" w:rsidRDefault="000F76F4" w:rsidP="009F0FBD">
      <w:pPr>
        <w:spacing w:line="360" w:lineRule="auto"/>
        <w:ind w:firstLine="1440"/>
        <w:contextualSpacing/>
        <w:rPr>
          <w:sz w:val="26"/>
          <w:szCs w:val="26"/>
        </w:rPr>
      </w:pPr>
    </w:p>
    <w:p w14:paraId="5CF7E413" w14:textId="657AB111" w:rsidR="00372487" w:rsidRPr="008F78A8" w:rsidRDefault="00372487" w:rsidP="00FF6ADB">
      <w:pPr>
        <w:keepNext/>
        <w:keepLines/>
        <w:ind w:firstLine="1440"/>
        <w:rPr>
          <w:sz w:val="26"/>
          <w:szCs w:val="26"/>
        </w:rPr>
      </w:pPr>
      <w:r w:rsidRPr="008F78A8">
        <w:rPr>
          <w:sz w:val="26"/>
          <w:szCs w:val="26"/>
        </w:rPr>
        <w:lastRenderedPageBreak/>
        <w:t>4.</w:t>
      </w:r>
      <w:r w:rsidRPr="008F78A8">
        <w:rPr>
          <w:sz w:val="26"/>
          <w:szCs w:val="26"/>
        </w:rPr>
        <w:tab/>
      </w:r>
      <w:r w:rsidR="008855BB" w:rsidRPr="008F78A8">
        <w:rPr>
          <w:sz w:val="26"/>
          <w:szCs w:val="26"/>
        </w:rPr>
        <w:t>That this proceeding be marked closed.</w:t>
      </w:r>
    </w:p>
    <w:p w14:paraId="2CF591D5" w14:textId="77777777" w:rsidR="00002451" w:rsidRDefault="00002451" w:rsidP="00FF6ADB">
      <w:pPr>
        <w:keepNext/>
        <w:keepLines/>
        <w:contextualSpacing/>
        <w:rPr>
          <w:sz w:val="26"/>
          <w:szCs w:val="26"/>
        </w:rPr>
      </w:pPr>
    </w:p>
    <w:p w14:paraId="658CD5DF" w14:textId="50611503" w:rsidR="00CA43A5" w:rsidRPr="008F78A8" w:rsidRDefault="00CA43A5" w:rsidP="00FF6ADB">
      <w:pPr>
        <w:keepNext/>
        <w:keepLines/>
        <w:tabs>
          <w:tab w:val="left" w:pos="-720"/>
        </w:tabs>
        <w:ind w:firstLine="5040"/>
        <w:contextualSpacing/>
        <w:rPr>
          <w:sz w:val="26"/>
          <w:szCs w:val="26"/>
        </w:rPr>
      </w:pPr>
      <w:r w:rsidRPr="008F78A8">
        <w:rPr>
          <w:b/>
          <w:sz w:val="26"/>
          <w:szCs w:val="26"/>
        </w:rPr>
        <w:t>BY THE COMMISSION,</w:t>
      </w:r>
    </w:p>
    <w:p w14:paraId="66F5AB52" w14:textId="75211687" w:rsidR="00CA43A5" w:rsidRDefault="00006A92" w:rsidP="00FF6ADB">
      <w:pPr>
        <w:keepNext/>
        <w:keepLines/>
        <w:tabs>
          <w:tab w:val="left" w:pos="-720"/>
        </w:tabs>
        <w:contextualSpacing/>
        <w:rPr>
          <w:sz w:val="26"/>
          <w:szCs w:val="26"/>
        </w:rPr>
      </w:pPr>
      <w:bookmarkStart w:id="7" w:name="_GoBack"/>
      <w:r>
        <w:rPr>
          <w:rFonts w:ascii="Arial" w:hAnsi="Arial" w:cs="Arial"/>
          <w:noProof/>
          <w:sz w:val="24"/>
          <w:szCs w:val="24"/>
        </w:rPr>
        <w:drawing>
          <wp:anchor distT="0" distB="0" distL="114300" distR="114300" simplePos="0" relativeHeight="251659264" behindDoc="1" locked="0" layoutInCell="1" allowOverlap="1" wp14:anchorId="6BE80194" wp14:editId="3BE47607">
            <wp:simplePos x="0" y="0"/>
            <wp:positionH relativeFrom="column">
              <wp:posOffset>3155950</wp:posOffset>
            </wp:positionH>
            <wp:positionV relativeFrom="paragraph">
              <wp:posOffset>2540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p>
    <w:p w14:paraId="1DFCA7D0" w14:textId="5076B596" w:rsidR="00C9299B" w:rsidRDefault="00006A92" w:rsidP="00006A92">
      <w:pPr>
        <w:keepNext/>
        <w:keepLines/>
        <w:tabs>
          <w:tab w:val="left" w:pos="-720"/>
          <w:tab w:val="left" w:pos="6220"/>
        </w:tabs>
        <w:contextualSpacing/>
        <w:rPr>
          <w:sz w:val="26"/>
          <w:szCs w:val="26"/>
        </w:rPr>
      </w:pPr>
      <w:r>
        <w:rPr>
          <w:sz w:val="26"/>
          <w:szCs w:val="26"/>
        </w:rPr>
        <w:tab/>
      </w:r>
    </w:p>
    <w:p w14:paraId="5EAC9752" w14:textId="77777777" w:rsidR="00FF6ADB" w:rsidRPr="008F78A8" w:rsidRDefault="00FF6ADB" w:rsidP="00FF6ADB">
      <w:pPr>
        <w:keepNext/>
        <w:keepLines/>
        <w:tabs>
          <w:tab w:val="left" w:pos="-720"/>
        </w:tabs>
        <w:contextualSpacing/>
        <w:rPr>
          <w:sz w:val="26"/>
          <w:szCs w:val="26"/>
        </w:rPr>
      </w:pPr>
    </w:p>
    <w:p w14:paraId="00BE956E" w14:textId="77777777" w:rsidR="00CA43A5" w:rsidRPr="008F78A8" w:rsidRDefault="00564565" w:rsidP="00FF6ADB">
      <w:pPr>
        <w:keepNext/>
        <w:keepLines/>
        <w:tabs>
          <w:tab w:val="left" w:pos="-720"/>
        </w:tabs>
        <w:ind w:firstLine="5040"/>
        <w:contextualSpacing/>
        <w:rPr>
          <w:b/>
          <w:sz w:val="26"/>
          <w:szCs w:val="26"/>
        </w:rPr>
      </w:pPr>
      <w:r w:rsidRPr="008F78A8">
        <w:rPr>
          <w:sz w:val="26"/>
          <w:szCs w:val="26"/>
        </w:rPr>
        <w:t>Rosemary Chiavetta</w:t>
      </w:r>
    </w:p>
    <w:p w14:paraId="2A775FA6" w14:textId="77777777" w:rsidR="00CA43A5" w:rsidRPr="008F78A8" w:rsidRDefault="00CA43A5" w:rsidP="00FF6ADB">
      <w:pPr>
        <w:keepNext/>
        <w:keepLines/>
        <w:tabs>
          <w:tab w:val="left" w:pos="-720"/>
        </w:tabs>
        <w:ind w:firstLine="5040"/>
        <w:contextualSpacing/>
        <w:rPr>
          <w:sz w:val="26"/>
          <w:szCs w:val="26"/>
        </w:rPr>
      </w:pPr>
      <w:r w:rsidRPr="008F78A8">
        <w:rPr>
          <w:sz w:val="26"/>
          <w:szCs w:val="26"/>
        </w:rPr>
        <w:t>Secretary</w:t>
      </w:r>
    </w:p>
    <w:p w14:paraId="409D301C" w14:textId="77777777" w:rsidR="008F78A8" w:rsidRDefault="008F78A8" w:rsidP="00234374">
      <w:pPr>
        <w:keepNext/>
        <w:keepLines/>
        <w:tabs>
          <w:tab w:val="left" w:pos="-720"/>
        </w:tabs>
        <w:contextualSpacing/>
        <w:rPr>
          <w:sz w:val="26"/>
          <w:szCs w:val="26"/>
        </w:rPr>
      </w:pPr>
    </w:p>
    <w:p w14:paraId="55399CE1" w14:textId="77777777" w:rsidR="00CA43A5" w:rsidRPr="008F78A8" w:rsidRDefault="00CA43A5" w:rsidP="00234374">
      <w:pPr>
        <w:keepNext/>
        <w:keepLines/>
        <w:tabs>
          <w:tab w:val="left" w:pos="-720"/>
        </w:tabs>
        <w:contextualSpacing/>
        <w:rPr>
          <w:sz w:val="26"/>
          <w:szCs w:val="26"/>
        </w:rPr>
      </w:pPr>
      <w:r w:rsidRPr="008F78A8">
        <w:rPr>
          <w:sz w:val="26"/>
          <w:szCs w:val="26"/>
        </w:rPr>
        <w:t>(SEAL)</w:t>
      </w:r>
    </w:p>
    <w:p w14:paraId="1E443D94" w14:textId="77777777" w:rsidR="00CA43A5" w:rsidRPr="008F78A8" w:rsidRDefault="00CA43A5" w:rsidP="00234374">
      <w:pPr>
        <w:keepNext/>
        <w:keepLines/>
        <w:tabs>
          <w:tab w:val="left" w:pos="-720"/>
        </w:tabs>
        <w:contextualSpacing/>
        <w:rPr>
          <w:sz w:val="26"/>
          <w:szCs w:val="26"/>
        </w:rPr>
      </w:pPr>
    </w:p>
    <w:p w14:paraId="3AFB2870" w14:textId="60862EA3" w:rsidR="00CA43A5" w:rsidRPr="008F78A8" w:rsidRDefault="00CA43A5" w:rsidP="00234374">
      <w:pPr>
        <w:keepNext/>
        <w:keepLines/>
        <w:tabs>
          <w:tab w:val="left" w:pos="-720"/>
        </w:tabs>
        <w:contextualSpacing/>
        <w:rPr>
          <w:sz w:val="26"/>
          <w:szCs w:val="26"/>
        </w:rPr>
      </w:pPr>
      <w:r w:rsidRPr="008F78A8">
        <w:rPr>
          <w:sz w:val="26"/>
          <w:szCs w:val="26"/>
        </w:rPr>
        <w:t>ORDER ADOPTED:</w:t>
      </w:r>
      <w:r w:rsidR="009D4C89" w:rsidRPr="008F78A8">
        <w:rPr>
          <w:sz w:val="26"/>
          <w:szCs w:val="26"/>
        </w:rPr>
        <w:t xml:space="preserve">  </w:t>
      </w:r>
      <w:r w:rsidR="001D36CF">
        <w:rPr>
          <w:sz w:val="26"/>
          <w:szCs w:val="26"/>
        </w:rPr>
        <w:t xml:space="preserve">March </w:t>
      </w:r>
      <w:r w:rsidR="00C2267A">
        <w:rPr>
          <w:sz w:val="26"/>
          <w:szCs w:val="26"/>
        </w:rPr>
        <w:t>26</w:t>
      </w:r>
      <w:r w:rsidR="001D36CF">
        <w:rPr>
          <w:sz w:val="26"/>
          <w:szCs w:val="26"/>
        </w:rPr>
        <w:t>, 2020</w:t>
      </w:r>
    </w:p>
    <w:p w14:paraId="504B2A14" w14:textId="77777777" w:rsidR="00857172" w:rsidRPr="008F78A8" w:rsidRDefault="00857172" w:rsidP="00234374">
      <w:pPr>
        <w:keepNext/>
        <w:keepLines/>
        <w:tabs>
          <w:tab w:val="left" w:pos="-720"/>
        </w:tabs>
        <w:contextualSpacing/>
        <w:rPr>
          <w:sz w:val="26"/>
          <w:szCs w:val="26"/>
        </w:rPr>
      </w:pPr>
    </w:p>
    <w:p w14:paraId="6E9A0F7D" w14:textId="5D47E614" w:rsidR="00CA43A5" w:rsidRPr="008F78A8" w:rsidRDefault="00CA43A5" w:rsidP="00234374">
      <w:pPr>
        <w:keepNext/>
        <w:keepLines/>
        <w:tabs>
          <w:tab w:val="left" w:pos="-720"/>
        </w:tabs>
        <w:contextualSpacing/>
        <w:rPr>
          <w:sz w:val="26"/>
          <w:szCs w:val="26"/>
        </w:rPr>
      </w:pPr>
      <w:r w:rsidRPr="008F78A8">
        <w:rPr>
          <w:sz w:val="26"/>
          <w:szCs w:val="26"/>
        </w:rPr>
        <w:t xml:space="preserve">ORDER ENTERED:  </w:t>
      </w:r>
      <w:r w:rsidR="00006A92">
        <w:rPr>
          <w:sz w:val="26"/>
          <w:szCs w:val="26"/>
        </w:rPr>
        <w:t>March 26, 2020</w:t>
      </w:r>
    </w:p>
    <w:sectPr w:rsidR="00CA43A5" w:rsidRPr="008F78A8" w:rsidSect="009279B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CE8B" w14:textId="77777777" w:rsidR="000C79A5" w:rsidRDefault="000C79A5" w:rsidP="001B7DA2">
      <w:r>
        <w:separator/>
      </w:r>
    </w:p>
  </w:endnote>
  <w:endnote w:type="continuationSeparator" w:id="0">
    <w:p w14:paraId="78AB253C" w14:textId="77777777" w:rsidR="000C79A5" w:rsidRDefault="000C79A5"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971551"/>
      <w:docPartObj>
        <w:docPartGallery w:val="Page Numbers (Bottom of Page)"/>
        <w:docPartUnique/>
      </w:docPartObj>
    </w:sdtPr>
    <w:sdtEndPr>
      <w:rPr>
        <w:noProof/>
        <w:sz w:val="26"/>
        <w:szCs w:val="26"/>
      </w:rPr>
    </w:sdtEndPr>
    <w:sdtContent>
      <w:p w14:paraId="4D89ABA1" w14:textId="31A5C61C" w:rsidR="005207E2" w:rsidRPr="00BB7888" w:rsidRDefault="005207E2" w:rsidP="00BB7888">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006A92">
          <w:rPr>
            <w:noProof/>
            <w:sz w:val="26"/>
            <w:szCs w:val="26"/>
          </w:rPr>
          <w:t>18</w:t>
        </w:r>
        <w:r w:rsidRPr="004D0C36">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F56E" w14:textId="77777777" w:rsidR="005207E2" w:rsidRPr="004D0C36" w:rsidRDefault="005207E2" w:rsidP="005F0FA9">
    <w:pPr>
      <w:pStyle w:val="Footer"/>
      <w:jc w:val="center"/>
      <w:rPr>
        <w:sz w:val="26"/>
        <w:szCs w:val="26"/>
      </w:rPr>
    </w:pPr>
  </w:p>
  <w:p w14:paraId="36224545" w14:textId="77777777" w:rsidR="005207E2" w:rsidRDefault="0052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A704" w14:textId="77777777" w:rsidR="000C79A5" w:rsidRDefault="000C79A5" w:rsidP="001B7DA2">
      <w:r>
        <w:separator/>
      </w:r>
    </w:p>
  </w:footnote>
  <w:footnote w:type="continuationSeparator" w:id="0">
    <w:p w14:paraId="4FFE5043" w14:textId="77777777" w:rsidR="000C79A5" w:rsidRDefault="000C79A5" w:rsidP="001B7DA2">
      <w:r>
        <w:continuationSeparator/>
      </w:r>
    </w:p>
  </w:footnote>
  <w:footnote w:id="1">
    <w:p w14:paraId="4171B195" w14:textId="5CE12817" w:rsidR="00752C4C" w:rsidRPr="002D2224" w:rsidRDefault="00752C4C" w:rsidP="0041068F">
      <w:pPr>
        <w:pStyle w:val="FootnoteText"/>
        <w:keepNext/>
        <w:keepLines/>
        <w:spacing w:after="0" w:line="240" w:lineRule="auto"/>
        <w:ind w:firstLine="720"/>
        <w:rPr>
          <w:sz w:val="26"/>
          <w:szCs w:val="26"/>
        </w:rPr>
      </w:pPr>
      <w:r w:rsidRPr="002D2224">
        <w:rPr>
          <w:rStyle w:val="FootnoteReference"/>
          <w:sz w:val="26"/>
          <w:szCs w:val="26"/>
        </w:rPr>
        <w:footnoteRef/>
      </w:r>
      <w:r w:rsidRPr="002D2224">
        <w:rPr>
          <w:sz w:val="26"/>
          <w:szCs w:val="26"/>
        </w:rPr>
        <w:t xml:space="preserve"> </w:t>
      </w:r>
      <w:r w:rsidR="00AB7750">
        <w:rPr>
          <w:sz w:val="26"/>
          <w:szCs w:val="26"/>
        </w:rPr>
        <w:tab/>
      </w:r>
      <w:r w:rsidR="002D2224" w:rsidRPr="002D2224">
        <w:rPr>
          <w:sz w:val="26"/>
          <w:szCs w:val="26"/>
        </w:rPr>
        <w:t>Tr. at 5.</w:t>
      </w:r>
      <w:r w:rsidR="009A7BFE">
        <w:rPr>
          <w:sz w:val="26"/>
          <w:szCs w:val="26"/>
        </w:rPr>
        <w:t xml:space="preserve">  </w:t>
      </w:r>
      <w:r w:rsidR="0003262F">
        <w:rPr>
          <w:spacing w:val="-3"/>
          <w:sz w:val="26"/>
          <w:szCs w:val="26"/>
        </w:rPr>
        <w:t>I</w:t>
      </w:r>
      <w:r w:rsidR="0003262F" w:rsidRPr="00435A48">
        <w:rPr>
          <w:spacing w:val="-3"/>
          <w:sz w:val="26"/>
          <w:szCs w:val="26"/>
        </w:rPr>
        <w:t>ndividuals</w:t>
      </w:r>
      <w:r w:rsidR="0003262F">
        <w:rPr>
          <w:spacing w:val="-3"/>
          <w:sz w:val="26"/>
          <w:szCs w:val="26"/>
        </w:rPr>
        <w:t xml:space="preserve"> may</w:t>
      </w:r>
      <w:r w:rsidR="0003262F" w:rsidRPr="00B27AA4">
        <w:rPr>
          <w:spacing w:val="-3"/>
          <w:sz w:val="26"/>
          <w:szCs w:val="26"/>
        </w:rPr>
        <w:t xml:space="preserve"> represent themselves </w:t>
      </w:r>
      <w:r w:rsidR="00AB7750">
        <w:rPr>
          <w:spacing w:val="-3"/>
          <w:sz w:val="26"/>
          <w:szCs w:val="26"/>
        </w:rPr>
        <w:t xml:space="preserve">in adversarial proceedings </w:t>
      </w:r>
      <w:r w:rsidR="0003262F" w:rsidRPr="00B27AA4">
        <w:rPr>
          <w:spacing w:val="-3"/>
          <w:sz w:val="26"/>
          <w:szCs w:val="26"/>
        </w:rPr>
        <w:t>before the Commission</w:t>
      </w:r>
      <w:r w:rsidR="0003262F">
        <w:rPr>
          <w:spacing w:val="-3"/>
          <w:sz w:val="26"/>
          <w:szCs w:val="26"/>
        </w:rPr>
        <w:t xml:space="preserve"> without attorney representation</w:t>
      </w:r>
      <w:r w:rsidR="0003262F" w:rsidRPr="00B27AA4">
        <w:rPr>
          <w:spacing w:val="-3"/>
          <w:sz w:val="26"/>
          <w:szCs w:val="26"/>
        </w:rPr>
        <w:t>.</w:t>
      </w:r>
      <w:r w:rsidR="0003262F">
        <w:rPr>
          <w:spacing w:val="-3"/>
          <w:sz w:val="26"/>
          <w:szCs w:val="26"/>
        </w:rPr>
        <w:t xml:space="preserve">  52 Pa. Code § 1.21</w:t>
      </w:r>
      <w:r w:rsidR="00AB7750">
        <w:rPr>
          <w:spacing w:val="-3"/>
          <w:sz w:val="26"/>
          <w:szCs w:val="26"/>
        </w:rPr>
        <w:t>(a).</w:t>
      </w:r>
      <w:r w:rsidR="0003262F">
        <w:rPr>
          <w:spacing w:val="-3"/>
          <w:sz w:val="26"/>
          <w:szCs w:val="26"/>
        </w:rPr>
        <w:t xml:space="preserve">  </w:t>
      </w:r>
      <w:r w:rsidR="00AB7750">
        <w:rPr>
          <w:spacing w:val="-3"/>
          <w:sz w:val="26"/>
          <w:szCs w:val="26"/>
        </w:rPr>
        <w:t>A</w:t>
      </w:r>
      <w:r w:rsidR="009A7BFE">
        <w:rPr>
          <w:sz w:val="26"/>
          <w:szCs w:val="26"/>
        </w:rPr>
        <w:t xml:space="preserve"> sole proprietorship may be represented in an adversarial proceeding before the Commission in the same manner as an individual.</w:t>
      </w:r>
      <w:r w:rsidR="009A7BFE" w:rsidRPr="00D727AA">
        <w:rPr>
          <w:sz w:val="26"/>
          <w:szCs w:val="26"/>
        </w:rPr>
        <w:t xml:space="preserve"> </w:t>
      </w:r>
      <w:r w:rsidR="009A7BFE">
        <w:rPr>
          <w:sz w:val="26"/>
          <w:szCs w:val="26"/>
        </w:rPr>
        <w:t xml:space="preserve"> </w:t>
      </w:r>
      <w:r w:rsidR="009A7BFE" w:rsidRPr="004F320D">
        <w:rPr>
          <w:i/>
          <w:sz w:val="26"/>
          <w:szCs w:val="26"/>
        </w:rPr>
        <w:t>See</w:t>
      </w:r>
      <w:r w:rsidR="00667ED3">
        <w:rPr>
          <w:i/>
          <w:sz w:val="26"/>
          <w:szCs w:val="26"/>
        </w:rPr>
        <w:t>,</w:t>
      </w:r>
      <w:r w:rsidR="009A7BFE" w:rsidRPr="004F320D">
        <w:rPr>
          <w:i/>
          <w:sz w:val="26"/>
          <w:szCs w:val="26"/>
        </w:rPr>
        <w:t xml:space="preserve"> Upper Allen Township Fire Department v. United Water Pennsylvania, Inc</w:t>
      </w:r>
      <w:r w:rsidR="009A7BFE" w:rsidRPr="004F320D">
        <w:rPr>
          <w:sz w:val="26"/>
          <w:szCs w:val="26"/>
        </w:rPr>
        <w:t>., Docket No. C-2014-2418494 (Order entered September 25, 2014)</w:t>
      </w:r>
      <w:r w:rsidR="009A7BFE">
        <w:rPr>
          <w:sz w:val="26"/>
          <w:szCs w:val="26"/>
        </w:rPr>
        <w:t xml:space="preserve"> (</w:t>
      </w:r>
      <w:r w:rsidR="009A7BFE" w:rsidRPr="00BB389E">
        <w:rPr>
          <w:i/>
          <w:sz w:val="26"/>
          <w:szCs w:val="26"/>
        </w:rPr>
        <w:t>Upper Allen Township</w:t>
      </w:r>
      <w:r w:rsidR="009A7BFE">
        <w:rPr>
          <w:sz w:val="26"/>
          <w:szCs w:val="26"/>
        </w:rPr>
        <w:t>)</w:t>
      </w:r>
      <w:r w:rsidR="009A7BFE" w:rsidRPr="004F320D">
        <w:rPr>
          <w:sz w:val="26"/>
          <w:szCs w:val="26"/>
        </w:rPr>
        <w:t>.</w:t>
      </w:r>
    </w:p>
  </w:footnote>
  <w:footnote w:id="2">
    <w:p w14:paraId="3F3E9938" w14:textId="4296E28A" w:rsidR="00FD47A3" w:rsidRPr="002B2B1F" w:rsidRDefault="00FD47A3" w:rsidP="002B2B1F">
      <w:pPr>
        <w:pStyle w:val="FootnoteText"/>
        <w:ind w:firstLine="720"/>
        <w:rPr>
          <w:sz w:val="26"/>
          <w:szCs w:val="26"/>
        </w:rPr>
      </w:pPr>
      <w:r w:rsidRPr="002B2B1F">
        <w:rPr>
          <w:rStyle w:val="FootnoteReference"/>
          <w:sz w:val="26"/>
          <w:szCs w:val="26"/>
        </w:rPr>
        <w:footnoteRef/>
      </w:r>
      <w:r w:rsidRPr="002B2B1F">
        <w:rPr>
          <w:sz w:val="26"/>
          <w:szCs w:val="26"/>
        </w:rPr>
        <w:t xml:space="preserve"> </w:t>
      </w:r>
      <w:r w:rsidRPr="002B2B1F">
        <w:rPr>
          <w:sz w:val="26"/>
          <w:szCs w:val="26"/>
        </w:rPr>
        <w:tab/>
      </w:r>
      <w:r>
        <w:rPr>
          <w:sz w:val="26"/>
          <w:szCs w:val="26"/>
        </w:rPr>
        <w:t>B</w:t>
      </w:r>
      <w:r w:rsidRPr="002B2B1F">
        <w:rPr>
          <w:sz w:val="26"/>
          <w:szCs w:val="26"/>
        </w:rPr>
        <w:t>y a Secretarial Letter</w:t>
      </w:r>
      <w:r w:rsidR="00EC18F8">
        <w:rPr>
          <w:sz w:val="26"/>
          <w:szCs w:val="26"/>
        </w:rPr>
        <w:t xml:space="preserve"> issued</w:t>
      </w:r>
      <w:r>
        <w:rPr>
          <w:sz w:val="26"/>
          <w:szCs w:val="26"/>
        </w:rPr>
        <w:t xml:space="preserve"> on September 18, 2019</w:t>
      </w:r>
      <w:r w:rsidR="00EC18F8">
        <w:rPr>
          <w:sz w:val="26"/>
          <w:szCs w:val="26"/>
        </w:rPr>
        <w:t xml:space="preserve"> </w:t>
      </w:r>
      <w:r w:rsidRPr="002B2B1F">
        <w:rPr>
          <w:i/>
          <w:iCs/>
          <w:sz w:val="26"/>
          <w:szCs w:val="26"/>
        </w:rPr>
        <w:t>(September 201</w:t>
      </w:r>
      <w:r>
        <w:rPr>
          <w:i/>
          <w:iCs/>
          <w:sz w:val="26"/>
          <w:szCs w:val="26"/>
        </w:rPr>
        <w:t>9</w:t>
      </w:r>
      <w:r w:rsidRPr="002B2B1F">
        <w:rPr>
          <w:i/>
          <w:iCs/>
          <w:sz w:val="26"/>
          <w:szCs w:val="26"/>
        </w:rPr>
        <w:t xml:space="preserve"> Secretarial Letter), </w:t>
      </w:r>
      <w:r w:rsidRPr="002B2B1F">
        <w:rPr>
          <w:sz w:val="26"/>
          <w:szCs w:val="26"/>
        </w:rPr>
        <w:t>the Commission granted the Complainant’s request for an</w:t>
      </w:r>
      <w:r>
        <w:rPr>
          <w:sz w:val="26"/>
          <w:szCs w:val="26"/>
        </w:rPr>
        <w:t xml:space="preserve"> extension of time to file Exceptions due to not receiving the ALJ’s Initial Decision until September 16, 2019.  The </w:t>
      </w:r>
      <w:r w:rsidR="00181B1B" w:rsidRPr="006D4B5C">
        <w:rPr>
          <w:i/>
          <w:iCs/>
          <w:sz w:val="26"/>
          <w:szCs w:val="26"/>
        </w:rPr>
        <w:t>September 201</w:t>
      </w:r>
      <w:r w:rsidR="00181B1B">
        <w:rPr>
          <w:i/>
          <w:iCs/>
          <w:sz w:val="26"/>
          <w:szCs w:val="26"/>
        </w:rPr>
        <w:t>9</w:t>
      </w:r>
      <w:r w:rsidR="00181B1B" w:rsidRPr="006D4B5C">
        <w:rPr>
          <w:i/>
          <w:iCs/>
          <w:sz w:val="26"/>
          <w:szCs w:val="26"/>
        </w:rPr>
        <w:t xml:space="preserve"> Secretarial Letter</w:t>
      </w:r>
      <w:r w:rsidR="00181B1B">
        <w:rPr>
          <w:sz w:val="26"/>
          <w:szCs w:val="26"/>
        </w:rPr>
        <w:t xml:space="preserve"> permitted </w:t>
      </w:r>
      <w:r w:rsidR="00DE4DE6">
        <w:rPr>
          <w:sz w:val="26"/>
          <w:szCs w:val="26"/>
        </w:rPr>
        <w:t xml:space="preserve">the Complainant to file </w:t>
      </w:r>
      <w:r w:rsidR="00181B1B">
        <w:rPr>
          <w:sz w:val="26"/>
          <w:szCs w:val="26"/>
        </w:rPr>
        <w:t>Exceptions</w:t>
      </w:r>
      <w:r w:rsidR="00DE4DE6">
        <w:rPr>
          <w:sz w:val="26"/>
          <w:szCs w:val="26"/>
        </w:rPr>
        <w:t xml:space="preserve"> </w:t>
      </w:r>
      <w:r w:rsidR="00181B1B">
        <w:rPr>
          <w:sz w:val="26"/>
          <w:szCs w:val="26"/>
        </w:rPr>
        <w:t xml:space="preserve">on or before September 26, 2019, and </w:t>
      </w:r>
      <w:r w:rsidR="00590CDD">
        <w:rPr>
          <w:sz w:val="26"/>
          <w:szCs w:val="26"/>
        </w:rPr>
        <w:t xml:space="preserve">PPL to file </w:t>
      </w:r>
      <w:r w:rsidR="00181B1B">
        <w:rPr>
          <w:sz w:val="26"/>
          <w:szCs w:val="26"/>
        </w:rPr>
        <w:t>Replies</w:t>
      </w:r>
      <w:r w:rsidR="00DE4DE6">
        <w:rPr>
          <w:sz w:val="26"/>
          <w:szCs w:val="26"/>
        </w:rPr>
        <w:t xml:space="preserve"> </w:t>
      </w:r>
      <w:r w:rsidR="00181B1B">
        <w:rPr>
          <w:sz w:val="26"/>
          <w:szCs w:val="26"/>
        </w:rPr>
        <w:t xml:space="preserve">on or before October 7, 2019.  </w:t>
      </w:r>
    </w:p>
  </w:footnote>
  <w:footnote w:id="3">
    <w:p w14:paraId="59D3732B" w14:textId="329C5CA4" w:rsidR="00B24E64" w:rsidRPr="006D4B5C" w:rsidRDefault="00B24E64" w:rsidP="00B24E64">
      <w:pPr>
        <w:pStyle w:val="FootnoteText"/>
        <w:ind w:firstLine="720"/>
        <w:rPr>
          <w:sz w:val="26"/>
          <w:szCs w:val="26"/>
        </w:rPr>
      </w:pPr>
      <w:r w:rsidRPr="006D4B5C">
        <w:rPr>
          <w:rStyle w:val="FootnoteReference"/>
          <w:sz w:val="26"/>
          <w:szCs w:val="26"/>
        </w:rPr>
        <w:footnoteRef/>
      </w:r>
      <w:r w:rsidRPr="006D4B5C">
        <w:rPr>
          <w:sz w:val="26"/>
          <w:szCs w:val="26"/>
        </w:rPr>
        <w:t xml:space="preserve"> </w:t>
      </w:r>
      <w:r w:rsidRPr="006D4B5C">
        <w:rPr>
          <w:sz w:val="26"/>
          <w:szCs w:val="26"/>
        </w:rPr>
        <w:tab/>
      </w:r>
      <w:r w:rsidRPr="00421AFB">
        <w:rPr>
          <w:sz w:val="26"/>
          <w:szCs w:val="26"/>
        </w:rPr>
        <w:t>W</w:t>
      </w:r>
      <w:r w:rsidRPr="006D4B5C">
        <w:rPr>
          <w:sz w:val="26"/>
          <w:szCs w:val="26"/>
        </w:rPr>
        <w:t>e note that Commission Regulations do not provide for the filing of a Reply to an Answer</w:t>
      </w:r>
      <w:r>
        <w:rPr>
          <w:sz w:val="26"/>
          <w:szCs w:val="26"/>
        </w:rPr>
        <w:t xml:space="preserve">.  </w:t>
      </w:r>
      <w:r w:rsidRPr="006D4B5C">
        <w:rPr>
          <w:i/>
          <w:sz w:val="26"/>
          <w:szCs w:val="26"/>
        </w:rPr>
        <w:t>See</w:t>
      </w:r>
      <w:r w:rsidR="00667ED3">
        <w:rPr>
          <w:i/>
          <w:sz w:val="26"/>
          <w:szCs w:val="26"/>
        </w:rPr>
        <w:t>,</w:t>
      </w:r>
      <w:r w:rsidRPr="006D4B5C">
        <w:rPr>
          <w:sz w:val="26"/>
          <w:szCs w:val="26"/>
        </w:rPr>
        <w:t xml:space="preserve"> 52 Pa. Code § 5.62.</w:t>
      </w:r>
      <w:r w:rsidR="00115E84">
        <w:rPr>
          <w:sz w:val="26"/>
          <w:szCs w:val="26"/>
        </w:rPr>
        <w:t xml:space="preserve">  </w:t>
      </w:r>
      <w:r w:rsidR="003D09DC">
        <w:rPr>
          <w:sz w:val="26"/>
          <w:szCs w:val="26"/>
        </w:rPr>
        <w:t>Therefore, we shall not address Mr. Vianello’s Reply to PPL’s Answer.</w:t>
      </w:r>
    </w:p>
  </w:footnote>
  <w:footnote w:id="4">
    <w:p w14:paraId="53DCAABC" w14:textId="48644A13" w:rsidR="006328A7" w:rsidRPr="00AB51E4" w:rsidRDefault="006328A7" w:rsidP="00AB51E4">
      <w:pPr>
        <w:pStyle w:val="FootnoteText"/>
        <w:ind w:firstLine="720"/>
        <w:rPr>
          <w:sz w:val="26"/>
          <w:szCs w:val="26"/>
        </w:rPr>
      </w:pPr>
      <w:r w:rsidRPr="00752ACA">
        <w:rPr>
          <w:rStyle w:val="FootnoteReference"/>
          <w:sz w:val="26"/>
          <w:szCs w:val="26"/>
        </w:rPr>
        <w:footnoteRef/>
      </w:r>
      <w:r w:rsidRPr="00AB51E4">
        <w:rPr>
          <w:sz w:val="26"/>
          <w:szCs w:val="26"/>
        </w:rPr>
        <w:t xml:space="preserve"> </w:t>
      </w:r>
      <w:r w:rsidR="000A428E" w:rsidRPr="00AB51E4">
        <w:rPr>
          <w:sz w:val="26"/>
          <w:szCs w:val="26"/>
        </w:rPr>
        <w:t xml:space="preserve"> </w:t>
      </w:r>
      <w:r w:rsidR="00752ACA" w:rsidRPr="00AB51E4">
        <w:rPr>
          <w:sz w:val="26"/>
          <w:szCs w:val="26"/>
        </w:rPr>
        <w:tab/>
      </w:r>
      <w:r w:rsidR="00752ACA">
        <w:rPr>
          <w:sz w:val="26"/>
          <w:szCs w:val="26"/>
        </w:rPr>
        <w:t>In a timely appeal from a BCS decision, the burden of proof remains with the Complainant</w:t>
      </w:r>
      <w:r w:rsidR="000A428E" w:rsidRPr="00AB51E4">
        <w:rPr>
          <w:sz w:val="26"/>
          <w:szCs w:val="26"/>
        </w:rPr>
        <w:t xml:space="preserve"> </w:t>
      </w:r>
      <w:r w:rsidRPr="00752ACA">
        <w:rPr>
          <w:rFonts w:eastAsiaTheme="minorHAnsi"/>
          <w:sz w:val="26"/>
          <w:szCs w:val="26"/>
        </w:rPr>
        <w:t>except for legal or policy issues raised by the utility on appeal</w:t>
      </w:r>
      <w:r w:rsidR="00AF300C" w:rsidRPr="00752ACA">
        <w:rPr>
          <w:rFonts w:eastAsiaTheme="minorHAnsi"/>
          <w:sz w:val="26"/>
          <w:szCs w:val="26"/>
        </w:rPr>
        <w:t xml:space="preserve"> as </w:t>
      </w:r>
      <w:r w:rsidR="00AF300C" w:rsidRPr="00752ACA">
        <w:rPr>
          <w:sz w:val="26"/>
          <w:szCs w:val="26"/>
        </w:rPr>
        <w:t>“it would be absurd to impose the burden of proof concerning a legal and policy issue upon a customer who did not raise the issue and who probably has little knowledge of the issue itself.”</w:t>
      </w:r>
      <w:r w:rsidR="00752ACA" w:rsidRPr="00752ACA">
        <w:rPr>
          <w:sz w:val="26"/>
          <w:szCs w:val="26"/>
        </w:rPr>
        <w:t xml:space="preserve">  </w:t>
      </w:r>
      <w:r w:rsidR="00752ACA" w:rsidRPr="0041068F">
        <w:rPr>
          <w:i/>
          <w:iCs/>
          <w:sz w:val="26"/>
          <w:szCs w:val="26"/>
        </w:rPr>
        <w:t>Kelvin Thomas</w:t>
      </w:r>
      <w:r w:rsidR="00752ACA" w:rsidRPr="00752ACA">
        <w:rPr>
          <w:sz w:val="26"/>
          <w:szCs w:val="26"/>
        </w:rPr>
        <w:t xml:space="preserve"> at 8-9 (citations omitted).</w:t>
      </w:r>
      <w:r w:rsidR="00752ACA">
        <w:rPr>
          <w:sz w:val="26"/>
          <w:szCs w:val="26"/>
        </w:rPr>
        <w:t xml:space="preserve">  Here, however, PPL has not raised a legal or policy issue </w:t>
      </w:r>
      <w:r w:rsidR="00AB51E4">
        <w:rPr>
          <w:sz w:val="26"/>
          <w:szCs w:val="26"/>
        </w:rPr>
        <w:t>on appeal</w:t>
      </w:r>
      <w:r w:rsidR="003E0312">
        <w:rPr>
          <w:sz w:val="26"/>
          <w:szCs w:val="26"/>
        </w:rPr>
        <w:t xml:space="preserve"> that would require</w:t>
      </w:r>
      <w:r w:rsidR="00AB51E4">
        <w:rPr>
          <w:sz w:val="26"/>
          <w:szCs w:val="26"/>
        </w:rPr>
        <w:t xml:space="preserve"> the burden of proof to</w:t>
      </w:r>
      <w:r w:rsidR="003E0312">
        <w:rPr>
          <w:sz w:val="26"/>
          <w:szCs w:val="26"/>
        </w:rPr>
        <w:t xml:space="preserve"> shift to</w:t>
      </w:r>
      <w:r w:rsidR="00AB51E4">
        <w:rPr>
          <w:sz w:val="26"/>
          <w:szCs w:val="26"/>
        </w:rPr>
        <w:t xml:space="preserve"> PPL.</w:t>
      </w:r>
    </w:p>
  </w:footnote>
  <w:footnote w:id="5">
    <w:p w14:paraId="1E6F457D" w14:textId="497ADD49" w:rsidR="001A6E79" w:rsidRPr="00BE02EE" w:rsidRDefault="001A6E79" w:rsidP="00BE02EE">
      <w:pPr>
        <w:pStyle w:val="FootnoteText"/>
        <w:keepNext/>
        <w:keepLines/>
        <w:spacing w:after="0" w:line="240" w:lineRule="auto"/>
        <w:ind w:firstLine="720"/>
        <w:rPr>
          <w:sz w:val="26"/>
          <w:szCs w:val="26"/>
        </w:rPr>
      </w:pPr>
      <w:r w:rsidRPr="00BE02EE">
        <w:rPr>
          <w:rStyle w:val="FootnoteReference"/>
          <w:sz w:val="26"/>
          <w:szCs w:val="26"/>
        </w:rPr>
        <w:footnoteRef/>
      </w:r>
      <w:r w:rsidRPr="00BE02EE">
        <w:rPr>
          <w:sz w:val="26"/>
          <w:szCs w:val="26"/>
        </w:rPr>
        <w:t xml:space="preserve"> </w:t>
      </w:r>
      <w:r>
        <w:rPr>
          <w:sz w:val="26"/>
          <w:szCs w:val="26"/>
        </w:rPr>
        <w:tab/>
      </w:r>
      <w:r w:rsidRPr="00BE02EE">
        <w:rPr>
          <w:rFonts w:eastAsia="Calibri"/>
          <w:sz w:val="26"/>
          <w:szCs w:val="26"/>
        </w:rPr>
        <w:t>We acknowledge that the format of the Complainant’s Exceptions does not strictly comply with Section 5.533(b) of our Regulations</w:t>
      </w:r>
      <w:r w:rsidR="00F23967">
        <w:rPr>
          <w:rFonts w:eastAsia="Calibri"/>
          <w:sz w:val="26"/>
          <w:szCs w:val="26"/>
        </w:rPr>
        <w:t>.  H</w:t>
      </w:r>
      <w:r w:rsidR="00BE02EE">
        <w:rPr>
          <w:rFonts w:eastAsia="Calibri"/>
          <w:sz w:val="26"/>
          <w:szCs w:val="26"/>
        </w:rPr>
        <w:t>o</w:t>
      </w:r>
      <w:r w:rsidR="00F23967">
        <w:rPr>
          <w:rFonts w:eastAsia="Calibri"/>
          <w:sz w:val="26"/>
          <w:szCs w:val="26"/>
        </w:rPr>
        <w:t>wever</w:t>
      </w:r>
      <w:r w:rsidR="00BE02EE">
        <w:rPr>
          <w:rFonts w:eastAsia="Calibri"/>
          <w:sz w:val="26"/>
          <w:szCs w:val="26"/>
        </w:rPr>
        <w:t xml:space="preserve">, </w:t>
      </w:r>
      <w:r w:rsidRPr="00BE02EE">
        <w:rPr>
          <w:rFonts w:eastAsia="Calibri"/>
          <w:sz w:val="26"/>
          <w:szCs w:val="26"/>
        </w:rPr>
        <w:t xml:space="preserve">because the Complainant is appearing </w:t>
      </w:r>
      <w:r w:rsidRPr="00BE02EE">
        <w:rPr>
          <w:rFonts w:eastAsia="Calibri"/>
          <w:i/>
          <w:sz w:val="26"/>
          <w:szCs w:val="26"/>
        </w:rPr>
        <w:t>pro se</w:t>
      </w:r>
      <w:r w:rsidRPr="00BE02EE">
        <w:rPr>
          <w:rFonts w:eastAsia="Calibri"/>
          <w:sz w:val="26"/>
          <w:szCs w:val="26"/>
        </w:rPr>
        <w:t xml:space="preserve">, we will accept the Exceptions as filed pursuant to Section 1.2(a) of our Regulations, in order to secure a just, speedy, and inexpensive determination.  </w:t>
      </w:r>
      <w:r w:rsidRPr="00BE02EE">
        <w:rPr>
          <w:rFonts w:eastAsia="Calibri"/>
          <w:i/>
          <w:iCs/>
          <w:sz w:val="26"/>
          <w:szCs w:val="26"/>
        </w:rPr>
        <w:t>See</w:t>
      </w:r>
      <w:r w:rsidR="00667ED3">
        <w:rPr>
          <w:rFonts w:eastAsia="Calibri"/>
          <w:i/>
          <w:iCs/>
          <w:sz w:val="26"/>
          <w:szCs w:val="26"/>
        </w:rPr>
        <w:t>,</w:t>
      </w:r>
      <w:r w:rsidRPr="00BE02EE">
        <w:rPr>
          <w:rFonts w:eastAsia="Calibri"/>
          <w:sz w:val="26"/>
          <w:szCs w:val="26"/>
        </w:rPr>
        <w:t xml:space="preserve"> 52 Pa. Code § 5.533(b), 52 Pa. Code § 1.2(a).</w:t>
      </w:r>
    </w:p>
  </w:footnote>
  <w:footnote w:id="6">
    <w:p w14:paraId="02F9A5C8" w14:textId="61DBF46E" w:rsidR="004B451A" w:rsidRPr="002B2B1F" w:rsidRDefault="004B451A" w:rsidP="002B2B1F">
      <w:pPr>
        <w:pStyle w:val="FootnoteText"/>
        <w:ind w:firstLine="720"/>
        <w:rPr>
          <w:sz w:val="26"/>
          <w:szCs w:val="26"/>
        </w:rPr>
      </w:pPr>
      <w:r w:rsidRPr="002B2B1F">
        <w:rPr>
          <w:rStyle w:val="FootnoteReference"/>
          <w:sz w:val="26"/>
          <w:szCs w:val="26"/>
        </w:rPr>
        <w:footnoteRef/>
      </w:r>
      <w:r w:rsidRPr="002B2B1F">
        <w:rPr>
          <w:sz w:val="26"/>
          <w:szCs w:val="26"/>
        </w:rPr>
        <w:t xml:space="preserve"> </w:t>
      </w:r>
      <w:r w:rsidRPr="002B2B1F">
        <w:rPr>
          <w:sz w:val="26"/>
          <w:szCs w:val="26"/>
        </w:rPr>
        <w:tab/>
        <w:t>Finding of Fact No. 5 states that “[</w:t>
      </w:r>
      <w:r w:rsidR="0076016B">
        <w:rPr>
          <w:sz w:val="26"/>
          <w:szCs w:val="26"/>
        </w:rPr>
        <w:t>a</w:t>
      </w:r>
      <w:r w:rsidRPr="002B2B1F">
        <w:rPr>
          <w:sz w:val="26"/>
          <w:szCs w:val="26"/>
        </w:rPr>
        <w:t>]</w:t>
      </w:r>
      <w:proofErr w:type="spellStart"/>
      <w:r w:rsidRPr="002B2B1F">
        <w:rPr>
          <w:sz w:val="26"/>
          <w:szCs w:val="26"/>
        </w:rPr>
        <w:t>fter</w:t>
      </w:r>
      <w:proofErr w:type="spellEnd"/>
      <w:r w:rsidRPr="002B2B1F">
        <w:rPr>
          <w:sz w:val="26"/>
          <w:szCs w:val="26"/>
        </w:rPr>
        <w:t xml:space="preserve"> purchasing the property, the Complainant rented the house with the service address of 254 Silver Valley Road, Saylorsburg, Pennsylvania, to two tenants.”  I.D. at 3</w:t>
      </w:r>
      <w:r w:rsidR="00924213">
        <w:rPr>
          <w:sz w:val="26"/>
          <w:szCs w:val="26"/>
        </w:rPr>
        <w:t xml:space="preserve"> (</w:t>
      </w:r>
      <w:r w:rsidRPr="002B2B1F">
        <w:rPr>
          <w:sz w:val="26"/>
          <w:szCs w:val="26"/>
        </w:rPr>
        <w:t>citing Tr. at 11</w:t>
      </w:r>
      <w:r w:rsidR="00924213">
        <w:rPr>
          <w:sz w:val="26"/>
          <w:szCs w:val="26"/>
        </w:rPr>
        <w:t>)</w:t>
      </w:r>
      <w:r w:rsidRPr="002B2B1F">
        <w:rPr>
          <w:sz w:val="26"/>
          <w:szCs w:val="26"/>
        </w:rPr>
        <w:t>.</w:t>
      </w:r>
    </w:p>
  </w:footnote>
  <w:footnote w:id="7">
    <w:p w14:paraId="02520864" w14:textId="02C9538A" w:rsidR="009F7EAC" w:rsidRPr="002B2B1F" w:rsidRDefault="009F7EAC" w:rsidP="002B2B1F">
      <w:pPr>
        <w:pStyle w:val="FootnoteText"/>
        <w:ind w:firstLine="720"/>
        <w:rPr>
          <w:sz w:val="26"/>
          <w:szCs w:val="26"/>
        </w:rPr>
      </w:pPr>
      <w:r w:rsidRPr="002B2B1F">
        <w:rPr>
          <w:rStyle w:val="FootnoteReference"/>
          <w:sz w:val="26"/>
          <w:szCs w:val="26"/>
        </w:rPr>
        <w:footnoteRef/>
      </w:r>
      <w:r w:rsidRPr="002B2B1F">
        <w:rPr>
          <w:sz w:val="26"/>
          <w:szCs w:val="26"/>
        </w:rPr>
        <w:t xml:space="preserve"> </w:t>
      </w:r>
      <w:r w:rsidRPr="002B2B1F">
        <w:rPr>
          <w:sz w:val="26"/>
          <w:szCs w:val="26"/>
        </w:rPr>
        <w:tab/>
        <w:t xml:space="preserve">Conclusion of Law No. 2 states that “[t]he </w:t>
      </w:r>
      <w:proofErr w:type="gramStart"/>
      <w:r w:rsidRPr="002B2B1F">
        <w:rPr>
          <w:sz w:val="26"/>
          <w:szCs w:val="26"/>
        </w:rPr>
        <w:t>burden</w:t>
      </w:r>
      <w:proofErr w:type="gramEnd"/>
      <w:r w:rsidRPr="002B2B1F">
        <w:rPr>
          <w:sz w:val="26"/>
          <w:szCs w:val="26"/>
        </w:rPr>
        <w:t xml:space="preserve"> of proof in this proceeding is on the Complainant.</w:t>
      </w:r>
      <w:r w:rsidR="00424FC0">
        <w:rPr>
          <w:sz w:val="26"/>
          <w:szCs w:val="26"/>
        </w:rPr>
        <w:t xml:space="preserve">  </w:t>
      </w:r>
      <w:r w:rsidRPr="002B2B1F">
        <w:rPr>
          <w:sz w:val="26"/>
          <w:szCs w:val="26"/>
        </w:rPr>
        <w:t xml:space="preserve">66 Pa. C.S. § 332(a).”  I.D. at 8. </w:t>
      </w:r>
    </w:p>
  </w:footnote>
  <w:footnote w:id="8">
    <w:p w14:paraId="61D952A4" w14:textId="77ADEE30" w:rsidR="007813E1" w:rsidRPr="007813E1" w:rsidRDefault="007813E1" w:rsidP="00C2267A">
      <w:pPr>
        <w:pStyle w:val="FootnoteText"/>
        <w:spacing w:after="0" w:line="240" w:lineRule="auto"/>
        <w:ind w:firstLine="720"/>
        <w:rPr>
          <w:sz w:val="26"/>
          <w:szCs w:val="26"/>
        </w:rPr>
      </w:pPr>
      <w:r w:rsidRPr="007813E1">
        <w:rPr>
          <w:rStyle w:val="FootnoteReference"/>
          <w:sz w:val="26"/>
          <w:szCs w:val="26"/>
        </w:rPr>
        <w:footnoteRef/>
      </w:r>
      <w:r w:rsidRPr="007813E1">
        <w:rPr>
          <w:sz w:val="26"/>
          <w:szCs w:val="26"/>
        </w:rPr>
        <w:t xml:space="preserve"> </w:t>
      </w:r>
      <w:r>
        <w:rPr>
          <w:sz w:val="26"/>
          <w:szCs w:val="26"/>
        </w:rPr>
        <w:tab/>
        <w:t>Additionally,</w:t>
      </w:r>
      <w:r w:rsidRPr="007813E1">
        <w:rPr>
          <w:sz w:val="26"/>
          <w:szCs w:val="26"/>
        </w:rPr>
        <w:t xml:space="preserve"> we recognize that, as relief, the Complainant requested that the Commission direct PPL to stop attempts to collect the account balance.  A broad interpretation of the </w:t>
      </w:r>
      <w:r>
        <w:rPr>
          <w:sz w:val="26"/>
          <w:szCs w:val="26"/>
        </w:rPr>
        <w:t>Complainant’s claim regarding the balance being over four years old and his requested relief</w:t>
      </w:r>
      <w:r w:rsidRPr="007813E1">
        <w:rPr>
          <w:sz w:val="26"/>
          <w:szCs w:val="26"/>
        </w:rPr>
        <w:t xml:space="preserve"> is that the Complainant is requesting a refund </w:t>
      </w:r>
      <w:r>
        <w:rPr>
          <w:sz w:val="26"/>
          <w:szCs w:val="26"/>
        </w:rPr>
        <w:t>for</w:t>
      </w:r>
      <w:r w:rsidRPr="007813E1">
        <w:rPr>
          <w:sz w:val="26"/>
          <w:szCs w:val="26"/>
        </w:rPr>
        <w:t xml:space="preserve"> the portion of the balance that is more than four years old.  66 Pa. Code § 1312(a) gives the Commission authority to order a refund when a complainant is billed in excess of rates contained in a utility’s tariff or by unlawful collection, within four years prior to filing of the complaint.  </w:t>
      </w:r>
      <w:r>
        <w:rPr>
          <w:sz w:val="26"/>
          <w:szCs w:val="26"/>
        </w:rPr>
        <w:t>However, i</w:t>
      </w:r>
      <w:r w:rsidRPr="007813E1">
        <w:rPr>
          <w:sz w:val="26"/>
          <w:szCs w:val="26"/>
        </w:rPr>
        <w:t>n this case, as discussed herein, there is no record evidence that PPL unlawfully billed the Complainant when PPL transferred the tenant’s balance to the Complainant’s account</w:t>
      </w:r>
      <w:r>
        <w:rPr>
          <w:sz w:val="26"/>
          <w:szCs w:val="26"/>
        </w:rPr>
        <w:t xml:space="preserve"> due to the foreign load</w:t>
      </w:r>
      <w:r w:rsidRPr="007813E1">
        <w:rPr>
          <w:sz w:val="26"/>
          <w:szCs w:val="26"/>
        </w:rPr>
        <w:t xml:space="preserve"> and</w:t>
      </w:r>
      <w:r>
        <w:rPr>
          <w:sz w:val="26"/>
          <w:szCs w:val="26"/>
        </w:rPr>
        <w:t>,</w:t>
      </w:r>
      <w:r w:rsidRPr="007813E1">
        <w:rPr>
          <w:sz w:val="26"/>
          <w:szCs w:val="26"/>
        </w:rPr>
        <w:t xml:space="preserve"> therefore</w:t>
      </w:r>
      <w:r>
        <w:rPr>
          <w:sz w:val="26"/>
          <w:szCs w:val="26"/>
        </w:rPr>
        <w:t>,</w:t>
      </w:r>
      <w:r w:rsidRPr="007813E1">
        <w:rPr>
          <w:sz w:val="26"/>
          <w:szCs w:val="26"/>
        </w:rPr>
        <w:t xml:space="preserve"> no refund is due.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0F9"/>
    <w:rsid w:val="00000644"/>
    <w:rsid w:val="00000D47"/>
    <w:rsid w:val="00001FC8"/>
    <w:rsid w:val="00002451"/>
    <w:rsid w:val="00002629"/>
    <w:rsid w:val="00002693"/>
    <w:rsid w:val="0000423F"/>
    <w:rsid w:val="00005CC4"/>
    <w:rsid w:val="000063B7"/>
    <w:rsid w:val="00006685"/>
    <w:rsid w:val="00006A92"/>
    <w:rsid w:val="00006F35"/>
    <w:rsid w:val="00006FA2"/>
    <w:rsid w:val="000115B7"/>
    <w:rsid w:val="00012001"/>
    <w:rsid w:val="00014405"/>
    <w:rsid w:val="00016D57"/>
    <w:rsid w:val="0001756A"/>
    <w:rsid w:val="00017852"/>
    <w:rsid w:val="000215EA"/>
    <w:rsid w:val="00021E46"/>
    <w:rsid w:val="00022B74"/>
    <w:rsid w:val="00022C49"/>
    <w:rsid w:val="00023CD3"/>
    <w:rsid w:val="000241B3"/>
    <w:rsid w:val="00024511"/>
    <w:rsid w:val="00024D5A"/>
    <w:rsid w:val="0002524C"/>
    <w:rsid w:val="00025F3F"/>
    <w:rsid w:val="000260A1"/>
    <w:rsid w:val="00026CD2"/>
    <w:rsid w:val="00026E6E"/>
    <w:rsid w:val="00027BAA"/>
    <w:rsid w:val="00030655"/>
    <w:rsid w:val="0003194E"/>
    <w:rsid w:val="00031DB2"/>
    <w:rsid w:val="0003262F"/>
    <w:rsid w:val="00033309"/>
    <w:rsid w:val="00033792"/>
    <w:rsid w:val="00033D63"/>
    <w:rsid w:val="000355A2"/>
    <w:rsid w:val="00040A8E"/>
    <w:rsid w:val="00040AEA"/>
    <w:rsid w:val="00041092"/>
    <w:rsid w:val="00042D12"/>
    <w:rsid w:val="00043040"/>
    <w:rsid w:val="00043AAA"/>
    <w:rsid w:val="00043EF5"/>
    <w:rsid w:val="000472DB"/>
    <w:rsid w:val="00047834"/>
    <w:rsid w:val="00047874"/>
    <w:rsid w:val="00047F4A"/>
    <w:rsid w:val="0005145A"/>
    <w:rsid w:val="000516F3"/>
    <w:rsid w:val="00051BA5"/>
    <w:rsid w:val="00051C8C"/>
    <w:rsid w:val="000523D1"/>
    <w:rsid w:val="000525A6"/>
    <w:rsid w:val="0005264D"/>
    <w:rsid w:val="00052B8F"/>
    <w:rsid w:val="00052C70"/>
    <w:rsid w:val="000532E7"/>
    <w:rsid w:val="00053FDB"/>
    <w:rsid w:val="00054612"/>
    <w:rsid w:val="00054E3E"/>
    <w:rsid w:val="0005572E"/>
    <w:rsid w:val="0005596B"/>
    <w:rsid w:val="000561BC"/>
    <w:rsid w:val="00056286"/>
    <w:rsid w:val="00056FB9"/>
    <w:rsid w:val="000605A3"/>
    <w:rsid w:val="000607C4"/>
    <w:rsid w:val="00060E0A"/>
    <w:rsid w:val="00061198"/>
    <w:rsid w:val="000612FD"/>
    <w:rsid w:val="000615A9"/>
    <w:rsid w:val="0006340D"/>
    <w:rsid w:val="000642AA"/>
    <w:rsid w:val="0006460C"/>
    <w:rsid w:val="000646AC"/>
    <w:rsid w:val="000649EC"/>
    <w:rsid w:val="000663FC"/>
    <w:rsid w:val="00066A91"/>
    <w:rsid w:val="00066EE5"/>
    <w:rsid w:val="00067260"/>
    <w:rsid w:val="00067343"/>
    <w:rsid w:val="000676B7"/>
    <w:rsid w:val="00071F6B"/>
    <w:rsid w:val="000727F3"/>
    <w:rsid w:val="00072808"/>
    <w:rsid w:val="00072B52"/>
    <w:rsid w:val="000737AD"/>
    <w:rsid w:val="00073F03"/>
    <w:rsid w:val="00074485"/>
    <w:rsid w:val="00076930"/>
    <w:rsid w:val="000769F3"/>
    <w:rsid w:val="00076AF0"/>
    <w:rsid w:val="00076B85"/>
    <w:rsid w:val="00076E8C"/>
    <w:rsid w:val="00076F35"/>
    <w:rsid w:val="0007759A"/>
    <w:rsid w:val="000807BD"/>
    <w:rsid w:val="00081322"/>
    <w:rsid w:val="0008157E"/>
    <w:rsid w:val="00081D7D"/>
    <w:rsid w:val="00084573"/>
    <w:rsid w:val="00084AF9"/>
    <w:rsid w:val="0008598C"/>
    <w:rsid w:val="00086293"/>
    <w:rsid w:val="00087CC1"/>
    <w:rsid w:val="000903FA"/>
    <w:rsid w:val="000918D4"/>
    <w:rsid w:val="000926ED"/>
    <w:rsid w:val="00093164"/>
    <w:rsid w:val="00093813"/>
    <w:rsid w:val="00094893"/>
    <w:rsid w:val="00094D3B"/>
    <w:rsid w:val="0009544B"/>
    <w:rsid w:val="000954A4"/>
    <w:rsid w:val="0009612D"/>
    <w:rsid w:val="000972E8"/>
    <w:rsid w:val="00097504"/>
    <w:rsid w:val="000A07C6"/>
    <w:rsid w:val="000A1BF5"/>
    <w:rsid w:val="000A242F"/>
    <w:rsid w:val="000A2600"/>
    <w:rsid w:val="000A365D"/>
    <w:rsid w:val="000A3C18"/>
    <w:rsid w:val="000A40FD"/>
    <w:rsid w:val="000A428E"/>
    <w:rsid w:val="000A467B"/>
    <w:rsid w:val="000A490A"/>
    <w:rsid w:val="000A7683"/>
    <w:rsid w:val="000A7704"/>
    <w:rsid w:val="000A7DED"/>
    <w:rsid w:val="000B0B10"/>
    <w:rsid w:val="000B0D43"/>
    <w:rsid w:val="000B1A58"/>
    <w:rsid w:val="000B1AD6"/>
    <w:rsid w:val="000B1D20"/>
    <w:rsid w:val="000B216D"/>
    <w:rsid w:val="000B2755"/>
    <w:rsid w:val="000B2FBB"/>
    <w:rsid w:val="000B39D7"/>
    <w:rsid w:val="000B4DB1"/>
    <w:rsid w:val="000B4EAE"/>
    <w:rsid w:val="000B5238"/>
    <w:rsid w:val="000B5739"/>
    <w:rsid w:val="000B5D07"/>
    <w:rsid w:val="000B607A"/>
    <w:rsid w:val="000B6B15"/>
    <w:rsid w:val="000B6CB6"/>
    <w:rsid w:val="000B7064"/>
    <w:rsid w:val="000B706C"/>
    <w:rsid w:val="000B7349"/>
    <w:rsid w:val="000C0447"/>
    <w:rsid w:val="000C23EF"/>
    <w:rsid w:val="000C2990"/>
    <w:rsid w:val="000C2AE3"/>
    <w:rsid w:val="000C2B39"/>
    <w:rsid w:val="000C346C"/>
    <w:rsid w:val="000C4A5D"/>
    <w:rsid w:val="000C6C50"/>
    <w:rsid w:val="000C709A"/>
    <w:rsid w:val="000C73A0"/>
    <w:rsid w:val="000C79A5"/>
    <w:rsid w:val="000D0D64"/>
    <w:rsid w:val="000D1B5C"/>
    <w:rsid w:val="000D1DBB"/>
    <w:rsid w:val="000D200D"/>
    <w:rsid w:val="000D3501"/>
    <w:rsid w:val="000D4288"/>
    <w:rsid w:val="000D5232"/>
    <w:rsid w:val="000D5BD2"/>
    <w:rsid w:val="000D78CB"/>
    <w:rsid w:val="000D7F4F"/>
    <w:rsid w:val="000E1280"/>
    <w:rsid w:val="000E189C"/>
    <w:rsid w:val="000E25BB"/>
    <w:rsid w:val="000E2C45"/>
    <w:rsid w:val="000E33AF"/>
    <w:rsid w:val="000E3D6E"/>
    <w:rsid w:val="000E4734"/>
    <w:rsid w:val="000E6093"/>
    <w:rsid w:val="000E620A"/>
    <w:rsid w:val="000E7B0A"/>
    <w:rsid w:val="000F0016"/>
    <w:rsid w:val="000F0837"/>
    <w:rsid w:val="000F0AD9"/>
    <w:rsid w:val="000F104A"/>
    <w:rsid w:val="000F179E"/>
    <w:rsid w:val="000F1985"/>
    <w:rsid w:val="000F19A8"/>
    <w:rsid w:val="000F27F0"/>
    <w:rsid w:val="000F4307"/>
    <w:rsid w:val="000F6402"/>
    <w:rsid w:val="000F7020"/>
    <w:rsid w:val="000F76F4"/>
    <w:rsid w:val="001004D6"/>
    <w:rsid w:val="00100645"/>
    <w:rsid w:val="0010158F"/>
    <w:rsid w:val="00101F51"/>
    <w:rsid w:val="001026CA"/>
    <w:rsid w:val="00102DE8"/>
    <w:rsid w:val="00103A9B"/>
    <w:rsid w:val="00104C53"/>
    <w:rsid w:val="00104D9B"/>
    <w:rsid w:val="00106ABA"/>
    <w:rsid w:val="00110535"/>
    <w:rsid w:val="001117FF"/>
    <w:rsid w:val="001118FD"/>
    <w:rsid w:val="001119CA"/>
    <w:rsid w:val="00111CF6"/>
    <w:rsid w:val="00115B7B"/>
    <w:rsid w:val="00115E84"/>
    <w:rsid w:val="001168D2"/>
    <w:rsid w:val="001179F9"/>
    <w:rsid w:val="00117CB2"/>
    <w:rsid w:val="001205A0"/>
    <w:rsid w:val="00120B39"/>
    <w:rsid w:val="0012112E"/>
    <w:rsid w:val="001221E4"/>
    <w:rsid w:val="00122E44"/>
    <w:rsid w:val="001237D0"/>
    <w:rsid w:val="00123851"/>
    <w:rsid w:val="001238E5"/>
    <w:rsid w:val="00123A2E"/>
    <w:rsid w:val="00124071"/>
    <w:rsid w:val="00124128"/>
    <w:rsid w:val="00125043"/>
    <w:rsid w:val="00125142"/>
    <w:rsid w:val="00125C2C"/>
    <w:rsid w:val="00125F81"/>
    <w:rsid w:val="001267D4"/>
    <w:rsid w:val="00131821"/>
    <w:rsid w:val="00133907"/>
    <w:rsid w:val="00134D42"/>
    <w:rsid w:val="00135972"/>
    <w:rsid w:val="001360FC"/>
    <w:rsid w:val="00136AF0"/>
    <w:rsid w:val="00137257"/>
    <w:rsid w:val="001404B2"/>
    <w:rsid w:val="00141D0A"/>
    <w:rsid w:val="001429A8"/>
    <w:rsid w:val="001434CB"/>
    <w:rsid w:val="0014424B"/>
    <w:rsid w:val="001447A0"/>
    <w:rsid w:val="0014497F"/>
    <w:rsid w:val="00144A8F"/>
    <w:rsid w:val="00146DDD"/>
    <w:rsid w:val="00146E58"/>
    <w:rsid w:val="00147145"/>
    <w:rsid w:val="001472DB"/>
    <w:rsid w:val="0015001C"/>
    <w:rsid w:val="00150096"/>
    <w:rsid w:val="001508E4"/>
    <w:rsid w:val="0015212F"/>
    <w:rsid w:val="001528D7"/>
    <w:rsid w:val="00153247"/>
    <w:rsid w:val="001532CF"/>
    <w:rsid w:val="0015380A"/>
    <w:rsid w:val="00154368"/>
    <w:rsid w:val="00154CB6"/>
    <w:rsid w:val="00156947"/>
    <w:rsid w:val="00156E5E"/>
    <w:rsid w:val="00157757"/>
    <w:rsid w:val="00160146"/>
    <w:rsid w:val="00160194"/>
    <w:rsid w:val="001623FA"/>
    <w:rsid w:val="0016269B"/>
    <w:rsid w:val="00163CAA"/>
    <w:rsid w:val="00164DA4"/>
    <w:rsid w:val="00165DB3"/>
    <w:rsid w:val="0016606E"/>
    <w:rsid w:val="0016623B"/>
    <w:rsid w:val="00166298"/>
    <w:rsid w:val="00166316"/>
    <w:rsid w:val="001663C8"/>
    <w:rsid w:val="001664E2"/>
    <w:rsid w:val="0016750A"/>
    <w:rsid w:val="00171F74"/>
    <w:rsid w:val="00172CC7"/>
    <w:rsid w:val="00173126"/>
    <w:rsid w:val="00174049"/>
    <w:rsid w:val="00174D3D"/>
    <w:rsid w:val="001773AB"/>
    <w:rsid w:val="001774C3"/>
    <w:rsid w:val="00180331"/>
    <w:rsid w:val="00181222"/>
    <w:rsid w:val="00181ADE"/>
    <w:rsid w:val="00181B1B"/>
    <w:rsid w:val="00181F6E"/>
    <w:rsid w:val="00182478"/>
    <w:rsid w:val="00182700"/>
    <w:rsid w:val="00184513"/>
    <w:rsid w:val="001847AC"/>
    <w:rsid w:val="00184E57"/>
    <w:rsid w:val="00186A97"/>
    <w:rsid w:val="0019242C"/>
    <w:rsid w:val="0019267B"/>
    <w:rsid w:val="0019339D"/>
    <w:rsid w:val="00194B04"/>
    <w:rsid w:val="0019530E"/>
    <w:rsid w:val="00195390"/>
    <w:rsid w:val="00195407"/>
    <w:rsid w:val="00195585"/>
    <w:rsid w:val="00195F2E"/>
    <w:rsid w:val="001A045A"/>
    <w:rsid w:val="001A1FFD"/>
    <w:rsid w:val="001A2145"/>
    <w:rsid w:val="001A2305"/>
    <w:rsid w:val="001A3E3B"/>
    <w:rsid w:val="001A53A4"/>
    <w:rsid w:val="001A6E79"/>
    <w:rsid w:val="001B0E9F"/>
    <w:rsid w:val="001B1525"/>
    <w:rsid w:val="001B156E"/>
    <w:rsid w:val="001B1DB4"/>
    <w:rsid w:val="001B2324"/>
    <w:rsid w:val="001B2D77"/>
    <w:rsid w:val="001B2F16"/>
    <w:rsid w:val="001B30A5"/>
    <w:rsid w:val="001B6B0D"/>
    <w:rsid w:val="001B7DA2"/>
    <w:rsid w:val="001B7F81"/>
    <w:rsid w:val="001C0C9B"/>
    <w:rsid w:val="001C13C2"/>
    <w:rsid w:val="001C1683"/>
    <w:rsid w:val="001C222E"/>
    <w:rsid w:val="001C22A5"/>
    <w:rsid w:val="001C4978"/>
    <w:rsid w:val="001C4D09"/>
    <w:rsid w:val="001C56D3"/>
    <w:rsid w:val="001C619F"/>
    <w:rsid w:val="001D0ED2"/>
    <w:rsid w:val="001D1A12"/>
    <w:rsid w:val="001D1F7B"/>
    <w:rsid w:val="001D36CF"/>
    <w:rsid w:val="001D79F3"/>
    <w:rsid w:val="001E0B61"/>
    <w:rsid w:val="001E0C58"/>
    <w:rsid w:val="001E1276"/>
    <w:rsid w:val="001E2949"/>
    <w:rsid w:val="001E2C66"/>
    <w:rsid w:val="001E307A"/>
    <w:rsid w:val="001E393B"/>
    <w:rsid w:val="001E5C81"/>
    <w:rsid w:val="001E79D2"/>
    <w:rsid w:val="001F036B"/>
    <w:rsid w:val="001F162B"/>
    <w:rsid w:val="001F1C6C"/>
    <w:rsid w:val="001F285E"/>
    <w:rsid w:val="001F28C5"/>
    <w:rsid w:val="001F2AD3"/>
    <w:rsid w:val="001F3A35"/>
    <w:rsid w:val="001F3C74"/>
    <w:rsid w:val="001F5292"/>
    <w:rsid w:val="001F6676"/>
    <w:rsid w:val="001F70B5"/>
    <w:rsid w:val="00200784"/>
    <w:rsid w:val="00201BEE"/>
    <w:rsid w:val="00202524"/>
    <w:rsid w:val="002037E1"/>
    <w:rsid w:val="0020399A"/>
    <w:rsid w:val="00203CAD"/>
    <w:rsid w:val="00204B05"/>
    <w:rsid w:val="002063E1"/>
    <w:rsid w:val="00206BA8"/>
    <w:rsid w:val="002073F0"/>
    <w:rsid w:val="00210736"/>
    <w:rsid w:val="00210C2E"/>
    <w:rsid w:val="00210F81"/>
    <w:rsid w:val="00211622"/>
    <w:rsid w:val="00212574"/>
    <w:rsid w:val="00213DAF"/>
    <w:rsid w:val="00214B3E"/>
    <w:rsid w:val="00214F8F"/>
    <w:rsid w:val="002164F7"/>
    <w:rsid w:val="002171D5"/>
    <w:rsid w:val="00220D41"/>
    <w:rsid w:val="00222026"/>
    <w:rsid w:val="00224218"/>
    <w:rsid w:val="002265B5"/>
    <w:rsid w:val="0022665D"/>
    <w:rsid w:val="0022698E"/>
    <w:rsid w:val="00226ACC"/>
    <w:rsid w:val="002271D2"/>
    <w:rsid w:val="00227906"/>
    <w:rsid w:val="00227912"/>
    <w:rsid w:val="00227C7D"/>
    <w:rsid w:val="00230983"/>
    <w:rsid w:val="00230E1D"/>
    <w:rsid w:val="002311EE"/>
    <w:rsid w:val="002332F3"/>
    <w:rsid w:val="0023353B"/>
    <w:rsid w:val="00233953"/>
    <w:rsid w:val="00234374"/>
    <w:rsid w:val="002370F5"/>
    <w:rsid w:val="00237DE5"/>
    <w:rsid w:val="00240ACA"/>
    <w:rsid w:val="00240D7B"/>
    <w:rsid w:val="00240DEB"/>
    <w:rsid w:val="00240E6F"/>
    <w:rsid w:val="00240F52"/>
    <w:rsid w:val="00241299"/>
    <w:rsid w:val="00241A93"/>
    <w:rsid w:val="00242FE6"/>
    <w:rsid w:val="0024419F"/>
    <w:rsid w:val="0024501A"/>
    <w:rsid w:val="00246002"/>
    <w:rsid w:val="002502F5"/>
    <w:rsid w:val="00251201"/>
    <w:rsid w:val="002515F2"/>
    <w:rsid w:val="00252B53"/>
    <w:rsid w:val="00252C99"/>
    <w:rsid w:val="00252CDB"/>
    <w:rsid w:val="00252EDE"/>
    <w:rsid w:val="00255462"/>
    <w:rsid w:val="002559ED"/>
    <w:rsid w:val="00260957"/>
    <w:rsid w:val="002613A8"/>
    <w:rsid w:val="002617A8"/>
    <w:rsid w:val="002625CD"/>
    <w:rsid w:val="002625E0"/>
    <w:rsid w:val="002638A8"/>
    <w:rsid w:val="002644EE"/>
    <w:rsid w:val="00264534"/>
    <w:rsid w:val="00264646"/>
    <w:rsid w:val="002653CC"/>
    <w:rsid w:val="00266175"/>
    <w:rsid w:val="0026691B"/>
    <w:rsid w:val="0026777B"/>
    <w:rsid w:val="002709CD"/>
    <w:rsid w:val="002715C8"/>
    <w:rsid w:val="00271EEF"/>
    <w:rsid w:val="0027232D"/>
    <w:rsid w:val="002732AB"/>
    <w:rsid w:val="0027400F"/>
    <w:rsid w:val="00274D0F"/>
    <w:rsid w:val="00275645"/>
    <w:rsid w:val="002757BF"/>
    <w:rsid w:val="002759CA"/>
    <w:rsid w:val="00276C81"/>
    <w:rsid w:val="0027743D"/>
    <w:rsid w:val="00277500"/>
    <w:rsid w:val="00277906"/>
    <w:rsid w:val="00281A5F"/>
    <w:rsid w:val="00282C3F"/>
    <w:rsid w:val="0028340A"/>
    <w:rsid w:val="002834EB"/>
    <w:rsid w:val="00283AE3"/>
    <w:rsid w:val="00283DCC"/>
    <w:rsid w:val="00284774"/>
    <w:rsid w:val="00284971"/>
    <w:rsid w:val="00285F57"/>
    <w:rsid w:val="0028703E"/>
    <w:rsid w:val="0029020E"/>
    <w:rsid w:val="00290B19"/>
    <w:rsid w:val="00290D9F"/>
    <w:rsid w:val="00290FF6"/>
    <w:rsid w:val="0029101F"/>
    <w:rsid w:val="002916C2"/>
    <w:rsid w:val="00291F68"/>
    <w:rsid w:val="00292D65"/>
    <w:rsid w:val="00294B49"/>
    <w:rsid w:val="0029518D"/>
    <w:rsid w:val="00295E95"/>
    <w:rsid w:val="002963DD"/>
    <w:rsid w:val="00297046"/>
    <w:rsid w:val="002A02D9"/>
    <w:rsid w:val="002A060A"/>
    <w:rsid w:val="002A16D7"/>
    <w:rsid w:val="002A28BF"/>
    <w:rsid w:val="002A4450"/>
    <w:rsid w:val="002A60F5"/>
    <w:rsid w:val="002A6750"/>
    <w:rsid w:val="002A694A"/>
    <w:rsid w:val="002A6B69"/>
    <w:rsid w:val="002A6F2D"/>
    <w:rsid w:val="002A7BED"/>
    <w:rsid w:val="002A7FA8"/>
    <w:rsid w:val="002B2296"/>
    <w:rsid w:val="002B2B1F"/>
    <w:rsid w:val="002B34B6"/>
    <w:rsid w:val="002B3612"/>
    <w:rsid w:val="002B4407"/>
    <w:rsid w:val="002B57C1"/>
    <w:rsid w:val="002B67B7"/>
    <w:rsid w:val="002B69E9"/>
    <w:rsid w:val="002B78FF"/>
    <w:rsid w:val="002C0429"/>
    <w:rsid w:val="002C153E"/>
    <w:rsid w:val="002C19E4"/>
    <w:rsid w:val="002C1CB9"/>
    <w:rsid w:val="002C36E3"/>
    <w:rsid w:val="002C4539"/>
    <w:rsid w:val="002C5521"/>
    <w:rsid w:val="002C5782"/>
    <w:rsid w:val="002C585F"/>
    <w:rsid w:val="002C58A1"/>
    <w:rsid w:val="002C69AB"/>
    <w:rsid w:val="002C6CC4"/>
    <w:rsid w:val="002C7DCF"/>
    <w:rsid w:val="002C7E81"/>
    <w:rsid w:val="002D0E0C"/>
    <w:rsid w:val="002D13C4"/>
    <w:rsid w:val="002D1455"/>
    <w:rsid w:val="002D2224"/>
    <w:rsid w:val="002D233B"/>
    <w:rsid w:val="002D2450"/>
    <w:rsid w:val="002D25EB"/>
    <w:rsid w:val="002D275E"/>
    <w:rsid w:val="002D3A84"/>
    <w:rsid w:val="002D58D4"/>
    <w:rsid w:val="002D6357"/>
    <w:rsid w:val="002D7584"/>
    <w:rsid w:val="002D79B8"/>
    <w:rsid w:val="002D7AD0"/>
    <w:rsid w:val="002E1460"/>
    <w:rsid w:val="002E168F"/>
    <w:rsid w:val="002E23A4"/>
    <w:rsid w:val="002E24B6"/>
    <w:rsid w:val="002E3026"/>
    <w:rsid w:val="002E342E"/>
    <w:rsid w:val="002E3F06"/>
    <w:rsid w:val="002E4706"/>
    <w:rsid w:val="002E534B"/>
    <w:rsid w:val="002E5807"/>
    <w:rsid w:val="002E6FFA"/>
    <w:rsid w:val="002E7230"/>
    <w:rsid w:val="002E79DE"/>
    <w:rsid w:val="002E7F8F"/>
    <w:rsid w:val="002F139F"/>
    <w:rsid w:val="002F1DAD"/>
    <w:rsid w:val="002F3F04"/>
    <w:rsid w:val="002F41BA"/>
    <w:rsid w:val="002F43FE"/>
    <w:rsid w:val="002F5807"/>
    <w:rsid w:val="002F6271"/>
    <w:rsid w:val="002F69CE"/>
    <w:rsid w:val="003011D4"/>
    <w:rsid w:val="003018AA"/>
    <w:rsid w:val="00303B99"/>
    <w:rsid w:val="00304757"/>
    <w:rsid w:val="00304D12"/>
    <w:rsid w:val="0030533A"/>
    <w:rsid w:val="003058AE"/>
    <w:rsid w:val="00305D99"/>
    <w:rsid w:val="003061E5"/>
    <w:rsid w:val="0030714F"/>
    <w:rsid w:val="003073E2"/>
    <w:rsid w:val="00307594"/>
    <w:rsid w:val="00307DDF"/>
    <w:rsid w:val="0031014A"/>
    <w:rsid w:val="00310B3A"/>
    <w:rsid w:val="003117D8"/>
    <w:rsid w:val="0031263E"/>
    <w:rsid w:val="00313170"/>
    <w:rsid w:val="0031350F"/>
    <w:rsid w:val="00314A43"/>
    <w:rsid w:val="00314F82"/>
    <w:rsid w:val="00317180"/>
    <w:rsid w:val="00322040"/>
    <w:rsid w:val="003227FA"/>
    <w:rsid w:val="00322A4F"/>
    <w:rsid w:val="00323203"/>
    <w:rsid w:val="00323669"/>
    <w:rsid w:val="003240B8"/>
    <w:rsid w:val="0032477E"/>
    <w:rsid w:val="00324E4B"/>
    <w:rsid w:val="00325422"/>
    <w:rsid w:val="00325AB2"/>
    <w:rsid w:val="00325D89"/>
    <w:rsid w:val="00326FCA"/>
    <w:rsid w:val="003314A8"/>
    <w:rsid w:val="003319DF"/>
    <w:rsid w:val="00332DA2"/>
    <w:rsid w:val="00333FDA"/>
    <w:rsid w:val="003340DE"/>
    <w:rsid w:val="00336363"/>
    <w:rsid w:val="003363A6"/>
    <w:rsid w:val="00336ACB"/>
    <w:rsid w:val="00336B5B"/>
    <w:rsid w:val="00336CF8"/>
    <w:rsid w:val="00340509"/>
    <w:rsid w:val="00340D19"/>
    <w:rsid w:val="00341DB6"/>
    <w:rsid w:val="003420BD"/>
    <w:rsid w:val="00343EED"/>
    <w:rsid w:val="00344804"/>
    <w:rsid w:val="00344A19"/>
    <w:rsid w:val="00345231"/>
    <w:rsid w:val="003453E0"/>
    <w:rsid w:val="00345F32"/>
    <w:rsid w:val="003470A2"/>
    <w:rsid w:val="003518C8"/>
    <w:rsid w:val="00351C99"/>
    <w:rsid w:val="003533B5"/>
    <w:rsid w:val="00353408"/>
    <w:rsid w:val="00354612"/>
    <w:rsid w:val="00357A7D"/>
    <w:rsid w:val="00361FC8"/>
    <w:rsid w:val="0036200E"/>
    <w:rsid w:val="003622CA"/>
    <w:rsid w:val="00362545"/>
    <w:rsid w:val="0036284E"/>
    <w:rsid w:val="00363030"/>
    <w:rsid w:val="00363FAC"/>
    <w:rsid w:val="0036462C"/>
    <w:rsid w:val="00364A42"/>
    <w:rsid w:val="0036588A"/>
    <w:rsid w:val="00366281"/>
    <w:rsid w:val="003663E7"/>
    <w:rsid w:val="00366874"/>
    <w:rsid w:val="0036768E"/>
    <w:rsid w:val="00370BF0"/>
    <w:rsid w:val="00370DDA"/>
    <w:rsid w:val="003710F8"/>
    <w:rsid w:val="00371299"/>
    <w:rsid w:val="00371BC4"/>
    <w:rsid w:val="003723B0"/>
    <w:rsid w:val="00372487"/>
    <w:rsid w:val="0037301F"/>
    <w:rsid w:val="00373BF1"/>
    <w:rsid w:val="003755FB"/>
    <w:rsid w:val="0037577C"/>
    <w:rsid w:val="00377F25"/>
    <w:rsid w:val="00380315"/>
    <w:rsid w:val="003812E0"/>
    <w:rsid w:val="00381F89"/>
    <w:rsid w:val="00385502"/>
    <w:rsid w:val="0038618F"/>
    <w:rsid w:val="00386AF3"/>
    <w:rsid w:val="00386C19"/>
    <w:rsid w:val="003901D9"/>
    <w:rsid w:val="00391A43"/>
    <w:rsid w:val="00393565"/>
    <w:rsid w:val="00394883"/>
    <w:rsid w:val="003956C0"/>
    <w:rsid w:val="0039746E"/>
    <w:rsid w:val="00397A2D"/>
    <w:rsid w:val="003A0889"/>
    <w:rsid w:val="003A110B"/>
    <w:rsid w:val="003A2D10"/>
    <w:rsid w:val="003A3902"/>
    <w:rsid w:val="003A4BE1"/>
    <w:rsid w:val="003A7416"/>
    <w:rsid w:val="003B0611"/>
    <w:rsid w:val="003B216C"/>
    <w:rsid w:val="003B42D9"/>
    <w:rsid w:val="003B4974"/>
    <w:rsid w:val="003C0259"/>
    <w:rsid w:val="003C0BF7"/>
    <w:rsid w:val="003C24A5"/>
    <w:rsid w:val="003C268A"/>
    <w:rsid w:val="003C3140"/>
    <w:rsid w:val="003C3E02"/>
    <w:rsid w:val="003C3FE8"/>
    <w:rsid w:val="003C5012"/>
    <w:rsid w:val="003C5835"/>
    <w:rsid w:val="003C6FC8"/>
    <w:rsid w:val="003C73F9"/>
    <w:rsid w:val="003C7EBB"/>
    <w:rsid w:val="003D09DC"/>
    <w:rsid w:val="003D1BA2"/>
    <w:rsid w:val="003D1F5A"/>
    <w:rsid w:val="003D21B9"/>
    <w:rsid w:val="003D2744"/>
    <w:rsid w:val="003D2AF7"/>
    <w:rsid w:val="003D3384"/>
    <w:rsid w:val="003D45D9"/>
    <w:rsid w:val="003D5F07"/>
    <w:rsid w:val="003D6AB5"/>
    <w:rsid w:val="003E01A4"/>
    <w:rsid w:val="003E0312"/>
    <w:rsid w:val="003E3FF5"/>
    <w:rsid w:val="003E4F24"/>
    <w:rsid w:val="003E5354"/>
    <w:rsid w:val="003E5A7C"/>
    <w:rsid w:val="003E6A43"/>
    <w:rsid w:val="003E79F2"/>
    <w:rsid w:val="003F05A7"/>
    <w:rsid w:val="003F0AAF"/>
    <w:rsid w:val="003F0BA5"/>
    <w:rsid w:val="003F1FA9"/>
    <w:rsid w:val="003F2328"/>
    <w:rsid w:val="003F2A01"/>
    <w:rsid w:val="003F51F4"/>
    <w:rsid w:val="003F52C6"/>
    <w:rsid w:val="003F558E"/>
    <w:rsid w:val="003F62E9"/>
    <w:rsid w:val="003F6BDE"/>
    <w:rsid w:val="003F6F2B"/>
    <w:rsid w:val="003F711E"/>
    <w:rsid w:val="003F7CC3"/>
    <w:rsid w:val="004000EB"/>
    <w:rsid w:val="00400663"/>
    <w:rsid w:val="00400F48"/>
    <w:rsid w:val="00401660"/>
    <w:rsid w:val="00403144"/>
    <w:rsid w:val="00403D6E"/>
    <w:rsid w:val="00406837"/>
    <w:rsid w:val="00407AC0"/>
    <w:rsid w:val="00410263"/>
    <w:rsid w:val="0041068F"/>
    <w:rsid w:val="00410F63"/>
    <w:rsid w:val="00411E1A"/>
    <w:rsid w:val="00412E30"/>
    <w:rsid w:val="0041472B"/>
    <w:rsid w:val="00417002"/>
    <w:rsid w:val="004170AF"/>
    <w:rsid w:val="00417A3B"/>
    <w:rsid w:val="004202C3"/>
    <w:rsid w:val="00421AFB"/>
    <w:rsid w:val="00421F93"/>
    <w:rsid w:val="004222F2"/>
    <w:rsid w:val="00423B28"/>
    <w:rsid w:val="00424FC0"/>
    <w:rsid w:val="004252A1"/>
    <w:rsid w:val="00425485"/>
    <w:rsid w:val="00427B5E"/>
    <w:rsid w:val="00432A5B"/>
    <w:rsid w:val="00432BB7"/>
    <w:rsid w:val="004331E9"/>
    <w:rsid w:val="00433E8D"/>
    <w:rsid w:val="00434136"/>
    <w:rsid w:val="00434568"/>
    <w:rsid w:val="0043592C"/>
    <w:rsid w:val="004372C4"/>
    <w:rsid w:val="00437F71"/>
    <w:rsid w:val="00440A9A"/>
    <w:rsid w:val="00441207"/>
    <w:rsid w:val="004422CA"/>
    <w:rsid w:val="00442E11"/>
    <w:rsid w:val="00443807"/>
    <w:rsid w:val="00443B1F"/>
    <w:rsid w:val="004462F7"/>
    <w:rsid w:val="00446686"/>
    <w:rsid w:val="00447270"/>
    <w:rsid w:val="004510DE"/>
    <w:rsid w:val="004527FF"/>
    <w:rsid w:val="00452B6E"/>
    <w:rsid w:val="00454114"/>
    <w:rsid w:val="00455B66"/>
    <w:rsid w:val="004569E3"/>
    <w:rsid w:val="0046019D"/>
    <w:rsid w:val="004602E2"/>
    <w:rsid w:val="0046055D"/>
    <w:rsid w:val="00460FB5"/>
    <w:rsid w:val="00463D36"/>
    <w:rsid w:val="0046406C"/>
    <w:rsid w:val="004641F9"/>
    <w:rsid w:val="00464536"/>
    <w:rsid w:val="0046514E"/>
    <w:rsid w:val="00465A25"/>
    <w:rsid w:val="0046623C"/>
    <w:rsid w:val="00467739"/>
    <w:rsid w:val="00467C82"/>
    <w:rsid w:val="00470CB1"/>
    <w:rsid w:val="00470D0C"/>
    <w:rsid w:val="00471546"/>
    <w:rsid w:val="00471769"/>
    <w:rsid w:val="0047324F"/>
    <w:rsid w:val="004739F3"/>
    <w:rsid w:val="00474E22"/>
    <w:rsid w:val="0047608F"/>
    <w:rsid w:val="00476257"/>
    <w:rsid w:val="00476554"/>
    <w:rsid w:val="00480B05"/>
    <w:rsid w:val="00480E78"/>
    <w:rsid w:val="004813D4"/>
    <w:rsid w:val="00484385"/>
    <w:rsid w:val="00484FC3"/>
    <w:rsid w:val="00485883"/>
    <w:rsid w:val="0048669C"/>
    <w:rsid w:val="00486AC9"/>
    <w:rsid w:val="00486BCB"/>
    <w:rsid w:val="004876ED"/>
    <w:rsid w:val="00487F87"/>
    <w:rsid w:val="0049022A"/>
    <w:rsid w:val="00491D91"/>
    <w:rsid w:val="004931C7"/>
    <w:rsid w:val="004933B7"/>
    <w:rsid w:val="00494037"/>
    <w:rsid w:val="004953D6"/>
    <w:rsid w:val="0049580C"/>
    <w:rsid w:val="004958A9"/>
    <w:rsid w:val="00495FBA"/>
    <w:rsid w:val="004967BD"/>
    <w:rsid w:val="004967DF"/>
    <w:rsid w:val="00496CE1"/>
    <w:rsid w:val="004971A7"/>
    <w:rsid w:val="0049768F"/>
    <w:rsid w:val="004A02BE"/>
    <w:rsid w:val="004A04E5"/>
    <w:rsid w:val="004A1495"/>
    <w:rsid w:val="004A2165"/>
    <w:rsid w:val="004A30F6"/>
    <w:rsid w:val="004A4259"/>
    <w:rsid w:val="004A468E"/>
    <w:rsid w:val="004A513C"/>
    <w:rsid w:val="004A58F3"/>
    <w:rsid w:val="004A5F74"/>
    <w:rsid w:val="004A6232"/>
    <w:rsid w:val="004A6F61"/>
    <w:rsid w:val="004B007C"/>
    <w:rsid w:val="004B0512"/>
    <w:rsid w:val="004B07B9"/>
    <w:rsid w:val="004B1052"/>
    <w:rsid w:val="004B2482"/>
    <w:rsid w:val="004B36C2"/>
    <w:rsid w:val="004B3C0A"/>
    <w:rsid w:val="004B451A"/>
    <w:rsid w:val="004B5933"/>
    <w:rsid w:val="004B5C11"/>
    <w:rsid w:val="004B6B14"/>
    <w:rsid w:val="004C27B7"/>
    <w:rsid w:val="004C39BC"/>
    <w:rsid w:val="004C4BD9"/>
    <w:rsid w:val="004C5C21"/>
    <w:rsid w:val="004C6074"/>
    <w:rsid w:val="004C60FC"/>
    <w:rsid w:val="004C7594"/>
    <w:rsid w:val="004C7B3D"/>
    <w:rsid w:val="004D0C36"/>
    <w:rsid w:val="004D1405"/>
    <w:rsid w:val="004D2313"/>
    <w:rsid w:val="004D3993"/>
    <w:rsid w:val="004D43D6"/>
    <w:rsid w:val="004D5CFF"/>
    <w:rsid w:val="004E1189"/>
    <w:rsid w:val="004E384C"/>
    <w:rsid w:val="004E41CC"/>
    <w:rsid w:val="004E47EC"/>
    <w:rsid w:val="004E49C4"/>
    <w:rsid w:val="004E514F"/>
    <w:rsid w:val="004E53D2"/>
    <w:rsid w:val="004E6F97"/>
    <w:rsid w:val="004E737F"/>
    <w:rsid w:val="004E7474"/>
    <w:rsid w:val="004F03DE"/>
    <w:rsid w:val="004F0E91"/>
    <w:rsid w:val="004F0FE4"/>
    <w:rsid w:val="004F1F43"/>
    <w:rsid w:val="004F218A"/>
    <w:rsid w:val="004F21E9"/>
    <w:rsid w:val="004F22DA"/>
    <w:rsid w:val="004F2AE4"/>
    <w:rsid w:val="004F450D"/>
    <w:rsid w:val="004F7658"/>
    <w:rsid w:val="0050156D"/>
    <w:rsid w:val="00502165"/>
    <w:rsid w:val="00502DCF"/>
    <w:rsid w:val="00504379"/>
    <w:rsid w:val="005043A4"/>
    <w:rsid w:val="00504834"/>
    <w:rsid w:val="00504C7A"/>
    <w:rsid w:val="00505AEE"/>
    <w:rsid w:val="0050632E"/>
    <w:rsid w:val="005064EC"/>
    <w:rsid w:val="00506D84"/>
    <w:rsid w:val="0050752D"/>
    <w:rsid w:val="00510BA0"/>
    <w:rsid w:val="00511C9F"/>
    <w:rsid w:val="00511EF3"/>
    <w:rsid w:val="0051386E"/>
    <w:rsid w:val="00514507"/>
    <w:rsid w:val="00514643"/>
    <w:rsid w:val="0051475B"/>
    <w:rsid w:val="00514DF2"/>
    <w:rsid w:val="00515108"/>
    <w:rsid w:val="00515B78"/>
    <w:rsid w:val="00516C4F"/>
    <w:rsid w:val="005173B3"/>
    <w:rsid w:val="005207E2"/>
    <w:rsid w:val="00521350"/>
    <w:rsid w:val="0052235D"/>
    <w:rsid w:val="00524704"/>
    <w:rsid w:val="0052514F"/>
    <w:rsid w:val="00525549"/>
    <w:rsid w:val="0052690E"/>
    <w:rsid w:val="00530C3A"/>
    <w:rsid w:val="00530E8D"/>
    <w:rsid w:val="0053186F"/>
    <w:rsid w:val="00531D0F"/>
    <w:rsid w:val="005351B9"/>
    <w:rsid w:val="00535C42"/>
    <w:rsid w:val="00536011"/>
    <w:rsid w:val="00540506"/>
    <w:rsid w:val="00540CB5"/>
    <w:rsid w:val="005425E5"/>
    <w:rsid w:val="005428B2"/>
    <w:rsid w:val="00543546"/>
    <w:rsid w:val="00544EBF"/>
    <w:rsid w:val="005460B0"/>
    <w:rsid w:val="00547554"/>
    <w:rsid w:val="00547BEA"/>
    <w:rsid w:val="00550B79"/>
    <w:rsid w:val="00550CC8"/>
    <w:rsid w:val="0055150B"/>
    <w:rsid w:val="0055152B"/>
    <w:rsid w:val="0055234F"/>
    <w:rsid w:val="005532F9"/>
    <w:rsid w:val="0055440B"/>
    <w:rsid w:val="00554F4C"/>
    <w:rsid w:val="005557B3"/>
    <w:rsid w:val="005558D1"/>
    <w:rsid w:val="0055708D"/>
    <w:rsid w:val="00560083"/>
    <w:rsid w:val="005606BE"/>
    <w:rsid w:val="00561CA6"/>
    <w:rsid w:val="00564565"/>
    <w:rsid w:val="005647BE"/>
    <w:rsid w:val="00565CE4"/>
    <w:rsid w:val="00565EC2"/>
    <w:rsid w:val="00566093"/>
    <w:rsid w:val="00566299"/>
    <w:rsid w:val="0056652D"/>
    <w:rsid w:val="00566CA8"/>
    <w:rsid w:val="00567661"/>
    <w:rsid w:val="00570813"/>
    <w:rsid w:val="005711A7"/>
    <w:rsid w:val="00571651"/>
    <w:rsid w:val="005719A3"/>
    <w:rsid w:val="00571DA5"/>
    <w:rsid w:val="005725F6"/>
    <w:rsid w:val="00572BAA"/>
    <w:rsid w:val="00573F90"/>
    <w:rsid w:val="005751AA"/>
    <w:rsid w:val="0057643F"/>
    <w:rsid w:val="00576814"/>
    <w:rsid w:val="0057699D"/>
    <w:rsid w:val="00580324"/>
    <w:rsid w:val="005807C9"/>
    <w:rsid w:val="00580F43"/>
    <w:rsid w:val="00581B9D"/>
    <w:rsid w:val="00581BCD"/>
    <w:rsid w:val="00583108"/>
    <w:rsid w:val="005837BF"/>
    <w:rsid w:val="00583A63"/>
    <w:rsid w:val="00585EDB"/>
    <w:rsid w:val="00586817"/>
    <w:rsid w:val="00586D92"/>
    <w:rsid w:val="00586FCD"/>
    <w:rsid w:val="00587507"/>
    <w:rsid w:val="00590CDD"/>
    <w:rsid w:val="005964C0"/>
    <w:rsid w:val="005968A9"/>
    <w:rsid w:val="00596A0B"/>
    <w:rsid w:val="00596E05"/>
    <w:rsid w:val="00596F85"/>
    <w:rsid w:val="005970FA"/>
    <w:rsid w:val="005A0176"/>
    <w:rsid w:val="005A088E"/>
    <w:rsid w:val="005A2298"/>
    <w:rsid w:val="005A24C0"/>
    <w:rsid w:val="005A28C1"/>
    <w:rsid w:val="005A2BE2"/>
    <w:rsid w:val="005A3BAB"/>
    <w:rsid w:val="005A72FC"/>
    <w:rsid w:val="005A7ABF"/>
    <w:rsid w:val="005A7BA0"/>
    <w:rsid w:val="005B0388"/>
    <w:rsid w:val="005B06C5"/>
    <w:rsid w:val="005B109A"/>
    <w:rsid w:val="005B44C8"/>
    <w:rsid w:val="005B5DE5"/>
    <w:rsid w:val="005B69B9"/>
    <w:rsid w:val="005B6B2A"/>
    <w:rsid w:val="005B70BF"/>
    <w:rsid w:val="005C05AB"/>
    <w:rsid w:val="005C2FD5"/>
    <w:rsid w:val="005C3179"/>
    <w:rsid w:val="005C44B5"/>
    <w:rsid w:val="005C5378"/>
    <w:rsid w:val="005C7080"/>
    <w:rsid w:val="005D1DF4"/>
    <w:rsid w:val="005D2785"/>
    <w:rsid w:val="005D2AB9"/>
    <w:rsid w:val="005D34E2"/>
    <w:rsid w:val="005D460F"/>
    <w:rsid w:val="005D4740"/>
    <w:rsid w:val="005D496E"/>
    <w:rsid w:val="005D4EE4"/>
    <w:rsid w:val="005D6C0B"/>
    <w:rsid w:val="005D76CF"/>
    <w:rsid w:val="005D792A"/>
    <w:rsid w:val="005D7C20"/>
    <w:rsid w:val="005E1256"/>
    <w:rsid w:val="005E2B16"/>
    <w:rsid w:val="005E3F62"/>
    <w:rsid w:val="005E4DCC"/>
    <w:rsid w:val="005E62F7"/>
    <w:rsid w:val="005E6960"/>
    <w:rsid w:val="005E72EC"/>
    <w:rsid w:val="005E7902"/>
    <w:rsid w:val="005E7EB8"/>
    <w:rsid w:val="005F0FA9"/>
    <w:rsid w:val="005F18D6"/>
    <w:rsid w:val="005F337A"/>
    <w:rsid w:val="005F484D"/>
    <w:rsid w:val="005F5846"/>
    <w:rsid w:val="005F5F17"/>
    <w:rsid w:val="005F6D5E"/>
    <w:rsid w:val="005F7927"/>
    <w:rsid w:val="005F7B27"/>
    <w:rsid w:val="0060024E"/>
    <w:rsid w:val="0060038C"/>
    <w:rsid w:val="00600985"/>
    <w:rsid w:val="00600FC6"/>
    <w:rsid w:val="00601E83"/>
    <w:rsid w:val="00602089"/>
    <w:rsid w:val="00602E55"/>
    <w:rsid w:val="00603024"/>
    <w:rsid w:val="006032BC"/>
    <w:rsid w:val="006049BC"/>
    <w:rsid w:val="00604AD1"/>
    <w:rsid w:val="006052DD"/>
    <w:rsid w:val="00606B4A"/>
    <w:rsid w:val="006077AB"/>
    <w:rsid w:val="00610F97"/>
    <w:rsid w:val="006112A9"/>
    <w:rsid w:val="006116E3"/>
    <w:rsid w:val="00612064"/>
    <w:rsid w:val="00613994"/>
    <w:rsid w:val="006157EA"/>
    <w:rsid w:val="00617572"/>
    <w:rsid w:val="00620F36"/>
    <w:rsid w:val="006219DE"/>
    <w:rsid w:val="006232F9"/>
    <w:rsid w:val="00623DBF"/>
    <w:rsid w:val="00624400"/>
    <w:rsid w:val="00624E0A"/>
    <w:rsid w:val="00624E51"/>
    <w:rsid w:val="00625FD8"/>
    <w:rsid w:val="00626162"/>
    <w:rsid w:val="00627981"/>
    <w:rsid w:val="006302A8"/>
    <w:rsid w:val="00631A4F"/>
    <w:rsid w:val="006328A7"/>
    <w:rsid w:val="006337FA"/>
    <w:rsid w:val="00634719"/>
    <w:rsid w:val="006355C7"/>
    <w:rsid w:val="00636A5D"/>
    <w:rsid w:val="006373F9"/>
    <w:rsid w:val="00637AA3"/>
    <w:rsid w:val="00641720"/>
    <w:rsid w:val="00642F36"/>
    <w:rsid w:val="00643FD2"/>
    <w:rsid w:val="00644ED2"/>
    <w:rsid w:val="00646E7E"/>
    <w:rsid w:val="00647FF5"/>
    <w:rsid w:val="006503E8"/>
    <w:rsid w:val="006547E9"/>
    <w:rsid w:val="00654A4A"/>
    <w:rsid w:val="0065545A"/>
    <w:rsid w:val="00655657"/>
    <w:rsid w:val="006556A7"/>
    <w:rsid w:val="00656A77"/>
    <w:rsid w:val="00657A21"/>
    <w:rsid w:val="00660690"/>
    <w:rsid w:val="0066122B"/>
    <w:rsid w:val="0066142E"/>
    <w:rsid w:val="0066175C"/>
    <w:rsid w:val="00662597"/>
    <w:rsid w:val="006626F6"/>
    <w:rsid w:val="00662F39"/>
    <w:rsid w:val="00663867"/>
    <w:rsid w:val="00666038"/>
    <w:rsid w:val="006661CF"/>
    <w:rsid w:val="00667ED3"/>
    <w:rsid w:val="00670BFD"/>
    <w:rsid w:val="00671E4C"/>
    <w:rsid w:val="00672185"/>
    <w:rsid w:val="00672B22"/>
    <w:rsid w:val="00674295"/>
    <w:rsid w:val="00674537"/>
    <w:rsid w:val="0067520D"/>
    <w:rsid w:val="00676343"/>
    <w:rsid w:val="0067681E"/>
    <w:rsid w:val="0067742F"/>
    <w:rsid w:val="00677E7E"/>
    <w:rsid w:val="006818A8"/>
    <w:rsid w:val="00681A51"/>
    <w:rsid w:val="00682469"/>
    <w:rsid w:val="00682987"/>
    <w:rsid w:val="00683266"/>
    <w:rsid w:val="00683D97"/>
    <w:rsid w:val="00684FCA"/>
    <w:rsid w:val="00685105"/>
    <w:rsid w:val="00686153"/>
    <w:rsid w:val="00686A01"/>
    <w:rsid w:val="00686B5C"/>
    <w:rsid w:val="00686D29"/>
    <w:rsid w:val="006879DE"/>
    <w:rsid w:val="00687E77"/>
    <w:rsid w:val="00691C00"/>
    <w:rsid w:val="0069209C"/>
    <w:rsid w:val="00692921"/>
    <w:rsid w:val="006929F2"/>
    <w:rsid w:val="00693143"/>
    <w:rsid w:val="00695410"/>
    <w:rsid w:val="006959BD"/>
    <w:rsid w:val="006962FB"/>
    <w:rsid w:val="00696997"/>
    <w:rsid w:val="006A148D"/>
    <w:rsid w:val="006A224F"/>
    <w:rsid w:val="006A2AF6"/>
    <w:rsid w:val="006A3A32"/>
    <w:rsid w:val="006A545D"/>
    <w:rsid w:val="006A6460"/>
    <w:rsid w:val="006A6537"/>
    <w:rsid w:val="006A6926"/>
    <w:rsid w:val="006A69C2"/>
    <w:rsid w:val="006A758C"/>
    <w:rsid w:val="006B03DA"/>
    <w:rsid w:val="006B0FD8"/>
    <w:rsid w:val="006B22C2"/>
    <w:rsid w:val="006B27B2"/>
    <w:rsid w:val="006B346F"/>
    <w:rsid w:val="006B36AD"/>
    <w:rsid w:val="006B4DB4"/>
    <w:rsid w:val="006B5038"/>
    <w:rsid w:val="006C170D"/>
    <w:rsid w:val="006C1EEC"/>
    <w:rsid w:val="006C256E"/>
    <w:rsid w:val="006C27DE"/>
    <w:rsid w:val="006C30C5"/>
    <w:rsid w:val="006C3CB9"/>
    <w:rsid w:val="006C3F75"/>
    <w:rsid w:val="006C3FEA"/>
    <w:rsid w:val="006C4A20"/>
    <w:rsid w:val="006C69E7"/>
    <w:rsid w:val="006C6A7A"/>
    <w:rsid w:val="006C7201"/>
    <w:rsid w:val="006D0913"/>
    <w:rsid w:val="006D10AE"/>
    <w:rsid w:val="006D29F2"/>
    <w:rsid w:val="006D3EB8"/>
    <w:rsid w:val="006D4102"/>
    <w:rsid w:val="006D67A3"/>
    <w:rsid w:val="006D7180"/>
    <w:rsid w:val="006D7CA2"/>
    <w:rsid w:val="006E018F"/>
    <w:rsid w:val="006E03E3"/>
    <w:rsid w:val="006E065B"/>
    <w:rsid w:val="006E09D3"/>
    <w:rsid w:val="006E1204"/>
    <w:rsid w:val="006E1E68"/>
    <w:rsid w:val="006E1E6C"/>
    <w:rsid w:val="006E1FDD"/>
    <w:rsid w:val="006E39DD"/>
    <w:rsid w:val="006E4254"/>
    <w:rsid w:val="006E4DFB"/>
    <w:rsid w:val="006E5505"/>
    <w:rsid w:val="006E682B"/>
    <w:rsid w:val="006F0A5C"/>
    <w:rsid w:val="006F0AAA"/>
    <w:rsid w:val="006F2113"/>
    <w:rsid w:val="006F240A"/>
    <w:rsid w:val="006F2FB3"/>
    <w:rsid w:val="006F3DA9"/>
    <w:rsid w:val="006F4D3B"/>
    <w:rsid w:val="006F531B"/>
    <w:rsid w:val="006F560B"/>
    <w:rsid w:val="006F5C2A"/>
    <w:rsid w:val="006F5D5F"/>
    <w:rsid w:val="006F6098"/>
    <w:rsid w:val="006F62BC"/>
    <w:rsid w:val="007003F1"/>
    <w:rsid w:val="00700691"/>
    <w:rsid w:val="00701370"/>
    <w:rsid w:val="0070142E"/>
    <w:rsid w:val="0070177F"/>
    <w:rsid w:val="00702493"/>
    <w:rsid w:val="007030F4"/>
    <w:rsid w:val="0070314C"/>
    <w:rsid w:val="007040DD"/>
    <w:rsid w:val="00704A9B"/>
    <w:rsid w:val="00705DC3"/>
    <w:rsid w:val="00706F91"/>
    <w:rsid w:val="007106A5"/>
    <w:rsid w:val="00710851"/>
    <w:rsid w:val="00711B45"/>
    <w:rsid w:val="00711FD5"/>
    <w:rsid w:val="0071266F"/>
    <w:rsid w:val="007128FA"/>
    <w:rsid w:val="00712BDE"/>
    <w:rsid w:val="00713192"/>
    <w:rsid w:val="007147BB"/>
    <w:rsid w:val="00714850"/>
    <w:rsid w:val="00714F3B"/>
    <w:rsid w:val="00715FA6"/>
    <w:rsid w:val="007166F7"/>
    <w:rsid w:val="00716AEF"/>
    <w:rsid w:val="00717076"/>
    <w:rsid w:val="00717296"/>
    <w:rsid w:val="00720787"/>
    <w:rsid w:val="007218A4"/>
    <w:rsid w:val="00721C4A"/>
    <w:rsid w:val="00723D01"/>
    <w:rsid w:val="00723FB6"/>
    <w:rsid w:val="007240AA"/>
    <w:rsid w:val="00726755"/>
    <w:rsid w:val="00727370"/>
    <w:rsid w:val="00727B14"/>
    <w:rsid w:val="0073082C"/>
    <w:rsid w:val="00731C37"/>
    <w:rsid w:val="00731D84"/>
    <w:rsid w:val="00732CCF"/>
    <w:rsid w:val="00732FDC"/>
    <w:rsid w:val="007344D9"/>
    <w:rsid w:val="00734B77"/>
    <w:rsid w:val="0073532A"/>
    <w:rsid w:val="00735D9E"/>
    <w:rsid w:val="007363B0"/>
    <w:rsid w:val="00736611"/>
    <w:rsid w:val="00737CAB"/>
    <w:rsid w:val="0074109C"/>
    <w:rsid w:val="00741A96"/>
    <w:rsid w:val="00742046"/>
    <w:rsid w:val="00742335"/>
    <w:rsid w:val="00742484"/>
    <w:rsid w:val="00742842"/>
    <w:rsid w:val="00743852"/>
    <w:rsid w:val="00743EE5"/>
    <w:rsid w:val="00744458"/>
    <w:rsid w:val="00744945"/>
    <w:rsid w:val="00744C5C"/>
    <w:rsid w:val="00752ACA"/>
    <w:rsid w:val="00752C4C"/>
    <w:rsid w:val="00752EED"/>
    <w:rsid w:val="00752F4C"/>
    <w:rsid w:val="00753376"/>
    <w:rsid w:val="00753AA8"/>
    <w:rsid w:val="007543B0"/>
    <w:rsid w:val="007547C7"/>
    <w:rsid w:val="0075490B"/>
    <w:rsid w:val="00756643"/>
    <w:rsid w:val="007568A9"/>
    <w:rsid w:val="0076016B"/>
    <w:rsid w:val="00761514"/>
    <w:rsid w:val="00761C2E"/>
    <w:rsid w:val="00763CE7"/>
    <w:rsid w:val="00764ED1"/>
    <w:rsid w:val="007655D8"/>
    <w:rsid w:val="0076706A"/>
    <w:rsid w:val="00767DC2"/>
    <w:rsid w:val="00767E00"/>
    <w:rsid w:val="00767F3E"/>
    <w:rsid w:val="00770A31"/>
    <w:rsid w:val="0077128B"/>
    <w:rsid w:val="007718C7"/>
    <w:rsid w:val="00772177"/>
    <w:rsid w:val="00774B52"/>
    <w:rsid w:val="00774DFD"/>
    <w:rsid w:val="0077556F"/>
    <w:rsid w:val="007756C7"/>
    <w:rsid w:val="007757D2"/>
    <w:rsid w:val="00775C65"/>
    <w:rsid w:val="00775E60"/>
    <w:rsid w:val="00776153"/>
    <w:rsid w:val="0077639A"/>
    <w:rsid w:val="00777AD1"/>
    <w:rsid w:val="0078100C"/>
    <w:rsid w:val="007813E1"/>
    <w:rsid w:val="00781571"/>
    <w:rsid w:val="0078157F"/>
    <w:rsid w:val="00781F1A"/>
    <w:rsid w:val="00782EDE"/>
    <w:rsid w:val="007860E9"/>
    <w:rsid w:val="00786F48"/>
    <w:rsid w:val="0078772C"/>
    <w:rsid w:val="007878E4"/>
    <w:rsid w:val="0079298B"/>
    <w:rsid w:val="00793078"/>
    <w:rsid w:val="007941A7"/>
    <w:rsid w:val="00794449"/>
    <w:rsid w:val="00794BE3"/>
    <w:rsid w:val="00795376"/>
    <w:rsid w:val="00795483"/>
    <w:rsid w:val="007963BD"/>
    <w:rsid w:val="007A0769"/>
    <w:rsid w:val="007A38ED"/>
    <w:rsid w:val="007A3B16"/>
    <w:rsid w:val="007A4783"/>
    <w:rsid w:val="007A5191"/>
    <w:rsid w:val="007A71F5"/>
    <w:rsid w:val="007A7CDE"/>
    <w:rsid w:val="007B0500"/>
    <w:rsid w:val="007B0E81"/>
    <w:rsid w:val="007B111B"/>
    <w:rsid w:val="007B2448"/>
    <w:rsid w:val="007B3AE8"/>
    <w:rsid w:val="007B4418"/>
    <w:rsid w:val="007B4E48"/>
    <w:rsid w:val="007B5F19"/>
    <w:rsid w:val="007B5F62"/>
    <w:rsid w:val="007B66B3"/>
    <w:rsid w:val="007B6A4F"/>
    <w:rsid w:val="007B7077"/>
    <w:rsid w:val="007B7705"/>
    <w:rsid w:val="007B7A3A"/>
    <w:rsid w:val="007B7FB7"/>
    <w:rsid w:val="007C03CE"/>
    <w:rsid w:val="007C0887"/>
    <w:rsid w:val="007C1FBE"/>
    <w:rsid w:val="007C3003"/>
    <w:rsid w:val="007C3633"/>
    <w:rsid w:val="007C455B"/>
    <w:rsid w:val="007C46EC"/>
    <w:rsid w:val="007C49AE"/>
    <w:rsid w:val="007C698C"/>
    <w:rsid w:val="007C6B60"/>
    <w:rsid w:val="007C6F85"/>
    <w:rsid w:val="007C7156"/>
    <w:rsid w:val="007C7849"/>
    <w:rsid w:val="007C7D9A"/>
    <w:rsid w:val="007D054B"/>
    <w:rsid w:val="007D1348"/>
    <w:rsid w:val="007D162A"/>
    <w:rsid w:val="007D265E"/>
    <w:rsid w:val="007D2974"/>
    <w:rsid w:val="007D300D"/>
    <w:rsid w:val="007D3AA0"/>
    <w:rsid w:val="007D3FE2"/>
    <w:rsid w:val="007D4214"/>
    <w:rsid w:val="007D5690"/>
    <w:rsid w:val="007D5722"/>
    <w:rsid w:val="007D69FA"/>
    <w:rsid w:val="007E0A30"/>
    <w:rsid w:val="007E1600"/>
    <w:rsid w:val="007E6311"/>
    <w:rsid w:val="007E6392"/>
    <w:rsid w:val="007F162C"/>
    <w:rsid w:val="007F3759"/>
    <w:rsid w:val="007F4AED"/>
    <w:rsid w:val="008009F2"/>
    <w:rsid w:val="00802078"/>
    <w:rsid w:val="008024D4"/>
    <w:rsid w:val="008024FA"/>
    <w:rsid w:val="00804BC5"/>
    <w:rsid w:val="008058DC"/>
    <w:rsid w:val="00806A36"/>
    <w:rsid w:val="008070E1"/>
    <w:rsid w:val="00810603"/>
    <w:rsid w:val="008110CA"/>
    <w:rsid w:val="0081139F"/>
    <w:rsid w:val="00811665"/>
    <w:rsid w:val="00811AEB"/>
    <w:rsid w:val="008130DB"/>
    <w:rsid w:val="008134F7"/>
    <w:rsid w:val="00814283"/>
    <w:rsid w:val="0081460C"/>
    <w:rsid w:val="00814AAE"/>
    <w:rsid w:val="0081629F"/>
    <w:rsid w:val="0081675B"/>
    <w:rsid w:val="00817781"/>
    <w:rsid w:val="00820209"/>
    <w:rsid w:val="00820F35"/>
    <w:rsid w:val="00820FEC"/>
    <w:rsid w:val="00821F72"/>
    <w:rsid w:val="0082393D"/>
    <w:rsid w:val="008240F3"/>
    <w:rsid w:val="00825CDC"/>
    <w:rsid w:val="00827091"/>
    <w:rsid w:val="00827CE5"/>
    <w:rsid w:val="008314A0"/>
    <w:rsid w:val="0083324D"/>
    <w:rsid w:val="00836448"/>
    <w:rsid w:val="00837061"/>
    <w:rsid w:val="00841733"/>
    <w:rsid w:val="0084270A"/>
    <w:rsid w:val="0084278E"/>
    <w:rsid w:val="00842FA6"/>
    <w:rsid w:val="008431FD"/>
    <w:rsid w:val="008448AD"/>
    <w:rsid w:val="00844D38"/>
    <w:rsid w:val="00844D85"/>
    <w:rsid w:val="008454BC"/>
    <w:rsid w:val="00846D0D"/>
    <w:rsid w:val="00846E83"/>
    <w:rsid w:val="00847AB0"/>
    <w:rsid w:val="00850436"/>
    <w:rsid w:val="008510E5"/>
    <w:rsid w:val="0085198F"/>
    <w:rsid w:val="0085213C"/>
    <w:rsid w:val="00852270"/>
    <w:rsid w:val="008524BE"/>
    <w:rsid w:val="00853632"/>
    <w:rsid w:val="00853BC2"/>
    <w:rsid w:val="0085402A"/>
    <w:rsid w:val="00854278"/>
    <w:rsid w:val="00856063"/>
    <w:rsid w:val="00856B6C"/>
    <w:rsid w:val="0085709E"/>
    <w:rsid w:val="00857172"/>
    <w:rsid w:val="00857C2C"/>
    <w:rsid w:val="0086236A"/>
    <w:rsid w:val="00866675"/>
    <w:rsid w:val="00866C21"/>
    <w:rsid w:val="00867DB3"/>
    <w:rsid w:val="008702E4"/>
    <w:rsid w:val="0087035A"/>
    <w:rsid w:val="0087282C"/>
    <w:rsid w:val="00872B70"/>
    <w:rsid w:val="0087347D"/>
    <w:rsid w:val="00874B71"/>
    <w:rsid w:val="0087694B"/>
    <w:rsid w:val="00876EE1"/>
    <w:rsid w:val="0087708E"/>
    <w:rsid w:val="00881673"/>
    <w:rsid w:val="00881769"/>
    <w:rsid w:val="00882A4F"/>
    <w:rsid w:val="00882DAD"/>
    <w:rsid w:val="00883D29"/>
    <w:rsid w:val="008841A2"/>
    <w:rsid w:val="00885263"/>
    <w:rsid w:val="008855BB"/>
    <w:rsid w:val="00886CC3"/>
    <w:rsid w:val="00887324"/>
    <w:rsid w:val="008877BC"/>
    <w:rsid w:val="0089022F"/>
    <w:rsid w:val="00890B02"/>
    <w:rsid w:val="00890B4E"/>
    <w:rsid w:val="00890B75"/>
    <w:rsid w:val="008912A8"/>
    <w:rsid w:val="00891EF0"/>
    <w:rsid w:val="00892DA5"/>
    <w:rsid w:val="008949B1"/>
    <w:rsid w:val="00896015"/>
    <w:rsid w:val="0089713E"/>
    <w:rsid w:val="008974F2"/>
    <w:rsid w:val="00897F0B"/>
    <w:rsid w:val="008A10F3"/>
    <w:rsid w:val="008A3E20"/>
    <w:rsid w:val="008A4D16"/>
    <w:rsid w:val="008A4DF6"/>
    <w:rsid w:val="008A5C0F"/>
    <w:rsid w:val="008A665B"/>
    <w:rsid w:val="008B0751"/>
    <w:rsid w:val="008B1596"/>
    <w:rsid w:val="008B2296"/>
    <w:rsid w:val="008B2346"/>
    <w:rsid w:val="008B2AF6"/>
    <w:rsid w:val="008B2EFF"/>
    <w:rsid w:val="008B3101"/>
    <w:rsid w:val="008B3CB2"/>
    <w:rsid w:val="008B75E0"/>
    <w:rsid w:val="008B7993"/>
    <w:rsid w:val="008C09C4"/>
    <w:rsid w:val="008C0A94"/>
    <w:rsid w:val="008C0CA0"/>
    <w:rsid w:val="008C179D"/>
    <w:rsid w:val="008C1F44"/>
    <w:rsid w:val="008C2DFA"/>
    <w:rsid w:val="008C3B1B"/>
    <w:rsid w:val="008C3EA6"/>
    <w:rsid w:val="008C4099"/>
    <w:rsid w:val="008C6018"/>
    <w:rsid w:val="008C646F"/>
    <w:rsid w:val="008C68E3"/>
    <w:rsid w:val="008D20D0"/>
    <w:rsid w:val="008D28A5"/>
    <w:rsid w:val="008D3071"/>
    <w:rsid w:val="008D3B80"/>
    <w:rsid w:val="008D75D6"/>
    <w:rsid w:val="008D7F20"/>
    <w:rsid w:val="008E2168"/>
    <w:rsid w:val="008E3877"/>
    <w:rsid w:val="008E3E4B"/>
    <w:rsid w:val="008E4EF9"/>
    <w:rsid w:val="008E5E3C"/>
    <w:rsid w:val="008E68A1"/>
    <w:rsid w:val="008E6DFC"/>
    <w:rsid w:val="008E7710"/>
    <w:rsid w:val="008E7F6C"/>
    <w:rsid w:val="008F23B1"/>
    <w:rsid w:val="008F2510"/>
    <w:rsid w:val="008F2A81"/>
    <w:rsid w:val="008F3A44"/>
    <w:rsid w:val="008F3E68"/>
    <w:rsid w:val="008F5185"/>
    <w:rsid w:val="008F5D4A"/>
    <w:rsid w:val="008F63CA"/>
    <w:rsid w:val="008F6F84"/>
    <w:rsid w:val="008F78A8"/>
    <w:rsid w:val="00900D4D"/>
    <w:rsid w:val="00900D70"/>
    <w:rsid w:val="009015BA"/>
    <w:rsid w:val="009029C6"/>
    <w:rsid w:val="009036EF"/>
    <w:rsid w:val="0090388D"/>
    <w:rsid w:val="00903F34"/>
    <w:rsid w:val="0090441A"/>
    <w:rsid w:val="00904BA2"/>
    <w:rsid w:val="00905C0A"/>
    <w:rsid w:val="009067BB"/>
    <w:rsid w:val="00907FF7"/>
    <w:rsid w:val="009101CB"/>
    <w:rsid w:val="009108BF"/>
    <w:rsid w:val="00911BC6"/>
    <w:rsid w:val="009122F8"/>
    <w:rsid w:val="00912B2B"/>
    <w:rsid w:val="0091371B"/>
    <w:rsid w:val="00914430"/>
    <w:rsid w:val="00915520"/>
    <w:rsid w:val="009155F7"/>
    <w:rsid w:val="00915BD9"/>
    <w:rsid w:val="00916FA1"/>
    <w:rsid w:val="009200B0"/>
    <w:rsid w:val="00921131"/>
    <w:rsid w:val="0092195B"/>
    <w:rsid w:val="00922DED"/>
    <w:rsid w:val="00923DEF"/>
    <w:rsid w:val="0092401F"/>
    <w:rsid w:val="00924213"/>
    <w:rsid w:val="009247F5"/>
    <w:rsid w:val="0092637C"/>
    <w:rsid w:val="00926AB2"/>
    <w:rsid w:val="009279B1"/>
    <w:rsid w:val="00927B0F"/>
    <w:rsid w:val="0093290E"/>
    <w:rsid w:val="00932EC9"/>
    <w:rsid w:val="00933A67"/>
    <w:rsid w:val="009349D2"/>
    <w:rsid w:val="009354A9"/>
    <w:rsid w:val="009356E6"/>
    <w:rsid w:val="00936055"/>
    <w:rsid w:val="00936412"/>
    <w:rsid w:val="0093660D"/>
    <w:rsid w:val="00936A23"/>
    <w:rsid w:val="009407FE"/>
    <w:rsid w:val="00940BD4"/>
    <w:rsid w:val="009419FA"/>
    <w:rsid w:val="009421FA"/>
    <w:rsid w:val="00942436"/>
    <w:rsid w:val="009448AF"/>
    <w:rsid w:val="0094793D"/>
    <w:rsid w:val="009550CD"/>
    <w:rsid w:val="0095716F"/>
    <w:rsid w:val="00957269"/>
    <w:rsid w:val="00957603"/>
    <w:rsid w:val="00957A1D"/>
    <w:rsid w:val="00960DF9"/>
    <w:rsid w:val="00961A29"/>
    <w:rsid w:val="0096487B"/>
    <w:rsid w:val="0096609D"/>
    <w:rsid w:val="009667F7"/>
    <w:rsid w:val="00966F33"/>
    <w:rsid w:val="0097038B"/>
    <w:rsid w:val="009710EF"/>
    <w:rsid w:val="00973DB8"/>
    <w:rsid w:val="00974423"/>
    <w:rsid w:val="0097512B"/>
    <w:rsid w:val="00975572"/>
    <w:rsid w:val="009757D1"/>
    <w:rsid w:val="00975D5F"/>
    <w:rsid w:val="0097674C"/>
    <w:rsid w:val="00977C80"/>
    <w:rsid w:val="009801D1"/>
    <w:rsid w:val="00980205"/>
    <w:rsid w:val="00980754"/>
    <w:rsid w:val="00981535"/>
    <w:rsid w:val="00981B38"/>
    <w:rsid w:val="0098222F"/>
    <w:rsid w:val="009825C8"/>
    <w:rsid w:val="00982994"/>
    <w:rsid w:val="0098409F"/>
    <w:rsid w:val="0098429D"/>
    <w:rsid w:val="0098462F"/>
    <w:rsid w:val="00985537"/>
    <w:rsid w:val="00986CC4"/>
    <w:rsid w:val="0098701A"/>
    <w:rsid w:val="00987AC7"/>
    <w:rsid w:val="00987C1A"/>
    <w:rsid w:val="009903EE"/>
    <w:rsid w:val="00990900"/>
    <w:rsid w:val="00990AC5"/>
    <w:rsid w:val="00991698"/>
    <w:rsid w:val="009916A9"/>
    <w:rsid w:val="00991C17"/>
    <w:rsid w:val="00992D1E"/>
    <w:rsid w:val="00995092"/>
    <w:rsid w:val="00997B81"/>
    <w:rsid w:val="00997EB2"/>
    <w:rsid w:val="009A06F5"/>
    <w:rsid w:val="009A0788"/>
    <w:rsid w:val="009A0C04"/>
    <w:rsid w:val="009A0E92"/>
    <w:rsid w:val="009A12B5"/>
    <w:rsid w:val="009A17EC"/>
    <w:rsid w:val="009A1A06"/>
    <w:rsid w:val="009A1E45"/>
    <w:rsid w:val="009A435F"/>
    <w:rsid w:val="009A47E5"/>
    <w:rsid w:val="009A4C0F"/>
    <w:rsid w:val="009A576E"/>
    <w:rsid w:val="009A5899"/>
    <w:rsid w:val="009A7AA4"/>
    <w:rsid w:val="009A7BFE"/>
    <w:rsid w:val="009B03DF"/>
    <w:rsid w:val="009B1802"/>
    <w:rsid w:val="009B2262"/>
    <w:rsid w:val="009B236F"/>
    <w:rsid w:val="009B5053"/>
    <w:rsid w:val="009B6348"/>
    <w:rsid w:val="009B677F"/>
    <w:rsid w:val="009B6AF0"/>
    <w:rsid w:val="009B7FFA"/>
    <w:rsid w:val="009C1048"/>
    <w:rsid w:val="009C26F4"/>
    <w:rsid w:val="009C292D"/>
    <w:rsid w:val="009C2CED"/>
    <w:rsid w:val="009C2EEF"/>
    <w:rsid w:val="009C41C8"/>
    <w:rsid w:val="009C5B9B"/>
    <w:rsid w:val="009C5E5F"/>
    <w:rsid w:val="009C5F0C"/>
    <w:rsid w:val="009C648B"/>
    <w:rsid w:val="009C67C0"/>
    <w:rsid w:val="009D1035"/>
    <w:rsid w:val="009D13D0"/>
    <w:rsid w:val="009D2068"/>
    <w:rsid w:val="009D2B82"/>
    <w:rsid w:val="009D2F09"/>
    <w:rsid w:val="009D46F3"/>
    <w:rsid w:val="009D4C89"/>
    <w:rsid w:val="009D54D9"/>
    <w:rsid w:val="009D7581"/>
    <w:rsid w:val="009D7D33"/>
    <w:rsid w:val="009E03F9"/>
    <w:rsid w:val="009E2D11"/>
    <w:rsid w:val="009E3BB3"/>
    <w:rsid w:val="009E49FC"/>
    <w:rsid w:val="009E4DA9"/>
    <w:rsid w:val="009E4DD4"/>
    <w:rsid w:val="009E4E3F"/>
    <w:rsid w:val="009E5E68"/>
    <w:rsid w:val="009E5E7D"/>
    <w:rsid w:val="009E698B"/>
    <w:rsid w:val="009E6F4D"/>
    <w:rsid w:val="009E70F8"/>
    <w:rsid w:val="009F0FBD"/>
    <w:rsid w:val="009F1547"/>
    <w:rsid w:val="009F1DDF"/>
    <w:rsid w:val="009F1F02"/>
    <w:rsid w:val="009F2CD1"/>
    <w:rsid w:val="009F4625"/>
    <w:rsid w:val="009F494B"/>
    <w:rsid w:val="009F4ABA"/>
    <w:rsid w:val="009F4C0E"/>
    <w:rsid w:val="009F6CF1"/>
    <w:rsid w:val="009F7EAC"/>
    <w:rsid w:val="00A02D05"/>
    <w:rsid w:val="00A030DD"/>
    <w:rsid w:val="00A036BD"/>
    <w:rsid w:val="00A03D3A"/>
    <w:rsid w:val="00A03F1E"/>
    <w:rsid w:val="00A0420A"/>
    <w:rsid w:val="00A04550"/>
    <w:rsid w:val="00A0644A"/>
    <w:rsid w:val="00A066AE"/>
    <w:rsid w:val="00A0707B"/>
    <w:rsid w:val="00A07BEB"/>
    <w:rsid w:val="00A07C8C"/>
    <w:rsid w:val="00A104B9"/>
    <w:rsid w:val="00A10DD9"/>
    <w:rsid w:val="00A11194"/>
    <w:rsid w:val="00A111F3"/>
    <w:rsid w:val="00A11D34"/>
    <w:rsid w:val="00A12C6B"/>
    <w:rsid w:val="00A14117"/>
    <w:rsid w:val="00A149FA"/>
    <w:rsid w:val="00A14A28"/>
    <w:rsid w:val="00A1527B"/>
    <w:rsid w:val="00A15823"/>
    <w:rsid w:val="00A16B26"/>
    <w:rsid w:val="00A17DF0"/>
    <w:rsid w:val="00A20732"/>
    <w:rsid w:val="00A20A4C"/>
    <w:rsid w:val="00A20A76"/>
    <w:rsid w:val="00A20F78"/>
    <w:rsid w:val="00A218F1"/>
    <w:rsid w:val="00A22121"/>
    <w:rsid w:val="00A22302"/>
    <w:rsid w:val="00A226BB"/>
    <w:rsid w:val="00A22FBC"/>
    <w:rsid w:val="00A2325C"/>
    <w:rsid w:val="00A26754"/>
    <w:rsid w:val="00A273E0"/>
    <w:rsid w:val="00A27945"/>
    <w:rsid w:val="00A27DEE"/>
    <w:rsid w:val="00A304BC"/>
    <w:rsid w:val="00A31758"/>
    <w:rsid w:val="00A31B93"/>
    <w:rsid w:val="00A31DCB"/>
    <w:rsid w:val="00A3261F"/>
    <w:rsid w:val="00A32EB7"/>
    <w:rsid w:val="00A330E7"/>
    <w:rsid w:val="00A3538C"/>
    <w:rsid w:val="00A36246"/>
    <w:rsid w:val="00A3754D"/>
    <w:rsid w:val="00A375EF"/>
    <w:rsid w:val="00A37AD7"/>
    <w:rsid w:val="00A42895"/>
    <w:rsid w:val="00A47557"/>
    <w:rsid w:val="00A50D8A"/>
    <w:rsid w:val="00A5156F"/>
    <w:rsid w:val="00A5159E"/>
    <w:rsid w:val="00A517C4"/>
    <w:rsid w:val="00A52896"/>
    <w:rsid w:val="00A528C2"/>
    <w:rsid w:val="00A531D8"/>
    <w:rsid w:val="00A54AFD"/>
    <w:rsid w:val="00A54E69"/>
    <w:rsid w:val="00A559AE"/>
    <w:rsid w:val="00A559C9"/>
    <w:rsid w:val="00A5750D"/>
    <w:rsid w:val="00A575D2"/>
    <w:rsid w:val="00A6006E"/>
    <w:rsid w:val="00A61618"/>
    <w:rsid w:val="00A61B06"/>
    <w:rsid w:val="00A62113"/>
    <w:rsid w:val="00A62404"/>
    <w:rsid w:val="00A634F6"/>
    <w:rsid w:val="00A6401F"/>
    <w:rsid w:val="00A6597B"/>
    <w:rsid w:val="00A6683C"/>
    <w:rsid w:val="00A66D9E"/>
    <w:rsid w:val="00A6759C"/>
    <w:rsid w:val="00A67923"/>
    <w:rsid w:val="00A70527"/>
    <w:rsid w:val="00A7135F"/>
    <w:rsid w:val="00A71386"/>
    <w:rsid w:val="00A713ED"/>
    <w:rsid w:val="00A714B8"/>
    <w:rsid w:val="00A71EF0"/>
    <w:rsid w:val="00A72B2E"/>
    <w:rsid w:val="00A7353B"/>
    <w:rsid w:val="00A74901"/>
    <w:rsid w:val="00A74D85"/>
    <w:rsid w:val="00A74F19"/>
    <w:rsid w:val="00A75733"/>
    <w:rsid w:val="00A75753"/>
    <w:rsid w:val="00A75B2A"/>
    <w:rsid w:val="00A76308"/>
    <w:rsid w:val="00A76B50"/>
    <w:rsid w:val="00A77C08"/>
    <w:rsid w:val="00A809FE"/>
    <w:rsid w:val="00A81527"/>
    <w:rsid w:val="00A81C53"/>
    <w:rsid w:val="00A81E8E"/>
    <w:rsid w:val="00A82058"/>
    <w:rsid w:val="00A82431"/>
    <w:rsid w:val="00A825E1"/>
    <w:rsid w:val="00A82CA8"/>
    <w:rsid w:val="00A83F14"/>
    <w:rsid w:val="00A84AE7"/>
    <w:rsid w:val="00A8581E"/>
    <w:rsid w:val="00A867DC"/>
    <w:rsid w:val="00A869B0"/>
    <w:rsid w:val="00A90807"/>
    <w:rsid w:val="00A91F50"/>
    <w:rsid w:val="00A9289F"/>
    <w:rsid w:val="00A92C1D"/>
    <w:rsid w:val="00A92D2E"/>
    <w:rsid w:val="00A941AC"/>
    <w:rsid w:val="00A952D2"/>
    <w:rsid w:val="00A9565E"/>
    <w:rsid w:val="00A96905"/>
    <w:rsid w:val="00A96F9F"/>
    <w:rsid w:val="00AA023F"/>
    <w:rsid w:val="00AA0511"/>
    <w:rsid w:val="00AA0C77"/>
    <w:rsid w:val="00AA11ED"/>
    <w:rsid w:val="00AA1D27"/>
    <w:rsid w:val="00AA1E66"/>
    <w:rsid w:val="00AA204C"/>
    <w:rsid w:val="00AA27C1"/>
    <w:rsid w:val="00AA2D57"/>
    <w:rsid w:val="00AA3941"/>
    <w:rsid w:val="00AA41D6"/>
    <w:rsid w:val="00AA4AF4"/>
    <w:rsid w:val="00AA5374"/>
    <w:rsid w:val="00AA56D0"/>
    <w:rsid w:val="00AA6468"/>
    <w:rsid w:val="00AA6469"/>
    <w:rsid w:val="00AB0C9F"/>
    <w:rsid w:val="00AB10EB"/>
    <w:rsid w:val="00AB143A"/>
    <w:rsid w:val="00AB1494"/>
    <w:rsid w:val="00AB2484"/>
    <w:rsid w:val="00AB3104"/>
    <w:rsid w:val="00AB3B10"/>
    <w:rsid w:val="00AB51E4"/>
    <w:rsid w:val="00AB52E7"/>
    <w:rsid w:val="00AB612B"/>
    <w:rsid w:val="00AB7750"/>
    <w:rsid w:val="00AC003C"/>
    <w:rsid w:val="00AC0103"/>
    <w:rsid w:val="00AC118D"/>
    <w:rsid w:val="00AC1404"/>
    <w:rsid w:val="00AC19D6"/>
    <w:rsid w:val="00AC1B3E"/>
    <w:rsid w:val="00AC4FC2"/>
    <w:rsid w:val="00AC5518"/>
    <w:rsid w:val="00AC650B"/>
    <w:rsid w:val="00AC65D2"/>
    <w:rsid w:val="00AC741C"/>
    <w:rsid w:val="00AD039F"/>
    <w:rsid w:val="00AD2726"/>
    <w:rsid w:val="00AD3902"/>
    <w:rsid w:val="00AD3CE4"/>
    <w:rsid w:val="00AD3E75"/>
    <w:rsid w:val="00AD4E71"/>
    <w:rsid w:val="00AD564F"/>
    <w:rsid w:val="00AD5BCF"/>
    <w:rsid w:val="00AD6010"/>
    <w:rsid w:val="00AD691C"/>
    <w:rsid w:val="00AE2026"/>
    <w:rsid w:val="00AE26ED"/>
    <w:rsid w:val="00AE33FF"/>
    <w:rsid w:val="00AE3569"/>
    <w:rsid w:val="00AE47DB"/>
    <w:rsid w:val="00AE4C7A"/>
    <w:rsid w:val="00AF06D5"/>
    <w:rsid w:val="00AF09DD"/>
    <w:rsid w:val="00AF1842"/>
    <w:rsid w:val="00AF2A88"/>
    <w:rsid w:val="00AF2E8B"/>
    <w:rsid w:val="00AF300C"/>
    <w:rsid w:val="00AF3E09"/>
    <w:rsid w:val="00AF4D05"/>
    <w:rsid w:val="00AF6454"/>
    <w:rsid w:val="00B00732"/>
    <w:rsid w:val="00B02494"/>
    <w:rsid w:val="00B02655"/>
    <w:rsid w:val="00B02C31"/>
    <w:rsid w:val="00B02D6F"/>
    <w:rsid w:val="00B05102"/>
    <w:rsid w:val="00B052D7"/>
    <w:rsid w:val="00B06245"/>
    <w:rsid w:val="00B06962"/>
    <w:rsid w:val="00B06AA4"/>
    <w:rsid w:val="00B10083"/>
    <w:rsid w:val="00B102A9"/>
    <w:rsid w:val="00B1097E"/>
    <w:rsid w:val="00B10A95"/>
    <w:rsid w:val="00B1156F"/>
    <w:rsid w:val="00B123DB"/>
    <w:rsid w:val="00B12C2E"/>
    <w:rsid w:val="00B12EA1"/>
    <w:rsid w:val="00B13AA2"/>
    <w:rsid w:val="00B13B3C"/>
    <w:rsid w:val="00B14273"/>
    <w:rsid w:val="00B15F69"/>
    <w:rsid w:val="00B16A34"/>
    <w:rsid w:val="00B17346"/>
    <w:rsid w:val="00B1751E"/>
    <w:rsid w:val="00B202A7"/>
    <w:rsid w:val="00B21710"/>
    <w:rsid w:val="00B24E64"/>
    <w:rsid w:val="00B25453"/>
    <w:rsid w:val="00B2549D"/>
    <w:rsid w:val="00B25684"/>
    <w:rsid w:val="00B2679B"/>
    <w:rsid w:val="00B301A6"/>
    <w:rsid w:val="00B311F2"/>
    <w:rsid w:val="00B31B0D"/>
    <w:rsid w:val="00B31B9C"/>
    <w:rsid w:val="00B320B2"/>
    <w:rsid w:val="00B32AFB"/>
    <w:rsid w:val="00B336B4"/>
    <w:rsid w:val="00B33D60"/>
    <w:rsid w:val="00B33F62"/>
    <w:rsid w:val="00B34D6C"/>
    <w:rsid w:val="00B35C1D"/>
    <w:rsid w:val="00B375C4"/>
    <w:rsid w:val="00B378BD"/>
    <w:rsid w:val="00B378C2"/>
    <w:rsid w:val="00B37920"/>
    <w:rsid w:val="00B40D47"/>
    <w:rsid w:val="00B415DE"/>
    <w:rsid w:val="00B418FE"/>
    <w:rsid w:val="00B43094"/>
    <w:rsid w:val="00B444F6"/>
    <w:rsid w:val="00B44D13"/>
    <w:rsid w:val="00B46541"/>
    <w:rsid w:val="00B503D6"/>
    <w:rsid w:val="00B51676"/>
    <w:rsid w:val="00B51F08"/>
    <w:rsid w:val="00B53D8A"/>
    <w:rsid w:val="00B5544F"/>
    <w:rsid w:val="00B55E5D"/>
    <w:rsid w:val="00B5668D"/>
    <w:rsid w:val="00B56CED"/>
    <w:rsid w:val="00B56D48"/>
    <w:rsid w:val="00B5772F"/>
    <w:rsid w:val="00B57849"/>
    <w:rsid w:val="00B60479"/>
    <w:rsid w:val="00B60A36"/>
    <w:rsid w:val="00B61314"/>
    <w:rsid w:val="00B629D3"/>
    <w:rsid w:val="00B63A06"/>
    <w:rsid w:val="00B65423"/>
    <w:rsid w:val="00B6546E"/>
    <w:rsid w:val="00B65B65"/>
    <w:rsid w:val="00B66867"/>
    <w:rsid w:val="00B66994"/>
    <w:rsid w:val="00B66D04"/>
    <w:rsid w:val="00B66E47"/>
    <w:rsid w:val="00B6706C"/>
    <w:rsid w:val="00B67BFD"/>
    <w:rsid w:val="00B67F12"/>
    <w:rsid w:val="00B70F49"/>
    <w:rsid w:val="00B71059"/>
    <w:rsid w:val="00B71AFB"/>
    <w:rsid w:val="00B71F3A"/>
    <w:rsid w:val="00B73639"/>
    <w:rsid w:val="00B73C97"/>
    <w:rsid w:val="00B747AE"/>
    <w:rsid w:val="00B74B19"/>
    <w:rsid w:val="00B75131"/>
    <w:rsid w:val="00B76340"/>
    <w:rsid w:val="00B76762"/>
    <w:rsid w:val="00B779DA"/>
    <w:rsid w:val="00B77B1D"/>
    <w:rsid w:val="00B80C43"/>
    <w:rsid w:val="00B80DCF"/>
    <w:rsid w:val="00B82F77"/>
    <w:rsid w:val="00B838D6"/>
    <w:rsid w:val="00B84697"/>
    <w:rsid w:val="00B86E2C"/>
    <w:rsid w:val="00B935FF"/>
    <w:rsid w:val="00B94786"/>
    <w:rsid w:val="00B956FD"/>
    <w:rsid w:val="00B96B72"/>
    <w:rsid w:val="00BA05AC"/>
    <w:rsid w:val="00BA204F"/>
    <w:rsid w:val="00BA38C6"/>
    <w:rsid w:val="00BA455E"/>
    <w:rsid w:val="00BA5308"/>
    <w:rsid w:val="00BA5F65"/>
    <w:rsid w:val="00BA6A63"/>
    <w:rsid w:val="00BA78B6"/>
    <w:rsid w:val="00BB035F"/>
    <w:rsid w:val="00BB1F3F"/>
    <w:rsid w:val="00BB26AD"/>
    <w:rsid w:val="00BB3785"/>
    <w:rsid w:val="00BB3A33"/>
    <w:rsid w:val="00BB4FF1"/>
    <w:rsid w:val="00BB5277"/>
    <w:rsid w:val="00BB5CE8"/>
    <w:rsid w:val="00BB608B"/>
    <w:rsid w:val="00BB64E8"/>
    <w:rsid w:val="00BB7888"/>
    <w:rsid w:val="00BB7938"/>
    <w:rsid w:val="00BB79BD"/>
    <w:rsid w:val="00BC04EE"/>
    <w:rsid w:val="00BC0FC8"/>
    <w:rsid w:val="00BC297C"/>
    <w:rsid w:val="00BC401D"/>
    <w:rsid w:val="00BC4DB2"/>
    <w:rsid w:val="00BC55D1"/>
    <w:rsid w:val="00BC5C9F"/>
    <w:rsid w:val="00BC7208"/>
    <w:rsid w:val="00BC7718"/>
    <w:rsid w:val="00BC7E84"/>
    <w:rsid w:val="00BD0662"/>
    <w:rsid w:val="00BD0B48"/>
    <w:rsid w:val="00BD2A0A"/>
    <w:rsid w:val="00BD30A1"/>
    <w:rsid w:val="00BD5D0F"/>
    <w:rsid w:val="00BD7673"/>
    <w:rsid w:val="00BD7C68"/>
    <w:rsid w:val="00BE02EE"/>
    <w:rsid w:val="00BE1CBC"/>
    <w:rsid w:val="00BE1CE7"/>
    <w:rsid w:val="00BE20CC"/>
    <w:rsid w:val="00BE2187"/>
    <w:rsid w:val="00BE23A1"/>
    <w:rsid w:val="00BE29DC"/>
    <w:rsid w:val="00BE4C25"/>
    <w:rsid w:val="00BE54A6"/>
    <w:rsid w:val="00BE58AF"/>
    <w:rsid w:val="00BE5BD7"/>
    <w:rsid w:val="00BE6403"/>
    <w:rsid w:val="00BE71FF"/>
    <w:rsid w:val="00BE7A7A"/>
    <w:rsid w:val="00BE7B14"/>
    <w:rsid w:val="00BF23DC"/>
    <w:rsid w:val="00BF3EC1"/>
    <w:rsid w:val="00BF43DA"/>
    <w:rsid w:val="00BF6034"/>
    <w:rsid w:val="00BF697A"/>
    <w:rsid w:val="00BF6ADB"/>
    <w:rsid w:val="00BF6CCB"/>
    <w:rsid w:val="00C00037"/>
    <w:rsid w:val="00C00C3A"/>
    <w:rsid w:val="00C011DE"/>
    <w:rsid w:val="00C0258A"/>
    <w:rsid w:val="00C03776"/>
    <w:rsid w:val="00C03C91"/>
    <w:rsid w:val="00C05798"/>
    <w:rsid w:val="00C05A8D"/>
    <w:rsid w:val="00C07DB4"/>
    <w:rsid w:val="00C10683"/>
    <w:rsid w:val="00C1079D"/>
    <w:rsid w:val="00C109B3"/>
    <w:rsid w:val="00C12AF3"/>
    <w:rsid w:val="00C13821"/>
    <w:rsid w:val="00C14051"/>
    <w:rsid w:val="00C15BE2"/>
    <w:rsid w:val="00C15F73"/>
    <w:rsid w:val="00C16E76"/>
    <w:rsid w:val="00C1785A"/>
    <w:rsid w:val="00C20324"/>
    <w:rsid w:val="00C2037B"/>
    <w:rsid w:val="00C20702"/>
    <w:rsid w:val="00C21AA4"/>
    <w:rsid w:val="00C2267A"/>
    <w:rsid w:val="00C22F2D"/>
    <w:rsid w:val="00C22FF7"/>
    <w:rsid w:val="00C23E65"/>
    <w:rsid w:val="00C257A1"/>
    <w:rsid w:val="00C25B32"/>
    <w:rsid w:val="00C263A7"/>
    <w:rsid w:val="00C27F76"/>
    <w:rsid w:val="00C308C6"/>
    <w:rsid w:val="00C30DA4"/>
    <w:rsid w:val="00C32F43"/>
    <w:rsid w:val="00C33414"/>
    <w:rsid w:val="00C33D83"/>
    <w:rsid w:val="00C347A7"/>
    <w:rsid w:val="00C34ED9"/>
    <w:rsid w:val="00C4005E"/>
    <w:rsid w:val="00C4069F"/>
    <w:rsid w:val="00C40C35"/>
    <w:rsid w:val="00C41969"/>
    <w:rsid w:val="00C41DDB"/>
    <w:rsid w:val="00C41ECA"/>
    <w:rsid w:val="00C4254B"/>
    <w:rsid w:val="00C44719"/>
    <w:rsid w:val="00C45807"/>
    <w:rsid w:val="00C46145"/>
    <w:rsid w:val="00C50108"/>
    <w:rsid w:val="00C51056"/>
    <w:rsid w:val="00C51AC2"/>
    <w:rsid w:val="00C51BE5"/>
    <w:rsid w:val="00C5308B"/>
    <w:rsid w:val="00C53570"/>
    <w:rsid w:val="00C53DFF"/>
    <w:rsid w:val="00C54661"/>
    <w:rsid w:val="00C55076"/>
    <w:rsid w:val="00C55324"/>
    <w:rsid w:val="00C55EE0"/>
    <w:rsid w:val="00C56D73"/>
    <w:rsid w:val="00C56D85"/>
    <w:rsid w:val="00C57248"/>
    <w:rsid w:val="00C574EC"/>
    <w:rsid w:val="00C61DE6"/>
    <w:rsid w:val="00C62D1C"/>
    <w:rsid w:val="00C63EE7"/>
    <w:rsid w:val="00C640E3"/>
    <w:rsid w:val="00C65152"/>
    <w:rsid w:val="00C6572C"/>
    <w:rsid w:val="00C65A73"/>
    <w:rsid w:val="00C6669B"/>
    <w:rsid w:val="00C66D8A"/>
    <w:rsid w:val="00C67DAB"/>
    <w:rsid w:val="00C70190"/>
    <w:rsid w:val="00C70CFF"/>
    <w:rsid w:val="00C71225"/>
    <w:rsid w:val="00C71B6C"/>
    <w:rsid w:val="00C724B6"/>
    <w:rsid w:val="00C73FA3"/>
    <w:rsid w:val="00C74143"/>
    <w:rsid w:val="00C74776"/>
    <w:rsid w:val="00C7545C"/>
    <w:rsid w:val="00C75655"/>
    <w:rsid w:val="00C75827"/>
    <w:rsid w:val="00C75F99"/>
    <w:rsid w:val="00C8070A"/>
    <w:rsid w:val="00C81CC8"/>
    <w:rsid w:val="00C837C3"/>
    <w:rsid w:val="00C84497"/>
    <w:rsid w:val="00C84840"/>
    <w:rsid w:val="00C85691"/>
    <w:rsid w:val="00C85A3B"/>
    <w:rsid w:val="00C86470"/>
    <w:rsid w:val="00C868F6"/>
    <w:rsid w:val="00C86BCB"/>
    <w:rsid w:val="00C87411"/>
    <w:rsid w:val="00C87E66"/>
    <w:rsid w:val="00C9041D"/>
    <w:rsid w:val="00C906FF"/>
    <w:rsid w:val="00C910CC"/>
    <w:rsid w:val="00C9137C"/>
    <w:rsid w:val="00C91644"/>
    <w:rsid w:val="00C9299B"/>
    <w:rsid w:val="00C92DBA"/>
    <w:rsid w:val="00C93B3D"/>
    <w:rsid w:val="00C94438"/>
    <w:rsid w:val="00C94D30"/>
    <w:rsid w:val="00C95A5D"/>
    <w:rsid w:val="00C9663B"/>
    <w:rsid w:val="00C96BB7"/>
    <w:rsid w:val="00CA32E1"/>
    <w:rsid w:val="00CA3663"/>
    <w:rsid w:val="00CA3789"/>
    <w:rsid w:val="00CA3C9B"/>
    <w:rsid w:val="00CA43A5"/>
    <w:rsid w:val="00CA4934"/>
    <w:rsid w:val="00CA533C"/>
    <w:rsid w:val="00CA5D55"/>
    <w:rsid w:val="00CA6553"/>
    <w:rsid w:val="00CA6A22"/>
    <w:rsid w:val="00CA6B86"/>
    <w:rsid w:val="00CA704A"/>
    <w:rsid w:val="00CA70A4"/>
    <w:rsid w:val="00CA7C0B"/>
    <w:rsid w:val="00CA7FF7"/>
    <w:rsid w:val="00CB1DD9"/>
    <w:rsid w:val="00CB2A1B"/>
    <w:rsid w:val="00CB44B1"/>
    <w:rsid w:val="00CB4762"/>
    <w:rsid w:val="00CB6E2B"/>
    <w:rsid w:val="00CB6FF7"/>
    <w:rsid w:val="00CB72B3"/>
    <w:rsid w:val="00CB7302"/>
    <w:rsid w:val="00CB763E"/>
    <w:rsid w:val="00CC07DC"/>
    <w:rsid w:val="00CC0B94"/>
    <w:rsid w:val="00CC1E9F"/>
    <w:rsid w:val="00CC2A4C"/>
    <w:rsid w:val="00CC3680"/>
    <w:rsid w:val="00CC379A"/>
    <w:rsid w:val="00CC414D"/>
    <w:rsid w:val="00CC5896"/>
    <w:rsid w:val="00CC72AB"/>
    <w:rsid w:val="00CC76BB"/>
    <w:rsid w:val="00CC7CFD"/>
    <w:rsid w:val="00CD09D8"/>
    <w:rsid w:val="00CD172F"/>
    <w:rsid w:val="00CD337F"/>
    <w:rsid w:val="00CD3480"/>
    <w:rsid w:val="00CD3971"/>
    <w:rsid w:val="00CD3D6E"/>
    <w:rsid w:val="00CD5DD3"/>
    <w:rsid w:val="00CD6A72"/>
    <w:rsid w:val="00CD77FB"/>
    <w:rsid w:val="00CD7947"/>
    <w:rsid w:val="00CE04F5"/>
    <w:rsid w:val="00CE0C35"/>
    <w:rsid w:val="00CE11CD"/>
    <w:rsid w:val="00CE137D"/>
    <w:rsid w:val="00CE3810"/>
    <w:rsid w:val="00CE3EC9"/>
    <w:rsid w:val="00CE431C"/>
    <w:rsid w:val="00CE52B4"/>
    <w:rsid w:val="00CE5DCD"/>
    <w:rsid w:val="00CE6217"/>
    <w:rsid w:val="00CE701C"/>
    <w:rsid w:val="00CE7599"/>
    <w:rsid w:val="00CE7C2C"/>
    <w:rsid w:val="00CE7FC7"/>
    <w:rsid w:val="00CF414A"/>
    <w:rsid w:val="00CF4C7E"/>
    <w:rsid w:val="00CF4FF0"/>
    <w:rsid w:val="00CF51DE"/>
    <w:rsid w:val="00CF585F"/>
    <w:rsid w:val="00CF5A22"/>
    <w:rsid w:val="00CF5B47"/>
    <w:rsid w:val="00CF7384"/>
    <w:rsid w:val="00D004AC"/>
    <w:rsid w:val="00D03420"/>
    <w:rsid w:val="00D051BD"/>
    <w:rsid w:val="00D0535E"/>
    <w:rsid w:val="00D0725F"/>
    <w:rsid w:val="00D07678"/>
    <w:rsid w:val="00D10443"/>
    <w:rsid w:val="00D104F9"/>
    <w:rsid w:val="00D13652"/>
    <w:rsid w:val="00D14323"/>
    <w:rsid w:val="00D15F1D"/>
    <w:rsid w:val="00D16008"/>
    <w:rsid w:val="00D166D4"/>
    <w:rsid w:val="00D16A05"/>
    <w:rsid w:val="00D201AD"/>
    <w:rsid w:val="00D20ECE"/>
    <w:rsid w:val="00D21327"/>
    <w:rsid w:val="00D2192F"/>
    <w:rsid w:val="00D224A6"/>
    <w:rsid w:val="00D229C9"/>
    <w:rsid w:val="00D234E0"/>
    <w:rsid w:val="00D23BC5"/>
    <w:rsid w:val="00D23F61"/>
    <w:rsid w:val="00D30254"/>
    <w:rsid w:val="00D30FF5"/>
    <w:rsid w:val="00D32A5D"/>
    <w:rsid w:val="00D32DF4"/>
    <w:rsid w:val="00D33768"/>
    <w:rsid w:val="00D33D87"/>
    <w:rsid w:val="00D33DCA"/>
    <w:rsid w:val="00D345FC"/>
    <w:rsid w:val="00D35077"/>
    <w:rsid w:val="00D35A6E"/>
    <w:rsid w:val="00D366E1"/>
    <w:rsid w:val="00D40033"/>
    <w:rsid w:val="00D40736"/>
    <w:rsid w:val="00D408A8"/>
    <w:rsid w:val="00D438CE"/>
    <w:rsid w:val="00D44909"/>
    <w:rsid w:val="00D44CCD"/>
    <w:rsid w:val="00D45446"/>
    <w:rsid w:val="00D4561D"/>
    <w:rsid w:val="00D456A6"/>
    <w:rsid w:val="00D45FFE"/>
    <w:rsid w:val="00D46153"/>
    <w:rsid w:val="00D46157"/>
    <w:rsid w:val="00D46BB4"/>
    <w:rsid w:val="00D46DAE"/>
    <w:rsid w:val="00D477F3"/>
    <w:rsid w:val="00D515D4"/>
    <w:rsid w:val="00D51C8F"/>
    <w:rsid w:val="00D5204B"/>
    <w:rsid w:val="00D53376"/>
    <w:rsid w:val="00D53716"/>
    <w:rsid w:val="00D5459B"/>
    <w:rsid w:val="00D54C10"/>
    <w:rsid w:val="00D55191"/>
    <w:rsid w:val="00D55970"/>
    <w:rsid w:val="00D55A26"/>
    <w:rsid w:val="00D55CD0"/>
    <w:rsid w:val="00D55D13"/>
    <w:rsid w:val="00D56830"/>
    <w:rsid w:val="00D56F2B"/>
    <w:rsid w:val="00D574F4"/>
    <w:rsid w:val="00D57544"/>
    <w:rsid w:val="00D57973"/>
    <w:rsid w:val="00D60CE2"/>
    <w:rsid w:val="00D612EC"/>
    <w:rsid w:val="00D6153E"/>
    <w:rsid w:val="00D623C4"/>
    <w:rsid w:val="00D669A2"/>
    <w:rsid w:val="00D71734"/>
    <w:rsid w:val="00D722DF"/>
    <w:rsid w:val="00D731D6"/>
    <w:rsid w:val="00D73E08"/>
    <w:rsid w:val="00D741FF"/>
    <w:rsid w:val="00D75507"/>
    <w:rsid w:val="00D7578F"/>
    <w:rsid w:val="00D75CD4"/>
    <w:rsid w:val="00D75E72"/>
    <w:rsid w:val="00D7739B"/>
    <w:rsid w:val="00D811B9"/>
    <w:rsid w:val="00D818DD"/>
    <w:rsid w:val="00D820E1"/>
    <w:rsid w:val="00D83E60"/>
    <w:rsid w:val="00D84675"/>
    <w:rsid w:val="00D8491F"/>
    <w:rsid w:val="00D8526A"/>
    <w:rsid w:val="00D85404"/>
    <w:rsid w:val="00D86252"/>
    <w:rsid w:val="00D87E49"/>
    <w:rsid w:val="00D9152B"/>
    <w:rsid w:val="00D91669"/>
    <w:rsid w:val="00D917F3"/>
    <w:rsid w:val="00D92FAD"/>
    <w:rsid w:val="00D93F66"/>
    <w:rsid w:val="00D94DB4"/>
    <w:rsid w:val="00D9503E"/>
    <w:rsid w:val="00D95E27"/>
    <w:rsid w:val="00D97BAA"/>
    <w:rsid w:val="00DA3AF3"/>
    <w:rsid w:val="00DA3DA0"/>
    <w:rsid w:val="00DA5455"/>
    <w:rsid w:val="00DA559F"/>
    <w:rsid w:val="00DA5C2B"/>
    <w:rsid w:val="00DA63BB"/>
    <w:rsid w:val="00DA69D5"/>
    <w:rsid w:val="00DB080F"/>
    <w:rsid w:val="00DB18FB"/>
    <w:rsid w:val="00DB1DED"/>
    <w:rsid w:val="00DB1E98"/>
    <w:rsid w:val="00DB3295"/>
    <w:rsid w:val="00DB4B9E"/>
    <w:rsid w:val="00DB52BA"/>
    <w:rsid w:val="00DB5CCE"/>
    <w:rsid w:val="00DB5EFB"/>
    <w:rsid w:val="00DB6EF1"/>
    <w:rsid w:val="00DB79E8"/>
    <w:rsid w:val="00DC0116"/>
    <w:rsid w:val="00DC1465"/>
    <w:rsid w:val="00DC19BB"/>
    <w:rsid w:val="00DC3032"/>
    <w:rsid w:val="00DC3789"/>
    <w:rsid w:val="00DC565D"/>
    <w:rsid w:val="00DC6404"/>
    <w:rsid w:val="00DC739B"/>
    <w:rsid w:val="00DC78AD"/>
    <w:rsid w:val="00DC78C1"/>
    <w:rsid w:val="00DD0DA5"/>
    <w:rsid w:val="00DD129A"/>
    <w:rsid w:val="00DD2201"/>
    <w:rsid w:val="00DD292C"/>
    <w:rsid w:val="00DD323F"/>
    <w:rsid w:val="00DD3506"/>
    <w:rsid w:val="00DD35FA"/>
    <w:rsid w:val="00DD4E62"/>
    <w:rsid w:val="00DD5DEE"/>
    <w:rsid w:val="00DD61F9"/>
    <w:rsid w:val="00DD687C"/>
    <w:rsid w:val="00DD7139"/>
    <w:rsid w:val="00DD7FDF"/>
    <w:rsid w:val="00DE0CEB"/>
    <w:rsid w:val="00DE1703"/>
    <w:rsid w:val="00DE1888"/>
    <w:rsid w:val="00DE25AC"/>
    <w:rsid w:val="00DE26D3"/>
    <w:rsid w:val="00DE2A11"/>
    <w:rsid w:val="00DE4DE6"/>
    <w:rsid w:val="00DE5AD6"/>
    <w:rsid w:val="00DE7B84"/>
    <w:rsid w:val="00DF2B43"/>
    <w:rsid w:val="00DF568D"/>
    <w:rsid w:val="00DF588C"/>
    <w:rsid w:val="00DF6369"/>
    <w:rsid w:val="00DF7287"/>
    <w:rsid w:val="00DF74E1"/>
    <w:rsid w:val="00E008C5"/>
    <w:rsid w:val="00E00CCB"/>
    <w:rsid w:val="00E0157A"/>
    <w:rsid w:val="00E01B86"/>
    <w:rsid w:val="00E02CC2"/>
    <w:rsid w:val="00E033EC"/>
    <w:rsid w:val="00E036E4"/>
    <w:rsid w:val="00E03CAD"/>
    <w:rsid w:val="00E0406C"/>
    <w:rsid w:val="00E041F5"/>
    <w:rsid w:val="00E042C7"/>
    <w:rsid w:val="00E04757"/>
    <w:rsid w:val="00E0781A"/>
    <w:rsid w:val="00E11475"/>
    <w:rsid w:val="00E1187A"/>
    <w:rsid w:val="00E126C1"/>
    <w:rsid w:val="00E12D53"/>
    <w:rsid w:val="00E14D5E"/>
    <w:rsid w:val="00E16E4C"/>
    <w:rsid w:val="00E175A7"/>
    <w:rsid w:val="00E20168"/>
    <w:rsid w:val="00E20740"/>
    <w:rsid w:val="00E20E92"/>
    <w:rsid w:val="00E217A0"/>
    <w:rsid w:val="00E21E43"/>
    <w:rsid w:val="00E239BC"/>
    <w:rsid w:val="00E245DA"/>
    <w:rsid w:val="00E24645"/>
    <w:rsid w:val="00E24C5F"/>
    <w:rsid w:val="00E25307"/>
    <w:rsid w:val="00E27E50"/>
    <w:rsid w:val="00E27F6D"/>
    <w:rsid w:val="00E304B5"/>
    <w:rsid w:val="00E314A5"/>
    <w:rsid w:val="00E31BCB"/>
    <w:rsid w:val="00E32963"/>
    <w:rsid w:val="00E337BC"/>
    <w:rsid w:val="00E350C2"/>
    <w:rsid w:val="00E350CD"/>
    <w:rsid w:val="00E350EF"/>
    <w:rsid w:val="00E35ABF"/>
    <w:rsid w:val="00E372A9"/>
    <w:rsid w:val="00E4001B"/>
    <w:rsid w:val="00E40032"/>
    <w:rsid w:val="00E41A8A"/>
    <w:rsid w:val="00E42642"/>
    <w:rsid w:val="00E42C2E"/>
    <w:rsid w:val="00E44856"/>
    <w:rsid w:val="00E45CBE"/>
    <w:rsid w:val="00E479BF"/>
    <w:rsid w:val="00E506AE"/>
    <w:rsid w:val="00E5165B"/>
    <w:rsid w:val="00E51B3C"/>
    <w:rsid w:val="00E51FDE"/>
    <w:rsid w:val="00E52162"/>
    <w:rsid w:val="00E534B2"/>
    <w:rsid w:val="00E55462"/>
    <w:rsid w:val="00E56B66"/>
    <w:rsid w:val="00E579AF"/>
    <w:rsid w:val="00E57BCE"/>
    <w:rsid w:val="00E6199A"/>
    <w:rsid w:val="00E61C35"/>
    <w:rsid w:val="00E61F66"/>
    <w:rsid w:val="00E64F3C"/>
    <w:rsid w:val="00E650EF"/>
    <w:rsid w:val="00E6515F"/>
    <w:rsid w:val="00E65B96"/>
    <w:rsid w:val="00E65DF0"/>
    <w:rsid w:val="00E6720F"/>
    <w:rsid w:val="00E705B7"/>
    <w:rsid w:val="00E7086E"/>
    <w:rsid w:val="00E70ECC"/>
    <w:rsid w:val="00E714FC"/>
    <w:rsid w:val="00E7152F"/>
    <w:rsid w:val="00E717CD"/>
    <w:rsid w:val="00E71A89"/>
    <w:rsid w:val="00E73AEC"/>
    <w:rsid w:val="00E77197"/>
    <w:rsid w:val="00E77FF0"/>
    <w:rsid w:val="00E80F2D"/>
    <w:rsid w:val="00E80F9F"/>
    <w:rsid w:val="00E81206"/>
    <w:rsid w:val="00E81907"/>
    <w:rsid w:val="00E81B1A"/>
    <w:rsid w:val="00E8330F"/>
    <w:rsid w:val="00E84735"/>
    <w:rsid w:val="00E84F77"/>
    <w:rsid w:val="00E84FB3"/>
    <w:rsid w:val="00E85437"/>
    <w:rsid w:val="00E855EF"/>
    <w:rsid w:val="00E87037"/>
    <w:rsid w:val="00E8753C"/>
    <w:rsid w:val="00E877CD"/>
    <w:rsid w:val="00E87909"/>
    <w:rsid w:val="00E903A6"/>
    <w:rsid w:val="00E908A2"/>
    <w:rsid w:val="00E92BE9"/>
    <w:rsid w:val="00E93E1B"/>
    <w:rsid w:val="00E94CCA"/>
    <w:rsid w:val="00E960A3"/>
    <w:rsid w:val="00E96794"/>
    <w:rsid w:val="00E971BA"/>
    <w:rsid w:val="00EA0F03"/>
    <w:rsid w:val="00EA1BFA"/>
    <w:rsid w:val="00EA1EF9"/>
    <w:rsid w:val="00EA228A"/>
    <w:rsid w:val="00EA2CA0"/>
    <w:rsid w:val="00EA415D"/>
    <w:rsid w:val="00EA4B9A"/>
    <w:rsid w:val="00EA6041"/>
    <w:rsid w:val="00EA669F"/>
    <w:rsid w:val="00EA6B50"/>
    <w:rsid w:val="00EA70AD"/>
    <w:rsid w:val="00EA7237"/>
    <w:rsid w:val="00EB0426"/>
    <w:rsid w:val="00EB055B"/>
    <w:rsid w:val="00EB0ABD"/>
    <w:rsid w:val="00EB0C40"/>
    <w:rsid w:val="00EB112A"/>
    <w:rsid w:val="00EB1383"/>
    <w:rsid w:val="00EB1B70"/>
    <w:rsid w:val="00EB2465"/>
    <w:rsid w:val="00EB268A"/>
    <w:rsid w:val="00EB2A04"/>
    <w:rsid w:val="00EB2A0A"/>
    <w:rsid w:val="00EB3A44"/>
    <w:rsid w:val="00EB439C"/>
    <w:rsid w:val="00EB5637"/>
    <w:rsid w:val="00EB7766"/>
    <w:rsid w:val="00EC0A5D"/>
    <w:rsid w:val="00EC1212"/>
    <w:rsid w:val="00EC18F8"/>
    <w:rsid w:val="00EC1D3D"/>
    <w:rsid w:val="00EC2A0A"/>
    <w:rsid w:val="00EC3331"/>
    <w:rsid w:val="00EC33F0"/>
    <w:rsid w:val="00EC4E7E"/>
    <w:rsid w:val="00EC5D20"/>
    <w:rsid w:val="00EC61F9"/>
    <w:rsid w:val="00EC64EF"/>
    <w:rsid w:val="00EC65F3"/>
    <w:rsid w:val="00EC677E"/>
    <w:rsid w:val="00EC7073"/>
    <w:rsid w:val="00EC71DA"/>
    <w:rsid w:val="00EC76A0"/>
    <w:rsid w:val="00EC7E67"/>
    <w:rsid w:val="00ED1ED1"/>
    <w:rsid w:val="00ED293E"/>
    <w:rsid w:val="00ED30D4"/>
    <w:rsid w:val="00ED4667"/>
    <w:rsid w:val="00ED4846"/>
    <w:rsid w:val="00ED4B32"/>
    <w:rsid w:val="00ED5B5C"/>
    <w:rsid w:val="00ED5BF3"/>
    <w:rsid w:val="00ED6467"/>
    <w:rsid w:val="00ED70BD"/>
    <w:rsid w:val="00ED7819"/>
    <w:rsid w:val="00EE0B3E"/>
    <w:rsid w:val="00EE0CCE"/>
    <w:rsid w:val="00EE1F81"/>
    <w:rsid w:val="00EE2698"/>
    <w:rsid w:val="00EE378B"/>
    <w:rsid w:val="00EE37BB"/>
    <w:rsid w:val="00EE524B"/>
    <w:rsid w:val="00EE53BF"/>
    <w:rsid w:val="00EE5659"/>
    <w:rsid w:val="00EE5F9F"/>
    <w:rsid w:val="00EE6B67"/>
    <w:rsid w:val="00EE6EBC"/>
    <w:rsid w:val="00EE6F05"/>
    <w:rsid w:val="00EF064B"/>
    <w:rsid w:val="00EF0DD1"/>
    <w:rsid w:val="00EF1851"/>
    <w:rsid w:val="00EF3FAC"/>
    <w:rsid w:val="00EF4099"/>
    <w:rsid w:val="00EF4758"/>
    <w:rsid w:val="00EF4DAD"/>
    <w:rsid w:val="00EF55CE"/>
    <w:rsid w:val="00EF6BDC"/>
    <w:rsid w:val="00F0002F"/>
    <w:rsid w:val="00F0043F"/>
    <w:rsid w:val="00F008CE"/>
    <w:rsid w:val="00F01C4C"/>
    <w:rsid w:val="00F0239D"/>
    <w:rsid w:val="00F0277D"/>
    <w:rsid w:val="00F02786"/>
    <w:rsid w:val="00F03034"/>
    <w:rsid w:val="00F03F75"/>
    <w:rsid w:val="00F0434F"/>
    <w:rsid w:val="00F04F14"/>
    <w:rsid w:val="00F06054"/>
    <w:rsid w:val="00F0670F"/>
    <w:rsid w:val="00F06AD8"/>
    <w:rsid w:val="00F06DFE"/>
    <w:rsid w:val="00F07FA6"/>
    <w:rsid w:val="00F10539"/>
    <w:rsid w:val="00F11BB3"/>
    <w:rsid w:val="00F11F6E"/>
    <w:rsid w:val="00F1204A"/>
    <w:rsid w:val="00F123B2"/>
    <w:rsid w:val="00F13036"/>
    <w:rsid w:val="00F137DF"/>
    <w:rsid w:val="00F139E9"/>
    <w:rsid w:val="00F14AA4"/>
    <w:rsid w:val="00F151D5"/>
    <w:rsid w:val="00F16295"/>
    <w:rsid w:val="00F17CF1"/>
    <w:rsid w:val="00F20183"/>
    <w:rsid w:val="00F21679"/>
    <w:rsid w:val="00F21D1A"/>
    <w:rsid w:val="00F22865"/>
    <w:rsid w:val="00F22FEC"/>
    <w:rsid w:val="00F2321B"/>
    <w:rsid w:val="00F23967"/>
    <w:rsid w:val="00F23DF6"/>
    <w:rsid w:val="00F2439E"/>
    <w:rsid w:val="00F24AE8"/>
    <w:rsid w:val="00F24D75"/>
    <w:rsid w:val="00F24F83"/>
    <w:rsid w:val="00F261E3"/>
    <w:rsid w:val="00F262B6"/>
    <w:rsid w:val="00F27335"/>
    <w:rsid w:val="00F2797C"/>
    <w:rsid w:val="00F314A7"/>
    <w:rsid w:val="00F33641"/>
    <w:rsid w:val="00F3464F"/>
    <w:rsid w:val="00F34B2F"/>
    <w:rsid w:val="00F34F33"/>
    <w:rsid w:val="00F3503D"/>
    <w:rsid w:val="00F35424"/>
    <w:rsid w:val="00F35C58"/>
    <w:rsid w:val="00F35E1C"/>
    <w:rsid w:val="00F3659B"/>
    <w:rsid w:val="00F36D1F"/>
    <w:rsid w:val="00F37379"/>
    <w:rsid w:val="00F3769E"/>
    <w:rsid w:val="00F37A7A"/>
    <w:rsid w:val="00F40F06"/>
    <w:rsid w:val="00F4181B"/>
    <w:rsid w:val="00F42418"/>
    <w:rsid w:val="00F42669"/>
    <w:rsid w:val="00F431A8"/>
    <w:rsid w:val="00F438D0"/>
    <w:rsid w:val="00F44B4F"/>
    <w:rsid w:val="00F452E9"/>
    <w:rsid w:val="00F45E02"/>
    <w:rsid w:val="00F4702E"/>
    <w:rsid w:val="00F4749B"/>
    <w:rsid w:val="00F5085D"/>
    <w:rsid w:val="00F514FB"/>
    <w:rsid w:val="00F5312C"/>
    <w:rsid w:val="00F534B6"/>
    <w:rsid w:val="00F54B69"/>
    <w:rsid w:val="00F56CE9"/>
    <w:rsid w:val="00F606D7"/>
    <w:rsid w:val="00F61151"/>
    <w:rsid w:val="00F61501"/>
    <w:rsid w:val="00F618F2"/>
    <w:rsid w:val="00F627A6"/>
    <w:rsid w:val="00F635D3"/>
    <w:rsid w:val="00F63BAC"/>
    <w:rsid w:val="00F64ECE"/>
    <w:rsid w:val="00F668C5"/>
    <w:rsid w:val="00F67B6E"/>
    <w:rsid w:val="00F70729"/>
    <w:rsid w:val="00F723BE"/>
    <w:rsid w:val="00F734D4"/>
    <w:rsid w:val="00F738D6"/>
    <w:rsid w:val="00F739F7"/>
    <w:rsid w:val="00F73D74"/>
    <w:rsid w:val="00F76357"/>
    <w:rsid w:val="00F766D5"/>
    <w:rsid w:val="00F77765"/>
    <w:rsid w:val="00F77EC3"/>
    <w:rsid w:val="00F811C1"/>
    <w:rsid w:val="00F81DC1"/>
    <w:rsid w:val="00F81DFB"/>
    <w:rsid w:val="00F831AA"/>
    <w:rsid w:val="00F8443B"/>
    <w:rsid w:val="00F84DDA"/>
    <w:rsid w:val="00F8528D"/>
    <w:rsid w:val="00F85E98"/>
    <w:rsid w:val="00F86C22"/>
    <w:rsid w:val="00F9305F"/>
    <w:rsid w:val="00F930B8"/>
    <w:rsid w:val="00F93FC0"/>
    <w:rsid w:val="00F959A7"/>
    <w:rsid w:val="00F95C0F"/>
    <w:rsid w:val="00F9641D"/>
    <w:rsid w:val="00F96899"/>
    <w:rsid w:val="00F97129"/>
    <w:rsid w:val="00FA0409"/>
    <w:rsid w:val="00FA13DA"/>
    <w:rsid w:val="00FA1B10"/>
    <w:rsid w:val="00FA211C"/>
    <w:rsid w:val="00FA3928"/>
    <w:rsid w:val="00FA3A0B"/>
    <w:rsid w:val="00FA4403"/>
    <w:rsid w:val="00FA4DF4"/>
    <w:rsid w:val="00FA56DA"/>
    <w:rsid w:val="00FA7486"/>
    <w:rsid w:val="00FA7774"/>
    <w:rsid w:val="00FA7C8B"/>
    <w:rsid w:val="00FA7EC9"/>
    <w:rsid w:val="00FB0249"/>
    <w:rsid w:val="00FB1EF1"/>
    <w:rsid w:val="00FB4E2E"/>
    <w:rsid w:val="00FB5B94"/>
    <w:rsid w:val="00FB793A"/>
    <w:rsid w:val="00FC0909"/>
    <w:rsid w:val="00FC0920"/>
    <w:rsid w:val="00FC1705"/>
    <w:rsid w:val="00FC19BF"/>
    <w:rsid w:val="00FC1FC8"/>
    <w:rsid w:val="00FC448F"/>
    <w:rsid w:val="00FC5BEF"/>
    <w:rsid w:val="00FC5D6D"/>
    <w:rsid w:val="00FC5E92"/>
    <w:rsid w:val="00FC636D"/>
    <w:rsid w:val="00FC70DC"/>
    <w:rsid w:val="00FC7883"/>
    <w:rsid w:val="00FD0759"/>
    <w:rsid w:val="00FD0C2F"/>
    <w:rsid w:val="00FD10AF"/>
    <w:rsid w:val="00FD1929"/>
    <w:rsid w:val="00FD1FD6"/>
    <w:rsid w:val="00FD21EA"/>
    <w:rsid w:val="00FD2C35"/>
    <w:rsid w:val="00FD3A69"/>
    <w:rsid w:val="00FD46EE"/>
    <w:rsid w:val="00FD47A3"/>
    <w:rsid w:val="00FD481F"/>
    <w:rsid w:val="00FD6657"/>
    <w:rsid w:val="00FD7C75"/>
    <w:rsid w:val="00FE030D"/>
    <w:rsid w:val="00FE045A"/>
    <w:rsid w:val="00FE1092"/>
    <w:rsid w:val="00FE1443"/>
    <w:rsid w:val="00FE17D3"/>
    <w:rsid w:val="00FE1E8E"/>
    <w:rsid w:val="00FE460E"/>
    <w:rsid w:val="00FE6C25"/>
    <w:rsid w:val="00FE7D4B"/>
    <w:rsid w:val="00FF032E"/>
    <w:rsid w:val="00FF0735"/>
    <w:rsid w:val="00FF1A54"/>
    <w:rsid w:val="00FF1B57"/>
    <w:rsid w:val="00FF1D3D"/>
    <w:rsid w:val="00FF2183"/>
    <w:rsid w:val="00FF558D"/>
    <w:rsid w:val="00FF6ADB"/>
    <w:rsid w:val="00FF7A5B"/>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46A9"/>
  <w15:docId w15:val="{18F2706E-4CB5-4371-A062-3109CF23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footnote text,Style 13,Style 12,Style 28,(NECG) Footnote Reference,Style 11,Style 9,Style 16,Style 15,o1,fr1,o2,fr2,o3,fr3"/>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FOOTNOTE"/>
    <w:basedOn w:val="Normal"/>
    <w:link w:val="FootnoteTextChar"/>
    <w:uiPriority w:val="99"/>
    <w:unhideWhenUsed/>
    <w:qFormat/>
    <w:rsid w:val="001B7DA2"/>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 w:type="paragraph" w:customStyle="1" w:styleId="Default">
    <w:name w:val="Default"/>
    <w:rsid w:val="009842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F76F4"/>
    <w:pPr>
      <w:ind w:left="720"/>
      <w:contextualSpacing/>
    </w:pPr>
  </w:style>
  <w:style w:type="character" w:customStyle="1" w:styleId="UnresolvedMention1">
    <w:name w:val="Unresolved Mention1"/>
    <w:basedOn w:val="DefaultParagraphFont"/>
    <w:uiPriority w:val="99"/>
    <w:semiHidden/>
    <w:unhideWhenUsed/>
    <w:rsid w:val="0063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896941521">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9" ma:contentTypeDescription="Create a new document." ma:contentTypeScope="" ma:versionID="3bf305fb2195ff9ee6481db631051078">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254da9b04d5e5c87337f16cda3790b6a"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D85F-7C74-4C06-A74D-A0511D8B3D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265AE-5005-4F93-A6C3-D4DAD31E1AE5}">
  <ds:schemaRefs>
    <ds:schemaRef ds:uri="http://schemas.microsoft.com/sharepoint/v3/contenttype/forms"/>
  </ds:schemaRefs>
</ds:datastoreItem>
</file>

<file path=customXml/itemProps3.xml><?xml version="1.0" encoding="utf-8"?>
<ds:datastoreItem xmlns:ds="http://schemas.openxmlformats.org/officeDocument/2006/customXml" ds:itemID="{67298851-D5B0-4D8B-B0EE-4EEDCAC4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7056-307F-4DB0-9FD3-0C661EDE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Sheffer, Ryan</cp:lastModifiedBy>
  <cp:revision>8</cp:revision>
  <cp:lastPrinted>2020-02-19T15:29:00Z</cp:lastPrinted>
  <dcterms:created xsi:type="dcterms:W3CDTF">2020-03-17T13:24:00Z</dcterms:created>
  <dcterms:modified xsi:type="dcterms:W3CDTF">2020-03-26T16:40:00Z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