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F1874" w14:textId="77777777" w:rsidR="006D33B5" w:rsidRPr="00BC1056" w:rsidRDefault="006D33B5" w:rsidP="00E22703">
      <w:pPr>
        <w:jc w:val="center"/>
        <w:rPr>
          <w:b/>
          <w:bCs/>
        </w:rPr>
      </w:pPr>
      <w:bookmarkStart w:id="0" w:name="_GoBack"/>
      <w:bookmarkEnd w:id="0"/>
      <w:r w:rsidRPr="00BC1056">
        <w:rPr>
          <w:b/>
          <w:bCs/>
        </w:rPr>
        <w:t>BEFORE THE</w:t>
      </w:r>
    </w:p>
    <w:p w14:paraId="4269D4BC" w14:textId="77777777" w:rsidR="006D33B5" w:rsidRPr="00BC1056" w:rsidRDefault="006D33B5" w:rsidP="00E22703">
      <w:pPr>
        <w:jc w:val="center"/>
        <w:rPr>
          <w:b/>
          <w:bCs/>
        </w:rPr>
      </w:pPr>
      <w:r w:rsidRPr="00BC1056">
        <w:rPr>
          <w:b/>
          <w:bCs/>
        </w:rPr>
        <w:t>PENNSYLVANIA PUBLIC UTILITY COMMISSION</w:t>
      </w:r>
    </w:p>
    <w:p w14:paraId="71130BC8" w14:textId="77777777" w:rsidR="00E22703" w:rsidRPr="00BC1056" w:rsidRDefault="00E22703" w:rsidP="00555AB2">
      <w:pPr>
        <w:rPr>
          <w:bCs/>
        </w:rPr>
      </w:pPr>
    </w:p>
    <w:p w14:paraId="02B7EF8C" w14:textId="77777777" w:rsidR="00E22703" w:rsidRPr="00BC1056" w:rsidRDefault="00E22703" w:rsidP="00555AB2">
      <w:pPr>
        <w:rPr>
          <w:bCs/>
        </w:rPr>
      </w:pPr>
    </w:p>
    <w:p w14:paraId="656D72F2" w14:textId="77777777" w:rsidR="00E22703" w:rsidRPr="00BC1056" w:rsidRDefault="00E22703" w:rsidP="00555AB2">
      <w:pPr>
        <w:rPr>
          <w:bCs/>
        </w:rPr>
      </w:pPr>
    </w:p>
    <w:p w14:paraId="759B2169" w14:textId="2E848801" w:rsidR="00F07B7D" w:rsidRPr="00BC1056" w:rsidRDefault="00210131">
      <w:r w:rsidRPr="00BC1056">
        <w:t xml:space="preserve"> Petition o</w:t>
      </w:r>
      <w:r w:rsidR="00F07B7D" w:rsidRPr="00BC1056">
        <w:t xml:space="preserve">f PPL Electric Utilities Corporation for </w:t>
      </w:r>
      <w:r w:rsidR="00F07B7D" w:rsidRPr="00BC1056">
        <w:tab/>
        <w:t>:</w:t>
      </w:r>
    </w:p>
    <w:p w14:paraId="606EA895" w14:textId="4D81DB15" w:rsidR="00F07B7D" w:rsidRPr="00BC1056" w:rsidRDefault="00F07B7D">
      <w:r w:rsidRPr="00BC1056">
        <w:t>Approval of Its Default Service Plan for the Period</w:t>
      </w:r>
      <w:r w:rsidRPr="00BC1056">
        <w:tab/>
        <w:t>:</w:t>
      </w:r>
      <w:r w:rsidRPr="00BC1056">
        <w:tab/>
        <w:t>P-2020-3019356</w:t>
      </w:r>
    </w:p>
    <w:p w14:paraId="14FDD9D6" w14:textId="1F472718" w:rsidR="00506F36" w:rsidRPr="00BC1056" w:rsidRDefault="00F07B7D">
      <w:r w:rsidRPr="00BC1056">
        <w:t>From June 1, 2021 through May 31, 2025</w:t>
      </w:r>
      <w:r w:rsidRPr="00BC1056">
        <w:tab/>
      </w:r>
      <w:r w:rsidRPr="00BC1056">
        <w:tab/>
        <w:t>:</w:t>
      </w:r>
    </w:p>
    <w:p w14:paraId="699AB245" w14:textId="77777777" w:rsidR="00E22703" w:rsidRPr="00BC1056" w:rsidRDefault="00E22703"/>
    <w:p w14:paraId="05C77437" w14:textId="77777777" w:rsidR="00DC3D67" w:rsidRPr="00BC1056" w:rsidRDefault="00DC3D67" w:rsidP="00922597">
      <w:pPr>
        <w:tabs>
          <w:tab w:val="center" w:pos="4680"/>
        </w:tabs>
        <w:suppressAutoHyphens/>
        <w:jc w:val="center"/>
        <w:rPr>
          <w:b/>
          <w:spacing w:val="-3"/>
          <w:u w:val="single"/>
        </w:rPr>
      </w:pPr>
    </w:p>
    <w:p w14:paraId="6EB5DE80" w14:textId="33455480" w:rsidR="00922597" w:rsidRPr="00BC1056" w:rsidRDefault="00E21F02" w:rsidP="00922597">
      <w:pPr>
        <w:tabs>
          <w:tab w:val="center" w:pos="4680"/>
        </w:tabs>
        <w:suppressAutoHyphens/>
        <w:jc w:val="center"/>
        <w:rPr>
          <w:b/>
          <w:spacing w:val="-3"/>
          <w:u w:val="single"/>
        </w:rPr>
      </w:pPr>
      <w:r w:rsidRPr="00BC1056">
        <w:rPr>
          <w:b/>
          <w:spacing w:val="-3"/>
          <w:u w:val="single"/>
        </w:rPr>
        <w:t>PREHEARING CONFERENCE ORDER</w:t>
      </w:r>
      <w:r w:rsidR="00CE701C" w:rsidRPr="00BC1056">
        <w:rPr>
          <w:b/>
          <w:spacing w:val="-3"/>
          <w:u w:val="single"/>
        </w:rPr>
        <w:t xml:space="preserve"> </w:t>
      </w:r>
    </w:p>
    <w:p w14:paraId="5225C1BF" w14:textId="77777777" w:rsidR="007B76C4" w:rsidRPr="00BC1056" w:rsidRDefault="007B76C4" w:rsidP="00922597">
      <w:pPr>
        <w:tabs>
          <w:tab w:val="center" w:pos="4680"/>
        </w:tabs>
        <w:suppressAutoHyphens/>
        <w:jc w:val="center"/>
        <w:rPr>
          <w:b/>
          <w:spacing w:val="-3"/>
          <w:u w:val="single"/>
        </w:rPr>
      </w:pPr>
    </w:p>
    <w:p w14:paraId="0D868FEF" w14:textId="77777777" w:rsidR="007B76C4" w:rsidRPr="00BC1056" w:rsidRDefault="007B76C4" w:rsidP="00922597">
      <w:pPr>
        <w:tabs>
          <w:tab w:val="center" w:pos="4680"/>
        </w:tabs>
        <w:suppressAutoHyphens/>
        <w:jc w:val="center"/>
        <w:rPr>
          <w:spacing w:val="-3"/>
        </w:rPr>
      </w:pPr>
    </w:p>
    <w:p w14:paraId="7E4C8B9A" w14:textId="15AD7775" w:rsidR="00210131" w:rsidRPr="00BC1056" w:rsidRDefault="00C5657B">
      <w:pPr>
        <w:spacing w:line="360" w:lineRule="auto"/>
        <w:ind w:firstLine="1440"/>
      </w:pPr>
      <w:r w:rsidRPr="00BC1056">
        <w:t xml:space="preserve">On </w:t>
      </w:r>
      <w:r w:rsidR="00F07B7D" w:rsidRPr="00BC1056">
        <w:t>March 25, 2020</w:t>
      </w:r>
      <w:r w:rsidRPr="00BC1056">
        <w:t>,</w:t>
      </w:r>
      <w:r w:rsidR="00F07B7D" w:rsidRPr="00BC1056">
        <w:t xml:space="preserve"> PPL Electric Utilities Corporation (PPL</w:t>
      </w:r>
      <w:r w:rsidR="00210131" w:rsidRPr="00BC1056">
        <w:t xml:space="preserve">) filed a Petition for Approval of </w:t>
      </w:r>
      <w:r w:rsidR="00F07B7D" w:rsidRPr="00BC1056">
        <w:t>its</w:t>
      </w:r>
      <w:r w:rsidR="00210131" w:rsidRPr="00BC1056">
        <w:t xml:space="preserve"> Default Service Plan at Docket No. P-20</w:t>
      </w:r>
      <w:r w:rsidR="00F07B7D" w:rsidRPr="00BC1056">
        <w:t>20-3019356.  Th</w:t>
      </w:r>
      <w:r w:rsidR="00210131" w:rsidRPr="00BC1056">
        <w:t>e Petition was filed pursuant to Section 2807(e) of the Public Utility Code.</w:t>
      </w:r>
    </w:p>
    <w:p w14:paraId="59949399" w14:textId="77777777" w:rsidR="00210131" w:rsidRPr="00BC1056" w:rsidRDefault="00210131">
      <w:pPr>
        <w:spacing w:line="360" w:lineRule="auto"/>
        <w:ind w:firstLine="1440"/>
      </w:pPr>
    </w:p>
    <w:p w14:paraId="33EF29C7" w14:textId="0AC4AAEF" w:rsidR="00C5657B" w:rsidRPr="00BC1056" w:rsidRDefault="00210131" w:rsidP="005575D1">
      <w:pPr>
        <w:spacing w:line="360" w:lineRule="auto"/>
        <w:ind w:firstLine="1440"/>
      </w:pPr>
      <w:r w:rsidRPr="00BC1056">
        <w:t xml:space="preserve">The Petition </w:t>
      </w:r>
      <w:r w:rsidR="005575D1" w:rsidRPr="00BC1056">
        <w:t>is expected to be</w:t>
      </w:r>
      <w:r w:rsidRPr="00BC1056">
        <w:t xml:space="preserve"> published in the </w:t>
      </w:r>
      <w:r w:rsidRPr="00BC1056">
        <w:rPr>
          <w:i/>
        </w:rPr>
        <w:t>Pennsylvania Bulletin</w:t>
      </w:r>
      <w:r w:rsidRPr="00BC1056">
        <w:t xml:space="preserve"> on </w:t>
      </w:r>
      <w:r w:rsidR="00F07B7D" w:rsidRPr="00BC1056">
        <w:t>April 18, 2020</w:t>
      </w:r>
      <w:r w:rsidRPr="00BC1056">
        <w:t xml:space="preserve">, with an Answer/Protest date of </w:t>
      </w:r>
      <w:r w:rsidR="00F07B7D" w:rsidRPr="00BC1056">
        <w:t>May 8, 2020</w:t>
      </w:r>
      <w:r w:rsidR="005575D1" w:rsidRPr="00BC1056">
        <w:t>.</w:t>
      </w:r>
    </w:p>
    <w:p w14:paraId="79227EEC" w14:textId="77777777" w:rsidR="005575D1" w:rsidRPr="00BC1056" w:rsidRDefault="005575D1" w:rsidP="005575D1">
      <w:pPr>
        <w:spacing w:line="360" w:lineRule="auto"/>
        <w:ind w:firstLine="1440"/>
      </w:pPr>
    </w:p>
    <w:p w14:paraId="726F1001" w14:textId="09CDD184" w:rsidR="00DC3D67" w:rsidRPr="00BC1056" w:rsidRDefault="00EA6647" w:rsidP="00DC3D67">
      <w:pPr>
        <w:spacing w:line="360" w:lineRule="auto"/>
        <w:ind w:firstLine="1440"/>
      </w:pPr>
      <w:r w:rsidRPr="00BC1056">
        <w:t xml:space="preserve">Currently, the Pennsylvania Public Utility Commission is following the Governor’s Emergency Order with respect to the COVID-19 pandemic.  The Commission’s offices are </w:t>
      </w:r>
      <w:r w:rsidR="00A63DB0" w:rsidRPr="00BC1056">
        <w:t>closed,</w:t>
      </w:r>
      <w:r w:rsidRPr="00BC1056">
        <w:t xml:space="preserve"> and the presiding officer and the Secretary’s Bureau are teleworking until the emergency is lifted.  As a result, the Commission cannot access either incoming or outgoing regular mail delivery.  </w:t>
      </w:r>
      <w:r w:rsidR="00DC3D67" w:rsidRPr="00BC1056">
        <w:t xml:space="preserve">In accordance with the provisions of 66 Pa. C.S. A. §333 and 52 </w:t>
      </w:r>
      <w:proofErr w:type="gramStart"/>
      <w:r w:rsidR="00DC3D67" w:rsidRPr="00BC1056">
        <w:t>Pa.Code</w:t>
      </w:r>
      <w:proofErr w:type="gramEnd"/>
      <w:r w:rsidR="00DC3D67" w:rsidRPr="00BC1056">
        <w:t xml:space="preserve"> §§ 5.221 – 5.223, a Telephonic Initial Prehearing Conference has been scheduled in the above-captioned case.</w:t>
      </w:r>
    </w:p>
    <w:p w14:paraId="00ECEB86" w14:textId="29C5FDE9" w:rsidR="00EA6647" w:rsidRPr="00BC1056" w:rsidRDefault="00EA6647" w:rsidP="00EA6647">
      <w:pPr>
        <w:spacing w:line="360" w:lineRule="auto"/>
        <w:ind w:firstLine="1440"/>
      </w:pPr>
    </w:p>
    <w:p w14:paraId="4AD55FDD" w14:textId="77777777" w:rsidR="006D33B5" w:rsidRPr="00BC1056" w:rsidRDefault="006D33B5">
      <w:pPr>
        <w:spacing w:line="360" w:lineRule="auto"/>
        <w:ind w:firstLine="1440"/>
        <w:rPr>
          <w:bCs/>
        </w:rPr>
      </w:pPr>
      <w:r w:rsidRPr="00BC1056">
        <w:rPr>
          <w:bCs/>
        </w:rPr>
        <w:t>THEREFORE,</w:t>
      </w:r>
    </w:p>
    <w:p w14:paraId="76CB74AD" w14:textId="77777777" w:rsidR="006D33B5" w:rsidRPr="00BC1056" w:rsidRDefault="006D33B5">
      <w:pPr>
        <w:spacing w:line="360" w:lineRule="auto"/>
        <w:ind w:firstLine="1440"/>
      </w:pPr>
    </w:p>
    <w:p w14:paraId="7648176A" w14:textId="77777777" w:rsidR="0013770C" w:rsidRPr="00BC1056" w:rsidRDefault="006D33B5" w:rsidP="0013770C">
      <w:pPr>
        <w:spacing w:line="360" w:lineRule="auto"/>
        <w:ind w:firstLine="1440"/>
        <w:rPr>
          <w:bCs/>
        </w:rPr>
      </w:pPr>
      <w:r w:rsidRPr="00BC1056">
        <w:rPr>
          <w:bCs/>
        </w:rPr>
        <w:t>IT IS ORDERED:</w:t>
      </w:r>
    </w:p>
    <w:p w14:paraId="46B74667" w14:textId="77777777" w:rsidR="0013770C" w:rsidRPr="00BC1056" w:rsidRDefault="0013770C" w:rsidP="0013770C">
      <w:pPr>
        <w:spacing w:line="360" w:lineRule="auto"/>
        <w:ind w:firstLine="1440"/>
        <w:rPr>
          <w:bCs/>
        </w:rPr>
      </w:pPr>
    </w:p>
    <w:p w14:paraId="0014B1DE" w14:textId="0CB15CBE" w:rsidR="00B428B5" w:rsidRPr="00BC1056" w:rsidRDefault="00B428B5" w:rsidP="008A7776">
      <w:pPr>
        <w:numPr>
          <w:ilvl w:val="0"/>
          <w:numId w:val="4"/>
        </w:numPr>
        <w:spacing w:line="360" w:lineRule="auto"/>
        <w:ind w:left="0" w:firstLine="1440"/>
        <w:rPr>
          <w:bCs/>
        </w:rPr>
      </w:pPr>
      <w:r w:rsidRPr="00BC1056">
        <w:t xml:space="preserve">That </w:t>
      </w:r>
      <w:r w:rsidR="005F5D43" w:rsidRPr="00BC1056">
        <w:t xml:space="preserve">an Initial Prehearing Conference shall be held </w:t>
      </w:r>
      <w:r w:rsidR="00F07B7D" w:rsidRPr="00BC1056">
        <w:t xml:space="preserve">telephonically </w:t>
      </w:r>
      <w:r w:rsidR="005F5D43" w:rsidRPr="00BC1056">
        <w:t xml:space="preserve">at 10:00 a.m. on </w:t>
      </w:r>
      <w:r w:rsidR="00F07B7D" w:rsidRPr="00BC1056">
        <w:t>Friday, May 15</w:t>
      </w:r>
      <w:r w:rsidR="00A33DC1" w:rsidRPr="00BC1056">
        <w:t>, 20</w:t>
      </w:r>
      <w:r w:rsidR="00F07B7D" w:rsidRPr="00BC1056">
        <w:t>20</w:t>
      </w:r>
      <w:r w:rsidR="005F5D43" w:rsidRPr="00BC1056">
        <w:t>.</w:t>
      </w:r>
      <w:r w:rsidR="00DC3D67" w:rsidRPr="00BC1056">
        <w:t xml:space="preserve">  The toll-free number to call-in is 877-931-1680, Passcode #55872942.</w:t>
      </w:r>
    </w:p>
    <w:p w14:paraId="31D46192" w14:textId="00D8FA29" w:rsidR="005F5D43" w:rsidRPr="00BC1056" w:rsidRDefault="005F5D43" w:rsidP="008A7776">
      <w:pPr>
        <w:numPr>
          <w:ilvl w:val="0"/>
          <w:numId w:val="4"/>
        </w:numPr>
        <w:spacing w:line="360" w:lineRule="auto"/>
        <w:ind w:left="0" w:firstLine="1440"/>
        <w:rPr>
          <w:bCs/>
        </w:rPr>
      </w:pPr>
      <w:r w:rsidRPr="00BC1056">
        <w:lastRenderedPageBreak/>
        <w:t>That absent a continuance for good cause, all parties must be prepared to participate in the scheduled prehearing conference.  Failure of a party to participate in the conference, without good ca</w:t>
      </w:r>
      <w:r w:rsidR="00F07B7D" w:rsidRPr="00BC1056">
        <w:t>u</w:t>
      </w:r>
      <w:r w:rsidRPr="00BC1056">
        <w:t>se shown, shall constitute a waiver of all objections to the agreements reached and an order or ruling with respect thereto.</w:t>
      </w:r>
    </w:p>
    <w:p w14:paraId="3BAFDEED" w14:textId="77777777" w:rsidR="00D7167B" w:rsidRPr="00BC1056" w:rsidRDefault="00D7167B" w:rsidP="00D7167B">
      <w:pPr>
        <w:spacing w:line="360" w:lineRule="auto"/>
        <w:ind w:left="1440"/>
        <w:rPr>
          <w:bCs/>
        </w:rPr>
      </w:pPr>
    </w:p>
    <w:p w14:paraId="65080F79" w14:textId="77777777" w:rsidR="005F5D43" w:rsidRPr="00BC1056" w:rsidRDefault="005F5D43" w:rsidP="008A7776">
      <w:pPr>
        <w:numPr>
          <w:ilvl w:val="0"/>
          <w:numId w:val="4"/>
        </w:numPr>
        <w:spacing w:line="360" w:lineRule="auto"/>
        <w:ind w:left="0" w:firstLine="1440"/>
        <w:rPr>
          <w:bCs/>
        </w:rPr>
      </w:pPr>
      <w:r w:rsidRPr="00BC1056">
        <w:t>That all parties shall review</w:t>
      </w:r>
      <w:r w:rsidR="006F0FF6" w:rsidRPr="00BC1056">
        <w:t xml:space="preserve">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14:paraId="01468BF3" w14:textId="77777777" w:rsidR="00D7167B" w:rsidRPr="00BC1056" w:rsidRDefault="00D7167B" w:rsidP="00D7167B">
      <w:pPr>
        <w:spacing w:line="360" w:lineRule="auto"/>
        <w:ind w:left="1440"/>
        <w:rPr>
          <w:bCs/>
        </w:rPr>
      </w:pPr>
    </w:p>
    <w:p w14:paraId="0A73877A" w14:textId="77777777" w:rsidR="00A07A16" w:rsidRPr="00BC1056" w:rsidRDefault="006F0FF6" w:rsidP="008A7776">
      <w:pPr>
        <w:numPr>
          <w:ilvl w:val="0"/>
          <w:numId w:val="4"/>
        </w:numPr>
        <w:spacing w:line="360" w:lineRule="auto"/>
        <w:ind w:left="0" w:firstLine="1440"/>
        <w:rPr>
          <w:bCs/>
        </w:rPr>
      </w:pPr>
      <w:r w:rsidRPr="00BC1056">
        <w:t xml:space="preserve">That pursuant to 52 Pa. Code §§1.21 – 1.23, you may represent yourself, if you are an individual, or you may have an attorney licensed to practice law in the Commonwealth of Pennsylvania, or admitted </w:t>
      </w:r>
      <w:r w:rsidRPr="00BC1056">
        <w:rPr>
          <w:i/>
        </w:rPr>
        <w:t xml:space="preserve">pro </w:t>
      </w:r>
      <w:proofErr w:type="spellStart"/>
      <w:r w:rsidRPr="00BC1056">
        <w:rPr>
          <w:i/>
        </w:rPr>
        <w:t>hac</w:t>
      </w:r>
      <w:proofErr w:type="spellEnd"/>
      <w:r w:rsidRPr="00BC1056">
        <w:rPr>
          <w:i/>
        </w:rPr>
        <w:t xml:space="preserve"> vice</w:t>
      </w:r>
      <w:r w:rsidRPr="00BC1056">
        <w:t>, represent you.  However, if you are a partnership, corporation, trust, association, or governmental agency or subdivision, you must have an attorney licensed to practice l</w:t>
      </w:r>
      <w:r w:rsidR="00A07A16" w:rsidRPr="00BC1056">
        <w:t xml:space="preserve">aw in the Commonwealth of Pennsylvania, or admitted </w:t>
      </w:r>
      <w:r w:rsidR="00A07A16" w:rsidRPr="00BC1056">
        <w:rPr>
          <w:i/>
        </w:rPr>
        <w:t xml:space="preserve">pro </w:t>
      </w:r>
      <w:proofErr w:type="spellStart"/>
      <w:r w:rsidR="00A07A16" w:rsidRPr="00BC1056">
        <w:rPr>
          <w:i/>
        </w:rPr>
        <w:t>hac</w:t>
      </w:r>
      <w:proofErr w:type="spellEnd"/>
      <w:r w:rsidR="00A07A16" w:rsidRPr="00BC1056">
        <w:rPr>
          <w:i/>
        </w:rPr>
        <w:t xml:space="preserve"> vice</w:t>
      </w:r>
      <w:r w:rsidR="00A07A16" w:rsidRPr="00BC1056">
        <w:t xml:space="preserve">, represent you in this proceeding.  Unless you are an attorney, you may not represent someone else.  Attorneys shall insure that their appearance is entered in accordance with the provisions of 52 </w:t>
      </w:r>
      <w:proofErr w:type="gramStart"/>
      <w:r w:rsidR="00A07A16" w:rsidRPr="00BC1056">
        <w:t>Pa.Code</w:t>
      </w:r>
      <w:proofErr w:type="gramEnd"/>
      <w:r w:rsidR="00A07A16" w:rsidRPr="00BC1056">
        <w:t xml:space="preserve"> § 1.24(b).</w:t>
      </w:r>
    </w:p>
    <w:p w14:paraId="0D210E85" w14:textId="77777777" w:rsidR="00D7167B" w:rsidRPr="00BC1056" w:rsidRDefault="00D7167B" w:rsidP="00D7167B">
      <w:pPr>
        <w:spacing w:line="360" w:lineRule="auto"/>
        <w:ind w:left="1440"/>
        <w:rPr>
          <w:bCs/>
        </w:rPr>
      </w:pPr>
    </w:p>
    <w:p w14:paraId="16D3E0E2" w14:textId="3F5AE610" w:rsidR="00DC3D67" w:rsidRPr="00BC1056" w:rsidRDefault="00EA6647" w:rsidP="00DC3D67">
      <w:pPr>
        <w:pStyle w:val="ListParagraph"/>
        <w:numPr>
          <w:ilvl w:val="0"/>
          <w:numId w:val="4"/>
        </w:numPr>
        <w:spacing w:line="360" w:lineRule="auto"/>
        <w:ind w:left="0" w:firstLine="1440"/>
        <w:contextualSpacing/>
      </w:pPr>
      <w:r w:rsidRPr="00BC1056">
        <w:t xml:space="preserve">That all parties are required to </w:t>
      </w:r>
      <w:r w:rsidR="00DC3D67" w:rsidRPr="00BC1056">
        <w:t>have</w:t>
      </w:r>
      <w:r w:rsidRPr="00BC1056">
        <w:t xml:space="preserve"> </w:t>
      </w:r>
      <w:r w:rsidR="00DC3D67" w:rsidRPr="00BC1056">
        <w:t xml:space="preserve">an </w:t>
      </w:r>
      <w:r w:rsidRPr="00BC1056">
        <w:t xml:space="preserve">e-filing account, </w:t>
      </w:r>
      <w:r w:rsidR="00DC3D67" w:rsidRPr="00BC1056">
        <w:t xml:space="preserve">to </w:t>
      </w:r>
      <w:r w:rsidRPr="00BC1056">
        <w:t xml:space="preserve">sign up for e-service online, and to accept service from the Commission electronically until further notice. </w:t>
      </w:r>
    </w:p>
    <w:p w14:paraId="5966EE21" w14:textId="77777777" w:rsidR="00DC3D67" w:rsidRPr="00BC1056" w:rsidRDefault="00DC3D67" w:rsidP="00DC3D67">
      <w:pPr>
        <w:pStyle w:val="ListParagraph"/>
        <w:spacing w:line="360" w:lineRule="auto"/>
        <w:ind w:left="0" w:firstLine="1440"/>
        <w:contextualSpacing/>
      </w:pPr>
    </w:p>
    <w:p w14:paraId="7630E609" w14:textId="1C7A3AFF" w:rsidR="00EA6647" w:rsidRPr="00BC1056" w:rsidRDefault="00DC3D67" w:rsidP="00DC3D67">
      <w:pPr>
        <w:pStyle w:val="ListParagraph"/>
        <w:numPr>
          <w:ilvl w:val="0"/>
          <w:numId w:val="4"/>
        </w:numPr>
        <w:spacing w:line="360" w:lineRule="auto"/>
        <w:ind w:left="0" w:firstLine="1440"/>
        <w:contextualSpacing/>
      </w:pPr>
      <w:r w:rsidRPr="00BC1056">
        <w:t>That</w:t>
      </w:r>
      <w:r w:rsidR="00EA6647" w:rsidRPr="00BC1056">
        <w:t xml:space="preserve"> all Parties are required to provide an email address </w:t>
      </w:r>
      <w:r w:rsidRPr="00BC1056">
        <w:t xml:space="preserve">to the Presiding Officer </w:t>
      </w:r>
      <w:r w:rsidR="00EA6647" w:rsidRPr="00BC1056">
        <w:t xml:space="preserve">as part of their contact information. </w:t>
      </w:r>
    </w:p>
    <w:p w14:paraId="7CF03D02" w14:textId="77777777" w:rsidR="00EA6647" w:rsidRPr="00BC1056" w:rsidRDefault="00EA6647" w:rsidP="00DC3D67">
      <w:pPr>
        <w:spacing w:line="360" w:lineRule="auto"/>
        <w:ind w:firstLine="1440"/>
        <w:contextualSpacing/>
      </w:pPr>
    </w:p>
    <w:p w14:paraId="4836AFF6" w14:textId="01F55FCB" w:rsidR="00A74AF3" w:rsidRPr="00BC1056" w:rsidRDefault="00A07A16" w:rsidP="00DC3D67">
      <w:pPr>
        <w:numPr>
          <w:ilvl w:val="0"/>
          <w:numId w:val="4"/>
        </w:numPr>
        <w:spacing w:line="360" w:lineRule="auto"/>
        <w:ind w:left="0" w:firstLine="1440"/>
        <w:contextualSpacing/>
        <w:rPr>
          <w:bCs/>
        </w:rPr>
      </w:pPr>
      <w:r w:rsidRPr="00BC1056">
        <w:t xml:space="preserve">That </w:t>
      </w:r>
      <w:r w:rsidR="00DC3D67" w:rsidRPr="00BC1056">
        <w:t>all Parties</w:t>
      </w:r>
      <w:r w:rsidRPr="00BC1056">
        <w:t xml:space="preserve"> must serve </w:t>
      </w:r>
      <w:r w:rsidR="00DC3D67" w:rsidRPr="00BC1056">
        <w:t>the Presiding Officer</w:t>
      </w:r>
      <w:r w:rsidRPr="00BC1056">
        <w:t xml:space="preserve"> directly with a</w:t>
      </w:r>
      <w:r w:rsidR="00DC3D67" w:rsidRPr="00BC1056">
        <w:t>n electronic</w:t>
      </w:r>
      <w:r w:rsidRPr="00BC1056">
        <w:t xml:space="preserve"> copy of any document</w:t>
      </w:r>
      <w:r w:rsidR="00A74AF3" w:rsidRPr="00BC1056">
        <w:t xml:space="preserve"> that </w:t>
      </w:r>
      <w:r w:rsidR="00DC3D67" w:rsidRPr="00BC1056">
        <w:t xml:space="preserve">is </w:t>
      </w:r>
      <w:r w:rsidR="00A74AF3" w:rsidRPr="00BC1056">
        <w:t>file</w:t>
      </w:r>
      <w:r w:rsidR="00DC3D67" w:rsidRPr="00BC1056">
        <w:t>d</w:t>
      </w:r>
      <w:r w:rsidR="00A74AF3" w:rsidRPr="00BC1056">
        <w:t xml:space="preserve"> in this proceeding.  If you send </w:t>
      </w:r>
      <w:r w:rsidR="00EB55EF" w:rsidRPr="00BC1056">
        <w:t>me</w:t>
      </w:r>
      <w:r w:rsidR="00A74AF3" w:rsidRPr="00BC1056">
        <w:t xml:space="preserve"> any correspondence or document, you must send a copy to all other parties.  For your convenience, a copy of the Commission’s current service list of the parties to this proceeding is enclosed with this Order. </w:t>
      </w:r>
    </w:p>
    <w:p w14:paraId="750955EE" w14:textId="77777777" w:rsidR="00D7167B" w:rsidRPr="00BC1056" w:rsidRDefault="00D7167B" w:rsidP="00D7167B">
      <w:pPr>
        <w:spacing w:line="360" w:lineRule="auto"/>
        <w:ind w:left="1440"/>
        <w:rPr>
          <w:bCs/>
        </w:rPr>
      </w:pPr>
    </w:p>
    <w:p w14:paraId="023280A7" w14:textId="77777777" w:rsidR="00A74AF3" w:rsidRPr="00BC1056" w:rsidRDefault="00A74AF3" w:rsidP="008A7776">
      <w:pPr>
        <w:numPr>
          <w:ilvl w:val="0"/>
          <w:numId w:val="4"/>
        </w:numPr>
        <w:spacing w:line="360" w:lineRule="auto"/>
        <w:ind w:left="0" w:firstLine="1440"/>
        <w:rPr>
          <w:bCs/>
        </w:rPr>
      </w:pPr>
      <w:r w:rsidRPr="00BC1056">
        <w:t xml:space="preserve">That the parties shall review the regulation pertaining to prehearing conferences, 52 Pa. Code § 5.222, </w:t>
      </w:r>
      <w:proofErr w:type="gramStart"/>
      <w:r w:rsidRPr="00BC1056">
        <w:t>and in particular, subsection</w:t>
      </w:r>
      <w:proofErr w:type="gramEnd"/>
      <w:r w:rsidRPr="00BC1056">
        <w:t xml:space="preserve"> (d) which provides, in part:</w:t>
      </w:r>
    </w:p>
    <w:p w14:paraId="667E3D70" w14:textId="77777777" w:rsidR="00A74AF3" w:rsidRPr="00BC1056" w:rsidRDefault="00A74AF3" w:rsidP="00BC1056">
      <w:pPr>
        <w:spacing w:line="360" w:lineRule="auto"/>
        <w:ind w:left="720" w:right="720"/>
      </w:pPr>
      <w:r w:rsidRPr="00BC1056">
        <w:t>(d)</w:t>
      </w:r>
      <w:r w:rsidRPr="00BC1056">
        <w:tab/>
        <w:t>Parties and counsel will be expected to attend the conference fully prepared for useful discussion of all problems involved in the proceeding, both procedural and substantive, and fully authorized to make commitments with respect thereto.</w:t>
      </w:r>
    </w:p>
    <w:p w14:paraId="0E92CF1F" w14:textId="7388A86F" w:rsidR="00B428B5" w:rsidRPr="00BC1056" w:rsidRDefault="00B428B5" w:rsidP="00D7167B">
      <w:pPr>
        <w:spacing w:line="360" w:lineRule="auto"/>
        <w:rPr>
          <w:bCs/>
        </w:rPr>
      </w:pPr>
    </w:p>
    <w:p w14:paraId="3120878B" w14:textId="77777777" w:rsidR="00A74AF3" w:rsidRPr="00BC1056" w:rsidRDefault="00A74AF3" w:rsidP="008A7776">
      <w:pPr>
        <w:numPr>
          <w:ilvl w:val="0"/>
          <w:numId w:val="4"/>
        </w:numPr>
        <w:spacing w:line="360" w:lineRule="auto"/>
        <w:ind w:left="0" w:firstLine="1440"/>
        <w:rPr>
          <w:bCs/>
        </w:rPr>
      </w:pPr>
      <w:r w:rsidRPr="00BC1056">
        <w:t xml:space="preserve">That </w:t>
      </w:r>
      <w:proofErr w:type="gramStart"/>
      <w:r w:rsidRPr="00BC1056">
        <w:t>all of</w:t>
      </w:r>
      <w:proofErr w:type="gramEnd"/>
      <w:r w:rsidRPr="00BC1056">
        <w:t xml:space="preserve"> the following matters shall be considered at the prehearing conference:</w:t>
      </w:r>
    </w:p>
    <w:p w14:paraId="4328A364" w14:textId="77777777" w:rsidR="006E3B8A" w:rsidRPr="00BC1056" w:rsidRDefault="006E3B8A" w:rsidP="005575D1">
      <w:pPr>
        <w:pStyle w:val="ListParagraph"/>
        <w:numPr>
          <w:ilvl w:val="0"/>
          <w:numId w:val="7"/>
        </w:numPr>
        <w:spacing w:line="360" w:lineRule="auto"/>
      </w:pPr>
      <w:r w:rsidRPr="00BC1056">
        <w:t>The possibility for settlement of the proceeding, subject to the Commission’s approval.</w:t>
      </w:r>
    </w:p>
    <w:p w14:paraId="091112F1" w14:textId="77777777" w:rsidR="006E3B8A" w:rsidRPr="00BC1056" w:rsidRDefault="006E3B8A" w:rsidP="006E3B8A">
      <w:pPr>
        <w:spacing w:line="360" w:lineRule="auto"/>
        <w:ind w:left="1800"/>
      </w:pPr>
      <w:r w:rsidRPr="00BC1056">
        <w:t>(</w:t>
      </w:r>
      <w:r w:rsidR="005575D1" w:rsidRPr="00BC1056">
        <w:t>c</w:t>
      </w:r>
      <w:r w:rsidRPr="00BC1056">
        <w:t>)</w:t>
      </w:r>
      <w:r w:rsidRPr="00BC1056">
        <w:tab/>
      </w:r>
      <w:r w:rsidR="00040542" w:rsidRPr="00BC1056">
        <w:t xml:space="preserve">Whether the matter </w:t>
      </w:r>
      <w:r w:rsidR="00B70E1E" w:rsidRPr="00BC1056">
        <w:t xml:space="preserve">should </w:t>
      </w:r>
      <w:r w:rsidR="00040542" w:rsidRPr="00BC1056">
        <w:t xml:space="preserve">be decided upon </w:t>
      </w:r>
      <w:r w:rsidR="00B70E1E" w:rsidRPr="00BC1056">
        <w:t xml:space="preserve">legal </w:t>
      </w:r>
      <w:r w:rsidR="00040542" w:rsidRPr="00BC1056">
        <w:t xml:space="preserve">briefs, or whether a hearing </w:t>
      </w:r>
      <w:r w:rsidR="00B70E1E" w:rsidRPr="00BC1056">
        <w:t>is necessary</w:t>
      </w:r>
      <w:r w:rsidRPr="00BC1056">
        <w:t>.</w:t>
      </w:r>
    </w:p>
    <w:p w14:paraId="6F105255" w14:textId="77777777" w:rsidR="00666CE7" w:rsidRPr="00BC1056" w:rsidRDefault="006E3B8A" w:rsidP="006E3B8A">
      <w:pPr>
        <w:spacing w:line="360" w:lineRule="auto"/>
        <w:ind w:left="1800"/>
      </w:pPr>
      <w:r w:rsidRPr="00BC1056">
        <w:t>(</w:t>
      </w:r>
      <w:r w:rsidR="005575D1" w:rsidRPr="00BC1056">
        <w:t>d</w:t>
      </w:r>
      <w:r w:rsidRPr="00BC1056">
        <w:t>)</w:t>
      </w:r>
      <w:r w:rsidRPr="00BC1056">
        <w:tab/>
      </w:r>
      <w:r w:rsidR="00B70E1E" w:rsidRPr="00BC1056">
        <w:t>If a hearing is required, a procedural schedule will be discussed including t</w:t>
      </w:r>
      <w:r w:rsidR="00666CE7" w:rsidRPr="00BC1056">
        <w:t xml:space="preserve">he amount of </w:t>
      </w:r>
      <w:r w:rsidRPr="00BC1056">
        <w:t xml:space="preserve">hearing time </w:t>
      </w:r>
      <w:r w:rsidR="00B70E1E" w:rsidRPr="00BC1056">
        <w:t>necessary</w:t>
      </w:r>
      <w:r w:rsidRPr="00BC1056">
        <w:t xml:space="preserve"> to dispose of the proceeding</w:t>
      </w:r>
      <w:r w:rsidR="00666CE7" w:rsidRPr="00BC1056">
        <w:t>.</w:t>
      </w:r>
    </w:p>
    <w:p w14:paraId="60337C37" w14:textId="77777777" w:rsidR="00666CE7" w:rsidRPr="00BC1056" w:rsidRDefault="00666CE7" w:rsidP="006E3B8A">
      <w:pPr>
        <w:spacing w:line="360" w:lineRule="auto"/>
        <w:ind w:left="1800"/>
      </w:pPr>
      <w:r w:rsidRPr="00BC1056">
        <w:t>(</w:t>
      </w:r>
      <w:r w:rsidR="005575D1" w:rsidRPr="00BC1056">
        <w:t>e</w:t>
      </w:r>
      <w:r w:rsidRPr="00BC1056">
        <w:t>)</w:t>
      </w:r>
      <w:r w:rsidRPr="00BC1056">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14:paraId="32313534" w14:textId="77777777" w:rsidR="00666CE7" w:rsidRPr="00BC1056" w:rsidRDefault="00666CE7" w:rsidP="006E3B8A">
      <w:pPr>
        <w:spacing w:line="360" w:lineRule="auto"/>
        <w:ind w:left="1800"/>
      </w:pPr>
      <w:r w:rsidRPr="00BC1056">
        <w:t>(</w:t>
      </w:r>
      <w:r w:rsidR="005575D1" w:rsidRPr="00BC1056">
        <w:t>f</w:t>
      </w:r>
      <w:r w:rsidRPr="00BC1056">
        <w:t>)  Other matters that may aid in expediting the orderly conduct and disposition of the proceeding and the furtherance of justice, including, but not limited to the following:</w:t>
      </w:r>
    </w:p>
    <w:p w14:paraId="24D2E2F6" w14:textId="77777777" w:rsidR="00666CE7" w:rsidRPr="00BC1056" w:rsidRDefault="00666CE7" w:rsidP="006E3B8A">
      <w:pPr>
        <w:spacing w:line="360" w:lineRule="auto"/>
        <w:ind w:left="1800"/>
      </w:pPr>
      <w:r w:rsidRPr="00BC1056">
        <w:tab/>
        <w:t>(</w:t>
      </w:r>
      <w:proofErr w:type="spellStart"/>
      <w:r w:rsidRPr="00BC1056">
        <w:t>i</w:t>
      </w:r>
      <w:proofErr w:type="spellEnd"/>
      <w:r w:rsidRPr="00BC1056">
        <w:t>)</w:t>
      </w:r>
      <w:r w:rsidRPr="00BC1056">
        <w:tab/>
        <w:t>The exchange and acceptance of exhibits proposed to be offered into evidence.</w:t>
      </w:r>
    </w:p>
    <w:p w14:paraId="4959AD64" w14:textId="77777777" w:rsidR="00666CE7" w:rsidRPr="00BC1056" w:rsidRDefault="00666CE7" w:rsidP="006E3B8A">
      <w:pPr>
        <w:spacing w:line="360" w:lineRule="auto"/>
        <w:ind w:left="1800"/>
      </w:pPr>
      <w:r w:rsidRPr="00BC1056">
        <w:tab/>
        <w:t>(ii)</w:t>
      </w:r>
      <w:r w:rsidRPr="00BC1056">
        <w:tab/>
        <w:t>The obtaining of admissions as to, or stipulations of, facts not remaining in dispute, or the authenticity of documents which might properly shorten the hearing.</w:t>
      </w:r>
    </w:p>
    <w:p w14:paraId="105DADBF" w14:textId="77777777" w:rsidR="00FF4F5F" w:rsidRPr="00BC1056" w:rsidRDefault="00666CE7" w:rsidP="006E3B8A">
      <w:pPr>
        <w:spacing w:line="360" w:lineRule="auto"/>
        <w:ind w:left="1800"/>
      </w:pPr>
      <w:r w:rsidRPr="00BC1056">
        <w:tab/>
        <w:t xml:space="preserve">(iii) </w:t>
      </w:r>
      <w:r w:rsidRPr="00BC1056">
        <w:tab/>
        <w:t>The</w:t>
      </w:r>
      <w:r w:rsidR="00FF4F5F" w:rsidRPr="00BC1056">
        <w:t xml:space="preserve"> </w:t>
      </w:r>
      <w:r w:rsidR="00D55377" w:rsidRPr="00BC1056">
        <w:t>limitation of the number of witnesses</w:t>
      </w:r>
      <w:r w:rsidR="00FF4F5F" w:rsidRPr="00BC1056">
        <w:t>.</w:t>
      </w:r>
    </w:p>
    <w:p w14:paraId="74DF38BF" w14:textId="77777777" w:rsidR="00FF4F5F" w:rsidRPr="00BC1056" w:rsidRDefault="00FF4F5F" w:rsidP="006E3B8A">
      <w:pPr>
        <w:spacing w:line="360" w:lineRule="auto"/>
        <w:ind w:left="1800"/>
      </w:pPr>
      <w:r w:rsidRPr="00BC1056">
        <w:tab/>
        <w:t>(iv)</w:t>
      </w:r>
      <w:r w:rsidRPr="00BC1056">
        <w:tab/>
        <w:t>The discovery or production of date or other material.</w:t>
      </w:r>
    </w:p>
    <w:p w14:paraId="3290F8B7" w14:textId="77777777" w:rsidR="00476814" w:rsidRPr="00BC1056" w:rsidRDefault="005575D1" w:rsidP="006E3B8A">
      <w:pPr>
        <w:spacing w:line="360" w:lineRule="auto"/>
        <w:ind w:left="1800"/>
      </w:pPr>
      <w:r w:rsidRPr="00BC1056">
        <w:tab/>
      </w:r>
    </w:p>
    <w:p w14:paraId="7EA24BBC" w14:textId="6BD7D149" w:rsidR="00A74AF3" w:rsidRPr="00BC1056" w:rsidRDefault="00FF4F5F" w:rsidP="00333A41">
      <w:pPr>
        <w:numPr>
          <w:ilvl w:val="0"/>
          <w:numId w:val="4"/>
        </w:numPr>
        <w:spacing w:line="360" w:lineRule="auto"/>
        <w:ind w:left="0" w:firstLine="1440"/>
        <w:rPr>
          <w:bCs/>
        </w:rPr>
      </w:pPr>
      <w:r w:rsidRPr="00BC1056">
        <w:rPr>
          <w:bCs/>
        </w:rPr>
        <w:t xml:space="preserve">That on or before </w:t>
      </w:r>
      <w:r w:rsidR="005575D1" w:rsidRPr="00BC1056">
        <w:rPr>
          <w:b/>
          <w:bCs/>
        </w:rPr>
        <w:t>Tuesday</w:t>
      </w:r>
      <w:r w:rsidR="00333A41" w:rsidRPr="00BC1056">
        <w:rPr>
          <w:b/>
          <w:bCs/>
        </w:rPr>
        <w:t xml:space="preserve">, </w:t>
      </w:r>
      <w:r w:rsidR="00EA6647" w:rsidRPr="00BC1056">
        <w:rPr>
          <w:b/>
          <w:bCs/>
        </w:rPr>
        <w:t>May 12, 2020</w:t>
      </w:r>
      <w:r w:rsidRPr="00BC1056">
        <w:rPr>
          <w:bCs/>
        </w:rPr>
        <w:t xml:space="preserve">, the parties shall serve the presiding officer and each other </w:t>
      </w:r>
      <w:r w:rsidR="00EA6647" w:rsidRPr="00BC1056">
        <w:rPr>
          <w:bCs/>
        </w:rPr>
        <w:t xml:space="preserve">electronically </w:t>
      </w:r>
      <w:r w:rsidRPr="00BC1056">
        <w:rPr>
          <w:bCs/>
        </w:rPr>
        <w:t>with a Prehearing Conference Memorandum addressing each of the subjects included in Paragraph 7 above.</w:t>
      </w:r>
    </w:p>
    <w:p w14:paraId="33406189" w14:textId="77777777" w:rsidR="00FF4F5F" w:rsidRPr="00BC1056" w:rsidRDefault="00FF4F5F"/>
    <w:p w14:paraId="47EA9086" w14:textId="77777777" w:rsidR="00FF4F5F" w:rsidRPr="00BC1056" w:rsidRDefault="00FF4F5F"/>
    <w:p w14:paraId="0CB730A9" w14:textId="77777777" w:rsidR="00D7167B" w:rsidRPr="00BC1056" w:rsidRDefault="00D7167B"/>
    <w:p w14:paraId="6AD27DE9" w14:textId="4DD89C55" w:rsidR="006D33B5" w:rsidRPr="00BC1056" w:rsidRDefault="006D33B5">
      <w:pPr>
        <w:rPr>
          <w:u w:val="single"/>
        </w:rPr>
      </w:pPr>
      <w:r w:rsidRPr="00BC1056">
        <w:t xml:space="preserve">Date: </w:t>
      </w:r>
      <w:r w:rsidR="00EA6647" w:rsidRPr="00BC1056">
        <w:rPr>
          <w:u w:val="single"/>
        </w:rPr>
        <w:t>April 8, 2020</w:t>
      </w:r>
      <w:r w:rsidR="00EA6647" w:rsidRPr="00BC1056">
        <w:rPr>
          <w:u w:val="single"/>
        </w:rPr>
        <w:tab/>
      </w:r>
      <w:r w:rsidR="00EA6647" w:rsidRPr="00BC1056">
        <w:tab/>
      </w:r>
      <w:r w:rsidR="00EA6647" w:rsidRPr="00BC1056">
        <w:tab/>
      </w:r>
      <w:r w:rsidR="00EA6647" w:rsidRPr="00BC1056">
        <w:rPr>
          <w:u w:val="single"/>
        </w:rPr>
        <w:tab/>
        <w:t>/s/</w:t>
      </w:r>
      <w:r w:rsidR="00EA6647" w:rsidRPr="00BC1056">
        <w:rPr>
          <w:u w:val="single"/>
        </w:rPr>
        <w:tab/>
      </w:r>
      <w:r w:rsidR="00EA6647" w:rsidRPr="00BC1056">
        <w:rPr>
          <w:u w:val="single"/>
        </w:rPr>
        <w:tab/>
      </w:r>
      <w:r w:rsidR="00EA6647" w:rsidRPr="00BC1056">
        <w:rPr>
          <w:u w:val="single"/>
        </w:rPr>
        <w:tab/>
      </w:r>
      <w:r w:rsidR="00EA6647" w:rsidRPr="00BC1056">
        <w:rPr>
          <w:u w:val="single"/>
        </w:rPr>
        <w:tab/>
      </w:r>
      <w:r w:rsidR="00EA6647" w:rsidRPr="00BC1056">
        <w:rPr>
          <w:u w:val="single"/>
        </w:rPr>
        <w:tab/>
      </w:r>
    </w:p>
    <w:p w14:paraId="28354E87" w14:textId="77777777" w:rsidR="006D33B5" w:rsidRPr="00BC1056" w:rsidRDefault="006D33B5">
      <w:r w:rsidRPr="00BC1056">
        <w:tab/>
      </w:r>
      <w:r w:rsidRPr="00BC1056">
        <w:tab/>
      </w:r>
      <w:r w:rsidRPr="00BC1056">
        <w:tab/>
      </w:r>
      <w:r w:rsidRPr="00BC1056">
        <w:tab/>
      </w:r>
      <w:r w:rsidRPr="00BC1056">
        <w:tab/>
      </w:r>
      <w:r w:rsidR="0056328E" w:rsidRPr="00BC1056">
        <w:t>Elizabeth H. Barnes</w:t>
      </w:r>
    </w:p>
    <w:p w14:paraId="201266B0" w14:textId="77777777" w:rsidR="006D33B5" w:rsidRPr="00BC1056" w:rsidRDefault="006D33B5">
      <w:r w:rsidRPr="00BC1056">
        <w:tab/>
      </w:r>
      <w:r w:rsidRPr="00BC1056">
        <w:tab/>
      </w:r>
      <w:r w:rsidRPr="00BC1056">
        <w:tab/>
      </w:r>
      <w:r w:rsidRPr="00BC1056">
        <w:tab/>
      </w:r>
      <w:r w:rsidRPr="00BC1056">
        <w:tab/>
        <w:t>Administrative Law Judge</w:t>
      </w:r>
    </w:p>
    <w:p w14:paraId="7CFA3903" w14:textId="77777777" w:rsidR="00333A41" w:rsidRPr="00BC1056" w:rsidRDefault="00333A41"/>
    <w:p w14:paraId="266A2872" w14:textId="77777777" w:rsidR="00333A41" w:rsidRPr="00BC1056" w:rsidRDefault="00333A41">
      <w:r w:rsidRPr="00BC1056">
        <w:tab/>
      </w:r>
      <w:r w:rsidRPr="00BC1056">
        <w:tab/>
      </w:r>
      <w:r w:rsidRPr="00BC1056">
        <w:tab/>
      </w:r>
      <w:r w:rsidRPr="00BC1056">
        <w:tab/>
      </w:r>
      <w:r w:rsidRPr="00BC1056">
        <w:tab/>
      </w:r>
    </w:p>
    <w:p w14:paraId="519E56BC" w14:textId="77777777" w:rsidR="00333A41" w:rsidRPr="00BC1056" w:rsidRDefault="00333A41" w:rsidP="005575D1">
      <w:pPr>
        <w:rPr>
          <w:u w:val="single"/>
        </w:rPr>
      </w:pPr>
      <w:r w:rsidRPr="00BC1056">
        <w:tab/>
      </w:r>
      <w:r w:rsidRPr="00BC1056">
        <w:tab/>
      </w:r>
      <w:r w:rsidRPr="00BC1056">
        <w:tab/>
      </w:r>
      <w:r w:rsidRPr="00BC1056">
        <w:tab/>
      </w:r>
      <w:r w:rsidRPr="00BC1056">
        <w:tab/>
      </w:r>
    </w:p>
    <w:sectPr w:rsidR="00333A41" w:rsidRPr="00BC1056" w:rsidSect="00713D64">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34DC8" w14:textId="77777777" w:rsidR="00605E86" w:rsidRDefault="00605E86">
      <w:r>
        <w:separator/>
      </w:r>
    </w:p>
  </w:endnote>
  <w:endnote w:type="continuationSeparator" w:id="0">
    <w:p w14:paraId="3BEE2092" w14:textId="77777777" w:rsidR="00605E86" w:rsidRDefault="0060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3853" w14:textId="77777777"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EB55EF">
      <w:rPr>
        <w:rStyle w:val="PageNumber"/>
        <w:noProof/>
        <w:sz w:val="23"/>
        <w:szCs w:val="23"/>
      </w:rPr>
      <w:t>2</w:t>
    </w:r>
    <w:r w:rsidRPr="003C02CC">
      <w:rPr>
        <w:rStyle w:val="PageNumber"/>
        <w:sz w:val="23"/>
        <w:szCs w:val="23"/>
      </w:rPr>
      <w:fldChar w:fldCharType="end"/>
    </w:r>
  </w:p>
  <w:p w14:paraId="490CAFA1" w14:textId="77777777" w:rsidR="006D33B5" w:rsidRPr="003C02CC" w:rsidRDefault="006D33B5">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2F18" w14:textId="77777777" w:rsidR="00605E86" w:rsidRDefault="00605E86">
      <w:r>
        <w:separator/>
      </w:r>
    </w:p>
  </w:footnote>
  <w:footnote w:type="continuationSeparator" w:id="0">
    <w:p w14:paraId="43AF8DB5" w14:textId="77777777" w:rsidR="00605E86" w:rsidRDefault="00605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0131"/>
    <w:rsid w:val="00212459"/>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476EF"/>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5E86"/>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61AAA"/>
    <w:rsid w:val="00763DA0"/>
    <w:rsid w:val="00771201"/>
    <w:rsid w:val="00774975"/>
    <w:rsid w:val="00775DE2"/>
    <w:rsid w:val="00783F05"/>
    <w:rsid w:val="00784AE9"/>
    <w:rsid w:val="007876C7"/>
    <w:rsid w:val="007945B3"/>
    <w:rsid w:val="007B114C"/>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63DB0"/>
    <w:rsid w:val="00A74AF3"/>
    <w:rsid w:val="00A76336"/>
    <w:rsid w:val="00A76480"/>
    <w:rsid w:val="00A8749E"/>
    <w:rsid w:val="00A92373"/>
    <w:rsid w:val="00A93FB7"/>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1E0"/>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1056"/>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3D67"/>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83487"/>
    <w:rsid w:val="00E90A8E"/>
    <w:rsid w:val="00E9187B"/>
    <w:rsid w:val="00E91EAA"/>
    <w:rsid w:val="00E92FD0"/>
    <w:rsid w:val="00EA6647"/>
    <w:rsid w:val="00EB045D"/>
    <w:rsid w:val="00EB41C4"/>
    <w:rsid w:val="00EB55EF"/>
    <w:rsid w:val="00EC1909"/>
    <w:rsid w:val="00EC2835"/>
    <w:rsid w:val="00EC4455"/>
    <w:rsid w:val="00ED1828"/>
    <w:rsid w:val="00ED4EEA"/>
    <w:rsid w:val="00F00D62"/>
    <w:rsid w:val="00F0305C"/>
    <w:rsid w:val="00F07B7D"/>
    <w:rsid w:val="00F1692D"/>
    <w:rsid w:val="00F23018"/>
    <w:rsid w:val="00F33096"/>
    <w:rsid w:val="00F40D25"/>
    <w:rsid w:val="00F5660C"/>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6F0C7A"/>
  <w15:docId w15:val="{F0F58E78-9195-4D4F-B08A-A95CE58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Spacing">
    <w:name w:val="No Spacing"/>
    <w:uiPriority w:val="1"/>
    <w:qFormat/>
    <w:rsid w:val="00775DE2"/>
    <w:rPr>
      <w:rFonts w:ascii="Calibri" w:eastAsia="Calibri" w:hAnsi="Calibri"/>
      <w:sz w:val="22"/>
      <w:szCs w:val="22"/>
    </w:rPr>
  </w:style>
  <w:style w:type="character" w:styleId="Hyperlink">
    <w:name w:val="Hyperlink"/>
    <w:uiPriority w:val="99"/>
    <w:unhideWhenUsed/>
    <w:rsid w:val="00EA6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4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CCD4-70F8-4DF1-A01B-1E2B3BE8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Schleig, Deana</cp:lastModifiedBy>
  <cp:revision>2</cp:revision>
  <cp:lastPrinted>2011-11-29T21:15:00Z</cp:lastPrinted>
  <dcterms:created xsi:type="dcterms:W3CDTF">2020-04-10T17:16:00Z</dcterms:created>
  <dcterms:modified xsi:type="dcterms:W3CDTF">2020-04-10T17:16:00Z</dcterms:modified>
</cp:coreProperties>
</file>