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52EF78AA" w:rsidR="004B443B" w:rsidRPr="00EE5548" w:rsidRDefault="004F4619" w:rsidP="004B443B">
      <w:pPr>
        <w:tabs>
          <w:tab w:val="left" w:pos="-720"/>
        </w:tabs>
        <w:suppressAutoHyphens/>
        <w:autoSpaceDE/>
        <w:autoSpaceDN/>
        <w:jc w:val="both"/>
        <w:rPr>
          <w:rFonts w:eastAsiaTheme="minorHAnsi"/>
          <w:spacing w:val="-3"/>
        </w:rPr>
      </w:pPr>
      <w:r>
        <w:rPr>
          <w:rFonts w:eastAsiaTheme="minorHAnsi"/>
          <w:spacing w:val="-3"/>
        </w:rPr>
        <w:t>MAW Communications, Inc.</w:t>
      </w:r>
      <w:r>
        <w:rPr>
          <w:rFonts w:eastAsiaTheme="minorHAnsi"/>
          <w:spacing w:val="-3"/>
        </w:rPr>
        <w:tab/>
      </w:r>
      <w:r w:rsidR="00D50A9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1F31A132"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C-201</w:t>
      </w:r>
      <w:r w:rsidR="003E6E3E">
        <w:rPr>
          <w:rFonts w:eastAsiaTheme="minorHAnsi"/>
          <w:spacing w:val="-3"/>
        </w:rPr>
        <w:t>9-</w:t>
      </w:r>
      <w:r w:rsidR="004F4619">
        <w:rPr>
          <w:rFonts w:eastAsiaTheme="minorHAnsi"/>
          <w:spacing w:val="-3"/>
        </w:rPr>
        <w:t>3015187</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7D13CEED" w14:textId="6EB553F5" w:rsidR="00C97272" w:rsidRPr="004F4619" w:rsidRDefault="004F4619" w:rsidP="004F4619">
      <w:pPr>
        <w:tabs>
          <w:tab w:val="left" w:pos="-720"/>
        </w:tabs>
        <w:suppressAutoHyphens/>
        <w:autoSpaceDE/>
        <w:autoSpaceDN/>
        <w:jc w:val="both"/>
        <w:rPr>
          <w:rFonts w:eastAsiaTheme="minorHAnsi"/>
          <w:spacing w:val="-3"/>
        </w:rPr>
      </w:pPr>
      <w:r>
        <w:rPr>
          <w:rFonts w:eastAsiaTheme="minorHAnsi"/>
          <w:spacing w:val="-3"/>
        </w:rPr>
        <w:t>PPL Electric Utilities Corporation</w:t>
      </w:r>
      <w:r w:rsidR="006D04FC">
        <w:rPr>
          <w:rFonts w:eastAsiaTheme="minorHAnsi"/>
          <w:spacing w:val="-3"/>
        </w:rPr>
        <w:tab/>
      </w:r>
      <w:r w:rsidR="009F31D5" w:rsidRPr="00EE5548">
        <w:rPr>
          <w:rFonts w:eastAsiaTheme="minorHAnsi"/>
          <w:spacing w:val="-3"/>
        </w:rPr>
        <w:tab/>
      </w:r>
      <w:r w:rsidR="004B443B" w:rsidRPr="00EE5548">
        <w:rPr>
          <w:rFonts w:eastAsiaTheme="minorHAnsi"/>
          <w:spacing w:val="-3"/>
        </w:rPr>
        <w:tab/>
        <w:t>:</w:t>
      </w:r>
    </w:p>
    <w:p w14:paraId="7BF65E1E" w14:textId="77777777" w:rsidR="00C97272" w:rsidRPr="00EE5548" w:rsidRDefault="00C97272" w:rsidP="00D65D31">
      <w:pPr>
        <w:widowControl w:val="0"/>
        <w:adjustRightInd w:val="0"/>
        <w:rPr>
          <w:bCs/>
          <w:color w:val="000000"/>
        </w:rPr>
      </w:pPr>
    </w:p>
    <w:p w14:paraId="3585A733" w14:textId="14F0F00C" w:rsidR="002A5872" w:rsidRDefault="002A5872" w:rsidP="00D65D31">
      <w:pPr>
        <w:widowControl w:val="0"/>
        <w:adjustRightInd w:val="0"/>
        <w:rPr>
          <w:bCs/>
          <w:color w:val="000000"/>
        </w:rPr>
      </w:pPr>
    </w:p>
    <w:p w14:paraId="7A35C1D1" w14:textId="77777777" w:rsidR="00D371D9" w:rsidRPr="00EE5548" w:rsidRDefault="00D371D9"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61D2F4AD" w14:textId="1860FEC7" w:rsidR="009F31D5" w:rsidRPr="00EE5548" w:rsidRDefault="00921FD5" w:rsidP="003E6E3E">
      <w:pPr>
        <w:pStyle w:val="Style"/>
        <w:jc w:val="center"/>
        <w:rPr>
          <w:b/>
          <w:bCs/>
          <w:color w:val="000000"/>
          <w:u w:val="single"/>
        </w:rPr>
      </w:pPr>
      <w:r>
        <w:rPr>
          <w:b/>
          <w:bCs/>
          <w:spacing w:val="-3"/>
          <w:u w:val="single"/>
        </w:rPr>
        <w:t>DENYING</w:t>
      </w:r>
      <w:r w:rsidR="00EC1A79" w:rsidRPr="00EE5548">
        <w:rPr>
          <w:b/>
          <w:bCs/>
          <w:spacing w:val="-3"/>
          <w:u w:val="single"/>
        </w:rPr>
        <w:t xml:space="preserve"> </w:t>
      </w:r>
      <w:r w:rsidR="004B443B" w:rsidRPr="00EE5548">
        <w:rPr>
          <w:b/>
          <w:bCs/>
          <w:spacing w:val="-3"/>
          <w:u w:val="single"/>
        </w:rPr>
        <w:t>PRELIMINARY OBJECTION</w:t>
      </w:r>
      <w:r w:rsidR="004F4619">
        <w:rPr>
          <w:b/>
          <w:bCs/>
          <w:spacing w:val="-3"/>
          <w:u w:val="single"/>
        </w:rPr>
        <w:t>S</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68E28378" w14:textId="2169D191" w:rsidR="00180AEA" w:rsidRPr="00180AEA" w:rsidRDefault="00180AEA" w:rsidP="00180AEA">
      <w:pPr>
        <w:pStyle w:val="ParaTab1"/>
        <w:tabs>
          <w:tab w:val="left" w:pos="2070"/>
        </w:tabs>
        <w:spacing w:line="360" w:lineRule="auto"/>
        <w:ind w:firstLine="0"/>
        <w:rPr>
          <w:rFonts w:ascii="Times New Roman" w:hAnsi="Times New Roman" w:cs="Times New Roman"/>
          <w:b/>
          <w:bCs/>
          <w:u w:val="single"/>
        </w:rPr>
      </w:pPr>
      <w:r>
        <w:rPr>
          <w:rFonts w:ascii="Times New Roman" w:hAnsi="Times New Roman" w:cs="Times New Roman"/>
          <w:b/>
          <w:bCs/>
          <w:u w:val="single"/>
        </w:rPr>
        <w:t>Introduction</w:t>
      </w:r>
    </w:p>
    <w:p w14:paraId="5CA6972A" w14:textId="77777777" w:rsidR="00180AEA" w:rsidRDefault="00180AEA" w:rsidP="00351B37">
      <w:pPr>
        <w:pStyle w:val="ParaTab1"/>
        <w:tabs>
          <w:tab w:val="left" w:pos="2070"/>
        </w:tabs>
        <w:spacing w:line="360" w:lineRule="auto"/>
        <w:rPr>
          <w:rFonts w:ascii="Times New Roman" w:hAnsi="Times New Roman" w:cs="Times New Roman"/>
        </w:rPr>
      </w:pPr>
    </w:p>
    <w:p w14:paraId="66E320E3" w14:textId="32889D2D" w:rsidR="00A51599" w:rsidRDefault="004B443B" w:rsidP="00351B37">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3F2E9E">
        <w:rPr>
          <w:rFonts w:ascii="Times New Roman" w:hAnsi="Times New Roman" w:cs="Times New Roman"/>
        </w:rPr>
        <w:t xml:space="preserve"> </w:t>
      </w:r>
      <w:r w:rsidR="004D20E7">
        <w:rPr>
          <w:rFonts w:ascii="Times New Roman" w:hAnsi="Times New Roman" w:cs="Times New Roman"/>
        </w:rPr>
        <w:t xml:space="preserve">December 19, 2019, MAW Communications, Inc. (MAW) filed a formal complaint against PPL Electric Utilities Corporation (PPL), docket number C-2019-3015187.  In its complaint, MAW averred that it had entered into a Telecommunications Pole Attachment License Agreement with PPL in 2003 </w:t>
      </w:r>
      <w:r w:rsidR="0020740A">
        <w:rPr>
          <w:rFonts w:ascii="Times New Roman" w:hAnsi="Times New Roman" w:cs="Times New Roman"/>
        </w:rPr>
        <w:t xml:space="preserve">(2003 agreement) </w:t>
      </w:r>
      <w:r w:rsidR="004D20E7">
        <w:rPr>
          <w:rFonts w:ascii="Times New Roman" w:hAnsi="Times New Roman" w:cs="Times New Roman"/>
        </w:rPr>
        <w:t xml:space="preserve">and has the statutory right to access PPL’s utility poles pursuant to federal Telecommunications Act of 1996 (TA-96).  MAW further averred that on December 23, 2014, it entered into a Municipal Carrier Agreement with the City of Lancaster whereby Lancaster agreed to utilize Lancaster and the Lancaster Safety Coalitions’ existing attachments on PPL owned poles to rebuild Lancaster’s traffic controllers and camera network and deploy a community internet and broadband network.  </w:t>
      </w:r>
      <w:r w:rsidR="00A51599">
        <w:rPr>
          <w:rFonts w:ascii="Times New Roman" w:hAnsi="Times New Roman" w:cs="Times New Roman"/>
        </w:rPr>
        <w:t xml:space="preserve">MAW added that, throughout these relationships, PPL began to make unnecessary and time-consuming demands on MAW and that civil litigation ensued in Lehigh County Court of Common Pleas </w:t>
      </w:r>
      <w:r w:rsidR="0020740A">
        <w:rPr>
          <w:rFonts w:ascii="Times New Roman" w:hAnsi="Times New Roman" w:cs="Times New Roman"/>
        </w:rPr>
        <w:t xml:space="preserve">(LCCCP) </w:t>
      </w:r>
      <w:r w:rsidR="00A51599">
        <w:rPr>
          <w:rFonts w:ascii="Times New Roman" w:hAnsi="Times New Roman" w:cs="Times New Roman"/>
        </w:rPr>
        <w:t>and the Federal Communications Commission (FCC).  MAW concluded that PPL indicated that it intends to remove numerous of MAWs attachments.  MAW averred that PPL’s actions violate Section 1501 of the Public Utility Code and constitute unreasonable terms and conditions of attachment.  MAW requested, among other things, that PPL immediately cease and desist from removing any of MAW’s pole attachments and promptly process all of MAW’s pending and future applications for attachments.  MAW attached numerous documents to its complaint in support of its position.</w:t>
      </w:r>
    </w:p>
    <w:p w14:paraId="505E203D" w14:textId="4607A7AA" w:rsidR="00A51599" w:rsidRDefault="00A51599" w:rsidP="00351B37">
      <w:pPr>
        <w:pStyle w:val="ParaTab1"/>
        <w:tabs>
          <w:tab w:val="left" w:pos="2070"/>
        </w:tabs>
        <w:spacing w:line="360" w:lineRule="auto"/>
        <w:rPr>
          <w:rFonts w:ascii="Times New Roman" w:hAnsi="Times New Roman" w:cs="Times New Roman"/>
        </w:rPr>
      </w:pPr>
    </w:p>
    <w:p w14:paraId="0AF001DE" w14:textId="5BA996CE" w:rsidR="00874545" w:rsidRDefault="00CD0CF9" w:rsidP="0087454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January 20, 2020, PPL filed an answer with new matter in response to MAW’s complaint.  In its answer, PPL admitted or denied the extensive averments MAW made in its complaint.  </w:t>
      </w:r>
      <w:r w:rsidR="00874545">
        <w:rPr>
          <w:rFonts w:ascii="Times New Roman" w:hAnsi="Times New Roman" w:cs="Times New Roman"/>
        </w:rPr>
        <w:t xml:space="preserve">Among other things, PPL argued that MAW made many mischaracterizations in its complaint and provided its own recitation of the facts.  PPL added that the relief sought by MAW is unjustified and improper and that PPL acted in conformity with both its legal obligations and contractual rights such that MAW is not entitled to relief.  In its new matter, PPL averred, among other things, that MAW has failed to state a claim upon which relief can be granted, MAW’s claims are barred by its unclean hands, MAWs claims are barred by collateral estoppel and res judicata and MAW is in breach of the </w:t>
      </w:r>
      <w:r w:rsidR="0020740A">
        <w:rPr>
          <w:rFonts w:ascii="Times New Roman" w:hAnsi="Times New Roman" w:cs="Times New Roman"/>
        </w:rPr>
        <w:t xml:space="preserve">2003 </w:t>
      </w:r>
      <w:r w:rsidR="00874545">
        <w:rPr>
          <w:rFonts w:ascii="Times New Roman" w:hAnsi="Times New Roman" w:cs="Times New Roman"/>
        </w:rPr>
        <w:t>agreement.  PPL requested that the Commission dismiss MAW’s complaint.</w:t>
      </w:r>
    </w:p>
    <w:p w14:paraId="254AB378" w14:textId="3DD3D025" w:rsidR="00CD0CF9" w:rsidRDefault="00CD0CF9" w:rsidP="00351B37">
      <w:pPr>
        <w:pStyle w:val="ParaTab1"/>
        <w:tabs>
          <w:tab w:val="left" w:pos="2070"/>
        </w:tabs>
        <w:spacing w:line="360" w:lineRule="auto"/>
        <w:rPr>
          <w:rFonts w:ascii="Times New Roman" w:hAnsi="Times New Roman" w:cs="Times New Roman"/>
        </w:rPr>
      </w:pPr>
    </w:p>
    <w:p w14:paraId="31AB55D3" w14:textId="291D81E0" w:rsidR="00AE0DB0" w:rsidRDefault="00CD0CF9" w:rsidP="00351B37">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on January 20, 2020, PPL filed preliminary objections in response to MAW’s complaint.  In its preliminary objections, which were accompanied by a notice to plead, PPL </w:t>
      </w:r>
      <w:r w:rsidR="00B67649">
        <w:rPr>
          <w:rFonts w:ascii="Times New Roman" w:hAnsi="Times New Roman" w:cs="Times New Roman"/>
        </w:rPr>
        <w:t xml:space="preserve">again provided significant background regarding facts of the matter including the proceedings both in </w:t>
      </w:r>
      <w:r w:rsidR="0020740A">
        <w:rPr>
          <w:rFonts w:ascii="Times New Roman" w:hAnsi="Times New Roman" w:cs="Times New Roman"/>
        </w:rPr>
        <w:t xml:space="preserve">LCCCP </w:t>
      </w:r>
      <w:r w:rsidR="00B67649">
        <w:rPr>
          <w:rFonts w:ascii="Times New Roman" w:hAnsi="Times New Roman" w:cs="Times New Roman"/>
        </w:rPr>
        <w:t xml:space="preserve">and at the FCC. </w:t>
      </w:r>
      <w:r w:rsidR="00B919DA">
        <w:rPr>
          <w:rFonts w:ascii="Times New Roman" w:hAnsi="Times New Roman" w:cs="Times New Roman"/>
        </w:rPr>
        <w:t xml:space="preserve"> In its first preliminary objection, PPL argued that MAW’s complaint should be dismissed because the Commission lacks jurisdiction to hear the complaint.  PPL added that </w:t>
      </w:r>
      <w:r w:rsidR="00AE0DB0">
        <w:rPr>
          <w:rFonts w:ascii="Times New Roman" w:hAnsi="Times New Roman" w:cs="Times New Roman"/>
        </w:rPr>
        <w:t xml:space="preserve">the complaint focuses on MAW’s desire to deploy broadband internet services rather than telecommunications services and such issues were raised in the proceeding before the FCC.  In its second preliminary objection, PPL argued that the complaint is legally insufficient </w:t>
      </w:r>
      <w:proofErr w:type="gramStart"/>
      <w:r w:rsidR="00AE0DB0">
        <w:rPr>
          <w:rFonts w:ascii="Times New Roman" w:hAnsi="Times New Roman" w:cs="Times New Roman"/>
        </w:rPr>
        <w:t>on the basis of</w:t>
      </w:r>
      <w:proofErr w:type="gramEnd"/>
      <w:r w:rsidR="00AE0DB0">
        <w:rPr>
          <w:rFonts w:ascii="Times New Roman" w:hAnsi="Times New Roman" w:cs="Times New Roman"/>
        </w:rPr>
        <w:t xml:space="preserve"> res judicata and collateral estoppel since all of the issues were litigated or should have been litigated in front of the FCC.  In its third preliminary objection, PPL argued that MAW’s complaint should be dismissed </w:t>
      </w:r>
      <w:proofErr w:type="gramStart"/>
      <w:r w:rsidR="00AE0DB0">
        <w:rPr>
          <w:rFonts w:ascii="Times New Roman" w:hAnsi="Times New Roman" w:cs="Times New Roman"/>
        </w:rPr>
        <w:t>on the basis of</w:t>
      </w:r>
      <w:proofErr w:type="gramEnd"/>
      <w:r w:rsidR="00AE0DB0">
        <w:rPr>
          <w:rFonts w:ascii="Times New Roman" w:hAnsi="Times New Roman" w:cs="Times New Roman"/>
        </w:rPr>
        <w:t xml:space="preserve"> </w:t>
      </w:r>
      <w:proofErr w:type="spellStart"/>
      <w:r w:rsidR="00AE0DB0">
        <w:rPr>
          <w:rFonts w:ascii="Times New Roman" w:hAnsi="Times New Roman" w:cs="Times New Roman"/>
        </w:rPr>
        <w:t>lis</w:t>
      </w:r>
      <w:proofErr w:type="spellEnd"/>
      <w:r w:rsidR="00AE0DB0">
        <w:rPr>
          <w:rFonts w:ascii="Times New Roman" w:hAnsi="Times New Roman" w:cs="Times New Roman"/>
        </w:rPr>
        <w:t xml:space="preserve"> pendens since the relief requested by MAW will be addressed in the proceeding pending in the </w:t>
      </w:r>
      <w:r w:rsidR="0020740A">
        <w:rPr>
          <w:rFonts w:ascii="Times New Roman" w:hAnsi="Times New Roman" w:cs="Times New Roman"/>
        </w:rPr>
        <w:t>LCCCP</w:t>
      </w:r>
      <w:r w:rsidR="00AE0DB0">
        <w:rPr>
          <w:rFonts w:ascii="Times New Roman" w:hAnsi="Times New Roman" w:cs="Times New Roman"/>
        </w:rPr>
        <w:t>.  PPL attached multiple documents to its preliminary objections.</w:t>
      </w:r>
    </w:p>
    <w:p w14:paraId="78B212BB" w14:textId="77777777" w:rsidR="00AE0DB0" w:rsidRDefault="00AE0DB0" w:rsidP="00351B37">
      <w:pPr>
        <w:pStyle w:val="ParaTab1"/>
        <w:tabs>
          <w:tab w:val="left" w:pos="2070"/>
        </w:tabs>
        <w:spacing w:line="360" w:lineRule="auto"/>
        <w:rPr>
          <w:rFonts w:ascii="Times New Roman" w:hAnsi="Times New Roman" w:cs="Times New Roman"/>
        </w:rPr>
      </w:pPr>
    </w:p>
    <w:p w14:paraId="3F4C76C3" w14:textId="48C3BD77" w:rsidR="004F4619" w:rsidRDefault="00AE0DB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February 3, 2020, MAW filed an answer to PPL’s preliminary objections.  </w:t>
      </w:r>
      <w:r w:rsidR="0094565A">
        <w:rPr>
          <w:rFonts w:ascii="Times New Roman" w:hAnsi="Times New Roman" w:cs="Times New Roman"/>
        </w:rPr>
        <w:t xml:space="preserve">MAW argued that all three of PPL’s preliminary objections are meritless and should be rejected.  MAW added that </w:t>
      </w:r>
      <w:r w:rsidR="0020740A">
        <w:rPr>
          <w:rFonts w:ascii="Times New Roman" w:hAnsi="Times New Roman" w:cs="Times New Roman"/>
        </w:rPr>
        <w:t xml:space="preserve">the preliminary objections </w:t>
      </w:r>
      <w:r w:rsidR="0094565A">
        <w:rPr>
          <w:rFonts w:ascii="Times New Roman" w:hAnsi="Times New Roman" w:cs="Times New Roman"/>
        </w:rPr>
        <w:t xml:space="preserve">are flawed because they rely on documents and testimony far beyond the four corners of the formal complaint which cannot be considered when ruling on a preliminary objection.  MAW added that PPL has not met its burden to prevail on its preliminary objections.  MAW admitted or denied the various averments PPL made in its preliminary objections.  </w:t>
      </w:r>
      <w:proofErr w:type="gramStart"/>
      <w:r w:rsidR="0094565A">
        <w:rPr>
          <w:rFonts w:ascii="Times New Roman" w:hAnsi="Times New Roman" w:cs="Times New Roman"/>
        </w:rPr>
        <w:t>In particular, MAW</w:t>
      </w:r>
      <w:proofErr w:type="gramEnd"/>
      <w:r w:rsidR="0094565A">
        <w:rPr>
          <w:rFonts w:ascii="Times New Roman" w:hAnsi="Times New Roman" w:cs="Times New Roman"/>
        </w:rPr>
        <w:t xml:space="preserve"> argued that the Commission has asserted jurisdiction over pole attachment disputes </w:t>
      </w:r>
      <w:r w:rsidR="00CC17D8">
        <w:rPr>
          <w:rFonts w:ascii="Times New Roman" w:hAnsi="Times New Roman" w:cs="Times New Roman"/>
        </w:rPr>
        <w:t xml:space="preserve">which has effectively stayed the case in the </w:t>
      </w:r>
      <w:r w:rsidR="0020740A">
        <w:rPr>
          <w:rFonts w:ascii="Times New Roman" w:hAnsi="Times New Roman" w:cs="Times New Roman"/>
        </w:rPr>
        <w:t>LCCCP</w:t>
      </w:r>
      <w:r w:rsidR="00CC17D8">
        <w:rPr>
          <w:rFonts w:ascii="Times New Roman" w:hAnsi="Times New Roman" w:cs="Times New Roman"/>
        </w:rPr>
        <w:t>.  MAW also responded to PPL’s preliminary objection regarding legal insufficiency by arguing that this is a case of first impression</w:t>
      </w:r>
      <w:r w:rsidR="009E75E3">
        <w:rPr>
          <w:rFonts w:ascii="Times New Roman" w:hAnsi="Times New Roman" w:cs="Times New Roman"/>
        </w:rPr>
        <w:t xml:space="preserve"> at the Commission</w:t>
      </w:r>
      <w:r w:rsidR="00CC17D8">
        <w:rPr>
          <w:rFonts w:ascii="Times New Roman" w:hAnsi="Times New Roman" w:cs="Times New Roman"/>
        </w:rPr>
        <w:t xml:space="preserve">.  Finally, MAW argued that PPL’s third preliminary objection regarding </w:t>
      </w:r>
      <w:proofErr w:type="spellStart"/>
      <w:r w:rsidR="00CC17D8">
        <w:rPr>
          <w:rFonts w:ascii="Times New Roman" w:hAnsi="Times New Roman" w:cs="Times New Roman"/>
        </w:rPr>
        <w:t>lis</w:t>
      </w:r>
      <w:proofErr w:type="spellEnd"/>
      <w:r w:rsidR="00CC17D8">
        <w:rPr>
          <w:rFonts w:ascii="Times New Roman" w:hAnsi="Times New Roman" w:cs="Times New Roman"/>
        </w:rPr>
        <w:t xml:space="preserve"> pendens should also be rejected because the Commission has primary jurisdiction</w:t>
      </w:r>
      <w:r w:rsidR="009E75E3">
        <w:rPr>
          <w:rFonts w:ascii="Times New Roman" w:hAnsi="Times New Roman" w:cs="Times New Roman"/>
        </w:rPr>
        <w:t xml:space="preserve"> over the matters raised in the complaint</w:t>
      </w:r>
      <w:r w:rsidR="00CC17D8">
        <w:rPr>
          <w:rFonts w:ascii="Times New Roman" w:hAnsi="Times New Roman" w:cs="Times New Roman"/>
        </w:rPr>
        <w:t>.</w:t>
      </w:r>
      <w:r w:rsidR="00B67649">
        <w:rPr>
          <w:rFonts w:ascii="Times New Roman" w:hAnsi="Times New Roman" w:cs="Times New Roman"/>
        </w:rPr>
        <w:t xml:space="preserve"> </w:t>
      </w:r>
      <w:r w:rsidR="00CC17D8">
        <w:rPr>
          <w:rFonts w:ascii="Times New Roman" w:hAnsi="Times New Roman" w:cs="Times New Roman"/>
        </w:rPr>
        <w:t xml:space="preserve"> MAW concluded that PPL’s preliminary objections should be denied.</w:t>
      </w:r>
    </w:p>
    <w:p w14:paraId="42D68784" w14:textId="3B19A959" w:rsidR="00D7070A" w:rsidRDefault="00D7070A" w:rsidP="00351B37">
      <w:pPr>
        <w:pStyle w:val="ParaTab1"/>
        <w:tabs>
          <w:tab w:val="left" w:pos="2070"/>
        </w:tabs>
        <w:spacing w:line="360" w:lineRule="auto"/>
        <w:rPr>
          <w:rFonts w:ascii="Times New Roman" w:hAnsi="Times New Roman" w:cs="Times New Roman"/>
        </w:rPr>
      </w:pPr>
    </w:p>
    <w:p w14:paraId="62827F5D" w14:textId="4EFF64EB" w:rsidR="00D7070A" w:rsidRDefault="00D7070A"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MAW did not file an answer to PPL’s new matter.</w:t>
      </w:r>
    </w:p>
    <w:p w14:paraId="672B416D" w14:textId="77777777" w:rsidR="004F4619" w:rsidRPr="00D7070A" w:rsidRDefault="004F4619" w:rsidP="00351B37">
      <w:pPr>
        <w:pStyle w:val="ParaTab1"/>
        <w:tabs>
          <w:tab w:val="left" w:pos="2070"/>
        </w:tabs>
        <w:spacing w:line="360" w:lineRule="auto"/>
        <w:rPr>
          <w:rFonts w:ascii="Times New Roman" w:hAnsi="Times New Roman" w:cs="Times New Roman"/>
        </w:rPr>
      </w:pPr>
    </w:p>
    <w:p w14:paraId="2D957906" w14:textId="544170FE" w:rsidR="003E428F" w:rsidRPr="00D7070A" w:rsidRDefault="003E428F" w:rsidP="00351B37">
      <w:pPr>
        <w:pStyle w:val="ParaTab1"/>
        <w:tabs>
          <w:tab w:val="left" w:pos="2070"/>
        </w:tabs>
        <w:spacing w:line="360" w:lineRule="auto"/>
        <w:rPr>
          <w:rFonts w:ascii="Times New Roman" w:hAnsi="Times New Roman" w:cs="Times New Roman"/>
        </w:rPr>
      </w:pPr>
      <w:r w:rsidRPr="00D7070A">
        <w:rPr>
          <w:rFonts w:ascii="Times New Roman" w:hAnsi="Times New Roman" w:cs="Times New Roman"/>
        </w:rPr>
        <w:t xml:space="preserve">A motion judge assignment notice was issued on </w:t>
      </w:r>
      <w:r w:rsidR="00D7070A" w:rsidRPr="00D7070A">
        <w:rPr>
          <w:rFonts w:ascii="Times New Roman" w:hAnsi="Times New Roman" w:cs="Times New Roman"/>
        </w:rPr>
        <w:t xml:space="preserve">February 27, 2020 </w:t>
      </w:r>
      <w:r w:rsidRPr="00D7070A">
        <w:rPr>
          <w:rFonts w:ascii="Times New Roman" w:hAnsi="Times New Roman" w:cs="Times New Roman"/>
        </w:rPr>
        <w:t>informing the parties that I had been assigned as the presiding officer and am responsible to resolve any issues which may arise during the preliminary phase of this case.</w:t>
      </w:r>
    </w:p>
    <w:p w14:paraId="524A866A" w14:textId="10136CAC" w:rsidR="003E428F" w:rsidRPr="00D7070A" w:rsidRDefault="003E428F" w:rsidP="00351B37">
      <w:pPr>
        <w:pStyle w:val="ParaTab1"/>
        <w:tabs>
          <w:tab w:val="left" w:pos="2070"/>
        </w:tabs>
        <w:spacing w:line="360" w:lineRule="auto"/>
        <w:rPr>
          <w:rFonts w:ascii="Times New Roman" w:hAnsi="Times New Roman" w:cs="Times New Roman"/>
        </w:rPr>
      </w:pPr>
    </w:p>
    <w:p w14:paraId="543CC5FE" w14:textId="72E94449" w:rsidR="003E428F" w:rsidRPr="00D7070A" w:rsidRDefault="00D7070A"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PPL’s</w:t>
      </w:r>
      <w:r w:rsidR="003E428F" w:rsidRPr="00D7070A">
        <w:rPr>
          <w:rFonts w:ascii="Times New Roman" w:hAnsi="Times New Roman" w:cs="Times New Roman"/>
        </w:rPr>
        <w:t xml:space="preserve"> preliminary objection</w:t>
      </w:r>
      <w:r>
        <w:rPr>
          <w:rFonts w:ascii="Times New Roman" w:hAnsi="Times New Roman" w:cs="Times New Roman"/>
        </w:rPr>
        <w:t>s are</w:t>
      </w:r>
      <w:r w:rsidR="003E428F" w:rsidRPr="00D7070A">
        <w:rPr>
          <w:rFonts w:ascii="Times New Roman" w:hAnsi="Times New Roman" w:cs="Times New Roman"/>
        </w:rPr>
        <w:t xml:space="preserve"> now ready for disposition.  For the reasons discussed below, </w:t>
      </w:r>
      <w:r>
        <w:rPr>
          <w:rFonts w:ascii="Times New Roman" w:hAnsi="Times New Roman" w:cs="Times New Roman"/>
        </w:rPr>
        <w:t xml:space="preserve">PPL’s </w:t>
      </w:r>
      <w:r w:rsidR="003E428F" w:rsidRPr="00D7070A">
        <w:rPr>
          <w:rFonts w:ascii="Times New Roman" w:hAnsi="Times New Roman" w:cs="Times New Roman"/>
        </w:rPr>
        <w:t>preliminary objection</w:t>
      </w:r>
      <w:r>
        <w:rPr>
          <w:rFonts w:ascii="Times New Roman" w:hAnsi="Times New Roman" w:cs="Times New Roman"/>
        </w:rPr>
        <w:t>s</w:t>
      </w:r>
      <w:r w:rsidR="003E428F" w:rsidRPr="00D7070A">
        <w:rPr>
          <w:rFonts w:ascii="Times New Roman" w:hAnsi="Times New Roman" w:cs="Times New Roman"/>
        </w:rPr>
        <w:t xml:space="preserve"> will be denied.</w:t>
      </w:r>
    </w:p>
    <w:p w14:paraId="23870382" w14:textId="73997DB1" w:rsidR="003E428F" w:rsidRDefault="003E428F" w:rsidP="00180AEA">
      <w:pPr>
        <w:widowControl w:val="0"/>
        <w:adjustRightInd w:val="0"/>
        <w:spacing w:line="360" w:lineRule="auto"/>
        <w:rPr>
          <w:color w:val="000000"/>
        </w:rPr>
      </w:pPr>
    </w:p>
    <w:p w14:paraId="6277DD38" w14:textId="1E5BB0D0" w:rsidR="00180AEA" w:rsidRDefault="00180AEA" w:rsidP="00180AEA">
      <w:pPr>
        <w:widowControl w:val="0"/>
        <w:adjustRightInd w:val="0"/>
        <w:spacing w:line="360" w:lineRule="auto"/>
        <w:rPr>
          <w:color w:val="000000"/>
        </w:rPr>
      </w:pPr>
      <w:r>
        <w:rPr>
          <w:b/>
          <w:bCs/>
          <w:color w:val="000000"/>
          <w:u w:val="single"/>
        </w:rPr>
        <w:t>Legal standard</w:t>
      </w:r>
    </w:p>
    <w:p w14:paraId="3E9ADD5A" w14:textId="77777777" w:rsidR="00180AEA" w:rsidRPr="00180AEA" w:rsidRDefault="00180AEA" w:rsidP="00180AEA">
      <w:pPr>
        <w:widowControl w:val="0"/>
        <w:adjustRightInd w:val="0"/>
        <w:spacing w:line="360" w:lineRule="auto"/>
        <w:rPr>
          <w:color w:val="000000"/>
        </w:rPr>
      </w:pPr>
    </w:p>
    <w:p w14:paraId="6D8DB3B6" w14:textId="04334659" w:rsidR="00CB42AB" w:rsidRPr="005D17F1" w:rsidRDefault="00CB42AB" w:rsidP="00CB42AB">
      <w:pPr>
        <w:widowControl w:val="0"/>
        <w:adjustRightInd w:val="0"/>
        <w:spacing w:line="360" w:lineRule="auto"/>
        <w:ind w:firstLine="1440"/>
        <w:rPr>
          <w:color w:val="000000"/>
        </w:rPr>
      </w:pPr>
      <w:r w:rsidRPr="005D17F1">
        <w:rPr>
          <w:color w:val="000000"/>
        </w:rPr>
        <w:t xml:space="preserve">Section 5.101 of the Commission’s </w:t>
      </w:r>
      <w:r w:rsidR="00CC17D8">
        <w:rPr>
          <w:color w:val="000000"/>
        </w:rPr>
        <w:t>r</w:t>
      </w:r>
      <w:r w:rsidRPr="005D17F1">
        <w:rPr>
          <w:color w:val="000000"/>
        </w:rPr>
        <w:t xml:space="preserve">ules </w:t>
      </w:r>
      <w:r w:rsidR="00CC17D8">
        <w:rPr>
          <w:color w:val="000000"/>
        </w:rPr>
        <w:t>o</w:t>
      </w:r>
      <w:r w:rsidRPr="005D17F1">
        <w:rPr>
          <w:color w:val="000000"/>
        </w:rPr>
        <w:t xml:space="preserve">f </w:t>
      </w:r>
      <w:r w:rsidR="00CC17D8">
        <w:rPr>
          <w:color w:val="000000"/>
        </w:rPr>
        <w:t>a</w:t>
      </w:r>
      <w:r w:rsidRPr="005D17F1">
        <w:rPr>
          <w:color w:val="000000"/>
        </w:rPr>
        <w:t xml:space="preserve">dministrative </w:t>
      </w:r>
      <w:r w:rsidR="00CC17D8">
        <w:rPr>
          <w:color w:val="000000"/>
        </w:rPr>
        <w:t>p</w:t>
      </w:r>
      <w:r w:rsidRPr="005D17F1">
        <w:rPr>
          <w:color w:val="000000"/>
        </w:rPr>
        <w:t xml:space="preserve">ractice </w:t>
      </w:r>
      <w:r w:rsidR="00CC17D8">
        <w:rPr>
          <w:color w:val="000000"/>
        </w:rPr>
        <w:t>a</w:t>
      </w:r>
      <w:r w:rsidRPr="005D17F1">
        <w:rPr>
          <w:color w:val="000000"/>
        </w:rPr>
        <w:t xml:space="preserve">nd </w:t>
      </w:r>
      <w:r w:rsidR="00CC17D8">
        <w:rPr>
          <w:color w:val="000000"/>
        </w:rPr>
        <w:t>p</w:t>
      </w:r>
      <w:r w:rsidRPr="005D17F1">
        <w:rPr>
          <w:color w:val="000000"/>
        </w:rPr>
        <w:t xml:space="preserve">rocedure provides for the filing of </w:t>
      </w:r>
      <w:r w:rsidR="00F73A93" w:rsidRPr="005D17F1">
        <w:rPr>
          <w:color w:val="000000"/>
        </w:rPr>
        <w:t>p</w:t>
      </w:r>
      <w:r w:rsidRPr="005D17F1">
        <w:rPr>
          <w:color w:val="000000"/>
        </w:rPr>
        <w:t xml:space="preserve">reliminary </w:t>
      </w:r>
      <w:r w:rsidR="00F73A93" w:rsidRPr="005D17F1">
        <w:rPr>
          <w:color w:val="000000"/>
        </w:rPr>
        <w:t>o</w:t>
      </w:r>
      <w:r w:rsidRPr="005D17F1">
        <w:rPr>
          <w:color w:val="000000"/>
        </w:rPr>
        <w:t xml:space="preserve">bjections.  52 </w:t>
      </w:r>
      <w:proofErr w:type="spellStart"/>
      <w:proofErr w:type="gramStart"/>
      <w:r w:rsidRPr="005D17F1">
        <w:rPr>
          <w:color w:val="000000"/>
        </w:rPr>
        <w:t>Pa.Code</w:t>
      </w:r>
      <w:proofErr w:type="spellEnd"/>
      <w:proofErr w:type="gramEnd"/>
      <w:r w:rsidRPr="005D17F1">
        <w:rPr>
          <w:color w:val="000000"/>
        </w:rPr>
        <w:t xml:space="preserve"> </w:t>
      </w:r>
      <w:r w:rsidRPr="005D17F1">
        <w:rPr>
          <w:color w:val="000000"/>
          <w:w w:val="86"/>
        </w:rPr>
        <w:t xml:space="preserve">§ </w:t>
      </w:r>
      <w:r w:rsidRPr="005D17F1">
        <w:rPr>
          <w:color w:val="000000"/>
        </w:rPr>
        <w:t>5.101.</w:t>
      </w:r>
      <w:r w:rsidR="00F73A93" w:rsidRPr="005D17F1">
        <w:rPr>
          <w:color w:val="000000"/>
        </w:rPr>
        <w:t xml:space="preserve">  Commission p</w:t>
      </w:r>
      <w:r w:rsidRPr="005D17F1">
        <w:rPr>
          <w:color w:val="000000"/>
        </w:rPr>
        <w:t xml:space="preserve">reliminary </w:t>
      </w:r>
      <w:r w:rsidR="00F73A93" w:rsidRPr="005D17F1">
        <w:rPr>
          <w:color w:val="000000"/>
        </w:rPr>
        <w:t>o</w:t>
      </w:r>
      <w:r w:rsidRPr="005D17F1">
        <w:rPr>
          <w:color w:val="000000"/>
        </w:rPr>
        <w:t xml:space="preserve">bjection practice is comparable to Pennsylvania civil practice respecting the filing of </w:t>
      </w:r>
      <w:r w:rsidR="00F73A93" w:rsidRPr="005D17F1">
        <w:rPr>
          <w:color w:val="000000"/>
        </w:rPr>
        <w:t>p</w:t>
      </w:r>
      <w:r w:rsidRPr="005D17F1">
        <w:rPr>
          <w:color w:val="000000"/>
        </w:rPr>
        <w:t xml:space="preserve">reliminary </w:t>
      </w:r>
      <w:r w:rsidR="00F73A93" w:rsidRPr="005D17F1">
        <w:rPr>
          <w:color w:val="000000"/>
        </w:rPr>
        <w:t>o</w:t>
      </w:r>
      <w:r w:rsidRPr="005D17F1">
        <w:rPr>
          <w:color w:val="000000"/>
        </w:rPr>
        <w:t xml:space="preserve">bjections.  </w:t>
      </w:r>
      <w:r w:rsidRPr="005D17F1">
        <w:rPr>
          <w:iCs/>
          <w:color w:val="000000"/>
          <w:u w:val="single"/>
        </w:rPr>
        <w:t>Equitable Small Transportation Intervenors v. Equitable Gas Company</w:t>
      </w:r>
      <w:r w:rsidRPr="005D17F1">
        <w:rPr>
          <w:i/>
          <w:iCs/>
          <w:color w:val="000000"/>
        </w:rPr>
        <w:t xml:space="preserve">, </w:t>
      </w:r>
      <w:r w:rsidRPr="005D17F1">
        <w:rPr>
          <w:color w:val="000000"/>
        </w:rPr>
        <w:t>1994 Pa PUC LEXIS 69, Docket No. C-00935435 (July 18, 1994) (</w:t>
      </w:r>
      <w:r w:rsidRPr="005D17F1">
        <w:rPr>
          <w:color w:val="000000"/>
          <w:u w:val="single"/>
        </w:rPr>
        <w:t>Equitable</w:t>
      </w:r>
      <w:r w:rsidRPr="005D17F1">
        <w:rPr>
          <w:color w:val="000000"/>
        </w:rPr>
        <w:t>).  Section 5.101(a) provides:</w:t>
      </w:r>
    </w:p>
    <w:p w14:paraId="703433FE" w14:textId="77777777" w:rsidR="00CB42AB" w:rsidRPr="005D17F1" w:rsidRDefault="00CB42AB" w:rsidP="00CB42AB">
      <w:pPr>
        <w:widowControl w:val="0"/>
        <w:tabs>
          <w:tab w:val="left" w:pos="1469"/>
          <w:tab w:val="left" w:pos="2196"/>
        </w:tabs>
        <w:adjustRightInd w:val="0"/>
        <w:spacing w:line="360" w:lineRule="auto"/>
        <w:ind w:left="1440" w:right="1440"/>
        <w:rPr>
          <w:color w:val="000000"/>
        </w:rPr>
      </w:pPr>
    </w:p>
    <w:p w14:paraId="1DBB8040" w14:textId="77777777" w:rsidR="00CB42AB" w:rsidRPr="005D17F1" w:rsidRDefault="00CB42AB" w:rsidP="00CB42AB">
      <w:pPr>
        <w:widowControl w:val="0"/>
        <w:tabs>
          <w:tab w:val="left" w:pos="1469"/>
          <w:tab w:val="left" w:pos="2196"/>
        </w:tabs>
        <w:adjustRightInd w:val="0"/>
        <w:ind w:left="1440" w:right="1440"/>
        <w:rPr>
          <w:color w:val="000000"/>
        </w:rPr>
      </w:pPr>
      <w:r w:rsidRPr="005D17F1">
        <w:rPr>
          <w:color w:val="000000"/>
        </w:rPr>
        <w:t xml:space="preserve">(a) </w:t>
      </w:r>
      <w:r w:rsidRPr="005D17F1">
        <w:rPr>
          <w:color w:val="000000"/>
        </w:rPr>
        <w:tab/>
      </w:r>
      <w:r w:rsidRPr="005D17F1">
        <w:rPr>
          <w:i/>
          <w:iCs/>
          <w:color w:val="000000"/>
        </w:rPr>
        <w:t xml:space="preserve">Grounds.  </w:t>
      </w:r>
      <w:r w:rsidRPr="005D17F1">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D33DD29" w14:textId="77777777" w:rsidR="00CB42AB" w:rsidRPr="005D17F1" w:rsidRDefault="00CB42AB" w:rsidP="00CB42AB">
      <w:pPr>
        <w:widowControl w:val="0"/>
        <w:tabs>
          <w:tab w:val="left" w:pos="2203"/>
          <w:tab w:val="left" w:pos="2909"/>
        </w:tabs>
        <w:adjustRightInd w:val="0"/>
        <w:ind w:right="1440"/>
      </w:pPr>
    </w:p>
    <w:p w14:paraId="09B8336E" w14:textId="77777777" w:rsidR="00CB42AB" w:rsidRPr="005D17F1" w:rsidRDefault="00CB42AB" w:rsidP="00324740">
      <w:pPr>
        <w:widowControl w:val="0"/>
        <w:numPr>
          <w:ilvl w:val="0"/>
          <w:numId w:val="18"/>
        </w:numPr>
        <w:tabs>
          <w:tab w:val="left" w:pos="2203"/>
          <w:tab w:val="left" w:pos="2909"/>
        </w:tabs>
        <w:autoSpaceDE/>
        <w:autoSpaceDN/>
        <w:adjustRightInd w:val="0"/>
        <w:ind w:right="1440"/>
        <w:rPr>
          <w:color w:val="000000"/>
        </w:rPr>
      </w:pPr>
      <w:r w:rsidRPr="005D17F1">
        <w:rPr>
          <w:color w:val="000000"/>
        </w:rPr>
        <w:t>Lack of Commission jurisdiction or improper service of the pleading initiating the proceeding.</w:t>
      </w:r>
    </w:p>
    <w:p w14:paraId="7A99CC03" w14:textId="77777777" w:rsidR="00CB42AB" w:rsidRPr="005D17F1"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5D17F1" w:rsidRDefault="00CB42AB" w:rsidP="00324740">
      <w:pPr>
        <w:widowControl w:val="0"/>
        <w:numPr>
          <w:ilvl w:val="0"/>
          <w:numId w:val="18"/>
        </w:numPr>
        <w:tabs>
          <w:tab w:val="left" w:pos="2203"/>
          <w:tab w:val="left" w:pos="2909"/>
        </w:tabs>
        <w:autoSpaceDE/>
        <w:autoSpaceDN/>
        <w:adjustRightInd w:val="0"/>
        <w:ind w:right="1440"/>
        <w:rPr>
          <w:color w:val="000000"/>
        </w:rPr>
      </w:pPr>
      <w:r w:rsidRPr="005D17F1">
        <w:rPr>
          <w:color w:val="000000"/>
        </w:rPr>
        <w:t>Failure of a pleading to conform to this chapter or the inclusion of scandalous or impertinent matter.</w:t>
      </w:r>
    </w:p>
    <w:p w14:paraId="70FC9B78" w14:textId="77777777" w:rsidR="00CB42AB" w:rsidRPr="005D17F1" w:rsidRDefault="00CB42AB" w:rsidP="00324740">
      <w:pPr>
        <w:autoSpaceDE/>
        <w:autoSpaceDN/>
        <w:ind w:left="720"/>
        <w:contextualSpacing/>
        <w:rPr>
          <w:rFonts w:eastAsiaTheme="minorEastAsia"/>
          <w:color w:val="000000"/>
        </w:rPr>
      </w:pPr>
    </w:p>
    <w:p w14:paraId="25E54601" w14:textId="77777777" w:rsidR="00CB42AB" w:rsidRPr="005D17F1" w:rsidRDefault="00CB42AB" w:rsidP="00324740">
      <w:pPr>
        <w:widowControl w:val="0"/>
        <w:numPr>
          <w:ilvl w:val="0"/>
          <w:numId w:val="18"/>
        </w:numPr>
        <w:tabs>
          <w:tab w:val="left" w:pos="2203"/>
          <w:tab w:val="left" w:pos="2909"/>
        </w:tabs>
        <w:autoSpaceDE/>
        <w:autoSpaceDN/>
        <w:adjustRightInd w:val="0"/>
        <w:ind w:right="1440"/>
        <w:rPr>
          <w:color w:val="000000"/>
        </w:rPr>
      </w:pPr>
      <w:r w:rsidRPr="005D17F1">
        <w:rPr>
          <w:color w:val="000000"/>
        </w:rPr>
        <w:t>Insufficient specificity of a pleading.</w:t>
      </w:r>
    </w:p>
    <w:p w14:paraId="67BB4E22" w14:textId="77777777" w:rsidR="00CB42AB" w:rsidRPr="005D17F1" w:rsidRDefault="00CB42AB" w:rsidP="00324740">
      <w:pPr>
        <w:autoSpaceDE/>
        <w:autoSpaceDN/>
        <w:ind w:left="720"/>
        <w:contextualSpacing/>
        <w:rPr>
          <w:rFonts w:eastAsiaTheme="minorEastAsia"/>
          <w:color w:val="000000"/>
        </w:rPr>
      </w:pPr>
    </w:p>
    <w:p w14:paraId="17B149EB" w14:textId="77777777" w:rsidR="00CB42AB" w:rsidRPr="005D17F1" w:rsidRDefault="00CB42AB" w:rsidP="00324740">
      <w:pPr>
        <w:widowControl w:val="0"/>
        <w:numPr>
          <w:ilvl w:val="0"/>
          <w:numId w:val="18"/>
        </w:numPr>
        <w:tabs>
          <w:tab w:val="left" w:pos="2203"/>
          <w:tab w:val="left" w:pos="2909"/>
        </w:tabs>
        <w:autoSpaceDE/>
        <w:autoSpaceDN/>
        <w:adjustRightInd w:val="0"/>
        <w:ind w:right="1440"/>
        <w:rPr>
          <w:color w:val="000000"/>
        </w:rPr>
      </w:pPr>
      <w:r w:rsidRPr="005D17F1">
        <w:rPr>
          <w:color w:val="000000"/>
        </w:rPr>
        <w:t>Legal insufficiency of a pleading.</w:t>
      </w:r>
    </w:p>
    <w:p w14:paraId="076D6E80" w14:textId="77777777" w:rsidR="00CB42AB" w:rsidRPr="005D17F1" w:rsidRDefault="00CB42AB" w:rsidP="00324740">
      <w:pPr>
        <w:autoSpaceDE/>
        <w:autoSpaceDN/>
        <w:ind w:left="720"/>
        <w:contextualSpacing/>
        <w:rPr>
          <w:rFonts w:eastAsiaTheme="minorEastAsia"/>
          <w:color w:val="000000"/>
        </w:rPr>
      </w:pPr>
    </w:p>
    <w:p w14:paraId="0C34EBD6" w14:textId="77777777" w:rsidR="00CB42AB" w:rsidRPr="005D17F1" w:rsidRDefault="00CB42AB" w:rsidP="00324740">
      <w:pPr>
        <w:widowControl w:val="0"/>
        <w:numPr>
          <w:ilvl w:val="0"/>
          <w:numId w:val="18"/>
        </w:numPr>
        <w:tabs>
          <w:tab w:val="left" w:pos="2203"/>
          <w:tab w:val="left" w:pos="2909"/>
        </w:tabs>
        <w:autoSpaceDE/>
        <w:autoSpaceDN/>
        <w:adjustRightInd w:val="0"/>
        <w:ind w:right="1440"/>
        <w:rPr>
          <w:color w:val="000000"/>
        </w:rPr>
      </w:pPr>
      <w:r w:rsidRPr="005D17F1">
        <w:rPr>
          <w:color w:val="000000"/>
        </w:rPr>
        <w:t>Lack of capacity to sue, nonjoinder of a necessary party or misjoinder of a cause of action.</w:t>
      </w:r>
    </w:p>
    <w:p w14:paraId="65482138" w14:textId="77777777" w:rsidR="00CB42AB" w:rsidRPr="005D17F1" w:rsidRDefault="00CB42AB" w:rsidP="00324740">
      <w:pPr>
        <w:autoSpaceDE/>
        <w:autoSpaceDN/>
        <w:ind w:left="720"/>
        <w:contextualSpacing/>
        <w:rPr>
          <w:rFonts w:eastAsiaTheme="minorEastAsia"/>
          <w:color w:val="000000"/>
        </w:rPr>
      </w:pPr>
    </w:p>
    <w:p w14:paraId="1B2F4F31" w14:textId="77777777" w:rsidR="00CB42AB" w:rsidRPr="005D17F1" w:rsidRDefault="00CB42AB" w:rsidP="00324740">
      <w:pPr>
        <w:widowControl w:val="0"/>
        <w:numPr>
          <w:ilvl w:val="0"/>
          <w:numId w:val="18"/>
        </w:numPr>
        <w:tabs>
          <w:tab w:val="left" w:pos="2203"/>
          <w:tab w:val="left" w:pos="2909"/>
        </w:tabs>
        <w:autoSpaceDE/>
        <w:autoSpaceDN/>
        <w:adjustRightInd w:val="0"/>
        <w:ind w:right="1440"/>
        <w:rPr>
          <w:color w:val="000000"/>
        </w:rPr>
      </w:pPr>
      <w:r w:rsidRPr="005D17F1">
        <w:rPr>
          <w:color w:val="000000"/>
        </w:rPr>
        <w:t>Pendency of a prior proceeding or agreement for alternative dispute resolution.</w:t>
      </w:r>
    </w:p>
    <w:p w14:paraId="00FDC938" w14:textId="77777777" w:rsidR="00CB42AB" w:rsidRPr="005D17F1" w:rsidRDefault="00CB42AB" w:rsidP="00324740">
      <w:pPr>
        <w:autoSpaceDE/>
        <w:autoSpaceDN/>
        <w:ind w:left="720"/>
        <w:contextualSpacing/>
        <w:rPr>
          <w:color w:val="000000"/>
        </w:rPr>
      </w:pPr>
    </w:p>
    <w:p w14:paraId="231D2896" w14:textId="77777777" w:rsidR="00CB42AB" w:rsidRPr="005D17F1" w:rsidRDefault="00CB42AB" w:rsidP="00324740">
      <w:pPr>
        <w:widowControl w:val="0"/>
        <w:numPr>
          <w:ilvl w:val="0"/>
          <w:numId w:val="18"/>
        </w:numPr>
        <w:tabs>
          <w:tab w:val="left" w:pos="2203"/>
          <w:tab w:val="left" w:pos="2909"/>
        </w:tabs>
        <w:autoSpaceDE/>
        <w:autoSpaceDN/>
        <w:adjustRightInd w:val="0"/>
        <w:ind w:right="1440"/>
        <w:rPr>
          <w:color w:val="000000"/>
        </w:rPr>
      </w:pPr>
      <w:r w:rsidRPr="005D17F1">
        <w:rPr>
          <w:color w:val="000000"/>
        </w:rPr>
        <w:t>Standing of a party to participate in a proceeding.</w:t>
      </w:r>
    </w:p>
    <w:p w14:paraId="30AAC1A9" w14:textId="77777777" w:rsidR="00CB42AB" w:rsidRPr="005D17F1" w:rsidRDefault="00CB42AB" w:rsidP="00CB42AB">
      <w:pPr>
        <w:widowControl w:val="0"/>
        <w:tabs>
          <w:tab w:val="left" w:pos="2203"/>
          <w:tab w:val="left" w:pos="2909"/>
        </w:tabs>
        <w:adjustRightInd w:val="0"/>
        <w:ind w:left="1440" w:right="1440"/>
        <w:rPr>
          <w:color w:val="000000"/>
        </w:rPr>
      </w:pPr>
    </w:p>
    <w:p w14:paraId="21D43418" w14:textId="77777777" w:rsidR="00CB42AB" w:rsidRPr="005D17F1" w:rsidRDefault="00CB42AB" w:rsidP="00CB42AB">
      <w:pPr>
        <w:widowControl w:val="0"/>
        <w:adjustRightInd w:val="0"/>
        <w:ind w:right="1440"/>
        <w:rPr>
          <w:color w:val="000000"/>
        </w:rPr>
      </w:pPr>
      <w:r w:rsidRPr="005D17F1">
        <w:rPr>
          <w:color w:val="000000"/>
        </w:rPr>
        <w:t xml:space="preserve">52 </w:t>
      </w:r>
      <w:proofErr w:type="spellStart"/>
      <w:proofErr w:type="gramStart"/>
      <w:r w:rsidRPr="005D17F1">
        <w:rPr>
          <w:color w:val="000000"/>
        </w:rPr>
        <w:t>Pa.Code</w:t>
      </w:r>
      <w:proofErr w:type="spellEnd"/>
      <w:proofErr w:type="gramEnd"/>
      <w:r w:rsidRPr="005D17F1">
        <w:rPr>
          <w:color w:val="000000"/>
        </w:rPr>
        <w:t xml:space="preserve"> § 5.101(a)(1)-(7).</w:t>
      </w:r>
    </w:p>
    <w:p w14:paraId="64DF47AF" w14:textId="77777777" w:rsidR="00CB42AB" w:rsidRPr="005D17F1" w:rsidRDefault="00CB42AB" w:rsidP="00CB42AB">
      <w:pPr>
        <w:widowControl w:val="0"/>
        <w:adjustRightInd w:val="0"/>
        <w:spacing w:line="360" w:lineRule="auto"/>
        <w:ind w:right="200"/>
        <w:rPr>
          <w:color w:val="000000"/>
        </w:rPr>
      </w:pPr>
    </w:p>
    <w:p w14:paraId="64CDE74A" w14:textId="493ED360" w:rsidR="00CB42AB" w:rsidRPr="005D17F1" w:rsidRDefault="00CB42AB" w:rsidP="00CB42AB">
      <w:pPr>
        <w:tabs>
          <w:tab w:val="left" w:pos="-720"/>
        </w:tabs>
        <w:suppressAutoHyphens/>
        <w:spacing w:line="360" w:lineRule="auto"/>
        <w:ind w:firstLine="1440"/>
      </w:pPr>
      <w:r w:rsidRPr="005D17F1">
        <w:t xml:space="preserve">For purposes of disposing of </w:t>
      </w:r>
      <w:r w:rsidR="00F73A93" w:rsidRPr="005D17F1">
        <w:t>p</w:t>
      </w:r>
      <w:r w:rsidRPr="005D17F1">
        <w:t xml:space="preserve">reliminary </w:t>
      </w:r>
      <w:r w:rsidR="00F73A93" w:rsidRPr="005D17F1">
        <w:t>o</w:t>
      </w:r>
      <w:r w:rsidRPr="005D17F1">
        <w:t xml:space="preserve">bjections, the Commission must accept as true all well pleaded, material facts of the nonmoving party, as well as every reasonable inference from those facts.  </w:t>
      </w:r>
      <w:r w:rsidRPr="005D17F1">
        <w:rPr>
          <w:u w:val="single"/>
        </w:rPr>
        <w:t>County of Allegheny v. Commonwealth of Pennsylvania</w:t>
      </w:r>
      <w:r w:rsidRPr="005D17F1">
        <w:t xml:space="preserve">, 490 A.2d 402 (Pa. 1985); </w:t>
      </w:r>
      <w:r w:rsidRPr="005D17F1">
        <w:rPr>
          <w:u w:val="single"/>
        </w:rPr>
        <w:t>Commonwealth of Pennsylvania v. Bell Telephone Co. of Pa.</w:t>
      </w:r>
      <w:r w:rsidRPr="005D17F1">
        <w:t xml:space="preserve">, 551 A.2d 602 (Pa. </w:t>
      </w:r>
      <w:proofErr w:type="spellStart"/>
      <w:r w:rsidRPr="005D17F1">
        <w:t>Cmwlth</w:t>
      </w:r>
      <w:proofErr w:type="spellEnd"/>
      <w:r w:rsidRPr="005D17F1">
        <w:t xml:space="preserve">. 1988).  The Commission must view the complaint in this case in the light most favorable to </w:t>
      </w:r>
      <w:r w:rsidR="005D17F1">
        <w:t>MAW</w:t>
      </w:r>
      <w:r w:rsidR="003E428F" w:rsidRPr="005D17F1">
        <w:t xml:space="preserve"> </w:t>
      </w:r>
      <w:r w:rsidRPr="005D17F1">
        <w:t xml:space="preserve">and should dismiss the complaint only if it appears that </w:t>
      </w:r>
      <w:r w:rsidR="005D17F1">
        <w:t xml:space="preserve">MAW </w:t>
      </w:r>
      <w:r w:rsidRPr="005D17F1">
        <w:t xml:space="preserve">would not be entitled to relief under any circumstances as a matter of law.  </w:t>
      </w:r>
      <w:r w:rsidRPr="005D17F1">
        <w:rPr>
          <w:u w:val="single"/>
        </w:rPr>
        <w:t>Equitable</w:t>
      </w:r>
      <w:r w:rsidRPr="005D17F1">
        <w:t xml:space="preserve">, </w:t>
      </w:r>
      <w:r w:rsidRPr="005D17F1">
        <w:rPr>
          <w:i/>
        </w:rPr>
        <w:t>supra</w:t>
      </w:r>
      <w:r w:rsidRPr="005D17F1">
        <w:t xml:space="preserve">; </w:t>
      </w:r>
      <w:r w:rsidRPr="005D17F1">
        <w:rPr>
          <w:i/>
        </w:rPr>
        <w:t>see also</w:t>
      </w:r>
      <w:r w:rsidRPr="005D17F1">
        <w:t xml:space="preserve">, </w:t>
      </w:r>
      <w:r w:rsidRPr="005D17F1">
        <w:rPr>
          <w:u w:val="single"/>
        </w:rPr>
        <w:t>Interstate Traveler Services, Inc. v. Commonwealth, Department of Environmental Resources</w:t>
      </w:r>
      <w:r w:rsidRPr="005D17F1">
        <w:t>, 406 A.2d 1020 (Pa. 1979).</w:t>
      </w:r>
    </w:p>
    <w:p w14:paraId="2960045B" w14:textId="6393EB6D" w:rsidR="00E86857" w:rsidRPr="005D17F1" w:rsidRDefault="00E86857" w:rsidP="00CB42AB">
      <w:pPr>
        <w:tabs>
          <w:tab w:val="left" w:pos="-720"/>
        </w:tabs>
        <w:suppressAutoHyphens/>
        <w:spacing w:line="360" w:lineRule="auto"/>
        <w:ind w:firstLine="1440"/>
      </w:pPr>
    </w:p>
    <w:p w14:paraId="055C4D72" w14:textId="1E36166F" w:rsidR="00E86857" w:rsidRDefault="00CC17D8" w:rsidP="00E86857">
      <w:pPr>
        <w:tabs>
          <w:tab w:val="left" w:pos="-720"/>
        </w:tabs>
        <w:suppressAutoHyphens/>
        <w:spacing w:line="360" w:lineRule="auto"/>
        <w:ind w:firstLine="1440"/>
      </w:pPr>
      <w:r>
        <w:t>Furthermore, i</w:t>
      </w:r>
      <w:r w:rsidR="00E86857" w:rsidRPr="005D17F1">
        <w:t xml:space="preserve">n civil practice, a preliminary objection based on legal insufficiency is referred to as a demurrer.  Preliminary objections in the form of a demurrer will be sustained only in cases which are free and clear of doubt and where dismissal is clearly warranted by the record.  </w:t>
      </w:r>
      <w:r w:rsidR="00E86857" w:rsidRPr="005D17F1">
        <w:rPr>
          <w:u w:val="single"/>
        </w:rPr>
        <w:t xml:space="preserve">Community Life Support Systems, Inc., </w:t>
      </w:r>
      <w:r w:rsidR="00E86857" w:rsidRPr="005D17F1">
        <w:rPr>
          <w:i/>
          <w:u w:val="single"/>
        </w:rPr>
        <w:t>et al</w:t>
      </w:r>
      <w:r w:rsidR="00E86857" w:rsidRPr="005D17F1">
        <w:rPr>
          <w:u w:val="single"/>
        </w:rPr>
        <w:t>. v. Commonwealth of Pennsylvania</w:t>
      </w:r>
      <w:r w:rsidR="00E86857" w:rsidRPr="005D17F1">
        <w:t xml:space="preserve">, 689 A.2d 1014, 1017 (Pa. </w:t>
      </w:r>
      <w:proofErr w:type="spellStart"/>
      <w:r w:rsidR="00E86857" w:rsidRPr="005D17F1">
        <w:t>Cmwlth</w:t>
      </w:r>
      <w:proofErr w:type="spellEnd"/>
      <w:r w:rsidR="00E86857" w:rsidRPr="005D17F1">
        <w:t xml:space="preserve">. 1997).  Any doubt must be resolved in favor of overruling a demurrer.  </w:t>
      </w:r>
      <w:proofErr w:type="gramStart"/>
      <w:r w:rsidR="00E86857" w:rsidRPr="005D17F1">
        <w:rPr>
          <w:u w:val="single"/>
        </w:rPr>
        <w:t>Id.</w:t>
      </w:r>
      <w:r w:rsidR="00E86857" w:rsidRPr="005D17F1">
        <w:t>;</w:t>
      </w:r>
      <w:proofErr w:type="gramEnd"/>
      <w:r w:rsidR="00E86857" w:rsidRPr="005D17F1">
        <w:t xml:space="preserve"> </w:t>
      </w:r>
      <w:r w:rsidR="00E86857" w:rsidRPr="005D17F1">
        <w:rPr>
          <w:i/>
        </w:rPr>
        <w:t>see also</w:t>
      </w:r>
      <w:r w:rsidR="00E86857" w:rsidRPr="005D17F1">
        <w:t xml:space="preserve">, </w:t>
      </w:r>
      <w:r w:rsidR="00E86857" w:rsidRPr="005D17F1">
        <w:rPr>
          <w:u w:val="single"/>
        </w:rPr>
        <w:t>Hoffman v. Misericordia Hospital of Philadelphia</w:t>
      </w:r>
      <w:r w:rsidR="00E86857" w:rsidRPr="005D17F1">
        <w:t>, 439 Pa. 501, 267 A.2d 867 (1970) (“the question presented by the demurrer is whether on the facts averred, the law states with certainty that no recovery is possible”).</w:t>
      </w:r>
    </w:p>
    <w:p w14:paraId="4D8BD21F" w14:textId="562A8B9A" w:rsidR="005D17F1" w:rsidRDefault="005D17F1" w:rsidP="00180AEA">
      <w:pPr>
        <w:tabs>
          <w:tab w:val="left" w:pos="-720"/>
        </w:tabs>
        <w:suppressAutoHyphens/>
        <w:spacing w:line="360" w:lineRule="auto"/>
      </w:pPr>
    </w:p>
    <w:p w14:paraId="393A7ED8" w14:textId="09D98424" w:rsidR="00180AEA" w:rsidRDefault="00180AEA" w:rsidP="00180AEA">
      <w:pPr>
        <w:tabs>
          <w:tab w:val="left" w:pos="-720"/>
        </w:tabs>
        <w:suppressAutoHyphens/>
        <w:spacing w:line="360" w:lineRule="auto"/>
      </w:pPr>
      <w:r>
        <w:rPr>
          <w:b/>
          <w:bCs/>
          <w:u w:val="single"/>
        </w:rPr>
        <w:t>Preliminary objection number 1</w:t>
      </w:r>
    </w:p>
    <w:p w14:paraId="78AF1B16" w14:textId="70AF1C2A" w:rsidR="00180AEA" w:rsidRDefault="00180AEA" w:rsidP="00180AEA">
      <w:pPr>
        <w:tabs>
          <w:tab w:val="left" w:pos="-720"/>
        </w:tabs>
        <w:suppressAutoHyphens/>
        <w:spacing w:line="360" w:lineRule="auto"/>
      </w:pPr>
    </w:p>
    <w:p w14:paraId="5F4DC541" w14:textId="235D1218" w:rsidR="00793CBE" w:rsidRDefault="00180AEA" w:rsidP="00180AEA">
      <w:pPr>
        <w:tabs>
          <w:tab w:val="left" w:pos="-720"/>
        </w:tabs>
        <w:suppressAutoHyphens/>
        <w:spacing w:line="360" w:lineRule="auto"/>
      </w:pPr>
      <w:r>
        <w:tab/>
      </w:r>
      <w:r>
        <w:tab/>
        <w:t xml:space="preserve">PPL’s first preliminary objection will be denied </w:t>
      </w:r>
      <w:r w:rsidR="00294CEF">
        <w:t>because</w:t>
      </w:r>
      <w:r w:rsidR="00E3773F">
        <w:t xml:space="preserve">, when accepting as true all well pleaded material facts pleaded in the complaint and every reasonable inference from those facts, and viewing the complaint in the light most favorable to MAW, it </w:t>
      </w:r>
      <w:r w:rsidR="00793CBE">
        <w:t>does not appear that MAW would not be entitled to relief under any circumstances as a matter of law</w:t>
      </w:r>
      <w:r w:rsidR="00E367FC">
        <w:t xml:space="preserve"> because the Commission possesses jurisdiction to hear the issues raised in the complaint</w:t>
      </w:r>
      <w:r w:rsidR="00793CBE">
        <w:t>.</w:t>
      </w:r>
    </w:p>
    <w:p w14:paraId="448BDCA3" w14:textId="449C42B7" w:rsidR="00E367FC" w:rsidRDefault="00E367FC" w:rsidP="00180AEA">
      <w:pPr>
        <w:tabs>
          <w:tab w:val="left" w:pos="-720"/>
        </w:tabs>
        <w:suppressAutoHyphens/>
        <w:spacing w:line="360" w:lineRule="auto"/>
      </w:pPr>
    </w:p>
    <w:p w14:paraId="51609B50" w14:textId="2073A85D" w:rsidR="009B09E9" w:rsidRDefault="00E367FC" w:rsidP="00180AEA">
      <w:pPr>
        <w:tabs>
          <w:tab w:val="left" w:pos="-720"/>
        </w:tabs>
        <w:suppressAutoHyphens/>
        <w:spacing w:line="360" w:lineRule="auto"/>
      </w:pPr>
      <w:r>
        <w:tab/>
      </w:r>
      <w:r>
        <w:tab/>
        <w:t xml:space="preserve">In its preliminary objection, PPL argued that </w:t>
      </w:r>
      <w:r w:rsidR="009B09E9">
        <w:t xml:space="preserve">most, if not all, of the attachments at issue in the MAW complaint involve broadband internet or intranet services, rather than telecommunications services.  PPL further argued that normally a government agency does not have the authority to abrogate or reform contracts between private parties and that the Commission does not have control over all contractual rights between utilities, including the rights and obligations of parties pursuant to a lawful and reasonable pole attachment agreement.  PPL added that the 2003 agreement between it and MAW relates to a contract </w:t>
      </w:r>
      <w:proofErr w:type="gramStart"/>
      <w:r w:rsidR="009B09E9">
        <w:t>entered into</w:t>
      </w:r>
      <w:proofErr w:type="gramEnd"/>
      <w:r w:rsidR="009B09E9">
        <w:t xml:space="preserve"> through arms-length negotiations by the parties and MAW’s complaint does not allege adverse harm to the public.  PPL noted the proceedings before the FCC and </w:t>
      </w:r>
      <w:r w:rsidR="0020740A">
        <w:t xml:space="preserve">LCCCP </w:t>
      </w:r>
      <w:r w:rsidR="009B09E9">
        <w:t>and reiterated its position that the MAW complaint should be dismissed for lack of jurisdiction.</w:t>
      </w:r>
    </w:p>
    <w:p w14:paraId="7F673EE8" w14:textId="77777777" w:rsidR="009B09E9" w:rsidRDefault="009B09E9" w:rsidP="00180AEA">
      <w:pPr>
        <w:tabs>
          <w:tab w:val="left" w:pos="-720"/>
        </w:tabs>
        <w:suppressAutoHyphens/>
        <w:spacing w:line="360" w:lineRule="auto"/>
      </w:pPr>
    </w:p>
    <w:p w14:paraId="269225D7" w14:textId="09770DF1" w:rsidR="00A32A74" w:rsidRDefault="009B09E9" w:rsidP="00180AEA">
      <w:pPr>
        <w:tabs>
          <w:tab w:val="left" w:pos="-720"/>
        </w:tabs>
        <w:suppressAutoHyphens/>
        <w:spacing w:line="360" w:lineRule="auto"/>
      </w:pPr>
      <w:r>
        <w:tab/>
      </w:r>
      <w:r>
        <w:tab/>
        <w:t xml:space="preserve">In response, MAW argued that </w:t>
      </w:r>
      <w:r w:rsidR="005B6555">
        <w:t xml:space="preserve">the Commission has elected to regulate pole attachments and, therefore, effectively staying the civil case and bifurcating all liability issues to be determined by the Commission.  MAW also noted that its Commission approved tariff permits </w:t>
      </w:r>
      <w:r w:rsidR="0020740A">
        <w:t xml:space="preserve">it </w:t>
      </w:r>
      <w:r w:rsidR="005B6555">
        <w:t xml:space="preserve">to offer intrastate wholesale dedicated access service to the public as a competitive access provider and that it is a competitive local exchange carrier providing internet service in Lancaster.  </w:t>
      </w:r>
    </w:p>
    <w:p w14:paraId="71C4EB00" w14:textId="77777777" w:rsidR="00A32A74" w:rsidRDefault="00A32A74" w:rsidP="00180AEA">
      <w:pPr>
        <w:tabs>
          <w:tab w:val="left" w:pos="-720"/>
        </w:tabs>
        <w:suppressAutoHyphens/>
        <w:spacing w:line="360" w:lineRule="auto"/>
      </w:pPr>
    </w:p>
    <w:p w14:paraId="237AF995" w14:textId="074F004C" w:rsidR="007B200D" w:rsidRDefault="00A32A74" w:rsidP="00180AEA">
      <w:pPr>
        <w:tabs>
          <w:tab w:val="left" w:pos="-720"/>
        </w:tabs>
        <w:suppressAutoHyphens/>
        <w:spacing w:line="360" w:lineRule="auto"/>
      </w:pPr>
      <w:r>
        <w:tab/>
      </w:r>
      <w:r>
        <w:tab/>
        <w:t>MAW is correct</w:t>
      </w:r>
      <w:r w:rsidR="009E75E3">
        <w:t xml:space="preserve"> that t</w:t>
      </w:r>
      <w:r>
        <w:t xml:space="preserve">he Commission has jurisdiction </w:t>
      </w:r>
      <w:r w:rsidR="007B200D">
        <w:t>to hear the matters averred in its complaint.</w:t>
      </w:r>
    </w:p>
    <w:p w14:paraId="190D382B" w14:textId="77777777" w:rsidR="007B200D" w:rsidRDefault="007B200D" w:rsidP="00180AEA">
      <w:pPr>
        <w:tabs>
          <w:tab w:val="left" w:pos="-720"/>
        </w:tabs>
        <w:suppressAutoHyphens/>
        <w:spacing w:line="360" w:lineRule="auto"/>
      </w:pPr>
    </w:p>
    <w:p w14:paraId="32E7CC0A" w14:textId="14C049FF" w:rsidR="008264CF" w:rsidRDefault="007B200D" w:rsidP="00180AEA">
      <w:pPr>
        <w:tabs>
          <w:tab w:val="left" w:pos="-720"/>
        </w:tabs>
        <w:suppressAutoHyphens/>
        <w:spacing w:line="360" w:lineRule="auto"/>
      </w:pPr>
      <w:r>
        <w:tab/>
      </w:r>
      <w:r>
        <w:tab/>
      </w:r>
      <w:r w:rsidR="000804D9">
        <w:t xml:space="preserve">The Commission has recently asserted jurisdiction over pole attachments in Pennsylvania.  In </w:t>
      </w:r>
      <w:r w:rsidR="000804D9">
        <w:rPr>
          <w:u w:val="single"/>
        </w:rPr>
        <w:t>Assumption of Commission Jurisdiction Over Pole Attachments from the Federal Communications</w:t>
      </w:r>
      <w:r w:rsidR="0020740A">
        <w:rPr>
          <w:u w:val="single"/>
        </w:rPr>
        <w:t xml:space="preserve"> Commission</w:t>
      </w:r>
      <w:r w:rsidR="000804D9">
        <w:t>, Docket Number L-2018-3002672 (Final Rulemaking Order entered Sept. 3, 2019) (</w:t>
      </w:r>
      <w:r w:rsidR="000804D9">
        <w:rPr>
          <w:u w:val="single"/>
        </w:rPr>
        <w:t>Pole Attachment Order</w:t>
      </w:r>
      <w:r w:rsidR="000804D9">
        <w:t>), the Commission concluded a rulemaking proceeding whereby it formally recognized that the FCC regulates pole attachments by default but TA-96 contains procedures by which states may reverse preempt FCC jurisdiction over pole attachments.  The Commission noted recent public demand for ubiquitous access to wireline and wireless dat</w:t>
      </w:r>
      <w:r w:rsidR="009E75E3">
        <w:t>a</w:t>
      </w:r>
      <w:r w:rsidR="000804D9">
        <w:t xml:space="preserve"> technology has increased the need for more streamlined pole attachment procedures in Pennsylvania and that the Commission’s actions were a natural outgrowth of the goals of Chapter 30 of the Public Utility Code which is intended to promote and encourage the provision of advanced telecommunications services and broadband deployment in the Commonwealth.  </w:t>
      </w:r>
      <w:r w:rsidR="000804D9">
        <w:rPr>
          <w:u w:val="single"/>
        </w:rPr>
        <w:t>Id.</w:t>
      </w:r>
      <w:r w:rsidR="000804D9">
        <w:t xml:space="preserve"> at 1, 3, </w:t>
      </w:r>
      <w:r w:rsidR="000804D9">
        <w:rPr>
          <w:i/>
          <w:iCs/>
        </w:rPr>
        <w:t>citing</w:t>
      </w:r>
      <w:r w:rsidR="000804D9">
        <w:t xml:space="preserve">, 66 </w:t>
      </w:r>
      <w:proofErr w:type="spellStart"/>
      <w:r w:rsidR="000804D9">
        <w:t>Pa.C.S</w:t>
      </w:r>
      <w:proofErr w:type="spellEnd"/>
      <w:r w:rsidR="000804D9">
        <w:t xml:space="preserve">. §§ 3001, </w:t>
      </w:r>
      <w:r w:rsidR="000804D9" w:rsidRPr="008264CF">
        <w:rPr>
          <w:i/>
          <w:iCs/>
        </w:rPr>
        <w:t>et seq</w:t>
      </w:r>
      <w:r w:rsidR="000804D9">
        <w:t>.</w:t>
      </w:r>
    </w:p>
    <w:p w14:paraId="5C2F6B42" w14:textId="77777777" w:rsidR="008264CF" w:rsidRDefault="008264CF" w:rsidP="00180AEA">
      <w:pPr>
        <w:tabs>
          <w:tab w:val="left" w:pos="-720"/>
        </w:tabs>
        <w:suppressAutoHyphens/>
        <w:spacing w:line="360" w:lineRule="auto"/>
      </w:pPr>
    </w:p>
    <w:p w14:paraId="493DD6B2" w14:textId="77777777" w:rsidR="00C76F16" w:rsidRDefault="008264CF" w:rsidP="00180AEA">
      <w:pPr>
        <w:tabs>
          <w:tab w:val="left" w:pos="-720"/>
        </w:tabs>
        <w:suppressAutoHyphens/>
        <w:spacing w:line="360" w:lineRule="auto"/>
      </w:pPr>
      <w:r>
        <w:tab/>
      </w:r>
      <w:r>
        <w:tab/>
      </w:r>
      <w:r w:rsidR="00C76F16">
        <w:t>More specifically, the Commission stated:</w:t>
      </w:r>
    </w:p>
    <w:p w14:paraId="268C55D3" w14:textId="77777777" w:rsidR="00C76F16" w:rsidRDefault="00C76F16" w:rsidP="00180AEA">
      <w:pPr>
        <w:tabs>
          <w:tab w:val="left" w:pos="-720"/>
        </w:tabs>
        <w:suppressAutoHyphens/>
        <w:spacing w:line="360" w:lineRule="auto"/>
      </w:pPr>
    </w:p>
    <w:p w14:paraId="1B0BD70B" w14:textId="70B30B86" w:rsidR="00C76F16" w:rsidRDefault="00661492" w:rsidP="00073289">
      <w:pPr>
        <w:tabs>
          <w:tab w:val="left" w:pos="-720"/>
        </w:tabs>
        <w:suppressAutoHyphens/>
        <w:ind w:left="1440" w:right="1440"/>
      </w:pPr>
      <w:r>
        <w:t xml:space="preserve">As noted above, the Commission agrees with those comments urging that we assert jurisdiction over pole attachments to provide a local forum in Pennsylvania for the timely resolution of pole attachment disputes. </w:t>
      </w:r>
      <w:r w:rsidR="00686A6A">
        <w:t xml:space="preserve"> The Commission’s assertion of jurisdiction over pole attachments will assist Pennsylvania pole owners and those entities that seek to utilize pole attachments, including those entities seeking to deploy broadband network access elements across the Commonwealth.  The Commission also will be able to address Pennsylvania-specific pole attachment issues, using its expertise regarding Pennsylvania telecommunications</w:t>
      </w:r>
      <w:r w:rsidR="00073289">
        <w:t xml:space="preserve"> and electric utilities as well as safety issues.  The Commission believes its assertion of jurisdiction over pole attachments will assist in spurring investment in, and access to, physical infrastructure used to deliver essential broadband access service to end-user customers by reducing the time and resources spent on disputes by resolving Pennsylvania-specific disputes in Pennsylvania as compared to in the FCC.  In addition, the Commission can provide a balanced approach to the competing needs and demands on pole infrastructure between pole owners, pole </w:t>
      </w:r>
      <w:proofErr w:type="spellStart"/>
      <w:r w:rsidR="00073289">
        <w:t>attachers</w:t>
      </w:r>
      <w:proofErr w:type="spellEnd"/>
      <w:r w:rsidR="00073289">
        <w:t>, and the telecommunications, electric and cable industries in a predictable manner using federal rules.</w:t>
      </w:r>
    </w:p>
    <w:p w14:paraId="1FCDF512" w14:textId="77777777" w:rsidR="00073289" w:rsidRDefault="00073289" w:rsidP="00073289">
      <w:pPr>
        <w:tabs>
          <w:tab w:val="left" w:pos="-720"/>
        </w:tabs>
        <w:suppressAutoHyphens/>
        <w:ind w:left="1440" w:right="1440"/>
      </w:pPr>
    </w:p>
    <w:p w14:paraId="6B4347AD" w14:textId="76681AC9" w:rsidR="00AD25FB" w:rsidRDefault="00C76F16" w:rsidP="00180AEA">
      <w:pPr>
        <w:tabs>
          <w:tab w:val="left" w:pos="-720"/>
        </w:tabs>
        <w:suppressAutoHyphens/>
        <w:spacing w:line="360" w:lineRule="auto"/>
      </w:pPr>
      <w:r>
        <w:rPr>
          <w:u w:val="single"/>
        </w:rPr>
        <w:t>Id.</w:t>
      </w:r>
      <w:r>
        <w:t xml:space="preserve"> at 9-10</w:t>
      </w:r>
      <w:r w:rsidR="008517D4">
        <w:t xml:space="preserve">; </w:t>
      </w:r>
      <w:r w:rsidR="008517D4">
        <w:rPr>
          <w:i/>
          <w:iCs/>
        </w:rPr>
        <w:t>see also</w:t>
      </w:r>
      <w:r w:rsidR="008517D4">
        <w:t xml:space="preserve">, 52 </w:t>
      </w:r>
      <w:proofErr w:type="spellStart"/>
      <w:proofErr w:type="gramStart"/>
      <w:r w:rsidR="008517D4">
        <w:t>Pa.Code</w:t>
      </w:r>
      <w:proofErr w:type="spellEnd"/>
      <w:proofErr w:type="gramEnd"/>
      <w:r w:rsidR="008517D4">
        <w:t xml:space="preserve"> § 77.3 (Commission oversight).</w:t>
      </w:r>
      <w:r w:rsidR="00AD25FB">
        <w:t xml:space="preserve">  </w:t>
      </w:r>
      <w:r w:rsidR="00921F29">
        <w:t xml:space="preserve">MAW’s complaint is replete with averments regarding pole attachment issues that fall under the scope of jurisdiction outlined by the Commission in the </w:t>
      </w:r>
      <w:r w:rsidR="00921F29">
        <w:rPr>
          <w:u w:val="single"/>
        </w:rPr>
        <w:t>Pole Attachment Order</w:t>
      </w:r>
      <w:r w:rsidR="00921F29">
        <w:t xml:space="preserve">.  </w:t>
      </w:r>
      <w:r w:rsidR="00AD25FB">
        <w:t xml:space="preserve">As a result, </w:t>
      </w:r>
      <w:proofErr w:type="gramStart"/>
      <w:r w:rsidR="00AD25FB">
        <w:t>it is clear that the</w:t>
      </w:r>
      <w:proofErr w:type="gramEnd"/>
      <w:r w:rsidR="00AD25FB">
        <w:t xml:space="preserve"> Commission has jurisdiction over the matters raised in MAW’s complaint.</w:t>
      </w:r>
    </w:p>
    <w:p w14:paraId="1959F699" w14:textId="77777777" w:rsidR="00AD25FB" w:rsidRDefault="00AD25FB" w:rsidP="00180AEA">
      <w:pPr>
        <w:tabs>
          <w:tab w:val="left" w:pos="-720"/>
        </w:tabs>
        <w:suppressAutoHyphens/>
        <w:spacing w:line="360" w:lineRule="auto"/>
      </w:pPr>
    </w:p>
    <w:p w14:paraId="546278C1" w14:textId="1245601F" w:rsidR="005D17F1" w:rsidRDefault="00AD25FB" w:rsidP="00180AEA">
      <w:pPr>
        <w:tabs>
          <w:tab w:val="left" w:pos="-720"/>
        </w:tabs>
        <w:suppressAutoHyphens/>
        <w:spacing w:line="360" w:lineRule="auto"/>
      </w:pPr>
      <w:r>
        <w:tab/>
      </w:r>
      <w:r>
        <w:tab/>
        <w:t xml:space="preserve">Furthermore, however, none of the arguments raised by PPL in its preliminary objection warrant finding that the Commission does not have jurisdiction over the matters raised in the complaint.  For example, </w:t>
      </w:r>
      <w:r w:rsidR="00A07E34">
        <w:t xml:space="preserve">whether or not the 2003 agreement was entered into through an arms-length transaction or </w:t>
      </w:r>
      <w:r w:rsidR="0020740A">
        <w:t xml:space="preserve">whether the complaint </w:t>
      </w:r>
      <w:r w:rsidR="00A07E34">
        <w:t>aver</w:t>
      </w:r>
      <w:r w:rsidR="0020740A">
        <w:t>s</w:t>
      </w:r>
      <w:r w:rsidR="00A07E34">
        <w:t xml:space="preserve"> adverse harm is irrelevant to whether PPL’s actions as described in MAW’s complaint violate the Public Utility Code, a Commission order or regulation or a Commission approved tariff of the company, when accepted as true and viewed in the light most favorable to MAW.  MAW averred that PPL’s actions </w:t>
      </w:r>
      <w:r w:rsidR="0020740A">
        <w:t xml:space="preserve">violate </w:t>
      </w:r>
      <w:r w:rsidR="00A07E34">
        <w:t>sections 1304 and 1501 of the Public Utility Code.  These averments must be accepted as true for purposes of disposing of PPL’s preliminary objections.  Whether or not such issues were raised in the proceeding before the FCC does not remove the Commission’s jurisdiction to hear such matters.</w:t>
      </w:r>
    </w:p>
    <w:p w14:paraId="11250C00" w14:textId="554A1266" w:rsidR="00A32A74" w:rsidRDefault="00A32A74" w:rsidP="00180AEA">
      <w:pPr>
        <w:tabs>
          <w:tab w:val="left" w:pos="-720"/>
        </w:tabs>
        <w:suppressAutoHyphens/>
        <w:spacing w:line="360" w:lineRule="auto"/>
      </w:pPr>
    </w:p>
    <w:p w14:paraId="15B0A7F4" w14:textId="19A1820E" w:rsidR="00A32A74" w:rsidRDefault="00A32A74" w:rsidP="00180AEA">
      <w:pPr>
        <w:tabs>
          <w:tab w:val="left" w:pos="-720"/>
        </w:tabs>
        <w:suppressAutoHyphens/>
        <w:spacing w:line="360" w:lineRule="auto"/>
      </w:pPr>
      <w:r>
        <w:tab/>
      </w:r>
      <w:r>
        <w:tab/>
        <w:t>As a result, when accepting as true all well pleaded, material facts of MAW, as well as every reasonable inference from those facts, and viewing the complaint in the light most favorable to MAW, it does not appear that MAW would not be entitled to relief under any circumstances as a matter of law because the Commission lacks jurisdiction to hear the complaint.  Rather, the Commission does have jurisdiction to hear the matters averred in MAW’s complaint and PPL’s preliminary objection to the contrary will be denied.</w:t>
      </w:r>
    </w:p>
    <w:p w14:paraId="640719E4" w14:textId="7F79329D" w:rsidR="00A32A74" w:rsidRDefault="00A32A74" w:rsidP="00180AEA">
      <w:pPr>
        <w:tabs>
          <w:tab w:val="left" w:pos="-720"/>
        </w:tabs>
        <w:suppressAutoHyphens/>
        <w:spacing w:line="360" w:lineRule="auto"/>
      </w:pPr>
    </w:p>
    <w:p w14:paraId="6797BBBA" w14:textId="533BA9EA" w:rsidR="00A32A74" w:rsidRDefault="00A32A74" w:rsidP="00180AEA">
      <w:pPr>
        <w:tabs>
          <w:tab w:val="left" w:pos="-720"/>
        </w:tabs>
        <w:suppressAutoHyphens/>
        <w:spacing w:line="360" w:lineRule="auto"/>
      </w:pPr>
      <w:r>
        <w:rPr>
          <w:b/>
          <w:bCs/>
          <w:u w:val="single"/>
        </w:rPr>
        <w:t>Preliminary objection number 2</w:t>
      </w:r>
    </w:p>
    <w:p w14:paraId="32F244E9" w14:textId="134A5C63" w:rsidR="00A32A74" w:rsidRDefault="00A32A74" w:rsidP="00180AEA">
      <w:pPr>
        <w:tabs>
          <w:tab w:val="left" w:pos="-720"/>
        </w:tabs>
        <w:suppressAutoHyphens/>
        <w:spacing w:line="360" w:lineRule="auto"/>
      </w:pPr>
    </w:p>
    <w:p w14:paraId="13AF9827" w14:textId="77777777" w:rsidR="00212F96" w:rsidRDefault="00A32A74" w:rsidP="00180AEA">
      <w:pPr>
        <w:tabs>
          <w:tab w:val="left" w:pos="-720"/>
        </w:tabs>
        <w:suppressAutoHyphens/>
        <w:spacing w:line="360" w:lineRule="auto"/>
      </w:pPr>
      <w:r>
        <w:tab/>
      </w:r>
      <w:r>
        <w:tab/>
      </w:r>
      <w:r w:rsidR="00A07E34">
        <w:t>PPL’s second preliminary objection will also be denied</w:t>
      </w:r>
      <w:r w:rsidR="00921F29" w:rsidRPr="00921F29">
        <w:t xml:space="preserve"> </w:t>
      </w:r>
      <w:r w:rsidR="00921F29">
        <w:t>because, when accepting as true all well pleaded material facts pleaded in the complaint and every reasonable inference from those facts, and viewing the complaint in the light most favorable to MAW, it does not appear that the complaint is legally insufficient</w:t>
      </w:r>
      <w:r w:rsidR="00A07E34">
        <w:t>.</w:t>
      </w:r>
    </w:p>
    <w:p w14:paraId="32553A35" w14:textId="77777777" w:rsidR="00212F96" w:rsidRDefault="00212F96" w:rsidP="00180AEA">
      <w:pPr>
        <w:tabs>
          <w:tab w:val="left" w:pos="-720"/>
        </w:tabs>
        <w:suppressAutoHyphens/>
        <w:spacing w:line="360" w:lineRule="auto"/>
      </w:pPr>
    </w:p>
    <w:p w14:paraId="3732C4A0" w14:textId="77777777" w:rsidR="00D83D9A" w:rsidRDefault="00212F96" w:rsidP="00180AEA">
      <w:pPr>
        <w:tabs>
          <w:tab w:val="left" w:pos="-720"/>
        </w:tabs>
        <w:suppressAutoHyphens/>
        <w:spacing w:line="360" w:lineRule="auto"/>
      </w:pPr>
      <w:r>
        <w:tab/>
      </w:r>
      <w:r>
        <w:tab/>
        <w:t xml:space="preserve">In its preliminary objection, PPL argued that MAW’s complaint is legally insufficient because the claims or issues presented in the complaint were previously litigated and adjudicated on the merits.  </w:t>
      </w:r>
      <w:r w:rsidR="00D83D9A">
        <w:t xml:space="preserve">PPL then argues the grounds for res judicata and collateral estoppel and asserted that MAW’s complaint is legally insufficient because </w:t>
      </w:r>
      <w:proofErr w:type="gramStart"/>
      <w:r w:rsidR="00D83D9A">
        <w:t>all of</w:t>
      </w:r>
      <w:proofErr w:type="gramEnd"/>
      <w:r w:rsidR="00D83D9A">
        <w:t xml:space="preserve"> the criteria for res judicata and collateral estoppel have been met.</w:t>
      </w:r>
    </w:p>
    <w:p w14:paraId="7BED467A" w14:textId="77777777" w:rsidR="00D83D9A" w:rsidRDefault="00D83D9A" w:rsidP="00180AEA">
      <w:pPr>
        <w:tabs>
          <w:tab w:val="left" w:pos="-720"/>
        </w:tabs>
        <w:suppressAutoHyphens/>
        <w:spacing w:line="360" w:lineRule="auto"/>
      </w:pPr>
    </w:p>
    <w:p w14:paraId="69A54499" w14:textId="60B1856B" w:rsidR="00234687" w:rsidRDefault="00D83D9A" w:rsidP="00180AEA">
      <w:pPr>
        <w:tabs>
          <w:tab w:val="left" w:pos="-720"/>
        </w:tabs>
        <w:suppressAutoHyphens/>
        <w:spacing w:line="360" w:lineRule="auto"/>
      </w:pPr>
      <w:r>
        <w:tab/>
      </w:r>
      <w:r>
        <w:tab/>
        <w:t xml:space="preserve">In response to PPL, MAW argued that </w:t>
      </w:r>
      <w:r w:rsidR="006C0308">
        <w:t xml:space="preserve">the Commission has jurisdiction over the reasonableness and adequacy of public utility service and has elected to regulate pole attachments.  MAW denied that its request for relief set forth in the complaint is barred or limited in anyway.  MAW added that there has been no final judgment in the proceeding pending before the </w:t>
      </w:r>
      <w:r w:rsidR="0020740A">
        <w:t xml:space="preserve">LCCCP </w:t>
      </w:r>
      <w:r w:rsidR="006C0308">
        <w:t xml:space="preserve">and, therefore, the relief requested is not barred by the doctrines of res judicata or collateral estoppel.  MAW added that its complaint does not revive any prior claims which were </w:t>
      </w:r>
      <w:proofErr w:type="gramStart"/>
      <w:r w:rsidR="006C0308">
        <w:t>actually litigated</w:t>
      </w:r>
      <w:proofErr w:type="gramEnd"/>
      <w:r w:rsidR="006C0308">
        <w:t xml:space="preserve"> by the FCC.  MAW noted that the proceeding before the </w:t>
      </w:r>
      <w:r w:rsidR="0020740A">
        <w:t xml:space="preserve">LCCCP </w:t>
      </w:r>
      <w:r w:rsidR="006C0308">
        <w:t xml:space="preserve">has resulted in the drastic and extraordinary remedy of an injunction.  </w:t>
      </w:r>
    </w:p>
    <w:p w14:paraId="792C6970" w14:textId="77777777" w:rsidR="00234687" w:rsidRDefault="00234687" w:rsidP="00180AEA">
      <w:pPr>
        <w:tabs>
          <w:tab w:val="left" w:pos="-720"/>
        </w:tabs>
        <w:suppressAutoHyphens/>
        <w:spacing w:line="360" w:lineRule="auto"/>
      </w:pPr>
    </w:p>
    <w:p w14:paraId="50AD8B88" w14:textId="62044E70" w:rsidR="00234687" w:rsidRDefault="00234687" w:rsidP="00180AEA">
      <w:pPr>
        <w:tabs>
          <w:tab w:val="left" w:pos="-720"/>
        </w:tabs>
        <w:suppressAutoHyphens/>
        <w:spacing w:line="360" w:lineRule="auto"/>
      </w:pPr>
      <w:r>
        <w:tab/>
      </w:r>
      <w:r>
        <w:tab/>
        <w:t>Again, PPL’s preliminary objection must be denied.  As noted above, when disposing of preliminary objections, the Commission must accept as true all well pleaded, material facts of the nonmoving party, as well as every reasonable inference from those facts, and view the complaint in the light most favorable to the nonmoving party</w:t>
      </w:r>
      <w:r w:rsidR="007312F6">
        <w:t xml:space="preserve"> and only be dismissed when it appears that the nonmoving party is not entitled to relief under any circumstances as a matter of law</w:t>
      </w:r>
      <w:r>
        <w:t xml:space="preserve">.  </w:t>
      </w:r>
      <w:proofErr w:type="gramStart"/>
      <w:r>
        <w:t>With regard to</w:t>
      </w:r>
      <w:proofErr w:type="gramEnd"/>
      <w:r>
        <w:t xml:space="preserve"> preliminary objections based on legal insufficiency, the preliminary objection will only be sustained in cases which are clear and free from doubt and where dismissal is clearly warranted by the record, with any doubt being resolved in favor of overruling the objection.  This is a very high standard and one which PPL has failed to meet here.</w:t>
      </w:r>
    </w:p>
    <w:p w14:paraId="129ACB40" w14:textId="77777777" w:rsidR="00234687" w:rsidRDefault="00234687" w:rsidP="00180AEA">
      <w:pPr>
        <w:tabs>
          <w:tab w:val="left" w:pos="-720"/>
        </w:tabs>
        <w:suppressAutoHyphens/>
        <w:spacing w:line="360" w:lineRule="auto"/>
      </w:pPr>
    </w:p>
    <w:p w14:paraId="26C70F38" w14:textId="7FEF2971" w:rsidR="00A32A74" w:rsidRDefault="00234687" w:rsidP="00180AEA">
      <w:pPr>
        <w:tabs>
          <w:tab w:val="left" w:pos="-720"/>
        </w:tabs>
        <w:suppressAutoHyphens/>
        <w:spacing w:line="360" w:lineRule="auto"/>
      </w:pPr>
      <w:r>
        <w:tab/>
      </w:r>
      <w:r>
        <w:tab/>
        <w:t>MAW averred in its complaint</w:t>
      </w:r>
      <w:r w:rsidR="009E75E3">
        <w:t>, among other things,</w:t>
      </w:r>
      <w:r>
        <w:t xml:space="preserve"> that </w:t>
      </w:r>
      <w:r w:rsidR="00C25A85">
        <w:t>PPL has the obligation to furnish and maintain adequate, efficient, safe and reasonable service and facilities and that such service shall be reasonably continuous and without unreasonable interruptions or delays pursuant to section 1501 of the Public Utility Code</w:t>
      </w:r>
      <w:r w:rsidR="009E75E3">
        <w:t xml:space="preserve">.  MAW added </w:t>
      </w:r>
      <w:r w:rsidR="00C25A85">
        <w:t xml:space="preserve">that PPL is using its control of the poles to shift unreasonable maintenance, data collection, analysis and compliance costs to MAW to identify poles that may need to be replaced for PPL’s own benefit.  MAW has also argued that PPL does not prioritize important broadband deployment initiatives.  Although MAW references TA-96 in making this averment, the averment </w:t>
      </w:r>
      <w:r w:rsidR="0020740A">
        <w:t xml:space="preserve">is also contrary to </w:t>
      </w:r>
      <w:r w:rsidR="00C25A85">
        <w:t xml:space="preserve">Chapter 30 of the Public Utility Code if accepted as true.  Similarly, </w:t>
      </w:r>
      <w:r w:rsidR="00DC5906">
        <w:t xml:space="preserve">MAW averred in it is complaint that PPL is requiring it to correct pre-existing, non-compliant conditions on PPL poles in Lancaster even though such work would be required regardless of whether MAW attaches to the pole and that such requirements constitute unreasonable terms and conditions of attachment in violation of section 1501 of the Public Utility Code.  </w:t>
      </w:r>
      <w:r w:rsidR="007312F6">
        <w:t xml:space="preserve">These averments must be accepted as true.  When doing so, it is not clear that MAW is not entitled to relief under any circumstances as a matter of law.  To the contrary, to the extent that MAW satisfies its burden of proof on </w:t>
      </w:r>
      <w:r w:rsidR="00DC5906">
        <w:t xml:space="preserve">such </w:t>
      </w:r>
      <w:r w:rsidR="007312F6">
        <w:t xml:space="preserve">averments then </w:t>
      </w:r>
      <w:r w:rsidR="00DC5906">
        <w:t xml:space="preserve">MAW </w:t>
      </w:r>
      <w:r w:rsidR="007312F6">
        <w:t>is entitled to relief as a matter of law</w:t>
      </w:r>
      <w:r w:rsidR="00DC5906">
        <w:t xml:space="preserve"> and PPL maybe subject to a civil penalty</w:t>
      </w:r>
      <w:r w:rsidR="007312F6">
        <w:t>.</w:t>
      </w:r>
    </w:p>
    <w:p w14:paraId="32CF0EF8" w14:textId="4C7E1882" w:rsidR="00DC5906" w:rsidRDefault="00DC5906" w:rsidP="00180AEA">
      <w:pPr>
        <w:tabs>
          <w:tab w:val="left" w:pos="-720"/>
        </w:tabs>
        <w:suppressAutoHyphens/>
        <w:spacing w:line="360" w:lineRule="auto"/>
      </w:pPr>
    </w:p>
    <w:p w14:paraId="1C7F19F5" w14:textId="05C0E75C" w:rsidR="00DC5906" w:rsidRDefault="00DC5906" w:rsidP="00180AEA">
      <w:pPr>
        <w:tabs>
          <w:tab w:val="left" w:pos="-720"/>
        </w:tabs>
        <w:suppressAutoHyphens/>
        <w:spacing w:line="360" w:lineRule="auto"/>
      </w:pPr>
      <w:r>
        <w:tab/>
      </w:r>
      <w:r>
        <w:tab/>
        <w:t xml:space="preserve">PPL’s averments in its preliminary objection regarding res judicata and collateral estoppel are without merit.  </w:t>
      </w:r>
      <w:r w:rsidR="00121793">
        <w:t>N</w:t>
      </w:r>
      <w:r w:rsidR="000246AB">
        <w:t xml:space="preserve">either the FCC nor the </w:t>
      </w:r>
      <w:r w:rsidR="0020740A">
        <w:t xml:space="preserve">LCCCP </w:t>
      </w:r>
      <w:r w:rsidR="000246AB">
        <w:t>have jurisdiction to adjudicate averments regarding sections 1304 and 1501 of the Public Utility Code</w:t>
      </w:r>
      <w:r w:rsidR="00E87659">
        <w:t xml:space="preserve"> that MAW made in its complaint.  Only the Commission has jurisdiction to adjudicate those averments.  Therefore, the doctrines of res judicata and collateral estoppel</w:t>
      </w:r>
      <w:r w:rsidR="00121793">
        <w:t>, both of which require the same or similar causes of action, among other things,</w:t>
      </w:r>
      <w:r w:rsidR="00E87659">
        <w:t xml:space="preserve"> do not bar MAW’s instant complaint.</w:t>
      </w:r>
    </w:p>
    <w:p w14:paraId="20DC4CAA" w14:textId="3E75E196" w:rsidR="00A07E34" w:rsidRDefault="00A07E34" w:rsidP="00180AEA">
      <w:pPr>
        <w:tabs>
          <w:tab w:val="left" w:pos="-720"/>
        </w:tabs>
        <w:suppressAutoHyphens/>
        <w:spacing w:line="360" w:lineRule="auto"/>
      </w:pPr>
    </w:p>
    <w:p w14:paraId="4B5C0A70" w14:textId="31547DBF" w:rsidR="00A07E34" w:rsidRDefault="00A07E34" w:rsidP="00180AEA">
      <w:pPr>
        <w:tabs>
          <w:tab w:val="left" w:pos="-720"/>
        </w:tabs>
        <w:suppressAutoHyphens/>
        <w:spacing w:line="360" w:lineRule="auto"/>
      </w:pPr>
      <w:r>
        <w:tab/>
      </w:r>
      <w:r>
        <w:tab/>
        <w:t xml:space="preserve">As such, </w:t>
      </w:r>
      <w:r w:rsidR="00121793">
        <w:t xml:space="preserve">when accepting as true all well pleaded, material facts made by MAW in its complaint, as well as every reasonable inference from those facts, and viewing the complaint in the light most favorable </w:t>
      </w:r>
      <w:r w:rsidR="009E75E3">
        <w:t>to MAW</w:t>
      </w:r>
      <w:r w:rsidR="00121793">
        <w:t>, it is not clear that MAW is not entitled to relief under any circumstances as a matter of law because the complaint is legally insufficient.  MAW has properly averred allegations which, if proven true, would constitute a violation of the Public Utility Code.  Furthermore, neither res judicata nor collateral estoppel bar MAW’s complaint because there is no identity of issues.</w:t>
      </w:r>
    </w:p>
    <w:p w14:paraId="5A86B76D" w14:textId="7D37A470" w:rsidR="00A07E34" w:rsidRDefault="00A07E34" w:rsidP="00180AEA">
      <w:pPr>
        <w:tabs>
          <w:tab w:val="left" w:pos="-720"/>
        </w:tabs>
        <w:suppressAutoHyphens/>
        <w:spacing w:line="360" w:lineRule="auto"/>
      </w:pPr>
    </w:p>
    <w:p w14:paraId="5E5F58B2" w14:textId="49F2824C" w:rsidR="00A07E34" w:rsidRDefault="00A07E34" w:rsidP="00A07E34">
      <w:pPr>
        <w:tabs>
          <w:tab w:val="left" w:pos="-720"/>
        </w:tabs>
        <w:suppressAutoHyphens/>
        <w:spacing w:line="360" w:lineRule="auto"/>
      </w:pPr>
      <w:r>
        <w:rPr>
          <w:b/>
          <w:bCs/>
          <w:u w:val="single"/>
        </w:rPr>
        <w:t>Preliminary objection number 3</w:t>
      </w:r>
    </w:p>
    <w:p w14:paraId="0ADA8088" w14:textId="77777777" w:rsidR="00A07E34" w:rsidRDefault="00A07E34" w:rsidP="00A07E34">
      <w:pPr>
        <w:tabs>
          <w:tab w:val="left" w:pos="-720"/>
        </w:tabs>
        <w:suppressAutoHyphens/>
        <w:spacing w:line="360" w:lineRule="auto"/>
      </w:pPr>
    </w:p>
    <w:p w14:paraId="180B102C" w14:textId="77777777" w:rsidR="00211422" w:rsidRDefault="00A07E34" w:rsidP="00A07E34">
      <w:pPr>
        <w:tabs>
          <w:tab w:val="left" w:pos="-720"/>
        </w:tabs>
        <w:suppressAutoHyphens/>
        <w:spacing w:line="360" w:lineRule="auto"/>
      </w:pPr>
      <w:r>
        <w:tab/>
      </w:r>
      <w:r>
        <w:tab/>
        <w:t>PPL’s third preliminary objection will also be denied</w:t>
      </w:r>
      <w:r w:rsidR="00121793">
        <w:t xml:space="preserve"> because</w:t>
      </w:r>
      <w:r w:rsidR="00211422">
        <w:t>, when accepting as true all well pleaded material facts pleaded in the complaint and every reasonable inference from those facts, and viewing the complaint in the light most favorable to MAW, it does not appear that MAW would not be entitled to any relief as a matter of law and that the complaint should be dismissed because of the pendency of a prior proceeding.</w:t>
      </w:r>
    </w:p>
    <w:p w14:paraId="4C998ED2" w14:textId="77777777" w:rsidR="00211422" w:rsidRDefault="00211422" w:rsidP="00A07E34">
      <w:pPr>
        <w:tabs>
          <w:tab w:val="left" w:pos="-720"/>
        </w:tabs>
        <w:suppressAutoHyphens/>
        <w:spacing w:line="360" w:lineRule="auto"/>
      </w:pPr>
    </w:p>
    <w:p w14:paraId="4D91F036" w14:textId="1168C6A8" w:rsidR="00586C6A" w:rsidRDefault="00211422" w:rsidP="00A07E34">
      <w:pPr>
        <w:tabs>
          <w:tab w:val="left" w:pos="-720"/>
        </w:tabs>
        <w:suppressAutoHyphens/>
        <w:spacing w:line="360" w:lineRule="auto"/>
      </w:pPr>
      <w:r>
        <w:tab/>
      </w:r>
      <w:r>
        <w:tab/>
        <w:t xml:space="preserve">In its preliminary objection, PPL averred that </w:t>
      </w:r>
      <w:r w:rsidR="00586C6A">
        <w:t xml:space="preserve">the proceeding in </w:t>
      </w:r>
      <w:r w:rsidR="0020740A">
        <w:t xml:space="preserve">LCCCP </w:t>
      </w:r>
      <w:r w:rsidR="00586C6A">
        <w:t xml:space="preserve">involves the same parties as PPL is the plaintiff and MAW is a defendant and that, among other things, the April 13, 2018 court order addresses MAW’s access to PPL’s poles and PPL’s responses to attachment applications, each of which are the subject of the instant MAW complaint.  PPL argued that the proceeding in </w:t>
      </w:r>
      <w:r w:rsidR="0020740A">
        <w:t xml:space="preserve">LCCCP </w:t>
      </w:r>
      <w:r w:rsidR="00586C6A">
        <w:t xml:space="preserve">involves the interpretation of the terms of the 2003 agreement and that MAW’s requested relief has been or will be addressed by the </w:t>
      </w:r>
      <w:r w:rsidR="0020740A">
        <w:t xml:space="preserve">LCCCP </w:t>
      </w:r>
      <w:r w:rsidR="00586C6A">
        <w:t>which has not yet been the subject of a final determination or decree.</w:t>
      </w:r>
    </w:p>
    <w:p w14:paraId="45BADADA" w14:textId="77777777" w:rsidR="00586C6A" w:rsidRDefault="00586C6A" w:rsidP="00A07E34">
      <w:pPr>
        <w:tabs>
          <w:tab w:val="left" w:pos="-720"/>
        </w:tabs>
        <w:suppressAutoHyphens/>
        <w:spacing w:line="360" w:lineRule="auto"/>
      </w:pPr>
    </w:p>
    <w:p w14:paraId="13E8A44C" w14:textId="7C414F82" w:rsidR="005B1355" w:rsidRDefault="00586C6A" w:rsidP="00A07E34">
      <w:pPr>
        <w:tabs>
          <w:tab w:val="left" w:pos="-720"/>
        </w:tabs>
        <w:suppressAutoHyphens/>
        <w:spacing w:line="360" w:lineRule="auto"/>
      </w:pPr>
      <w:r>
        <w:tab/>
      </w:r>
      <w:r>
        <w:tab/>
        <w:t xml:space="preserve">In response, MAW argued that </w:t>
      </w:r>
      <w:r w:rsidR="005B1355">
        <w:t>the Commission has recently elected to regulate pole attachments and that this is a case of first impression</w:t>
      </w:r>
      <w:r w:rsidR="009E75E3">
        <w:t xml:space="preserve"> for the Commission</w:t>
      </w:r>
      <w:r w:rsidR="005B1355">
        <w:t xml:space="preserve">.  MAW noted that there has been no final judgment entered in the case before the </w:t>
      </w:r>
      <w:r w:rsidR="0020740A">
        <w:t xml:space="preserve">LCCCP </w:t>
      </w:r>
      <w:r w:rsidR="005B1355">
        <w:t xml:space="preserve">and that its complaint is timely.  MAW denied that its requests for relief are barred or limited in any way </w:t>
      </w:r>
      <w:r w:rsidR="009E75E3">
        <w:t xml:space="preserve">but </w:t>
      </w:r>
      <w:r w:rsidR="005B1355">
        <w:t xml:space="preserve">that the issues are bifurcated between the Commission and the </w:t>
      </w:r>
      <w:r w:rsidR="0020740A">
        <w:t>LCCCP</w:t>
      </w:r>
      <w:r w:rsidR="005B1355">
        <w:t xml:space="preserve">.  MAW concluded that deferral to the Commission is appropriate where, as here, the Commission’s expertise will provide material aid in resolving the claims in the case before the </w:t>
      </w:r>
      <w:r w:rsidR="0020740A">
        <w:t>LCCCP.</w:t>
      </w:r>
    </w:p>
    <w:p w14:paraId="46B4C89E" w14:textId="77777777" w:rsidR="005B1355" w:rsidRDefault="005B1355" w:rsidP="00A07E34">
      <w:pPr>
        <w:tabs>
          <w:tab w:val="left" w:pos="-720"/>
        </w:tabs>
        <w:suppressAutoHyphens/>
        <w:spacing w:line="360" w:lineRule="auto"/>
      </w:pPr>
    </w:p>
    <w:p w14:paraId="352F4949" w14:textId="08BC2A5D" w:rsidR="003600C4" w:rsidRDefault="005B1355" w:rsidP="00A07E34">
      <w:pPr>
        <w:tabs>
          <w:tab w:val="left" w:pos="-720"/>
        </w:tabs>
        <w:suppressAutoHyphens/>
        <w:spacing w:line="360" w:lineRule="auto"/>
      </w:pPr>
      <w:r>
        <w:tab/>
      </w:r>
      <w:r>
        <w:tab/>
      </w:r>
      <w:r w:rsidR="003600C4">
        <w:t xml:space="preserve">PPL’s third preliminary objection will be denied because the complaint filed by MAW is not barred by the doctrine of </w:t>
      </w:r>
      <w:proofErr w:type="spellStart"/>
      <w:r w:rsidR="003600C4">
        <w:t>lis</w:t>
      </w:r>
      <w:proofErr w:type="spellEnd"/>
      <w:r w:rsidR="003600C4">
        <w:t xml:space="preserve"> pendens.  </w:t>
      </w:r>
    </w:p>
    <w:p w14:paraId="1B843353" w14:textId="77777777" w:rsidR="003600C4" w:rsidRDefault="003600C4" w:rsidP="00A07E34">
      <w:pPr>
        <w:tabs>
          <w:tab w:val="left" w:pos="-720"/>
        </w:tabs>
        <w:suppressAutoHyphens/>
        <w:spacing w:line="360" w:lineRule="auto"/>
      </w:pPr>
    </w:p>
    <w:p w14:paraId="167F450C" w14:textId="000AEBF3" w:rsidR="00BB0889" w:rsidRDefault="00BB0889" w:rsidP="00BB0889">
      <w:pPr>
        <w:spacing w:line="360" w:lineRule="auto"/>
        <w:ind w:firstLine="1440"/>
        <w:rPr>
          <w:snapToGrid w:val="0"/>
        </w:rPr>
      </w:pPr>
      <w:r w:rsidRPr="00606639">
        <w:rPr>
          <w:snapToGrid w:val="0"/>
        </w:rPr>
        <w:t xml:space="preserve">The doctrine of </w:t>
      </w:r>
      <w:proofErr w:type="spellStart"/>
      <w:r w:rsidRPr="00606639">
        <w:rPr>
          <w:bCs/>
          <w:iCs/>
          <w:snapToGrid w:val="0"/>
        </w:rPr>
        <w:t>lis</w:t>
      </w:r>
      <w:proofErr w:type="spellEnd"/>
      <w:r w:rsidRPr="00606639">
        <w:rPr>
          <w:bCs/>
          <w:iCs/>
          <w:snapToGrid w:val="0"/>
        </w:rPr>
        <w:t xml:space="preserve"> pendens</w:t>
      </w:r>
      <w:r w:rsidRPr="00606639">
        <w:rPr>
          <w:snapToGrid w:val="0"/>
        </w:rPr>
        <w:t xml:space="preserve"> prevent</w:t>
      </w:r>
      <w:r w:rsidR="000467D6">
        <w:rPr>
          <w:snapToGrid w:val="0"/>
        </w:rPr>
        <w:t>s</w:t>
      </w:r>
      <w:r w:rsidRPr="00606639">
        <w:rPr>
          <w:snapToGrid w:val="0"/>
        </w:rPr>
        <w:t xml:space="preserve"> the respondent from having to defend several suits on the same cause of action at the same time, to prevent the squandering of scarce judicial resources on duplicative </w:t>
      </w:r>
      <w:r w:rsidRPr="00746858">
        <w:rPr>
          <w:snapToGrid w:val="0"/>
        </w:rPr>
        <w:t>actions, to maintain an orderly legal process, and to avoid inconsistent decisions on the same causes of action.</w:t>
      </w:r>
      <w:r w:rsidR="000467D6">
        <w:rPr>
          <w:snapToGrid w:val="0"/>
        </w:rPr>
        <w:t xml:space="preserve">  </w:t>
      </w:r>
      <w:r w:rsidR="000467D6" w:rsidRPr="00606639">
        <w:rPr>
          <w:u w:val="single"/>
        </w:rPr>
        <w:t>Mark Watts v. Peoples Natural Gas Company LLC</w:t>
      </w:r>
      <w:r w:rsidR="000467D6" w:rsidRPr="00606639">
        <w:t>, Docket No. C-2011-2235663 (Order entered July 18, 2011)</w:t>
      </w:r>
      <w:r w:rsidR="000467D6">
        <w:t>.  T</w:t>
      </w:r>
      <w:r w:rsidRPr="00746858">
        <w:rPr>
          <w:snapToGrid w:val="0"/>
        </w:rPr>
        <w:t xml:space="preserve">he law is clear that </w:t>
      </w:r>
      <w:proofErr w:type="spellStart"/>
      <w:r w:rsidRPr="00746858">
        <w:rPr>
          <w:snapToGrid w:val="0"/>
        </w:rPr>
        <w:t>lis</w:t>
      </w:r>
      <w:proofErr w:type="spellEnd"/>
      <w:r w:rsidRPr="00746858">
        <w:rPr>
          <w:snapToGrid w:val="0"/>
        </w:rPr>
        <w:t xml:space="preserve"> pendens is a valid defense only when the parties, the causes of action and the relief sought are the same in both actions</w:t>
      </w:r>
      <w:r w:rsidR="000467D6">
        <w:rPr>
          <w:snapToGrid w:val="0"/>
        </w:rPr>
        <w:t xml:space="preserve">. </w:t>
      </w:r>
      <w:r w:rsidRPr="00746858">
        <w:rPr>
          <w:snapToGrid w:val="0"/>
        </w:rPr>
        <w:t xml:space="preserve"> </w:t>
      </w:r>
      <w:hyperlink r:id="rId8" w:history="1">
        <w:proofErr w:type="spellStart"/>
        <w:r w:rsidRPr="00746858">
          <w:rPr>
            <w:snapToGrid w:val="0"/>
            <w:u w:val="single"/>
          </w:rPr>
          <w:t>Procacina</w:t>
        </w:r>
        <w:proofErr w:type="spellEnd"/>
        <w:r w:rsidRPr="00746858">
          <w:rPr>
            <w:snapToGrid w:val="0"/>
            <w:u w:val="single"/>
          </w:rPr>
          <w:t xml:space="preserve"> v. </w:t>
        </w:r>
        <w:proofErr w:type="spellStart"/>
        <w:r w:rsidRPr="00746858">
          <w:rPr>
            <w:snapToGrid w:val="0"/>
            <w:u w:val="single"/>
          </w:rPr>
          <w:t>Susen</w:t>
        </w:r>
        <w:proofErr w:type="spellEnd"/>
        <w:r w:rsidRPr="00746858">
          <w:rPr>
            <w:snapToGrid w:val="0"/>
          </w:rPr>
          <w:t>, 301 Pa. Super. 392, 394, 447 A.2d 1023, 1025 (1982)</w:t>
        </w:r>
      </w:hyperlink>
      <w:r w:rsidR="000467D6" w:rsidRPr="000467D6">
        <w:rPr>
          <w:snapToGrid w:val="0"/>
        </w:rPr>
        <w:t xml:space="preserve"> </w:t>
      </w:r>
      <w:r w:rsidR="000467D6" w:rsidRPr="00746858">
        <w:rPr>
          <w:snapToGrid w:val="0"/>
        </w:rPr>
        <w:t>(citations omitted).</w:t>
      </w:r>
      <w:r w:rsidRPr="00746858">
        <w:rPr>
          <w:snapToGrid w:val="0"/>
        </w:rPr>
        <w:t xml:space="preserve">  The three-pronged identity test "requires more than a mere allegation of a pending suit; it requires proof that the prior case is the same, the parties are substantially the same, and the relief requested is the same (citations omitted)." </w:t>
      </w:r>
      <w:r w:rsidR="000467D6">
        <w:rPr>
          <w:snapToGrid w:val="0"/>
        </w:rPr>
        <w:t xml:space="preserve"> </w:t>
      </w:r>
      <w:hyperlink r:id="rId9" w:history="1">
        <w:proofErr w:type="spellStart"/>
        <w:r w:rsidRPr="00746858">
          <w:rPr>
            <w:snapToGrid w:val="0"/>
            <w:u w:val="single"/>
          </w:rPr>
          <w:t>Hillgartner</w:t>
        </w:r>
        <w:proofErr w:type="spellEnd"/>
        <w:r w:rsidRPr="00746858">
          <w:rPr>
            <w:snapToGrid w:val="0"/>
            <w:u w:val="single"/>
          </w:rPr>
          <w:t xml:space="preserve"> v. Port Authority of Allegheny </w:t>
        </w:r>
        <w:proofErr w:type="spellStart"/>
        <w:r w:rsidRPr="00746858">
          <w:rPr>
            <w:snapToGrid w:val="0"/>
            <w:u w:val="single"/>
          </w:rPr>
          <w:t>Cty</w:t>
        </w:r>
        <w:proofErr w:type="spellEnd"/>
        <w:r w:rsidRPr="00746858">
          <w:rPr>
            <w:snapToGrid w:val="0"/>
            <w:u w:val="single"/>
          </w:rPr>
          <w:t>.</w:t>
        </w:r>
        <w:r w:rsidRPr="00746858">
          <w:rPr>
            <w:snapToGrid w:val="0"/>
          </w:rPr>
          <w:t xml:space="preserve">, 936 A.2d 131, 137 (Pa. </w:t>
        </w:r>
        <w:proofErr w:type="spellStart"/>
        <w:r w:rsidRPr="00746858">
          <w:rPr>
            <w:snapToGrid w:val="0"/>
          </w:rPr>
          <w:t>Cmwlth</w:t>
        </w:r>
        <w:proofErr w:type="spellEnd"/>
        <w:r w:rsidRPr="00746858">
          <w:rPr>
            <w:snapToGrid w:val="0"/>
          </w:rPr>
          <w:t>. 2007)</w:t>
        </w:r>
      </w:hyperlink>
      <w:r w:rsidR="000467D6">
        <w:rPr>
          <w:snapToGrid w:val="0"/>
        </w:rPr>
        <w:t>.  I</w:t>
      </w:r>
      <w:r w:rsidRPr="00746858">
        <w:rPr>
          <w:snapToGrid w:val="0"/>
        </w:rPr>
        <w:t>t is purely a question of law determinable from an inspection of the records in the two cases.</w:t>
      </w:r>
      <w:r w:rsidR="000467D6">
        <w:rPr>
          <w:snapToGrid w:val="0"/>
        </w:rPr>
        <w:t xml:space="preserve"> </w:t>
      </w:r>
      <w:r w:rsidRPr="00746858">
        <w:rPr>
          <w:snapToGrid w:val="0"/>
        </w:rPr>
        <w:t xml:space="preserve"> </w:t>
      </w:r>
      <w:hyperlink r:id="rId10" w:history="1">
        <w:r w:rsidR="000467D6">
          <w:rPr>
            <w:snapToGrid w:val="0"/>
            <w:u w:val="single"/>
          </w:rPr>
          <w:t>Id.</w:t>
        </w:r>
        <w:r w:rsidR="000467D6" w:rsidRPr="000467D6">
          <w:rPr>
            <w:snapToGrid w:val="0"/>
          </w:rPr>
          <w:t xml:space="preserve"> </w:t>
        </w:r>
        <w:r w:rsidRPr="00746858">
          <w:rPr>
            <w:snapToGrid w:val="0"/>
          </w:rPr>
          <w:t>at 138</w:t>
        </w:r>
      </w:hyperlink>
      <w:r w:rsidR="000467D6">
        <w:rPr>
          <w:snapToGrid w:val="0"/>
        </w:rPr>
        <w:t xml:space="preserve">; </w:t>
      </w:r>
      <w:r w:rsidRPr="000467D6">
        <w:rPr>
          <w:i/>
          <w:iCs/>
          <w:snapToGrid w:val="0"/>
        </w:rPr>
        <w:t>quoting</w:t>
      </w:r>
      <w:r w:rsidR="000467D6">
        <w:rPr>
          <w:snapToGrid w:val="0"/>
        </w:rPr>
        <w:t>,</w:t>
      </w:r>
      <w:r w:rsidRPr="00746858">
        <w:rPr>
          <w:snapToGrid w:val="0"/>
        </w:rPr>
        <w:t xml:space="preserve"> </w:t>
      </w:r>
      <w:hyperlink r:id="rId11" w:history="1">
        <w:proofErr w:type="spellStart"/>
        <w:r w:rsidRPr="00746858">
          <w:rPr>
            <w:snapToGrid w:val="0"/>
            <w:u w:val="single"/>
          </w:rPr>
          <w:t>Hessenbruch</w:t>
        </w:r>
        <w:proofErr w:type="spellEnd"/>
        <w:r w:rsidRPr="00746858">
          <w:rPr>
            <w:snapToGrid w:val="0"/>
            <w:u w:val="single"/>
          </w:rPr>
          <w:t xml:space="preserve"> v. Markle</w:t>
        </w:r>
        <w:r w:rsidRPr="00746858">
          <w:rPr>
            <w:snapToGrid w:val="0"/>
          </w:rPr>
          <w:t>, 194 Pa. 581, 45 A. 669 (1900)</w:t>
        </w:r>
      </w:hyperlink>
      <w:r w:rsidRPr="00746858">
        <w:rPr>
          <w:snapToGrid w:val="0"/>
        </w:rPr>
        <w:t xml:space="preserve">. </w:t>
      </w:r>
    </w:p>
    <w:p w14:paraId="09B5D01B" w14:textId="1EFD567B" w:rsidR="000467D6" w:rsidRDefault="000467D6" w:rsidP="00BB0889">
      <w:pPr>
        <w:spacing w:line="360" w:lineRule="auto"/>
        <w:ind w:firstLine="1440"/>
        <w:rPr>
          <w:snapToGrid w:val="0"/>
        </w:rPr>
      </w:pPr>
    </w:p>
    <w:p w14:paraId="7B81890A" w14:textId="1F06A4D0" w:rsidR="00A07E34" w:rsidRDefault="000467D6" w:rsidP="00E257C1">
      <w:pPr>
        <w:spacing w:line="360" w:lineRule="auto"/>
        <w:ind w:firstLine="1440"/>
      </w:pPr>
      <w:r>
        <w:rPr>
          <w:snapToGrid w:val="0"/>
        </w:rPr>
        <w:t xml:space="preserve">In this case, as noted above, </w:t>
      </w:r>
      <w:r w:rsidR="004240ED">
        <w:rPr>
          <w:snapToGrid w:val="0"/>
        </w:rPr>
        <w:t>o</w:t>
      </w:r>
      <w:r w:rsidR="004240ED">
        <w:t xml:space="preserve">nly the Commission has jurisdiction to adjudicate the averments regarding sections 1304 and 1501 of the Public Utility Code that MAW made in its complaint.  </w:t>
      </w:r>
      <w:r w:rsidR="00E257C1">
        <w:t xml:space="preserve">The </w:t>
      </w:r>
      <w:r w:rsidR="0020740A">
        <w:t xml:space="preserve">LCCCP </w:t>
      </w:r>
      <w:r w:rsidR="00E257C1">
        <w:t>has the jurisdiction to adjudicate whether other Pennsylvania laws have been violated</w:t>
      </w:r>
      <w:r w:rsidR="004240ED">
        <w:t xml:space="preserve">.  </w:t>
      </w:r>
      <w:r w:rsidR="00D1260D">
        <w:t xml:space="preserve">Therefore, at a minimum, the causes of action are not the same.  Furthermore, however, </w:t>
      </w:r>
      <w:r w:rsidR="007A7A84">
        <w:t xml:space="preserve">PPL has not adequately presented an inspection of the records in the two cases </w:t>
      </w:r>
      <w:proofErr w:type="gramStart"/>
      <w:r w:rsidR="007A7A84">
        <w:t>sufficient</w:t>
      </w:r>
      <w:proofErr w:type="gramEnd"/>
      <w:r w:rsidR="007A7A84">
        <w:t xml:space="preserve"> to warrant finding that </w:t>
      </w:r>
      <w:proofErr w:type="spellStart"/>
      <w:r w:rsidR="007A7A84">
        <w:t>lis</w:t>
      </w:r>
      <w:proofErr w:type="spellEnd"/>
      <w:r w:rsidR="007A7A84">
        <w:t xml:space="preserve"> pendens warrants dismissing MAW’s instant complaint.  </w:t>
      </w:r>
      <w:r w:rsidR="00E02CDA">
        <w:t xml:space="preserve">PPL merely states in its complaint that the causes of action involve the same parties, the issue of MAW’s access to PPL’s poles is addressed, the actions involve interpretation of the 2003 agreement and MAW’s requested relief has been or will be addressed by the </w:t>
      </w:r>
      <w:r w:rsidR="0020740A">
        <w:t xml:space="preserve">LCCCP </w:t>
      </w:r>
      <w:r w:rsidR="00E02CDA">
        <w:t xml:space="preserve">which has not yet been subject of a final determination or decree.  </w:t>
      </w:r>
      <w:r w:rsidR="00031559">
        <w:t xml:space="preserve">This is not a sufficient demonstration to warrant a finding of </w:t>
      </w:r>
      <w:proofErr w:type="spellStart"/>
      <w:r w:rsidR="00031559">
        <w:t>lis</w:t>
      </w:r>
      <w:proofErr w:type="spellEnd"/>
      <w:r w:rsidR="00031559">
        <w:t xml:space="preserve"> pendens and dismissing the complaint, especially when accepting as true all well pleaded material facts in the complaint and every reasonable inference from those facts and viewing the complaint in the light most favorable to </w:t>
      </w:r>
      <w:r w:rsidR="009E75E3">
        <w:t>MAW</w:t>
      </w:r>
      <w:r w:rsidR="00031559">
        <w:t>, as is required when disposing of preliminary objections.</w:t>
      </w:r>
    </w:p>
    <w:p w14:paraId="33734835" w14:textId="77777777" w:rsidR="00A07E34" w:rsidRDefault="00A07E34" w:rsidP="00A07E34">
      <w:pPr>
        <w:tabs>
          <w:tab w:val="left" w:pos="-720"/>
        </w:tabs>
        <w:suppressAutoHyphens/>
        <w:spacing w:line="360" w:lineRule="auto"/>
      </w:pPr>
    </w:p>
    <w:p w14:paraId="68A5F198" w14:textId="0B9502DC" w:rsidR="00A07E34" w:rsidRDefault="00A07E34" w:rsidP="00A07E34">
      <w:pPr>
        <w:tabs>
          <w:tab w:val="left" w:pos="-720"/>
        </w:tabs>
        <w:suppressAutoHyphens/>
        <w:spacing w:line="360" w:lineRule="auto"/>
      </w:pPr>
      <w:r>
        <w:tab/>
      </w:r>
      <w:r>
        <w:tab/>
        <w:t xml:space="preserve">As such, </w:t>
      </w:r>
      <w:r w:rsidR="00031559">
        <w:t xml:space="preserve">PPL’s third preliminary objection must also be rejected.  When accepting as true all well pleaded material facts, as well as every reasonable inference from those facts, and viewing the complaint in the light most favorable to MAW, it does not appear that MAW is not entitled to any relief under any circumstances as a matter of law due to the pendency of the proceeding in </w:t>
      </w:r>
      <w:r w:rsidR="0020740A">
        <w:t>LCCCP</w:t>
      </w:r>
      <w:r w:rsidR="00113A4F">
        <w:t>.</w:t>
      </w:r>
    </w:p>
    <w:p w14:paraId="5003A527" w14:textId="77777777" w:rsidR="00E47F92" w:rsidRPr="005D17F1" w:rsidRDefault="00E47F92" w:rsidP="00E86857">
      <w:pPr>
        <w:tabs>
          <w:tab w:val="left" w:pos="-720"/>
        </w:tabs>
        <w:suppressAutoHyphens/>
        <w:spacing w:line="360" w:lineRule="auto"/>
        <w:ind w:firstLine="1440"/>
      </w:pPr>
    </w:p>
    <w:p w14:paraId="1FDE3037" w14:textId="77777777" w:rsidR="009E75E3" w:rsidRDefault="009E75E3">
      <w:pPr>
        <w:autoSpaceDE/>
        <w:autoSpaceDN/>
        <w:rPr>
          <w:u w:val="single"/>
        </w:rPr>
      </w:pPr>
      <w:r>
        <w:rPr>
          <w:u w:val="single"/>
        </w:rPr>
        <w:br w:type="page"/>
      </w:r>
    </w:p>
    <w:p w14:paraId="6A97CAFE" w14:textId="5CED8A44" w:rsidR="00AA5A3B" w:rsidRPr="009279D7" w:rsidRDefault="00FA0DC0" w:rsidP="00FA0DC0">
      <w:pPr>
        <w:spacing w:line="360" w:lineRule="auto"/>
        <w:jc w:val="center"/>
      </w:pPr>
      <w:r w:rsidRPr="009279D7">
        <w:rPr>
          <w:u w:val="single"/>
        </w:rPr>
        <w:t>ORDER</w:t>
      </w:r>
    </w:p>
    <w:p w14:paraId="5C5363DD" w14:textId="3B075DED" w:rsidR="002A5872" w:rsidRDefault="002A5872" w:rsidP="002A5872">
      <w:pPr>
        <w:spacing w:line="360" w:lineRule="auto"/>
      </w:pPr>
    </w:p>
    <w:p w14:paraId="24AB3134" w14:textId="77777777" w:rsidR="00D371D9" w:rsidRPr="009279D7" w:rsidRDefault="00D371D9" w:rsidP="002A5872">
      <w:pPr>
        <w:spacing w:line="360" w:lineRule="auto"/>
      </w:pPr>
    </w:p>
    <w:p w14:paraId="062AFD37" w14:textId="77777777" w:rsidR="006D33B5" w:rsidRPr="009279D7" w:rsidRDefault="006D33B5" w:rsidP="002A5872">
      <w:pPr>
        <w:spacing w:line="360" w:lineRule="auto"/>
        <w:ind w:firstLine="1440"/>
        <w:rPr>
          <w:bCs/>
        </w:rPr>
      </w:pPr>
      <w:r w:rsidRPr="009279D7">
        <w:rPr>
          <w:bCs/>
        </w:rPr>
        <w:t>THEREFORE,</w:t>
      </w:r>
    </w:p>
    <w:p w14:paraId="3A40D7FC" w14:textId="77777777" w:rsidR="006D33B5" w:rsidRPr="009279D7" w:rsidRDefault="006D33B5" w:rsidP="002A5872">
      <w:pPr>
        <w:spacing w:line="360" w:lineRule="auto"/>
        <w:ind w:firstLine="1440"/>
      </w:pPr>
    </w:p>
    <w:p w14:paraId="64AAB071" w14:textId="77777777" w:rsidR="0013770C" w:rsidRPr="009279D7" w:rsidRDefault="006D33B5" w:rsidP="002A5872">
      <w:pPr>
        <w:spacing w:line="360" w:lineRule="auto"/>
        <w:ind w:firstLine="1440"/>
        <w:rPr>
          <w:bCs/>
        </w:rPr>
      </w:pPr>
      <w:r w:rsidRPr="009279D7">
        <w:rPr>
          <w:bCs/>
        </w:rPr>
        <w:t>IT IS ORDERED:</w:t>
      </w:r>
    </w:p>
    <w:p w14:paraId="033FCD59" w14:textId="77777777" w:rsidR="0013770C" w:rsidRPr="009279D7" w:rsidRDefault="0013770C" w:rsidP="002A5872">
      <w:pPr>
        <w:spacing w:line="360" w:lineRule="auto"/>
        <w:ind w:firstLine="1440"/>
        <w:rPr>
          <w:bCs/>
        </w:rPr>
      </w:pPr>
    </w:p>
    <w:p w14:paraId="41B59132" w14:textId="401A7B37" w:rsidR="000E133E" w:rsidRPr="009279D7" w:rsidRDefault="009011DC" w:rsidP="002A5872">
      <w:pPr>
        <w:numPr>
          <w:ilvl w:val="0"/>
          <w:numId w:val="24"/>
        </w:numPr>
        <w:tabs>
          <w:tab w:val="left" w:pos="-720"/>
        </w:tabs>
        <w:suppressAutoHyphens/>
        <w:autoSpaceDE/>
        <w:autoSpaceDN/>
        <w:spacing w:line="360" w:lineRule="auto"/>
        <w:ind w:left="0" w:firstLine="1440"/>
        <w:rPr>
          <w:spacing w:val="-3"/>
        </w:rPr>
      </w:pPr>
      <w:r w:rsidRPr="009279D7">
        <w:rPr>
          <w:spacing w:val="-3"/>
        </w:rPr>
        <w:t xml:space="preserve">That the </w:t>
      </w:r>
      <w:r w:rsidR="007F3BA0" w:rsidRPr="009279D7">
        <w:rPr>
          <w:spacing w:val="-3"/>
        </w:rPr>
        <w:t>p</w:t>
      </w:r>
      <w:r w:rsidR="006B0E4F" w:rsidRPr="009279D7">
        <w:rPr>
          <w:spacing w:val="-3"/>
        </w:rPr>
        <w:t xml:space="preserve">reliminary </w:t>
      </w:r>
      <w:r w:rsidR="007F3BA0" w:rsidRPr="009279D7">
        <w:rPr>
          <w:spacing w:val="-3"/>
        </w:rPr>
        <w:t>o</w:t>
      </w:r>
      <w:r w:rsidR="006B0E4F" w:rsidRPr="009279D7">
        <w:rPr>
          <w:spacing w:val="-3"/>
        </w:rPr>
        <w:t>bjection</w:t>
      </w:r>
      <w:r w:rsidR="009279D7">
        <w:rPr>
          <w:spacing w:val="-3"/>
        </w:rPr>
        <w:t>s</w:t>
      </w:r>
      <w:r w:rsidR="007F3BA0" w:rsidRPr="009279D7">
        <w:rPr>
          <w:spacing w:val="-3"/>
        </w:rPr>
        <w:t xml:space="preserve"> </w:t>
      </w:r>
      <w:r w:rsidR="006B0E4F" w:rsidRPr="009279D7">
        <w:rPr>
          <w:spacing w:val="-3"/>
        </w:rPr>
        <w:t xml:space="preserve">filed by </w:t>
      </w:r>
      <w:r w:rsidR="009279D7">
        <w:rPr>
          <w:spacing w:val="-3"/>
        </w:rPr>
        <w:t xml:space="preserve">PPL Electric Utilities Corporation </w:t>
      </w:r>
      <w:r w:rsidR="002D1CF2" w:rsidRPr="009279D7">
        <w:rPr>
          <w:spacing w:val="-3"/>
        </w:rPr>
        <w:t xml:space="preserve">at Docket Number </w:t>
      </w:r>
      <w:bookmarkStart w:id="0" w:name="_Hlk23429771"/>
      <w:r w:rsidR="002D1CF2" w:rsidRPr="009279D7">
        <w:rPr>
          <w:spacing w:val="-3"/>
        </w:rPr>
        <w:t>C-201</w:t>
      </w:r>
      <w:r w:rsidR="00647D4B" w:rsidRPr="009279D7">
        <w:rPr>
          <w:spacing w:val="-3"/>
        </w:rPr>
        <w:t>9-</w:t>
      </w:r>
      <w:bookmarkEnd w:id="0"/>
      <w:r w:rsidR="009279D7">
        <w:rPr>
          <w:spacing w:val="-3"/>
        </w:rPr>
        <w:t xml:space="preserve">3015187 </w:t>
      </w:r>
      <w:r w:rsidR="002D1CF2" w:rsidRPr="009279D7">
        <w:rPr>
          <w:spacing w:val="-3"/>
        </w:rPr>
        <w:t xml:space="preserve">on </w:t>
      </w:r>
      <w:r w:rsidR="009279D7">
        <w:rPr>
          <w:spacing w:val="-3"/>
        </w:rPr>
        <w:t>January 20, 2020 are</w:t>
      </w:r>
      <w:r w:rsidR="007F3BA0" w:rsidRPr="009279D7">
        <w:rPr>
          <w:bCs/>
          <w:color w:val="000000"/>
        </w:rPr>
        <w:t xml:space="preserve"> </w:t>
      </w:r>
      <w:r w:rsidRPr="009279D7">
        <w:rPr>
          <w:spacing w:val="-3"/>
        </w:rPr>
        <w:t xml:space="preserve">hereby </w:t>
      </w:r>
      <w:r w:rsidR="00043A6B" w:rsidRPr="009279D7">
        <w:rPr>
          <w:spacing w:val="-3"/>
        </w:rPr>
        <w:t>denied</w:t>
      </w:r>
      <w:r w:rsidRPr="009279D7">
        <w:rPr>
          <w:spacing w:val="-3"/>
        </w:rPr>
        <w:t>.</w:t>
      </w:r>
    </w:p>
    <w:p w14:paraId="6D8FF80A" w14:textId="77777777" w:rsidR="00E96506" w:rsidRPr="009279D7" w:rsidRDefault="00E96506" w:rsidP="002A5872">
      <w:pPr>
        <w:tabs>
          <w:tab w:val="left" w:pos="-720"/>
        </w:tabs>
        <w:suppressAutoHyphens/>
        <w:autoSpaceDE/>
        <w:autoSpaceDN/>
        <w:spacing w:line="360" w:lineRule="auto"/>
        <w:rPr>
          <w:spacing w:val="-3"/>
        </w:rPr>
      </w:pPr>
    </w:p>
    <w:p w14:paraId="2D97E5FA" w14:textId="12AA50CE" w:rsidR="00860410" w:rsidRPr="009279D7" w:rsidRDefault="00885F34" w:rsidP="00100499">
      <w:pPr>
        <w:numPr>
          <w:ilvl w:val="0"/>
          <w:numId w:val="24"/>
        </w:numPr>
        <w:tabs>
          <w:tab w:val="left" w:pos="-720"/>
        </w:tabs>
        <w:suppressAutoHyphens/>
        <w:autoSpaceDE/>
        <w:autoSpaceDN/>
        <w:spacing w:after="200" w:line="360" w:lineRule="auto"/>
        <w:ind w:left="0" w:firstLine="1440"/>
        <w:rPr>
          <w:spacing w:val="-3"/>
        </w:rPr>
      </w:pPr>
      <w:r w:rsidRPr="009279D7">
        <w:rPr>
          <w:spacing w:val="-3"/>
        </w:rPr>
        <w:t xml:space="preserve">That the </w:t>
      </w:r>
      <w:r w:rsidR="00043A6B" w:rsidRPr="009279D7">
        <w:rPr>
          <w:spacing w:val="-3"/>
        </w:rPr>
        <w:t xml:space="preserve">formal complaint </w:t>
      </w:r>
      <w:r w:rsidR="004617D2" w:rsidRPr="009279D7">
        <w:rPr>
          <w:spacing w:val="-3"/>
        </w:rPr>
        <w:t xml:space="preserve">filed by </w:t>
      </w:r>
      <w:r w:rsidR="009279D7">
        <w:rPr>
          <w:spacing w:val="-3"/>
        </w:rPr>
        <w:t xml:space="preserve">MAW Communications, Inc. </w:t>
      </w:r>
      <w:r w:rsidR="004617D2" w:rsidRPr="009279D7">
        <w:rPr>
          <w:spacing w:val="-3"/>
        </w:rPr>
        <w:t xml:space="preserve">at Docket Number </w:t>
      </w:r>
      <w:r w:rsidR="009279D7" w:rsidRPr="009279D7">
        <w:rPr>
          <w:spacing w:val="-3"/>
        </w:rPr>
        <w:t>C-2019-</w:t>
      </w:r>
      <w:r w:rsidR="009279D7">
        <w:rPr>
          <w:spacing w:val="-3"/>
        </w:rPr>
        <w:t xml:space="preserve">3015187 </w:t>
      </w:r>
      <w:r w:rsidR="00043A6B" w:rsidRPr="009279D7">
        <w:rPr>
          <w:spacing w:val="-3"/>
        </w:rPr>
        <w:t xml:space="preserve">shall </w:t>
      </w:r>
      <w:r w:rsidR="00647D4B" w:rsidRPr="009279D7">
        <w:rPr>
          <w:spacing w:val="-3"/>
        </w:rPr>
        <w:t>proceed to a hearing.</w:t>
      </w:r>
    </w:p>
    <w:p w14:paraId="375E6F14" w14:textId="2DD46C59" w:rsidR="004E2E6A" w:rsidRPr="009279D7" w:rsidRDefault="004E2E6A" w:rsidP="00897507"/>
    <w:p w14:paraId="494D4E93" w14:textId="77777777" w:rsidR="004617D2" w:rsidRPr="00C77AEA" w:rsidRDefault="004617D2" w:rsidP="00897507"/>
    <w:p w14:paraId="3CD82224" w14:textId="77777777" w:rsidR="00953B2D" w:rsidRDefault="00953B2D" w:rsidP="00897507"/>
    <w:p w14:paraId="4AA28AAE" w14:textId="00A4F065" w:rsidR="00897507" w:rsidRPr="00EE5548" w:rsidRDefault="00444E27" w:rsidP="00897507">
      <w:pPr>
        <w:rPr>
          <w:u w:val="single"/>
        </w:rPr>
      </w:pPr>
      <w:r w:rsidRPr="00EE5548">
        <w:t xml:space="preserve">Date: </w:t>
      </w:r>
      <w:r w:rsidR="004F4619">
        <w:rPr>
          <w:u w:val="single"/>
        </w:rPr>
        <w:t xml:space="preserve">March </w:t>
      </w:r>
      <w:r w:rsidR="009279D7">
        <w:rPr>
          <w:u w:val="single"/>
        </w:rPr>
        <w:t>6</w:t>
      </w:r>
      <w:r w:rsidR="00921FD5">
        <w:rPr>
          <w:u w:val="single"/>
        </w:rPr>
        <w:t>, 2020</w:t>
      </w:r>
      <w:r w:rsidRPr="00EE5548">
        <w:tab/>
      </w:r>
      <w:r w:rsidR="009279D7">
        <w:tab/>
      </w:r>
      <w:r w:rsidR="005879F7">
        <w:tab/>
      </w:r>
      <w:r w:rsidR="00CD604F" w:rsidRPr="00EE5548">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77777777"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14:paraId="50768529" w14:textId="568B6524"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C37E81">
        <w:t xml:space="preserve">Deputy Chief </w:t>
      </w:r>
      <w:r w:rsidR="00F07C2D" w:rsidRPr="00EE5548">
        <w:t>Administrative Law Judge</w:t>
      </w:r>
    </w:p>
    <w:p w14:paraId="4061F98F" w14:textId="77777777" w:rsidR="00D371D9" w:rsidRDefault="00D371D9" w:rsidP="00444E27">
      <w:pPr>
        <w:sectPr w:rsidR="00D371D9" w:rsidSect="00F277CF">
          <w:footerReference w:type="default" r:id="rId12"/>
          <w:pgSz w:w="12240" w:h="15840"/>
          <w:pgMar w:top="1440" w:right="1440" w:bottom="1440" w:left="1440" w:header="720" w:footer="720" w:gutter="0"/>
          <w:cols w:space="720"/>
          <w:titlePg/>
          <w:docGrid w:linePitch="360"/>
        </w:sectPr>
      </w:pPr>
    </w:p>
    <w:p w14:paraId="595250DC" w14:textId="77777777" w:rsidR="00D371D9" w:rsidRDefault="00D371D9" w:rsidP="00D371D9">
      <w:r>
        <w:rPr>
          <w:rFonts w:ascii="Microsoft Sans Serif" w:eastAsia="Microsoft Sans Serif" w:hAnsi="Microsoft Sans Serif" w:cs="Microsoft Sans Serif"/>
          <w:b/>
          <w:u w:val="single"/>
        </w:rPr>
        <w:t>C-2019-3015187 - MAW COMMUNICATIONS INC. v. PPL ELECTRIC UTILITIES CORPORATION, FORMERLY KNOWN AS PENNSYLVANIA POWER &amp; LIGHT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MARGARET MORRIS ATTORNEY</w:t>
      </w:r>
      <w:r>
        <w:rPr>
          <w:rFonts w:ascii="Microsoft Sans Serif" w:eastAsia="Microsoft Sans Serif" w:hAnsi="Microsoft Sans Serif" w:cs="Microsoft Sans Serif"/>
        </w:rPr>
        <w:cr/>
        <w:t>MAW COMMUNICATIONS INC</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AE57B6">
        <w:rPr>
          <w:rFonts w:ascii="Microsoft Sans Serif" w:eastAsia="Microsoft Sans Serif" w:hAnsi="Microsoft Sans Serif" w:cs="Microsoft Sans Serif"/>
          <w:b/>
          <w:bCs/>
        </w:rPr>
        <w:t>215.495.5500</w:t>
      </w:r>
      <w:r w:rsidRPr="00AE57B6">
        <w:rPr>
          <w:rFonts w:ascii="Microsoft Sans Serif" w:eastAsia="Microsoft Sans Serif" w:hAnsi="Microsoft Sans Serif" w:cs="Microsoft Sans Serif"/>
          <w:b/>
          <w:bCs/>
        </w:rPr>
        <w:cr/>
      </w:r>
    </w:p>
    <w:p w14:paraId="45F4DEEA" w14:textId="77777777" w:rsidR="00D371D9" w:rsidRDefault="00D371D9" w:rsidP="00D371D9">
      <w:r>
        <w:rPr>
          <w:rFonts w:ascii="Microsoft Sans Serif" w:eastAsia="Microsoft Sans Serif" w:hAnsi="Microsoft Sans Serif" w:cs="Microsoft Sans Serif"/>
        </w:rPr>
        <w:t>JOSEPH S D'AMICO ATTORNEY</w:t>
      </w:r>
      <w:r>
        <w:rPr>
          <w:rFonts w:ascii="Microsoft Sans Serif" w:eastAsia="Microsoft Sans Serif" w:hAnsi="Microsoft Sans Serif" w:cs="Microsoft Sans Serif"/>
        </w:rPr>
        <w:cr/>
        <w:t>FITZPATRICK LENTZ &amp; BUBBA</w:t>
      </w:r>
      <w:r>
        <w:rPr>
          <w:rFonts w:ascii="Microsoft Sans Serif" w:eastAsia="Microsoft Sans Serif" w:hAnsi="Microsoft Sans Serif" w:cs="Microsoft Sans Serif"/>
        </w:rPr>
        <w:cr/>
        <w:t>645 W HAMILTON STREET</w:t>
      </w:r>
      <w:r>
        <w:rPr>
          <w:rFonts w:ascii="Microsoft Sans Serif" w:eastAsia="Microsoft Sans Serif" w:hAnsi="Microsoft Sans Serif" w:cs="Microsoft Sans Serif"/>
        </w:rPr>
        <w:cr/>
        <w:t>SUITE 800</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D11CF4">
        <w:rPr>
          <w:rFonts w:ascii="Microsoft Sans Serif" w:eastAsia="Microsoft Sans Serif" w:hAnsi="Microsoft Sans Serif" w:cs="Microsoft Sans Serif"/>
          <w:b/>
          <w:bCs/>
        </w:rPr>
        <w:t>610.797.9000</w:t>
      </w:r>
      <w:bookmarkStart w:id="1" w:name="_GoBack"/>
      <w:bookmarkEnd w:id="1"/>
      <w:r w:rsidRPr="00D11CF4">
        <w:rPr>
          <w:rFonts w:ascii="Microsoft Sans Serif" w:eastAsia="Microsoft Sans Serif" w:hAnsi="Microsoft Sans Serif" w:cs="Microsoft Sans Serif"/>
          <w:b/>
          <w:bCs/>
        </w:rPr>
        <w:br/>
        <w:t xml:space="preserve">ACCEPTS </w:t>
      </w:r>
      <w:proofErr w:type="spellStart"/>
      <w:r w:rsidRPr="00D11CF4">
        <w:rPr>
          <w:rFonts w:ascii="Microsoft Sans Serif" w:eastAsia="Microsoft Sans Serif" w:hAnsi="Microsoft Sans Serif" w:cs="Microsoft Sans Serif"/>
          <w:b/>
          <w:bCs/>
        </w:rPr>
        <w:t>eSERVICE</w:t>
      </w:r>
      <w:proofErr w:type="spellEnd"/>
    </w:p>
    <w:p w14:paraId="3CB3FA55" w14:textId="28F7AAD8" w:rsidR="00D371D9" w:rsidRPr="00EE5548" w:rsidRDefault="00D371D9" w:rsidP="00444E27"/>
    <w:sectPr w:rsidR="00D371D9" w:rsidRPr="00EE5548" w:rsidSect="00F277C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53CCD" w14:textId="77777777" w:rsidR="007614CB" w:rsidRDefault="007614CB">
      <w:r>
        <w:separator/>
      </w:r>
    </w:p>
  </w:endnote>
  <w:endnote w:type="continuationSeparator" w:id="0">
    <w:p w14:paraId="3DFD0B8D" w14:textId="77777777" w:rsidR="007614CB" w:rsidRDefault="0076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14:paraId="6BD7CB25" w14:textId="34A828EC" w:rsidR="00F21739" w:rsidRPr="00D371D9" w:rsidRDefault="00F21739">
        <w:pPr>
          <w:pStyle w:val="Footer"/>
          <w:jc w:val="center"/>
          <w:rPr>
            <w:sz w:val="20"/>
            <w:szCs w:val="20"/>
          </w:rPr>
        </w:pPr>
        <w:r w:rsidRPr="00D371D9">
          <w:rPr>
            <w:sz w:val="20"/>
            <w:szCs w:val="20"/>
          </w:rPr>
          <w:fldChar w:fldCharType="begin"/>
        </w:r>
        <w:r w:rsidRPr="00D371D9">
          <w:rPr>
            <w:sz w:val="20"/>
            <w:szCs w:val="20"/>
          </w:rPr>
          <w:instrText xml:space="preserve"> PAGE   \* MERGEFORMAT </w:instrText>
        </w:r>
        <w:r w:rsidRPr="00D371D9">
          <w:rPr>
            <w:sz w:val="20"/>
            <w:szCs w:val="20"/>
          </w:rPr>
          <w:fldChar w:fldCharType="separate"/>
        </w:r>
        <w:r w:rsidR="002D5EF1" w:rsidRPr="00D371D9">
          <w:rPr>
            <w:noProof/>
            <w:sz w:val="20"/>
            <w:szCs w:val="20"/>
          </w:rPr>
          <w:t>6</w:t>
        </w:r>
        <w:r w:rsidRPr="00D371D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984A3" w14:textId="77777777" w:rsidR="007614CB" w:rsidRDefault="007614CB">
      <w:r>
        <w:separator/>
      </w:r>
    </w:p>
  </w:footnote>
  <w:footnote w:type="continuationSeparator" w:id="0">
    <w:p w14:paraId="73568565" w14:textId="77777777" w:rsidR="007614CB" w:rsidRDefault="00761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1668"/>
    <w:rsid w:val="000216B4"/>
    <w:rsid w:val="000246AB"/>
    <w:rsid w:val="000253F8"/>
    <w:rsid w:val="00031559"/>
    <w:rsid w:val="00031CED"/>
    <w:rsid w:val="00032584"/>
    <w:rsid w:val="00033858"/>
    <w:rsid w:val="00034D64"/>
    <w:rsid w:val="00037E8B"/>
    <w:rsid w:val="00040017"/>
    <w:rsid w:val="00040542"/>
    <w:rsid w:val="00043A6B"/>
    <w:rsid w:val="0004447D"/>
    <w:rsid w:val="000447F9"/>
    <w:rsid w:val="00045479"/>
    <w:rsid w:val="000467D6"/>
    <w:rsid w:val="00050489"/>
    <w:rsid w:val="00050AF1"/>
    <w:rsid w:val="00054540"/>
    <w:rsid w:val="00054A10"/>
    <w:rsid w:val="00055FCB"/>
    <w:rsid w:val="000576DF"/>
    <w:rsid w:val="00060BB1"/>
    <w:rsid w:val="00061E29"/>
    <w:rsid w:val="000629B2"/>
    <w:rsid w:val="00063F87"/>
    <w:rsid w:val="00067986"/>
    <w:rsid w:val="00071CA9"/>
    <w:rsid w:val="00073240"/>
    <w:rsid w:val="00073289"/>
    <w:rsid w:val="000804D9"/>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D05"/>
    <w:rsid w:val="00113A4F"/>
    <w:rsid w:val="00113C98"/>
    <w:rsid w:val="001143EE"/>
    <w:rsid w:val="00116479"/>
    <w:rsid w:val="00116C62"/>
    <w:rsid w:val="00121793"/>
    <w:rsid w:val="00122A9C"/>
    <w:rsid w:val="00123A1E"/>
    <w:rsid w:val="0012644F"/>
    <w:rsid w:val="001270B6"/>
    <w:rsid w:val="0012726E"/>
    <w:rsid w:val="00130568"/>
    <w:rsid w:val="00130896"/>
    <w:rsid w:val="00131711"/>
    <w:rsid w:val="00132489"/>
    <w:rsid w:val="0013251A"/>
    <w:rsid w:val="00132928"/>
    <w:rsid w:val="00133F23"/>
    <w:rsid w:val="0013576E"/>
    <w:rsid w:val="00135EAF"/>
    <w:rsid w:val="0013770C"/>
    <w:rsid w:val="00140883"/>
    <w:rsid w:val="00141DCE"/>
    <w:rsid w:val="00142EE0"/>
    <w:rsid w:val="00143290"/>
    <w:rsid w:val="001441F9"/>
    <w:rsid w:val="00144EB5"/>
    <w:rsid w:val="0014736B"/>
    <w:rsid w:val="00151E42"/>
    <w:rsid w:val="00153529"/>
    <w:rsid w:val="001547B2"/>
    <w:rsid w:val="001611E5"/>
    <w:rsid w:val="001623CE"/>
    <w:rsid w:val="001714A2"/>
    <w:rsid w:val="001733BB"/>
    <w:rsid w:val="001767DF"/>
    <w:rsid w:val="001768E3"/>
    <w:rsid w:val="00180A87"/>
    <w:rsid w:val="00180AEA"/>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97BC0"/>
    <w:rsid w:val="001A1495"/>
    <w:rsid w:val="001A397D"/>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9C0"/>
    <w:rsid w:val="0020025C"/>
    <w:rsid w:val="0020125F"/>
    <w:rsid w:val="00201F77"/>
    <w:rsid w:val="002026C5"/>
    <w:rsid w:val="0020284C"/>
    <w:rsid w:val="00206229"/>
    <w:rsid w:val="00206619"/>
    <w:rsid w:val="002069A1"/>
    <w:rsid w:val="0020740A"/>
    <w:rsid w:val="002074C5"/>
    <w:rsid w:val="002076C1"/>
    <w:rsid w:val="00211422"/>
    <w:rsid w:val="00212459"/>
    <w:rsid w:val="0021277F"/>
    <w:rsid w:val="00212F96"/>
    <w:rsid w:val="002164E5"/>
    <w:rsid w:val="00217594"/>
    <w:rsid w:val="00220B36"/>
    <w:rsid w:val="00220B4B"/>
    <w:rsid w:val="0022121D"/>
    <w:rsid w:val="002219D6"/>
    <w:rsid w:val="00223B03"/>
    <w:rsid w:val="00224765"/>
    <w:rsid w:val="002251CE"/>
    <w:rsid w:val="00226DA2"/>
    <w:rsid w:val="0023008A"/>
    <w:rsid w:val="00234687"/>
    <w:rsid w:val="002360E7"/>
    <w:rsid w:val="00240576"/>
    <w:rsid w:val="0024075E"/>
    <w:rsid w:val="0024311B"/>
    <w:rsid w:val="002508B3"/>
    <w:rsid w:val="00252F51"/>
    <w:rsid w:val="0025436A"/>
    <w:rsid w:val="00262D22"/>
    <w:rsid w:val="0026329B"/>
    <w:rsid w:val="002636A2"/>
    <w:rsid w:val="00263A37"/>
    <w:rsid w:val="00266583"/>
    <w:rsid w:val="0027269F"/>
    <w:rsid w:val="002744CA"/>
    <w:rsid w:val="00276158"/>
    <w:rsid w:val="002815E3"/>
    <w:rsid w:val="002825EF"/>
    <w:rsid w:val="00284DC6"/>
    <w:rsid w:val="002860B7"/>
    <w:rsid w:val="002872AD"/>
    <w:rsid w:val="00291D9A"/>
    <w:rsid w:val="002949D8"/>
    <w:rsid w:val="00294CEF"/>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16A"/>
    <w:rsid w:val="002E64EF"/>
    <w:rsid w:val="002E76DB"/>
    <w:rsid w:val="002F05AF"/>
    <w:rsid w:val="002F0733"/>
    <w:rsid w:val="002F3A8D"/>
    <w:rsid w:val="002F3C3D"/>
    <w:rsid w:val="002F61D3"/>
    <w:rsid w:val="002F7A88"/>
    <w:rsid w:val="003038D5"/>
    <w:rsid w:val="00303A65"/>
    <w:rsid w:val="00304A73"/>
    <w:rsid w:val="003123AF"/>
    <w:rsid w:val="00312F22"/>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0C4"/>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28F"/>
    <w:rsid w:val="003E44F8"/>
    <w:rsid w:val="003E5E54"/>
    <w:rsid w:val="003E6B39"/>
    <w:rsid w:val="003E6E3E"/>
    <w:rsid w:val="003F06E9"/>
    <w:rsid w:val="003F0F78"/>
    <w:rsid w:val="003F21D9"/>
    <w:rsid w:val="003F2E9E"/>
    <w:rsid w:val="003F420A"/>
    <w:rsid w:val="003F49DD"/>
    <w:rsid w:val="003F68D9"/>
    <w:rsid w:val="003F6945"/>
    <w:rsid w:val="00402EB0"/>
    <w:rsid w:val="00407622"/>
    <w:rsid w:val="00412756"/>
    <w:rsid w:val="00413065"/>
    <w:rsid w:val="00415EAE"/>
    <w:rsid w:val="00421C2E"/>
    <w:rsid w:val="00423069"/>
    <w:rsid w:val="004240ED"/>
    <w:rsid w:val="00427BB1"/>
    <w:rsid w:val="004327EC"/>
    <w:rsid w:val="00436D29"/>
    <w:rsid w:val="0044078D"/>
    <w:rsid w:val="004417F1"/>
    <w:rsid w:val="00444026"/>
    <w:rsid w:val="004441EB"/>
    <w:rsid w:val="00444E27"/>
    <w:rsid w:val="00446AEA"/>
    <w:rsid w:val="004509B5"/>
    <w:rsid w:val="00451DD1"/>
    <w:rsid w:val="004617D2"/>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20E7"/>
    <w:rsid w:val="004D3208"/>
    <w:rsid w:val="004D5C84"/>
    <w:rsid w:val="004D5EDA"/>
    <w:rsid w:val="004D6775"/>
    <w:rsid w:val="004E2E6A"/>
    <w:rsid w:val="004E3BB5"/>
    <w:rsid w:val="004E5B21"/>
    <w:rsid w:val="004E665A"/>
    <w:rsid w:val="004E6F0A"/>
    <w:rsid w:val="004F035D"/>
    <w:rsid w:val="004F0FF9"/>
    <w:rsid w:val="004F1CB9"/>
    <w:rsid w:val="004F4619"/>
    <w:rsid w:val="004F664A"/>
    <w:rsid w:val="005040DC"/>
    <w:rsid w:val="0050525A"/>
    <w:rsid w:val="00506ED2"/>
    <w:rsid w:val="00506F36"/>
    <w:rsid w:val="00511085"/>
    <w:rsid w:val="00511327"/>
    <w:rsid w:val="00511838"/>
    <w:rsid w:val="00512803"/>
    <w:rsid w:val="0051332A"/>
    <w:rsid w:val="005173E3"/>
    <w:rsid w:val="0052063B"/>
    <w:rsid w:val="005213C3"/>
    <w:rsid w:val="00522D71"/>
    <w:rsid w:val="00524B12"/>
    <w:rsid w:val="00526B7E"/>
    <w:rsid w:val="005309DD"/>
    <w:rsid w:val="0053143A"/>
    <w:rsid w:val="00531C6A"/>
    <w:rsid w:val="0053297D"/>
    <w:rsid w:val="0053303C"/>
    <w:rsid w:val="0053542E"/>
    <w:rsid w:val="00535728"/>
    <w:rsid w:val="00535B47"/>
    <w:rsid w:val="0054044D"/>
    <w:rsid w:val="00541FA5"/>
    <w:rsid w:val="005421BE"/>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417E"/>
    <w:rsid w:val="00575E98"/>
    <w:rsid w:val="00577041"/>
    <w:rsid w:val="00580C8E"/>
    <w:rsid w:val="00582CDA"/>
    <w:rsid w:val="0058333F"/>
    <w:rsid w:val="00583CAA"/>
    <w:rsid w:val="00583F7A"/>
    <w:rsid w:val="00583F87"/>
    <w:rsid w:val="00586C6A"/>
    <w:rsid w:val="005877DE"/>
    <w:rsid w:val="00587965"/>
    <w:rsid w:val="005879F7"/>
    <w:rsid w:val="0059163B"/>
    <w:rsid w:val="00591F58"/>
    <w:rsid w:val="00592688"/>
    <w:rsid w:val="0059318E"/>
    <w:rsid w:val="005939DF"/>
    <w:rsid w:val="00593CE6"/>
    <w:rsid w:val="0059641C"/>
    <w:rsid w:val="005A0C2C"/>
    <w:rsid w:val="005A268E"/>
    <w:rsid w:val="005A36C7"/>
    <w:rsid w:val="005A3B57"/>
    <w:rsid w:val="005A6A5B"/>
    <w:rsid w:val="005A6ACF"/>
    <w:rsid w:val="005B063C"/>
    <w:rsid w:val="005B1355"/>
    <w:rsid w:val="005B49D8"/>
    <w:rsid w:val="005B6555"/>
    <w:rsid w:val="005B6C33"/>
    <w:rsid w:val="005C038C"/>
    <w:rsid w:val="005C1B4B"/>
    <w:rsid w:val="005C6F69"/>
    <w:rsid w:val="005C7120"/>
    <w:rsid w:val="005D0602"/>
    <w:rsid w:val="005D092D"/>
    <w:rsid w:val="005D17F1"/>
    <w:rsid w:val="005D3EE8"/>
    <w:rsid w:val="005D470C"/>
    <w:rsid w:val="005E5B28"/>
    <w:rsid w:val="005E7BB9"/>
    <w:rsid w:val="005F081B"/>
    <w:rsid w:val="005F179B"/>
    <w:rsid w:val="005F1FD3"/>
    <w:rsid w:val="005F2817"/>
    <w:rsid w:val="005F3E44"/>
    <w:rsid w:val="005F56D5"/>
    <w:rsid w:val="005F5D43"/>
    <w:rsid w:val="005F6080"/>
    <w:rsid w:val="005F78F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47D4B"/>
    <w:rsid w:val="00651DC9"/>
    <w:rsid w:val="0065305A"/>
    <w:rsid w:val="006539E6"/>
    <w:rsid w:val="00654BE4"/>
    <w:rsid w:val="00657239"/>
    <w:rsid w:val="006611D1"/>
    <w:rsid w:val="00661492"/>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6A6A"/>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0308"/>
    <w:rsid w:val="006C2690"/>
    <w:rsid w:val="006C2C4C"/>
    <w:rsid w:val="006C393A"/>
    <w:rsid w:val="006C5A4D"/>
    <w:rsid w:val="006C5B56"/>
    <w:rsid w:val="006D04FC"/>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06A7F"/>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12F6"/>
    <w:rsid w:val="00735291"/>
    <w:rsid w:val="0074212A"/>
    <w:rsid w:val="00744362"/>
    <w:rsid w:val="00746EC7"/>
    <w:rsid w:val="007501C9"/>
    <w:rsid w:val="00752614"/>
    <w:rsid w:val="00755A22"/>
    <w:rsid w:val="0075751F"/>
    <w:rsid w:val="00757D11"/>
    <w:rsid w:val="007614CB"/>
    <w:rsid w:val="00761AAA"/>
    <w:rsid w:val="00763DA0"/>
    <w:rsid w:val="00764FEE"/>
    <w:rsid w:val="007653FA"/>
    <w:rsid w:val="00770D9F"/>
    <w:rsid w:val="00771158"/>
    <w:rsid w:val="00771201"/>
    <w:rsid w:val="00773E3C"/>
    <w:rsid w:val="00774620"/>
    <w:rsid w:val="00774975"/>
    <w:rsid w:val="007802B4"/>
    <w:rsid w:val="00780958"/>
    <w:rsid w:val="00780E37"/>
    <w:rsid w:val="00783E48"/>
    <w:rsid w:val="00783F05"/>
    <w:rsid w:val="00784AE9"/>
    <w:rsid w:val="007853DD"/>
    <w:rsid w:val="007876C7"/>
    <w:rsid w:val="00787F5D"/>
    <w:rsid w:val="00793CBE"/>
    <w:rsid w:val="007945B3"/>
    <w:rsid w:val="007A2A2D"/>
    <w:rsid w:val="007A50C8"/>
    <w:rsid w:val="007A68A4"/>
    <w:rsid w:val="007A6F35"/>
    <w:rsid w:val="007A7A84"/>
    <w:rsid w:val="007B135C"/>
    <w:rsid w:val="007B19DA"/>
    <w:rsid w:val="007B200D"/>
    <w:rsid w:val="007B2C93"/>
    <w:rsid w:val="007B76C4"/>
    <w:rsid w:val="007B77F4"/>
    <w:rsid w:val="007C07C4"/>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264CF"/>
    <w:rsid w:val="00826960"/>
    <w:rsid w:val="00830CF6"/>
    <w:rsid w:val="0083648A"/>
    <w:rsid w:val="008373E6"/>
    <w:rsid w:val="008413F8"/>
    <w:rsid w:val="00842C17"/>
    <w:rsid w:val="008438CF"/>
    <w:rsid w:val="00843D58"/>
    <w:rsid w:val="0084413E"/>
    <w:rsid w:val="00845486"/>
    <w:rsid w:val="008454B9"/>
    <w:rsid w:val="00845A5B"/>
    <w:rsid w:val="0084613F"/>
    <w:rsid w:val="008517D4"/>
    <w:rsid w:val="008523AB"/>
    <w:rsid w:val="00852A8C"/>
    <w:rsid w:val="00852B69"/>
    <w:rsid w:val="008540FD"/>
    <w:rsid w:val="00854EC8"/>
    <w:rsid w:val="0085637F"/>
    <w:rsid w:val="00860410"/>
    <w:rsid w:val="00861C19"/>
    <w:rsid w:val="0086399C"/>
    <w:rsid w:val="008652EF"/>
    <w:rsid w:val="00871A70"/>
    <w:rsid w:val="008733C7"/>
    <w:rsid w:val="00874545"/>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878"/>
    <w:rsid w:val="008A014D"/>
    <w:rsid w:val="008A048B"/>
    <w:rsid w:val="008A0C3C"/>
    <w:rsid w:val="008A1189"/>
    <w:rsid w:val="008A1BD7"/>
    <w:rsid w:val="008A28B8"/>
    <w:rsid w:val="008A48A4"/>
    <w:rsid w:val="008A6027"/>
    <w:rsid w:val="008A7776"/>
    <w:rsid w:val="008A79CD"/>
    <w:rsid w:val="008B038D"/>
    <w:rsid w:val="008B3150"/>
    <w:rsid w:val="008B47C3"/>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1F29"/>
    <w:rsid w:val="00921FD5"/>
    <w:rsid w:val="00922597"/>
    <w:rsid w:val="009242C7"/>
    <w:rsid w:val="00925D82"/>
    <w:rsid w:val="00926832"/>
    <w:rsid w:val="009279D7"/>
    <w:rsid w:val="00933A0A"/>
    <w:rsid w:val="00935A17"/>
    <w:rsid w:val="00935C2E"/>
    <w:rsid w:val="00940C6A"/>
    <w:rsid w:val="009422A8"/>
    <w:rsid w:val="009434E1"/>
    <w:rsid w:val="009435E2"/>
    <w:rsid w:val="00944303"/>
    <w:rsid w:val="0094565A"/>
    <w:rsid w:val="00945C30"/>
    <w:rsid w:val="0094648D"/>
    <w:rsid w:val="009479D5"/>
    <w:rsid w:val="00951B5E"/>
    <w:rsid w:val="00951BBB"/>
    <w:rsid w:val="00952807"/>
    <w:rsid w:val="00953B2D"/>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0464"/>
    <w:rsid w:val="009A15A9"/>
    <w:rsid w:val="009A1B67"/>
    <w:rsid w:val="009A241C"/>
    <w:rsid w:val="009A2760"/>
    <w:rsid w:val="009B0651"/>
    <w:rsid w:val="009B09E9"/>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A60"/>
    <w:rsid w:val="009D7DAC"/>
    <w:rsid w:val="009E1824"/>
    <w:rsid w:val="009E2517"/>
    <w:rsid w:val="009E69D3"/>
    <w:rsid w:val="009E75E3"/>
    <w:rsid w:val="009F01F6"/>
    <w:rsid w:val="009F3023"/>
    <w:rsid w:val="009F31D5"/>
    <w:rsid w:val="009F3DEF"/>
    <w:rsid w:val="009F421F"/>
    <w:rsid w:val="009F57DD"/>
    <w:rsid w:val="009F5C90"/>
    <w:rsid w:val="009F6BF1"/>
    <w:rsid w:val="00A004FE"/>
    <w:rsid w:val="00A00899"/>
    <w:rsid w:val="00A0231F"/>
    <w:rsid w:val="00A02F5F"/>
    <w:rsid w:val="00A050EC"/>
    <w:rsid w:val="00A06973"/>
    <w:rsid w:val="00A07A16"/>
    <w:rsid w:val="00A07E34"/>
    <w:rsid w:val="00A10AFA"/>
    <w:rsid w:val="00A1756A"/>
    <w:rsid w:val="00A17814"/>
    <w:rsid w:val="00A21C65"/>
    <w:rsid w:val="00A24EEC"/>
    <w:rsid w:val="00A30723"/>
    <w:rsid w:val="00A319FB"/>
    <w:rsid w:val="00A32A74"/>
    <w:rsid w:val="00A33DC1"/>
    <w:rsid w:val="00A34066"/>
    <w:rsid w:val="00A4123B"/>
    <w:rsid w:val="00A414FB"/>
    <w:rsid w:val="00A43247"/>
    <w:rsid w:val="00A43DE8"/>
    <w:rsid w:val="00A442D1"/>
    <w:rsid w:val="00A44D14"/>
    <w:rsid w:val="00A452AA"/>
    <w:rsid w:val="00A45F35"/>
    <w:rsid w:val="00A51599"/>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5FB"/>
    <w:rsid w:val="00AD2E4C"/>
    <w:rsid w:val="00AD5D5B"/>
    <w:rsid w:val="00AD6AC6"/>
    <w:rsid w:val="00AE0DB0"/>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4A3E"/>
    <w:rsid w:val="00B50F61"/>
    <w:rsid w:val="00B51B32"/>
    <w:rsid w:val="00B51C90"/>
    <w:rsid w:val="00B5252D"/>
    <w:rsid w:val="00B55280"/>
    <w:rsid w:val="00B562CC"/>
    <w:rsid w:val="00B606E5"/>
    <w:rsid w:val="00B62154"/>
    <w:rsid w:val="00B6233D"/>
    <w:rsid w:val="00B65A70"/>
    <w:rsid w:val="00B67649"/>
    <w:rsid w:val="00B701AA"/>
    <w:rsid w:val="00B70E1E"/>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19DA"/>
    <w:rsid w:val="00B9621C"/>
    <w:rsid w:val="00B97AB5"/>
    <w:rsid w:val="00BA0600"/>
    <w:rsid w:val="00BA156B"/>
    <w:rsid w:val="00BA19C5"/>
    <w:rsid w:val="00BA5156"/>
    <w:rsid w:val="00BA5877"/>
    <w:rsid w:val="00BA7474"/>
    <w:rsid w:val="00BA7585"/>
    <w:rsid w:val="00BA7656"/>
    <w:rsid w:val="00BB0889"/>
    <w:rsid w:val="00BB0A31"/>
    <w:rsid w:val="00BB229F"/>
    <w:rsid w:val="00BB28CB"/>
    <w:rsid w:val="00BB5DF1"/>
    <w:rsid w:val="00BB6570"/>
    <w:rsid w:val="00BC0F59"/>
    <w:rsid w:val="00BC1B7C"/>
    <w:rsid w:val="00BC224D"/>
    <w:rsid w:val="00BC484E"/>
    <w:rsid w:val="00BC5CA3"/>
    <w:rsid w:val="00BC689D"/>
    <w:rsid w:val="00BD0109"/>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6397"/>
    <w:rsid w:val="00C16EA4"/>
    <w:rsid w:val="00C201CA"/>
    <w:rsid w:val="00C21B95"/>
    <w:rsid w:val="00C23D73"/>
    <w:rsid w:val="00C241A1"/>
    <w:rsid w:val="00C25A85"/>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25DA"/>
    <w:rsid w:val="00C73D5D"/>
    <w:rsid w:val="00C73FF3"/>
    <w:rsid w:val="00C75DCE"/>
    <w:rsid w:val="00C76F16"/>
    <w:rsid w:val="00C773A3"/>
    <w:rsid w:val="00C77AEA"/>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4D02"/>
    <w:rsid w:val="00CA666C"/>
    <w:rsid w:val="00CA73E2"/>
    <w:rsid w:val="00CB1772"/>
    <w:rsid w:val="00CB18E0"/>
    <w:rsid w:val="00CB4220"/>
    <w:rsid w:val="00CB42AB"/>
    <w:rsid w:val="00CB4DB1"/>
    <w:rsid w:val="00CB748F"/>
    <w:rsid w:val="00CC17D8"/>
    <w:rsid w:val="00CC1F9A"/>
    <w:rsid w:val="00CC3542"/>
    <w:rsid w:val="00CC3879"/>
    <w:rsid w:val="00CD0CF9"/>
    <w:rsid w:val="00CD3D18"/>
    <w:rsid w:val="00CD604F"/>
    <w:rsid w:val="00CD68CE"/>
    <w:rsid w:val="00CE0397"/>
    <w:rsid w:val="00CE08CE"/>
    <w:rsid w:val="00CE1132"/>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60D"/>
    <w:rsid w:val="00D12806"/>
    <w:rsid w:val="00D13B7D"/>
    <w:rsid w:val="00D13DB2"/>
    <w:rsid w:val="00D15AF9"/>
    <w:rsid w:val="00D209B6"/>
    <w:rsid w:val="00D21B58"/>
    <w:rsid w:val="00D22294"/>
    <w:rsid w:val="00D22442"/>
    <w:rsid w:val="00D2255F"/>
    <w:rsid w:val="00D22EBC"/>
    <w:rsid w:val="00D23214"/>
    <w:rsid w:val="00D24374"/>
    <w:rsid w:val="00D24620"/>
    <w:rsid w:val="00D24DDC"/>
    <w:rsid w:val="00D3123C"/>
    <w:rsid w:val="00D346DA"/>
    <w:rsid w:val="00D34C44"/>
    <w:rsid w:val="00D3584A"/>
    <w:rsid w:val="00D371D9"/>
    <w:rsid w:val="00D428F8"/>
    <w:rsid w:val="00D44B05"/>
    <w:rsid w:val="00D44FF7"/>
    <w:rsid w:val="00D45A5C"/>
    <w:rsid w:val="00D472AD"/>
    <w:rsid w:val="00D50A98"/>
    <w:rsid w:val="00D51B5E"/>
    <w:rsid w:val="00D55377"/>
    <w:rsid w:val="00D557D5"/>
    <w:rsid w:val="00D56348"/>
    <w:rsid w:val="00D57E4B"/>
    <w:rsid w:val="00D601F0"/>
    <w:rsid w:val="00D626EC"/>
    <w:rsid w:val="00D62F2F"/>
    <w:rsid w:val="00D64F50"/>
    <w:rsid w:val="00D65D31"/>
    <w:rsid w:val="00D668F7"/>
    <w:rsid w:val="00D66959"/>
    <w:rsid w:val="00D7070A"/>
    <w:rsid w:val="00D7167B"/>
    <w:rsid w:val="00D7215D"/>
    <w:rsid w:val="00D73519"/>
    <w:rsid w:val="00D73AE8"/>
    <w:rsid w:val="00D73E83"/>
    <w:rsid w:val="00D80A3E"/>
    <w:rsid w:val="00D82669"/>
    <w:rsid w:val="00D83D9A"/>
    <w:rsid w:val="00D84B3D"/>
    <w:rsid w:val="00D92151"/>
    <w:rsid w:val="00D94D3A"/>
    <w:rsid w:val="00D95385"/>
    <w:rsid w:val="00D96C3F"/>
    <w:rsid w:val="00DA0323"/>
    <w:rsid w:val="00DA0C66"/>
    <w:rsid w:val="00DA3FF9"/>
    <w:rsid w:val="00DB112D"/>
    <w:rsid w:val="00DB13BD"/>
    <w:rsid w:val="00DB1971"/>
    <w:rsid w:val="00DB39B4"/>
    <w:rsid w:val="00DC451E"/>
    <w:rsid w:val="00DC5906"/>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2414"/>
    <w:rsid w:val="00E02CDA"/>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57C1"/>
    <w:rsid w:val="00E27B5F"/>
    <w:rsid w:val="00E32F69"/>
    <w:rsid w:val="00E367FC"/>
    <w:rsid w:val="00E3773F"/>
    <w:rsid w:val="00E40843"/>
    <w:rsid w:val="00E41299"/>
    <w:rsid w:val="00E425F4"/>
    <w:rsid w:val="00E445D8"/>
    <w:rsid w:val="00E46ACA"/>
    <w:rsid w:val="00E47547"/>
    <w:rsid w:val="00E47B07"/>
    <w:rsid w:val="00E47F92"/>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6299"/>
    <w:rsid w:val="00E77251"/>
    <w:rsid w:val="00E817EE"/>
    <w:rsid w:val="00E818B6"/>
    <w:rsid w:val="00E81B85"/>
    <w:rsid w:val="00E83487"/>
    <w:rsid w:val="00E84D79"/>
    <w:rsid w:val="00E8602E"/>
    <w:rsid w:val="00E86857"/>
    <w:rsid w:val="00E86ACF"/>
    <w:rsid w:val="00E87659"/>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6E3B"/>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E3A9B"/>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c653174202892b1fed02bddfe92288a3&amp;_xfercite=%3ccite%20cc%3d%22USA%22%3e%3c%21%5bCDATA%5b2011%20Pa.%20PUC%20LEXIS%201745%5d%5d%3e%3c%2fcite%3e&amp;_butType=3&amp;_butStat=2&amp;_butNum=19&amp;_butInline=1&amp;_butinfo=%3ccite%20cc%3d%22USA%22%3e%3c%21%5bCDATA%5b301%20Pa.%20Super.%20392%2cat%20394%5d%5d%3e%3c%2fcite%3e&amp;_fmtstr=FULL&amp;docnum=7&amp;_startdoc=1&amp;wchp=dGLbVzB-zSkAW&amp;_md5=605a01c1598914e7c0cf8f9c9f7a6b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com/research/buttonTFLink?_m=c653174202892b1fed02bddfe92288a3&amp;_xfercite=%3ccite%20cc%3d%22USA%22%3e%3c%21%5bCDATA%5b2011%20Pa.%20PUC%20LEXIS%201745%5d%5d%3e%3c%2fcite%3e&amp;_butType=3&amp;_butStat=2&amp;_butNum=22&amp;_butInline=1&amp;_butinfo=%3ccite%20cc%3d%22USA%22%3e%3c%21%5bCDATA%5b194%20Pa.%20581%5d%5d%3e%3c%2fcite%3e&amp;_fmtstr=FULL&amp;docnum=7&amp;_startdoc=1&amp;wchp=dGLbVzB-zSkAW&amp;_md5=e827e423d0e0f39afbc725a4fbdd6083" TargetMode="External"/><Relationship Id="rId5" Type="http://schemas.openxmlformats.org/officeDocument/2006/relationships/webSettings" Target="webSettings.xml"/><Relationship Id="rId10" Type="http://schemas.openxmlformats.org/officeDocument/2006/relationships/hyperlink" Target="https://www.lexis.com/research/buttonTFLink?_m=c653174202892b1fed02bddfe92288a3&amp;_xfercite=%3ccite%20cc%3d%22USA%22%3e%3c%21%5bCDATA%5b2011%20Pa.%20PUC%20LEXIS%201745%5d%5d%3e%3c%2fcite%3e&amp;_butType=3&amp;_butStat=2&amp;_butNum=21&amp;_butInline=1&amp;_butinfo=%3ccite%20cc%3d%22USA%22%3e%3c%21%5bCDATA%5b936%20A.2d%20131%2cat%20138%5d%5d%3e%3c%2fcite%3e&amp;_fmtstr=FULL&amp;docnum=7&amp;_startdoc=1&amp;wchp=dGLbVzB-zSkAW&amp;_md5=a468495245eb5af78507325065431f32" TargetMode="External"/><Relationship Id="rId4" Type="http://schemas.openxmlformats.org/officeDocument/2006/relationships/settings" Target="settings.xml"/><Relationship Id="rId9" Type="http://schemas.openxmlformats.org/officeDocument/2006/relationships/hyperlink" Target="https://www.lexis.com/research/buttonTFLink?_m=c653174202892b1fed02bddfe92288a3&amp;_xfercite=%3ccite%20cc%3d%22USA%22%3e%3c%21%5bCDATA%5b2011%20Pa.%20PUC%20LEXIS%201745%5d%5d%3e%3c%2fcite%3e&amp;_butType=3&amp;_butStat=2&amp;_butNum=20&amp;_butInline=1&amp;_butinfo=%3ccite%20cc%3d%22USA%22%3e%3c%21%5bCDATA%5b936%20A.2d%20131%2cat%20137%5d%5d%3e%3c%2fcite%3e&amp;_fmtstr=FULL&amp;docnum=7&amp;_startdoc=1&amp;wchp=dGLbVzB-zSkAW&amp;_md5=d6a216e87e1f12342ddd741d0ad22a4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D433F-07A7-4A5E-9C42-4809C320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3936</Words>
  <Characters>22438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2020-03-06T14:37:00Z</cp:lastPrinted>
  <dcterms:created xsi:type="dcterms:W3CDTF">2020-03-06T19:20:00Z</dcterms:created>
  <dcterms:modified xsi:type="dcterms:W3CDTF">2020-03-06T19:20:00Z</dcterms:modified>
</cp:coreProperties>
</file>