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C0FA6" w14:textId="77777777" w:rsidR="00A56A0A" w:rsidRDefault="00A56A0A" w:rsidP="00773D87">
      <w:pPr>
        <w:pStyle w:val="c2"/>
        <w:widowControl/>
        <w:outlineLvl w:val="0"/>
        <w:rPr>
          <w:b/>
          <w:sz w:val="28"/>
          <w:szCs w:val="28"/>
        </w:rPr>
      </w:pPr>
    </w:p>
    <w:p w14:paraId="0F1D51E7" w14:textId="769F4DE4" w:rsidR="00D91F34" w:rsidRPr="001303A1" w:rsidRDefault="00D91F34" w:rsidP="00773D87">
      <w:pPr>
        <w:pStyle w:val="c2"/>
        <w:widowControl/>
        <w:outlineLvl w:val="0"/>
        <w:rPr>
          <w:b/>
          <w:sz w:val="28"/>
          <w:szCs w:val="28"/>
        </w:rPr>
      </w:pPr>
      <w:r w:rsidRPr="001303A1">
        <w:rPr>
          <w:b/>
          <w:sz w:val="28"/>
          <w:szCs w:val="28"/>
        </w:rPr>
        <w:t>PENNSYLVANIA</w:t>
      </w:r>
    </w:p>
    <w:p w14:paraId="72DBCCC7" w14:textId="77777777" w:rsidR="00D91F34" w:rsidRPr="001303A1" w:rsidRDefault="00D91F34" w:rsidP="00773D87">
      <w:pPr>
        <w:pStyle w:val="c2"/>
        <w:widowControl/>
        <w:outlineLvl w:val="0"/>
        <w:rPr>
          <w:b/>
          <w:sz w:val="28"/>
          <w:szCs w:val="28"/>
        </w:rPr>
      </w:pPr>
      <w:r w:rsidRPr="001303A1">
        <w:rPr>
          <w:b/>
          <w:sz w:val="28"/>
          <w:szCs w:val="28"/>
        </w:rPr>
        <w:t>PUBLIC UTILITY COMMISSION</w:t>
      </w:r>
    </w:p>
    <w:p w14:paraId="754BE188" w14:textId="203F8C26" w:rsidR="00D91F34" w:rsidRDefault="00D91F34" w:rsidP="00773D87">
      <w:pPr>
        <w:pStyle w:val="c2"/>
        <w:widowControl/>
        <w:outlineLvl w:val="0"/>
        <w:rPr>
          <w:b/>
          <w:sz w:val="28"/>
          <w:szCs w:val="28"/>
        </w:rPr>
      </w:pPr>
      <w:r w:rsidRPr="001303A1">
        <w:rPr>
          <w:b/>
          <w:sz w:val="28"/>
          <w:szCs w:val="28"/>
        </w:rPr>
        <w:t>Harrisburg, PA 171</w:t>
      </w:r>
      <w:r w:rsidR="00B23D0B">
        <w:rPr>
          <w:b/>
          <w:sz w:val="28"/>
          <w:szCs w:val="28"/>
        </w:rPr>
        <w:t>05-3265</w:t>
      </w:r>
    </w:p>
    <w:p w14:paraId="41F4A1E6" w14:textId="77777777" w:rsidR="00D0134C" w:rsidRPr="001303A1" w:rsidRDefault="00D0134C" w:rsidP="00773D87">
      <w:pPr>
        <w:pStyle w:val="c2"/>
        <w:widowControl/>
        <w:outlineLvl w:val="0"/>
        <w:rPr>
          <w:b/>
          <w:sz w:val="28"/>
          <w:szCs w:val="28"/>
        </w:rPr>
      </w:pPr>
    </w:p>
    <w:p w14:paraId="7B180654" w14:textId="77777777" w:rsidR="00A666BE" w:rsidRDefault="00A666BE" w:rsidP="00773D87">
      <w:pPr>
        <w:pStyle w:val="p3"/>
        <w:widowControl/>
        <w:tabs>
          <w:tab w:val="clear" w:pos="4960"/>
          <w:tab w:val="left" w:pos="4320"/>
        </w:tabs>
        <w:rPr>
          <w:sz w:val="28"/>
          <w:szCs w:val="28"/>
        </w:rPr>
      </w:pPr>
    </w:p>
    <w:p w14:paraId="63B7C252" w14:textId="2D1B9787" w:rsidR="006C560D" w:rsidRPr="00062E21" w:rsidRDefault="006C560D" w:rsidP="00773D8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8C4F1A">
        <w:rPr>
          <w:sz w:val="26"/>
          <w:szCs w:val="26"/>
        </w:rPr>
        <w:t>April 16</w:t>
      </w:r>
      <w:r w:rsidR="00DB2EBA" w:rsidRPr="00DB2EBA">
        <w:rPr>
          <w:sz w:val="26"/>
          <w:szCs w:val="26"/>
        </w:rPr>
        <w:t>, 20</w:t>
      </w:r>
      <w:r w:rsidR="00E1194E">
        <w:rPr>
          <w:sz w:val="26"/>
          <w:szCs w:val="26"/>
        </w:rPr>
        <w:t>20</w:t>
      </w:r>
    </w:p>
    <w:p w14:paraId="1BA69CBB" w14:textId="77777777" w:rsidR="006C560D" w:rsidRPr="00062E21" w:rsidRDefault="006C560D" w:rsidP="00773D87">
      <w:pPr>
        <w:pStyle w:val="p4"/>
        <w:widowControl/>
        <w:spacing w:line="360" w:lineRule="auto"/>
        <w:rPr>
          <w:sz w:val="26"/>
          <w:szCs w:val="26"/>
        </w:rPr>
      </w:pPr>
    </w:p>
    <w:p w14:paraId="61D77CB6" w14:textId="77777777" w:rsidR="006C560D" w:rsidRPr="00F54DF8" w:rsidRDefault="006C560D" w:rsidP="00773D87">
      <w:pPr>
        <w:pStyle w:val="p4"/>
        <w:widowControl/>
        <w:rPr>
          <w:sz w:val="26"/>
          <w:szCs w:val="26"/>
        </w:rPr>
      </w:pPr>
      <w:r w:rsidRPr="00F54DF8">
        <w:rPr>
          <w:sz w:val="26"/>
          <w:szCs w:val="26"/>
        </w:rPr>
        <w:t>Commissioners Present:</w:t>
      </w:r>
    </w:p>
    <w:p w14:paraId="22D83699" w14:textId="77777777" w:rsidR="006C560D" w:rsidRPr="00F54DF8" w:rsidRDefault="006C560D" w:rsidP="00773D87">
      <w:pPr>
        <w:widowControl/>
        <w:tabs>
          <w:tab w:val="left" w:pos="204"/>
        </w:tabs>
        <w:rPr>
          <w:sz w:val="26"/>
          <w:szCs w:val="26"/>
        </w:rPr>
      </w:pPr>
    </w:p>
    <w:p w14:paraId="5BB3554F" w14:textId="77C97B72" w:rsidR="007F59C0" w:rsidRPr="00793B95" w:rsidRDefault="007F59C0" w:rsidP="007F59C0">
      <w:pPr>
        <w:pStyle w:val="p5"/>
        <w:widowControl/>
        <w:tabs>
          <w:tab w:val="clear" w:pos="391"/>
        </w:tabs>
        <w:ind w:left="720"/>
        <w:rPr>
          <w:sz w:val="26"/>
          <w:szCs w:val="26"/>
        </w:rPr>
      </w:pPr>
      <w:r w:rsidRPr="00793B95">
        <w:rPr>
          <w:sz w:val="26"/>
          <w:szCs w:val="26"/>
        </w:rPr>
        <w:t xml:space="preserve">Gladys </w:t>
      </w:r>
      <w:r w:rsidR="009300EE">
        <w:rPr>
          <w:sz w:val="26"/>
          <w:szCs w:val="26"/>
        </w:rPr>
        <w:t>Brown Dutrieuille</w:t>
      </w:r>
      <w:r w:rsidRPr="00793B95">
        <w:rPr>
          <w:sz w:val="26"/>
          <w:szCs w:val="26"/>
        </w:rPr>
        <w:t>, Chairman</w:t>
      </w:r>
    </w:p>
    <w:p w14:paraId="09DCADB7" w14:textId="26F68BB8" w:rsidR="007F59C0" w:rsidRPr="00793B95" w:rsidRDefault="00965B10" w:rsidP="007F59C0">
      <w:pPr>
        <w:pStyle w:val="p5"/>
        <w:widowControl/>
        <w:tabs>
          <w:tab w:val="clear" w:pos="391"/>
        </w:tabs>
        <w:ind w:left="720"/>
        <w:rPr>
          <w:sz w:val="26"/>
          <w:szCs w:val="26"/>
        </w:rPr>
      </w:pPr>
      <w:r w:rsidRPr="00965B10">
        <w:rPr>
          <w:sz w:val="26"/>
          <w:szCs w:val="26"/>
        </w:rPr>
        <w:t>David W. Sweet</w:t>
      </w:r>
      <w:r w:rsidR="007F59C0" w:rsidRPr="00793B95">
        <w:rPr>
          <w:sz w:val="26"/>
          <w:szCs w:val="26"/>
        </w:rPr>
        <w:t>,</w:t>
      </w:r>
      <w:r w:rsidR="007F59C0" w:rsidRPr="00793B95">
        <w:t xml:space="preserve"> </w:t>
      </w:r>
      <w:r w:rsidR="007F59C0" w:rsidRPr="00793B95">
        <w:rPr>
          <w:sz w:val="26"/>
          <w:szCs w:val="26"/>
        </w:rPr>
        <w:t>Vice Chairman</w:t>
      </w:r>
    </w:p>
    <w:p w14:paraId="4146E133" w14:textId="77777777" w:rsidR="00965B10" w:rsidRPr="00965B10" w:rsidRDefault="00965B10" w:rsidP="00965B10">
      <w:pPr>
        <w:pStyle w:val="p5"/>
        <w:widowControl/>
        <w:ind w:left="720"/>
        <w:rPr>
          <w:sz w:val="26"/>
          <w:szCs w:val="26"/>
        </w:rPr>
      </w:pPr>
      <w:r w:rsidRPr="00965B10">
        <w:rPr>
          <w:sz w:val="26"/>
          <w:szCs w:val="26"/>
        </w:rPr>
        <w:t>Andrew G. Place</w:t>
      </w:r>
    </w:p>
    <w:p w14:paraId="573A3914" w14:textId="77777777" w:rsidR="00965B10" w:rsidRPr="00965B10" w:rsidRDefault="00965B10" w:rsidP="00965B10">
      <w:pPr>
        <w:pStyle w:val="p5"/>
        <w:widowControl/>
        <w:ind w:left="720"/>
        <w:rPr>
          <w:sz w:val="26"/>
          <w:szCs w:val="26"/>
        </w:rPr>
      </w:pPr>
      <w:r w:rsidRPr="00965B10">
        <w:rPr>
          <w:sz w:val="26"/>
          <w:szCs w:val="26"/>
        </w:rPr>
        <w:t>John F. Coleman, Jr.</w:t>
      </w:r>
    </w:p>
    <w:p w14:paraId="1E03AF9D" w14:textId="1567CA2E" w:rsidR="006C560D" w:rsidRDefault="00965B10" w:rsidP="00965B10">
      <w:pPr>
        <w:pStyle w:val="p5"/>
        <w:widowControl/>
        <w:tabs>
          <w:tab w:val="clear" w:pos="391"/>
        </w:tabs>
        <w:ind w:left="720"/>
        <w:rPr>
          <w:sz w:val="26"/>
          <w:szCs w:val="26"/>
        </w:rPr>
      </w:pPr>
      <w:r w:rsidRPr="00965B10">
        <w:rPr>
          <w:sz w:val="26"/>
          <w:szCs w:val="26"/>
        </w:rPr>
        <w:t>Ralph V. Yanora</w:t>
      </w:r>
    </w:p>
    <w:p w14:paraId="49C3F730" w14:textId="77777777" w:rsidR="00965B10" w:rsidRPr="00F54DF8" w:rsidRDefault="00965B10" w:rsidP="00965B10">
      <w:pPr>
        <w:pStyle w:val="p5"/>
        <w:widowControl/>
        <w:tabs>
          <w:tab w:val="clear" w:pos="391"/>
        </w:tabs>
        <w:ind w:left="720"/>
        <w:rPr>
          <w:sz w:val="26"/>
          <w:szCs w:val="26"/>
        </w:rPr>
      </w:pPr>
    </w:p>
    <w:p w14:paraId="0E74D8FA" w14:textId="77777777" w:rsidR="006C560D" w:rsidRPr="00F54DF8"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C560D" w:rsidRPr="00F54DF8" w14:paraId="42172095" w14:textId="77777777" w:rsidTr="2315FA41">
        <w:trPr>
          <w:trHeight w:val="1665"/>
        </w:trPr>
        <w:tc>
          <w:tcPr>
            <w:tcW w:w="6030" w:type="dxa"/>
          </w:tcPr>
          <w:p w14:paraId="3715E900" w14:textId="4AF530FA" w:rsidR="006C560D" w:rsidRPr="00F54DF8" w:rsidRDefault="2315FA41" w:rsidP="00F805EB">
            <w:pPr>
              <w:widowControl/>
              <w:autoSpaceDE/>
              <w:autoSpaceDN/>
              <w:adjustRightInd/>
              <w:rPr>
                <w:color w:val="0D0D0D" w:themeColor="text1" w:themeTint="F2"/>
                <w:sz w:val="26"/>
                <w:szCs w:val="26"/>
              </w:rPr>
            </w:pPr>
            <w:r w:rsidRPr="2315FA41">
              <w:rPr>
                <w:color w:val="0D0D0D" w:themeColor="text1" w:themeTint="F2"/>
                <w:sz w:val="26"/>
                <w:szCs w:val="26"/>
              </w:rPr>
              <w:t xml:space="preserve">Petition </w:t>
            </w:r>
            <w:r w:rsidR="0074370A" w:rsidRPr="2315FA41">
              <w:rPr>
                <w:color w:val="0D0D0D" w:themeColor="text1" w:themeTint="F2"/>
                <w:sz w:val="26"/>
                <w:szCs w:val="26"/>
              </w:rPr>
              <w:t>of Pennsylvania</w:t>
            </w:r>
            <w:r w:rsidRPr="2315FA41">
              <w:rPr>
                <w:color w:val="0D0D0D" w:themeColor="text1" w:themeTint="F2"/>
                <w:sz w:val="26"/>
                <w:szCs w:val="26"/>
              </w:rPr>
              <w:t xml:space="preserve">-American Water Company – Wastewater Division for Approval of its Modified Long-Term Infrastructure Improvement Plan </w:t>
            </w:r>
            <w:bookmarkStart w:id="0" w:name="_Hlk34225760"/>
            <w:bookmarkEnd w:id="0"/>
          </w:p>
        </w:tc>
        <w:tc>
          <w:tcPr>
            <w:tcW w:w="3897" w:type="dxa"/>
          </w:tcPr>
          <w:p w14:paraId="5E98862E" w14:textId="4EA9F563" w:rsidR="006C560D" w:rsidRPr="00F54DF8" w:rsidRDefault="006C560D" w:rsidP="00773D87">
            <w:pPr>
              <w:widowControl/>
              <w:autoSpaceDE/>
              <w:autoSpaceDN/>
              <w:adjustRightInd/>
              <w:spacing w:line="360" w:lineRule="auto"/>
              <w:rPr>
                <w:color w:val="0D0D0D" w:themeColor="text1" w:themeTint="F2"/>
                <w:kern w:val="1"/>
                <w:sz w:val="26"/>
                <w:szCs w:val="26"/>
              </w:rPr>
            </w:pPr>
            <w:r w:rsidRPr="00F54DF8">
              <w:rPr>
                <w:color w:val="0D0D0D" w:themeColor="text1" w:themeTint="F2"/>
                <w:sz w:val="26"/>
                <w:szCs w:val="20"/>
              </w:rPr>
              <w:t xml:space="preserve">        Docket Number:</w:t>
            </w:r>
          </w:p>
          <w:p w14:paraId="1C60831B" w14:textId="78145172" w:rsidR="006C560D" w:rsidRPr="00F54DF8" w:rsidRDefault="006C560D" w:rsidP="00773D87">
            <w:pPr>
              <w:widowControl/>
              <w:autoSpaceDE/>
              <w:autoSpaceDN/>
              <w:adjustRightInd/>
              <w:rPr>
                <w:color w:val="0D0D0D" w:themeColor="text1" w:themeTint="F2"/>
                <w:sz w:val="26"/>
                <w:szCs w:val="26"/>
              </w:rPr>
            </w:pPr>
            <w:r w:rsidRPr="00F54DF8">
              <w:rPr>
                <w:color w:val="0D0D0D" w:themeColor="text1" w:themeTint="F2"/>
                <w:kern w:val="1"/>
                <w:sz w:val="26"/>
                <w:szCs w:val="26"/>
              </w:rPr>
              <w:t xml:space="preserve">        </w:t>
            </w:r>
            <w:r w:rsidR="00E02B28" w:rsidRPr="00F54DF8">
              <w:rPr>
                <w:color w:val="0D0D0D" w:themeColor="text1" w:themeTint="F2"/>
                <w:sz w:val="26"/>
                <w:szCs w:val="26"/>
              </w:rPr>
              <w:t>P-</w:t>
            </w:r>
            <w:r w:rsidR="00775DE5" w:rsidRPr="00793B95">
              <w:rPr>
                <w:color w:val="0D0D0D" w:themeColor="text1" w:themeTint="F2"/>
                <w:sz w:val="26"/>
                <w:szCs w:val="26"/>
              </w:rPr>
              <w:t>201</w:t>
            </w:r>
            <w:r w:rsidR="00793B95" w:rsidRPr="00793B95">
              <w:rPr>
                <w:color w:val="0D0D0D" w:themeColor="text1" w:themeTint="F2"/>
                <w:sz w:val="26"/>
                <w:szCs w:val="26"/>
              </w:rPr>
              <w:t>4</w:t>
            </w:r>
            <w:r w:rsidR="00775DE5" w:rsidRPr="00793B95">
              <w:rPr>
                <w:color w:val="0D0D0D" w:themeColor="text1" w:themeTint="F2"/>
                <w:sz w:val="26"/>
                <w:szCs w:val="26"/>
              </w:rPr>
              <w:t>-</w:t>
            </w:r>
            <w:r w:rsidR="00793B95" w:rsidRPr="00793B95">
              <w:rPr>
                <w:color w:val="0D0D0D" w:themeColor="text1" w:themeTint="F2"/>
                <w:sz w:val="26"/>
                <w:szCs w:val="26"/>
              </w:rPr>
              <w:t>2431005</w:t>
            </w:r>
          </w:p>
          <w:p w14:paraId="3D9267F8" w14:textId="77777777" w:rsidR="006C560D" w:rsidRPr="00F54DF8" w:rsidRDefault="006C560D" w:rsidP="00773D87">
            <w:pPr>
              <w:widowControl/>
              <w:autoSpaceDE/>
              <w:autoSpaceDN/>
              <w:adjustRightInd/>
              <w:rPr>
                <w:color w:val="0D0D0D" w:themeColor="text1" w:themeTint="F2"/>
                <w:sz w:val="26"/>
                <w:szCs w:val="26"/>
              </w:rPr>
            </w:pPr>
          </w:p>
          <w:p w14:paraId="2DCECF63" w14:textId="122A2B0E" w:rsidR="00775DE5" w:rsidRPr="00F54DF8" w:rsidRDefault="00775DE5" w:rsidP="00775DE5">
            <w:pPr>
              <w:widowControl/>
              <w:autoSpaceDE/>
              <w:autoSpaceDN/>
              <w:adjustRightInd/>
              <w:rPr>
                <w:color w:val="0D0D0D" w:themeColor="text1" w:themeTint="F2"/>
                <w:sz w:val="26"/>
                <w:szCs w:val="26"/>
              </w:rPr>
            </w:pPr>
          </w:p>
          <w:p w14:paraId="71F6E2E0" w14:textId="77777777" w:rsidR="006C560D" w:rsidRPr="00F54DF8" w:rsidRDefault="006C560D" w:rsidP="00773D87">
            <w:pPr>
              <w:widowControl/>
              <w:autoSpaceDE/>
              <w:autoSpaceDN/>
              <w:adjustRightInd/>
              <w:rPr>
                <w:color w:val="0D0D0D" w:themeColor="text1" w:themeTint="F2"/>
                <w:sz w:val="26"/>
                <w:szCs w:val="26"/>
              </w:rPr>
            </w:pPr>
          </w:p>
          <w:p w14:paraId="276AAA61" w14:textId="77777777" w:rsidR="006C560D" w:rsidRPr="00F54DF8" w:rsidRDefault="006C560D" w:rsidP="00773D87">
            <w:pPr>
              <w:widowControl/>
              <w:autoSpaceDE/>
              <w:autoSpaceDN/>
              <w:adjustRightInd/>
              <w:rPr>
                <w:color w:val="0D0D0D" w:themeColor="text1" w:themeTint="F2"/>
                <w:kern w:val="1"/>
                <w:sz w:val="26"/>
                <w:szCs w:val="26"/>
              </w:rPr>
            </w:pPr>
          </w:p>
        </w:tc>
      </w:tr>
    </w:tbl>
    <w:p w14:paraId="0C49C9B3" w14:textId="77777777" w:rsidR="007F07C7" w:rsidRPr="00F54DF8" w:rsidRDefault="007F07C7" w:rsidP="00773D87">
      <w:pPr>
        <w:pStyle w:val="c2"/>
        <w:widowControl/>
        <w:tabs>
          <w:tab w:val="left" w:pos="204"/>
        </w:tabs>
        <w:spacing w:line="360" w:lineRule="auto"/>
        <w:jc w:val="left"/>
        <w:outlineLvl w:val="0"/>
        <w:rPr>
          <w:b/>
          <w:sz w:val="26"/>
          <w:szCs w:val="26"/>
        </w:rPr>
      </w:pPr>
    </w:p>
    <w:p w14:paraId="05CB9C24" w14:textId="77777777" w:rsidR="00D91F34" w:rsidRPr="00F54DF8" w:rsidRDefault="00F25BC8" w:rsidP="00773D87">
      <w:pPr>
        <w:pStyle w:val="c2"/>
        <w:widowControl/>
        <w:tabs>
          <w:tab w:val="left" w:pos="204"/>
        </w:tabs>
        <w:spacing w:line="360" w:lineRule="auto"/>
        <w:outlineLvl w:val="0"/>
        <w:rPr>
          <w:b/>
          <w:sz w:val="26"/>
          <w:szCs w:val="26"/>
        </w:rPr>
      </w:pPr>
      <w:r w:rsidRPr="00F54DF8">
        <w:rPr>
          <w:b/>
          <w:sz w:val="26"/>
          <w:szCs w:val="26"/>
        </w:rPr>
        <w:t xml:space="preserve">OPINION AND </w:t>
      </w:r>
      <w:r w:rsidR="00D91F34" w:rsidRPr="00F54DF8">
        <w:rPr>
          <w:b/>
          <w:sz w:val="26"/>
          <w:szCs w:val="26"/>
        </w:rPr>
        <w:t>ORDER</w:t>
      </w:r>
    </w:p>
    <w:p w14:paraId="6F31C8D2" w14:textId="77777777" w:rsidR="007F07C7" w:rsidRPr="00F54DF8" w:rsidRDefault="007F07C7" w:rsidP="00773D87">
      <w:pPr>
        <w:pStyle w:val="c2"/>
        <w:widowControl/>
        <w:tabs>
          <w:tab w:val="left" w:pos="204"/>
        </w:tabs>
        <w:spacing w:line="360" w:lineRule="auto"/>
        <w:outlineLvl w:val="0"/>
        <w:rPr>
          <w:b/>
          <w:sz w:val="26"/>
          <w:szCs w:val="26"/>
        </w:rPr>
      </w:pPr>
    </w:p>
    <w:p w14:paraId="5BA44A35" w14:textId="67CC19E4" w:rsidR="00D91F34" w:rsidRDefault="001303A1" w:rsidP="00947CCA">
      <w:pPr>
        <w:pStyle w:val="p4"/>
        <w:widowControl/>
        <w:spacing w:line="360" w:lineRule="auto"/>
        <w:rPr>
          <w:b/>
          <w:sz w:val="26"/>
          <w:szCs w:val="26"/>
        </w:rPr>
      </w:pPr>
      <w:r w:rsidRPr="00F54DF8">
        <w:rPr>
          <w:b/>
          <w:sz w:val="26"/>
          <w:szCs w:val="26"/>
        </w:rPr>
        <w:t>BY THE COMMI</w:t>
      </w:r>
      <w:r w:rsidR="00D91F34" w:rsidRPr="00F54DF8">
        <w:rPr>
          <w:b/>
          <w:sz w:val="26"/>
          <w:szCs w:val="26"/>
        </w:rPr>
        <w:t>SSION:</w:t>
      </w:r>
    </w:p>
    <w:p w14:paraId="1C0A3BC3" w14:textId="22F14EF5" w:rsidR="00947CCA" w:rsidRDefault="00947CCA" w:rsidP="00947CCA">
      <w:pPr>
        <w:pStyle w:val="p4"/>
        <w:widowControl/>
        <w:spacing w:line="360" w:lineRule="auto"/>
        <w:rPr>
          <w:b/>
          <w:sz w:val="26"/>
          <w:szCs w:val="26"/>
        </w:rPr>
      </w:pPr>
    </w:p>
    <w:p w14:paraId="1E6ECFC4" w14:textId="77777777" w:rsidR="00965B10" w:rsidRPr="00A612A9" w:rsidRDefault="00965B10" w:rsidP="00947CCA">
      <w:pPr>
        <w:pStyle w:val="p4"/>
        <w:widowControl/>
        <w:spacing w:line="360" w:lineRule="auto"/>
        <w:rPr>
          <w:b/>
          <w:sz w:val="26"/>
          <w:szCs w:val="26"/>
        </w:rPr>
      </w:pPr>
    </w:p>
    <w:p w14:paraId="77E00282" w14:textId="0E0BDDF9" w:rsidR="00F805EB" w:rsidRPr="00F54DF8" w:rsidRDefault="00A11039" w:rsidP="00A11039">
      <w:pPr>
        <w:pStyle w:val="p2"/>
        <w:widowControl/>
        <w:tabs>
          <w:tab w:val="clear" w:pos="1445"/>
          <w:tab w:val="left" w:pos="720"/>
        </w:tabs>
        <w:spacing w:line="360" w:lineRule="auto"/>
        <w:ind w:firstLine="0"/>
        <w:rPr>
          <w:sz w:val="26"/>
          <w:szCs w:val="26"/>
        </w:rPr>
      </w:pPr>
      <w:r w:rsidRPr="007D3D7B">
        <w:rPr>
          <w:sz w:val="26"/>
          <w:szCs w:val="26"/>
        </w:rPr>
        <w:tab/>
      </w:r>
      <w:r w:rsidR="00A251DE" w:rsidRPr="007D3D7B">
        <w:rPr>
          <w:sz w:val="26"/>
          <w:szCs w:val="26"/>
        </w:rPr>
        <w:t xml:space="preserve">Before the Commission for consideration </w:t>
      </w:r>
      <w:r w:rsidR="007F59C0" w:rsidRPr="007D3D7B">
        <w:rPr>
          <w:sz w:val="26"/>
          <w:szCs w:val="26"/>
        </w:rPr>
        <w:t>is</w:t>
      </w:r>
      <w:r w:rsidR="00A251DE" w:rsidRPr="007D3D7B">
        <w:rPr>
          <w:sz w:val="26"/>
          <w:szCs w:val="26"/>
        </w:rPr>
        <w:t xml:space="preserve"> the Petition for approval </w:t>
      </w:r>
      <w:r w:rsidR="0008735F" w:rsidRPr="007D3D7B">
        <w:rPr>
          <w:sz w:val="26"/>
          <w:szCs w:val="26"/>
        </w:rPr>
        <w:t xml:space="preserve">of its Modified </w:t>
      </w:r>
      <w:r w:rsidR="00A251DE" w:rsidRPr="007D3D7B">
        <w:rPr>
          <w:sz w:val="26"/>
          <w:szCs w:val="26"/>
        </w:rPr>
        <w:t>Long-Term Infrastruc</w:t>
      </w:r>
      <w:r w:rsidR="00775DE5" w:rsidRPr="007D3D7B">
        <w:rPr>
          <w:sz w:val="26"/>
          <w:szCs w:val="26"/>
        </w:rPr>
        <w:t>ture Improvement Plan (</w:t>
      </w:r>
      <w:r w:rsidR="009E23BD">
        <w:rPr>
          <w:sz w:val="26"/>
          <w:szCs w:val="26"/>
        </w:rPr>
        <w:t xml:space="preserve">Modified </w:t>
      </w:r>
      <w:r w:rsidR="00775DE5" w:rsidRPr="009E23BD">
        <w:rPr>
          <w:sz w:val="26"/>
          <w:szCs w:val="26"/>
        </w:rPr>
        <w:t xml:space="preserve">LTIIP) </w:t>
      </w:r>
      <w:r w:rsidR="005A584D" w:rsidRPr="009E23BD">
        <w:rPr>
          <w:sz w:val="26"/>
          <w:szCs w:val="26"/>
        </w:rPr>
        <w:t xml:space="preserve">of </w:t>
      </w:r>
      <w:r w:rsidR="00793B95" w:rsidRPr="009E23BD">
        <w:rPr>
          <w:sz w:val="26"/>
          <w:szCs w:val="26"/>
        </w:rPr>
        <w:t>Pennsylvania</w:t>
      </w:r>
      <w:r w:rsidR="002F3739" w:rsidRPr="009E23BD">
        <w:rPr>
          <w:sz w:val="26"/>
          <w:szCs w:val="26"/>
        </w:rPr>
        <w:t>-</w:t>
      </w:r>
      <w:r w:rsidR="00793B95" w:rsidRPr="009E23BD">
        <w:rPr>
          <w:sz w:val="26"/>
          <w:szCs w:val="26"/>
        </w:rPr>
        <w:t>American Water Company</w:t>
      </w:r>
      <w:r w:rsidR="002F3739" w:rsidRPr="007D3D7B">
        <w:rPr>
          <w:sz w:val="26"/>
          <w:szCs w:val="26"/>
        </w:rPr>
        <w:t xml:space="preserve"> </w:t>
      </w:r>
      <w:r w:rsidR="005946A6" w:rsidRPr="007D3D7B">
        <w:rPr>
          <w:sz w:val="26"/>
          <w:szCs w:val="26"/>
        </w:rPr>
        <w:t>–</w:t>
      </w:r>
      <w:r w:rsidR="002F3739" w:rsidRPr="007D3D7B">
        <w:rPr>
          <w:sz w:val="26"/>
          <w:szCs w:val="26"/>
        </w:rPr>
        <w:t xml:space="preserve"> </w:t>
      </w:r>
      <w:r w:rsidR="005946A6" w:rsidRPr="007D3D7B">
        <w:rPr>
          <w:sz w:val="26"/>
          <w:szCs w:val="26"/>
        </w:rPr>
        <w:t>Wastewater Division</w:t>
      </w:r>
      <w:r w:rsidR="00384FA9" w:rsidRPr="007D3D7B">
        <w:rPr>
          <w:sz w:val="26"/>
          <w:szCs w:val="26"/>
        </w:rPr>
        <w:t xml:space="preserve"> </w:t>
      </w:r>
      <w:r w:rsidR="005A584D" w:rsidRPr="007D3D7B">
        <w:rPr>
          <w:sz w:val="26"/>
          <w:szCs w:val="26"/>
        </w:rPr>
        <w:t>(</w:t>
      </w:r>
      <w:r w:rsidR="00793B95" w:rsidRPr="007D3D7B">
        <w:rPr>
          <w:sz w:val="26"/>
          <w:szCs w:val="26"/>
        </w:rPr>
        <w:t>PAWC</w:t>
      </w:r>
      <w:r w:rsidR="00384FA9" w:rsidRPr="007D3D7B">
        <w:rPr>
          <w:sz w:val="26"/>
          <w:szCs w:val="26"/>
        </w:rPr>
        <w:t>-WD</w:t>
      </w:r>
      <w:r w:rsidR="005A584D" w:rsidRPr="007D3D7B">
        <w:rPr>
          <w:sz w:val="26"/>
          <w:szCs w:val="26"/>
        </w:rPr>
        <w:t>).</w:t>
      </w:r>
      <w:r w:rsidR="00A251DE" w:rsidRPr="007D3D7B">
        <w:rPr>
          <w:sz w:val="26"/>
          <w:szCs w:val="26"/>
        </w:rPr>
        <w:t xml:space="preserve">  </w:t>
      </w:r>
      <w:r w:rsidR="00384FA9" w:rsidRPr="007D3D7B">
        <w:rPr>
          <w:sz w:val="26"/>
          <w:szCs w:val="26"/>
        </w:rPr>
        <w:t>PAWC-WD</w:t>
      </w:r>
      <w:r w:rsidR="00793B95" w:rsidRPr="007D3D7B">
        <w:rPr>
          <w:sz w:val="26"/>
          <w:szCs w:val="26"/>
        </w:rPr>
        <w:t xml:space="preserve"> </w:t>
      </w:r>
      <w:r w:rsidR="00F805EB" w:rsidRPr="007D3D7B">
        <w:rPr>
          <w:sz w:val="26"/>
          <w:szCs w:val="26"/>
        </w:rPr>
        <w:t xml:space="preserve">filed its </w:t>
      </w:r>
      <w:r w:rsidR="0003572F" w:rsidRPr="007D3D7B">
        <w:rPr>
          <w:sz w:val="26"/>
          <w:szCs w:val="26"/>
        </w:rPr>
        <w:t>Petition</w:t>
      </w:r>
      <w:r w:rsidR="00077D4E" w:rsidRPr="007D3D7B">
        <w:rPr>
          <w:sz w:val="26"/>
          <w:szCs w:val="26"/>
        </w:rPr>
        <w:t xml:space="preserve"> on </w:t>
      </w:r>
      <w:r w:rsidR="00391875" w:rsidRPr="007D3D7B">
        <w:rPr>
          <w:sz w:val="26"/>
          <w:szCs w:val="26"/>
        </w:rPr>
        <w:t>December 12, 2018</w:t>
      </w:r>
      <w:r w:rsidR="00077D4E" w:rsidRPr="007D3D7B">
        <w:rPr>
          <w:sz w:val="26"/>
          <w:szCs w:val="26"/>
        </w:rPr>
        <w:t xml:space="preserve">. </w:t>
      </w:r>
      <w:r w:rsidR="00077D4E" w:rsidRPr="00A612A9">
        <w:rPr>
          <w:sz w:val="26"/>
          <w:szCs w:val="26"/>
        </w:rPr>
        <w:t xml:space="preserve"> </w:t>
      </w:r>
      <w:r w:rsidR="004806C5" w:rsidRPr="00A612A9">
        <w:rPr>
          <w:sz w:val="26"/>
          <w:szCs w:val="26"/>
        </w:rPr>
        <w:t xml:space="preserve">As </w:t>
      </w:r>
      <w:r w:rsidR="00E81D1B" w:rsidRPr="00A612A9">
        <w:rPr>
          <w:sz w:val="26"/>
          <w:szCs w:val="26"/>
        </w:rPr>
        <w:t xml:space="preserve">detailed below, PAWC-WD filed an amended </w:t>
      </w:r>
      <w:r w:rsidR="0019282D">
        <w:rPr>
          <w:sz w:val="26"/>
          <w:szCs w:val="26"/>
        </w:rPr>
        <w:t>M</w:t>
      </w:r>
      <w:r w:rsidR="005F6509" w:rsidRPr="00A612A9">
        <w:rPr>
          <w:sz w:val="26"/>
          <w:szCs w:val="26"/>
        </w:rPr>
        <w:t xml:space="preserve">odified </w:t>
      </w:r>
      <w:r w:rsidR="00E81D1B" w:rsidRPr="00A612A9">
        <w:rPr>
          <w:sz w:val="26"/>
          <w:szCs w:val="26"/>
        </w:rPr>
        <w:t xml:space="preserve">LTIIP pursuant to a Commission Order entered </w:t>
      </w:r>
      <w:r w:rsidR="00F96D73" w:rsidRPr="00A612A9">
        <w:rPr>
          <w:sz w:val="26"/>
          <w:szCs w:val="26"/>
        </w:rPr>
        <w:t xml:space="preserve">January 7, 2020.  </w:t>
      </w:r>
      <w:r w:rsidR="00077D4E" w:rsidRPr="00A612A9">
        <w:rPr>
          <w:sz w:val="26"/>
          <w:szCs w:val="26"/>
        </w:rPr>
        <w:t xml:space="preserve">Copies of the </w:t>
      </w:r>
      <w:r w:rsidR="00024F31" w:rsidRPr="00993D60">
        <w:rPr>
          <w:sz w:val="26"/>
          <w:szCs w:val="26"/>
        </w:rPr>
        <w:t>Petition and am</w:t>
      </w:r>
      <w:r w:rsidR="00024F31" w:rsidRPr="00852003">
        <w:rPr>
          <w:sz w:val="26"/>
          <w:szCs w:val="26"/>
        </w:rPr>
        <w:t>ended</w:t>
      </w:r>
      <w:r w:rsidR="009E23BD">
        <w:rPr>
          <w:sz w:val="26"/>
          <w:szCs w:val="26"/>
        </w:rPr>
        <w:t xml:space="preserve"> Modified</w:t>
      </w:r>
      <w:r w:rsidR="00024F31" w:rsidRPr="00852003">
        <w:rPr>
          <w:sz w:val="26"/>
          <w:szCs w:val="26"/>
        </w:rPr>
        <w:t xml:space="preserve"> </w:t>
      </w:r>
      <w:r w:rsidR="00077D4E" w:rsidRPr="002F183E">
        <w:rPr>
          <w:sz w:val="26"/>
          <w:szCs w:val="26"/>
        </w:rPr>
        <w:t>LTIIP were served on the</w:t>
      </w:r>
      <w:r w:rsidR="00077D4E" w:rsidRPr="00077D4E">
        <w:rPr>
          <w:sz w:val="26"/>
          <w:szCs w:val="26"/>
        </w:rPr>
        <w:t xml:space="preserve"> statutory </w:t>
      </w:r>
      <w:r w:rsidR="00077D4E" w:rsidRPr="00077D4E">
        <w:rPr>
          <w:sz w:val="26"/>
          <w:szCs w:val="26"/>
        </w:rPr>
        <w:lastRenderedPageBreak/>
        <w:t xml:space="preserve">advocates </w:t>
      </w:r>
      <w:r w:rsidR="00077D4E">
        <w:rPr>
          <w:sz w:val="26"/>
          <w:szCs w:val="26"/>
        </w:rPr>
        <w:t>and</w:t>
      </w:r>
      <w:r w:rsidR="00077D4E" w:rsidRPr="00077D4E">
        <w:rPr>
          <w:sz w:val="26"/>
          <w:szCs w:val="26"/>
        </w:rPr>
        <w:t xml:space="preserve"> the </w:t>
      </w:r>
      <w:r w:rsidR="00694EAA">
        <w:rPr>
          <w:sz w:val="26"/>
          <w:szCs w:val="26"/>
        </w:rPr>
        <w:t xml:space="preserve">parties of record from </w:t>
      </w:r>
      <w:r w:rsidR="00384FA9">
        <w:rPr>
          <w:sz w:val="26"/>
          <w:szCs w:val="26"/>
        </w:rPr>
        <w:t>PAWC-WD</w:t>
      </w:r>
      <w:r w:rsidR="00694EAA" w:rsidRPr="00D44B21">
        <w:rPr>
          <w:sz w:val="26"/>
          <w:szCs w:val="26"/>
        </w:rPr>
        <w:t>’</w:t>
      </w:r>
      <w:r w:rsidR="00077D4E" w:rsidRPr="00D44B21">
        <w:rPr>
          <w:sz w:val="26"/>
          <w:szCs w:val="26"/>
        </w:rPr>
        <w:t>s most</w:t>
      </w:r>
      <w:r w:rsidR="00077D4E" w:rsidRPr="00077D4E">
        <w:rPr>
          <w:sz w:val="26"/>
          <w:szCs w:val="26"/>
        </w:rPr>
        <w:t xml:space="preserve"> recent base rate case proceeding</w:t>
      </w:r>
      <w:r w:rsidR="00077D4E">
        <w:rPr>
          <w:sz w:val="26"/>
          <w:szCs w:val="26"/>
        </w:rPr>
        <w:t>.</w:t>
      </w:r>
      <w:r w:rsidR="003B7BFC">
        <w:rPr>
          <w:rStyle w:val="FootnoteReference"/>
          <w:sz w:val="26"/>
          <w:szCs w:val="26"/>
        </w:rPr>
        <w:footnoteReference w:id="1"/>
      </w:r>
      <w:r w:rsidR="00077D4E">
        <w:rPr>
          <w:sz w:val="26"/>
          <w:szCs w:val="26"/>
        </w:rPr>
        <w:t xml:space="preserve">  </w:t>
      </w:r>
    </w:p>
    <w:p w14:paraId="7009B085" w14:textId="77777777" w:rsidR="00513E7B" w:rsidRDefault="00513E7B" w:rsidP="00A11039">
      <w:pPr>
        <w:pStyle w:val="p2"/>
        <w:widowControl/>
        <w:spacing w:line="360" w:lineRule="auto"/>
        <w:ind w:firstLine="720"/>
        <w:rPr>
          <w:color w:val="0D0D0D" w:themeColor="text1" w:themeTint="F2"/>
          <w:sz w:val="26"/>
          <w:szCs w:val="26"/>
        </w:rPr>
      </w:pPr>
    </w:p>
    <w:p w14:paraId="4E44BFBF" w14:textId="4240B6B0" w:rsidR="00513E7B" w:rsidRDefault="00513E7B" w:rsidP="00513E7B">
      <w:pPr>
        <w:widowControl/>
        <w:tabs>
          <w:tab w:val="left" w:pos="1445"/>
        </w:tabs>
        <w:spacing w:line="360" w:lineRule="auto"/>
        <w:jc w:val="center"/>
        <w:rPr>
          <w:b/>
          <w:sz w:val="26"/>
          <w:szCs w:val="26"/>
        </w:rPr>
      </w:pPr>
      <w:r w:rsidRPr="00513E7B">
        <w:rPr>
          <w:b/>
          <w:sz w:val="26"/>
          <w:szCs w:val="26"/>
        </w:rPr>
        <w:t>HISTORY OF THE PROCEEDING</w:t>
      </w:r>
    </w:p>
    <w:p w14:paraId="4C3157F8" w14:textId="16EDD398" w:rsidR="002E613C" w:rsidRDefault="002E613C" w:rsidP="2315FA41">
      <w:pPr>
        <w:pStyle w:val="p2"/>
        <w:widowControl/>
        <w:spacing w:line="360" w:lineRule="auto"/>
        <w:jc w:val="center"/>
        <w:rPr>
          <w:b/>
          <w:bCs/>
          <w:sz w:val="26"/>
          <w:szCs w:val="26"/>
        </w:rPr>
      </w:pPr>
    </w:p>
    <w:p w14:paraId="5E1CD6D1" w14:textId="215E58D3" w:rsidR="00B53445" w:rsidRDefault="2315FA41" w:rsidP="00B53445">
      <w:pPr>
        <w:pStyle w:val="p2"/>
        <w:widowControl/>
        <w:spacing w:line="360" w:lineRule="auto"/>
        <w:ind w:firstLine="720"/>
        <w:rPr>
          <w:color w:val="0D0D0D" w:themeColor="text1" w:themeTint="F2"/>
          <w:sz w:val="26"/>
          <w:szCs w:val="26"/>
        </w:rPr>
      </w:pPr>
      <w:r w:rsidRPr="2315FA41">
        <w:rPr>
          <w:color w:val="0D0D0D" w:themeColor="text1" w:themeTint="F2"/>
          <w:sz w:val="26"/>
          <w:szCs w:val="26"/>
        </w:rPr>
        <w:t xml:space="preserve">On December 12, 2018, PAWC-WD filed the instant Petition seeking review and approval by the Commission.  </w:t>
      </w:r>
    </w:p>
    <w:p w14:paraId="35CD5824" w14:textId="77777777" w:rsidR="002E613C" w:rsidRPr="00B53445" w:rsidRDefault="002E613C" w:rsidP="00B53445">
      <w:pPr>
        <w:pStyle w:val="p2"/>
        <w:widowControl/>
        <w:spacing w:line="360" w:lineRule="auto"/>
        <w:ind w:firstLine="720"/>
        <w:rPr>
          <w:color w:val="0D0D0D" w:themeColor="text1" w:themeTint="F2"/>
          <w:sz w:val="26"/>
          <w:szCs w:val="26"/>
        </w:rPr>
      </w:pPr>
    </w:p>
    <w:p w14:paraId="1369ED37" w14:textId="06701DCC" w:rsidR="00B53445" w:rsidRDefault="2315FA41" w:rsidP="00B53445">
      <w:pPr>
        <w:pStyle w:val="p2"/>
        <w:widowControl/>
        <w:spacing w:line="360" w:lineRule="auto"/>
        <w:ind w:firstLine="720"/>
        <w:rPr>
          <w:color w:val="0D0D0D" w:themeColor="text1" w:themeTint="F2"/>
          <w:sz w:val="26"/>
          <w:szCs w:val="26"/>
        </w:rPr>
      </w:pPr>
      <w:r w:rsidRPr="2315FA41">
        <w:rPr>
          <w:color w:val="0D0D0D" w:themeColor="text1" w:themeTint="F2"/>
          <w:sz w:val="26"/>
          <w:szCs w:val="26"/>
        </w:rPr>
        <w:t>On January 2, 2019, the Commission’s Bureau of Investigation and Enforcement (</w:t>
      </w:r>
      <w:r w:rsidR="0019282D">
        <w:rPr>
          <w:color w:val="0D0D0D" w:themeColor="text1" w:themeTint="F2"/>
          <w:sz w:val="26"/>
          <w:szCs w:val="26"/>
        </w:rPr>
        <w:t>BIE)</w:t>
      </w:r>
      <w:r w:rsidRPr="2315FA41">
        <w:rPr>
          <w:color w:val="0D0D0D" w:themeColor="text1" w:themeTint="F2"/>
          <w:sz w:val="26"/>
          <w:szCs w:val="26"/>
        </w:rPr>
        <w:t xml:space="preserve"> filed an Answer to PAWC-WD</w:t>
      </w:r>
      <w:r w:rsidR="00B256A7">
        <w:rPr>
          <w:color w:val="0D0D0D" w:themeColor="text1" w:themeTint="F2"/>
          <w:sz w:val="26"/>
          <w:szCs w:val="26"/>
        </w:rPr>
        <w:t xml:space="preserve">’s </w:t>
      </w:r>
      <w:r w:rsidRPr="2315FA41">
        <w:rPr>
          <w:color w:val="0D0D0D" w:themeColor="text1" w:themeTint="F2"/>
          <w:sz w:val="26"/>
          <w:szCs w:val="26"/>
        </w:rPr>
        <w:t xml:space="preserve">Petition.  In its Answer, I&amp;E requested that the matter be assigned to </w:t>
      </w:r>
      <w:r w:rsidR="0019282D">
        <w:rPr>
          <w:color w:val="0D0D0D" w:themeColor="text1" w:themeTint="F2"/>
          <w:sz w:val="26"/>
          <w:szCs w:val="26"/>
        </w:rPr>
        <w:t>the Commission’s Office of Administrative Law Judge (</w:t>
      </w:r>
      <w:r w:rsidRPr="2315FA41">
        <w:rPr>
          <w:color w:val="0D0D0D" w:themeColor="text1" w:themeTint="F2"/>
          <w:sz w:val="26"/>
          <w:szCs w:val="26"/>
        </w:rPr>
        <w:t>OALJ</w:t>
      </w:r>
      <w:r w:rsidR="0019282D">
        <w:rPr>
          <w:color w:val="0D0D0D" w:themeColor="text1" w:themeTint="F2"/>
          <w:sz w:val="26"/>
          <w:szCs w:val="26"/>
        </w:rPr>
        <w:t>)</w:t>
      </w:r>
      <w:r w:rsidRPr="2315FA41">
        <w:rPr>
          <w:color w:val="0D0D0D" w:themeColor="text1" w:themeTint="F2"/>
          <w:sz w:val="26"/>
          <w:szCs w:val="26"/>
        </w:rPr>
        <w:t xml:space="preserve"> for an investigation and, if necessary, evidentiary hearings.  </w:t>
      </w:r>
      <w:r w:rsidR="0019282D">
        <w:rPr>
          <w:color w:val="0D0D0D" w:themeColor="text1" w:themeTint="F2"/>
          <w:sz w:val="26"/>
          <w:szCs w:val="26"/>
        </w:rPr>
        <w:t>BIE</w:t>
      </w:r>
      <w:r w:rsidRPr="2315FA41">
        <w:rPr>
          <w:color w:val="0D0D0D" w:themeColor="text1" w:themeTint="F2"/>
          <w:sz w:val="26"/>
          <w:szCs w:val="26"/>
        </w:rPr>
        <w:t xml:space="preserve"> stated its intent to participate in </w:t>
      </w:r>
      <w:r w:rsidR="0019282D">
        <w:rPr>
          <w:color w:val="0D0D0D" w:themeColor="text1" w:themeTint="F2"/>
          <w:sz w:val="26"/>
          <w:szCs w:val="26"/>
        </w:rPr>
        <w:t xml:space="preserve">the </w:t>
      </w:r>
      <w:r w:rsidRPr="2315FA41">
        <w:rPr>
          <w:color w:val="0D0D0D" w:themeColor="text1" w:themeTint="F2"/>
          <w:sz w:val="26"/>
          <w:szCs w:val="26"/>
        </w:rPr>
        <w:t xml:space="preserve">proceeding to ensure that the proposed Modified LTIIP would meet the legal requirements of the Public Utility Code, the Commission’s Regulations and Pennsylvania law.  </w:t>
      </w:r>
      <w:r w:rsidR="0019282D">
        <w:rPr>
          <w:color w:val="0D0D0D" w:themeColor="text1" w:themeTint="F2"/>
          <w:sz w:val="26"/>
          <w:szCs w:val="26"/>
        </w:rPr>
        <w:t>BIE</w:t>
      </w:r>
      <w:r w:rsidRPr="2315FA41">
        <w:rPr>
          <w:color w:val="0D0D0D" w:themeColor="text1" w:themeTint="F2"/>
          <w:sz w:val="26"/>
          <w:szCs w:val="26"/>
        </w:rPr>
        <w:t xml:space="preserve"> also stated that it was participating in this proceeding to ensure that the interests of all PAWC-WD ratepayers were protected.</w:t>
      </w:r>
    </w:p>
    <w:p w14:paraId="0650EA6E" w14:textId="693E34BB" w:rsidR="002E613C" w:rsidRDefault="002E613C" w:rsidP="00B53445">
      <w:pPr>
        <w:pStyle w:val="p2"/>
        <w:widowControl/>
        <w:spacing w:line="360" w:lineRule="auto"/>
        <w:ind w:firstLine="720"/>
        <w:rPr>
          <w:color w:val="0D0D0D" w:themeColor="text1" w:themeTint="F2"/>
          <w:sz w:val="26"/>
          <w:szCs w:val="26"/>
        </w:rPr>
      </w:pPr>
    </w:p>
    <w:p w14:paraId="1279E1AC" w14:textId="2D72250B" w:rsidR="002E613C" w:rsidRDefault="2315FA41" w:rsidP="00B53445">
      <w:pPr>
        <w:pStyle w:val="p2"/>
        <w:widowControl/>
        <w:spacing w:line="360" w:lineRule="auto"/>
        <w:ind w:firstLine="720"/>
        <w:rPr>
          <w:color w:val="0D0D0D" w:themeColor="text1" w:themeTint="F2"/>
          <w:sz w:val="26"/>
          <w:szCs w:val="26"/>
        </w:rPr>
      </w:pPr>
      <w:r w:rsidRPr="2315FA41">
        <w:rPr>
          <w:color w:val="0D0D0D" w:themeColor="text1" w:themeTint="F2"/>
          <w:sz w:val="26"/>
          <w:szCs w:val="26"/>
        </w:rPr>
        <w:t>On January 9, 2019, the Office of Consumer Advocate (OCA) filed Comments.  In its Comments, the OCA recommended that PAWC-WD provide additional information relating to the 2018 Petition to Modify LTIIP.  OCA also recommended that PAWC-WD take certain actions in future LTIIP related filings.</w:t>
      </w:r>
    </w:p>
    <w:p w14:paraId="60CF0F38" w14:textId="77777777" w:rsidR="008979CB" w:rsidRDefault="008979CB" w:rsidP="00B53445">
      <w:pPr>
        <w:pStyle w:val="p2"/>
        <w:widowControl/>
        <w:spacing w:line="360" w:lineRule="auto"/>
        <w:ind w:firstLine="720"/>
        <w:rPr>
          <w:color w:val="0D0D0D" w:themeColor="text1" w:themeTint="F2"/>
          <w:sz w:val="26"/>
          <w:szCs w:val="26"/>
        </w:rPr>
      </w:pPr>
    </w:p>
    <w:p w14:paraId="745DF60A" w14:textId="594AC51B" w:rsidR="002E613C" w:rsidRDefault="002E613C" w:rsidP="00B53445">
      <w:pPr>
        <w:pStyle w:val="p2"/>
        <w:widowControl/>
        <w:spacing w:line="360" w:lineRule="auto"/>
        <w:ind w:firstLine="720"/>
        <w:rPr>
          <w:color w:val="0D0D0D" w:themeColor="text1" w:themeTint="F2"/>
          <w:sz w:val="26"/>
          <w:szCs w:val="26"/>
        </w:rPr>
      </w:pPr>
      <w:r w:rsidRPr="002E613C">
        <w:rPr>
          <w:color w:val="0D0D0D" w:themeColor="text1" w:themeTint="F2"/>
          <w:sz w:val="26"/>
          <w:szCs w:val="26"/>
        </w:rPr>
        <w:t xml:space="preserve">On January 10, 2019, </w:t>
      </w:r>
      <w:r w:rsidR="0019282D">
        <w:rPr>
          <w:color w:val="0D0D0D" w:themeColor="text1" w:themeTint="F2"/>
          <w:sz w:val="26"/>
          <w:szCs w:val="26"/>
        </w:rPr>
        <w:t>BIE</w:t>
      </w:r>
      <w:r w:rsidRPr="002E613C">
        <w:rPr>
          <w:color w:val="0D0D0D" w:themeColor="text1" w:themeTint="F2"/>
          <w:sz w:val="26"/>
          <w:szCs w:val="26"/>
        </w:rPr>
        <w:t xml:space="preserve"> filed an Amended Answer to the </w:t>
      </w:r>
      <w:r w:rsidR="00B256A7">
        <w:rPr>
          <w:color w:val="0D0D0D" w:themeColor="text1" w:themeTint="F2"/>
          <w:sz w:val="26"/>
          <w:szCs w:val="26"/>
        </w:rPr>
        <w:t>PAWC-WD’s Petition</w:t>
      </w:r>
      <w:r w:rsidR="007B0C2A" w:rsidRPr="002E613C">
        <w:rPr>
          <w:color w:val="0D0D0D" w:themeColor="text1" w:themeTint="F2"/>
          <w:sz w:val="26"/>
          <w:szCs w:val="26"/>
        </w:rPr>
        <w:t xml:space="preserve">.  </w:t>
      </w:r>
      <w:r w:rsidRPr="002E613C">
        <w:rPr>
          <w:color w:val="0D0D0D" w:themeColor="text1" w:themeTint="F2"/>
          <w:sz w:val="26"/>
          <w:szCs w:val="26"/>
        </w:rPr>
        <w:t xml:space="preserve">In the Amended Answer, </w:t>
      </w:r>
      <w:r w:rsidR="0019282D">
        <w:rPr>
          <w:color w:val="0D0D0D" w:themeColor="text1" w:themeTint="F2"/>
          <w:sz w:val="26"/>
          <w:szCs w:val="26"/>
        </w:rPr>
        <w:t>BIE</w:t>
      </w:r>
      <w:r w:rsidRPr="002E613C">
        <w:rPr>
          <w:color w:val="0D0D0D" w:themeColor="text1" w:themeTint="F2"/>
          <w:sz w:val="26"/>
          <w:szCs w:val="26"/>
        </w:rPr>
        <w:t xml:space="preserve"> </w:t>
      </w:r>
      <w:bookmarkStart w:id="1" w:name="_Hlk36541375"/>
      <w:r w:rsidRPr="002E613C">
        <w:rPr>
          <w:color w:val="0D0D0D" w:themeColor="text1" w:themeTint="F2"/>
          <w:sz w:val="26"/>
          <w:szCs w:val="26"/>
        </w:rPr>
        <w:t xml:space="preserve">asserted that there were specific </w:t>
      </w:r>
      <w:r w:rsidR="00B256A7">
        <w:rPr>
          <w:color w:val="0D0D0D" w:themeColor="text1" w:themeTint="F2"/>
          <w:sz w:val="26"/>
          <w:szCs w:val="26"/>
        </w:rPr>
        <w:t xml:space="preserve">material factual </w:t>
      </w:r>
      <w:r w:rsidRPr="002E613C">
        <w:rPr>
          <w:color w:val="0D0D0D" w:themeColor="text1" w:themeTint="F2"/>
          <w:sz w:val="26"/>
          <w:szCs w:val="26"/>
        </w:rPr>
        <w:t>issues that must be referred to the OALJ for disposition</w:t>
      </w:r>
      <w:bookmarkEnd w:id="1"/>
      <w:r w:rsidRPr="002E613C">
        <w:rPr>
          <w:color w:val="0D0D0D" w:themeColor="text1" w:themeTint="F2"/>
          <w:sz w:val="26"/>
          <w:szCs w:val="26"/>
        </w:rPr>
        <w:t>.</w:t>
      </w:r>
    </w:p>
    <w:p w14:paraId="13B2073B" w14:textId="2FCC2246" w:rsidR="002E613C" w:rsidRDefault="002E613C" w:rsidP="00B53445">
      <w:pPr>
        <w:pStyle w:val="p2"/>
        <w:widowControl/>
        <w:spacing w:line="360" w:lineRule="auto"/>
        <w:ind w:firstLine="720"/>
        <w:rPr>
          <w:color w:val="0D0D0D" w:themeColor="text1" w:themeTint="F2"/>
          <w:sz w:val="26"/>
          <w:szCs w:val="26"/>
        </w:rPr>
      </w:pPr>
    </w:p>
    <w:p w14:paraId="31168F56" w14:textId="73CFA9B4" w:rsidR="002E613C" w:rsidRDefault="2315FA41" w:rsidP="00B53445">
      <w:pPr>
        <w:pStyle w:val="p2"/>
        <w:widowControl/>
        <w:spacing w:line="360" w:lineRule="auto"/>
        <w:ind w:firstLine="720"/>
        <w:rPr>
          <w:color w:val="0D0D0D" w:themeColor="text1" w:themeTint="F2"/>
          <w:sz w:val="26"/>
          <w:szCs w:val="26"/>
        </w:rPr>
      </w:pPr>
      <w:r w:rsidRPr="2315FA41">
        <w:rPr>
          <w:color w:val="0D0D0D" w:themeColor="text1" w:themeTint="F2"/>
          <w:sz w:val="26"/>
          <w:szCs w:val="26"/>
        </w:rPr>
        <w:lastRenderedPageBreak/>
        <w:t>By Notice dated February 8, 2019,</w:t>
      </w:r>
      <w:r>
        <w:t xml:space="preserve"> </w:t>
      </w:r>
      <w:r w:rsidR="0019282D">
        <w:rPr>
          <w:color w:val="0D0D0D" w:themeColor="text1" w:themeTint="F2"/>
          <w:sz w:val="26"/>
          <w:szCs w:val="26"/>
        </w:rPr>
        <w:t>the</w:t>
      </w:r>
      <w:r w:rsidRPr="2315FA41">
        <w:rPr>
          <w:color w:val="0D0D0D" w:themeColor="text1" w:themeTint="F2"/>
          <w:sz w:val="26"/>
          <w:szCs w:val="26"/>
        </w:rPr>
        <w:t xml:space="preserve"> matter was assigned to OALJ by the Commission.   </w:t>
      </w:r>
    </w:p>
    <w:p w14:paraId="44033206" w14:textId="0F3C7788" w:rsidR="002E613C" w:rsidRPr="002E613C" w:rsidRDefault="002E613C" w:rsidP="002E613C">
      <w:pPr>
        <w:pStyle w:val="p2"/>
        <w:widowControl/>
        <w:spacing w:line="360" w:lineRule="auto"/>
        <w:ind w:firstLine="720"/>
        <w:rPr>
          <w:color w:val="0D0D0D" w:themeColor="text1" w:themeTint="F2"/>
          <w:sz w:val="26"/>
          <w:szCs w:val="26"/>
        </w:rPr>
      </w:pPr>
    </w:p>
    <w:p w14:paraId="61BE0FED" w14:textId="50FC9D2B" w:rsidR="00B53445" w:rsidRPr="00B53445" w:rsidRDefault="2315FA41" w:rsidP="00B53445">
      <w:pPr>
        <w:pStyle w:val="p2"/>
        <w:widowControl/>
        <w:spacing w:line="360" w:lineRule="auto"/>
        <w:ind w:firstLine="720"/>
        <w:rPr>
          <w:color w:val="0D0D0D" w:themeColor="text1" w:themeTint="F2"/>
          <w:sz w:val="26"/>
          <w:szCs w:val="26"/>
        </w:rPr>
      </w:pPr>
      <w:bookmarkStart w:id="2" w:name="_Hlk36541490"/>
      <w:r w:rsidRPr="2315FA41">
        <w:rPr>
          <w:color w:val="0D0D0D" w:themeColor="text1" w:themeTint="F2"/>
          <w:sz w:val="26"/>
          <w:szCs w:val="26"/>
        </w:rPr>
        <w:t xml:space="preserve">On August 15, 2019, PAWC-WD, BIE, OCA, and the Office of Small Business Advocate (Joint Petitioners) filed a Joint Petition for Settlement (Settlement) that proposed to resolve all contested issues in the proceeding.  </w:t>
      </w:r>
    </w:p>
    <w:p w14:paraId="5375D2BC" w14:textId="77777777" w:rsidR="00B53445" w:rsidRPr="00B53445" w:rsidRDefault="00B53445" w:rsidP="00B53445">
      <w:pPr>
        <w:pStyle w:val="p2"/>
        <w:widowControl/>
        <w:spacing w:line="360" w:lineRule="auto"/>
        <w:ind w:firstLine="720"/>
        <w:rPr>
          <w:color w:val="0D0D0D" w:themeColor="text1" w:themeTint="F2"/>
          <w:sz w:val="26"/>
          <w:szCs w:val="26"/>
        </w:rPr>
      </w:pPr>
    </w:p>
    <w:p w14:paraId="074F5224" w14:textId="0D4A0D9A" w:rsidR="002E613C" w:rsidRDefault="00B53445" w:rsidP="00967B4C">
      <w:pPr>
        <w:pStyle w:val="p2"/>
        <w:widowControl/>
        <w:spacing w:line="360" w:lineRule="auto"/>
        <w:ind w:firstLine="720"/>
        <w:rPr>
          <w:color w:val="0D0D0D" w:themeColor="text1" w:themeTint="F2"/>
          <w:sz w:val="26"/>
          <w:szCs w:val="26"/>
        </w:rPr>
      </w:pPr>
      <w:r w:rsidRPr="00B53445">
        <w:rPr>
          <w:color w:val="0D0D0D" w:themeColor="text1" w:themeTint="F2"/>
          <w:sz w:val="26"/>
          <w:szCs w:val="26"/>
        </w:rPr>
        <w:t>On September 30, 2019, the Joint Petitioners filed a Joint Stipulation of Facts regarding th</w:t>
      </w:r>
      <w:r w:rsidR="0019282D">
        <w:rPr>
          <w:color w:val="0D0D0D" w:themeColor="text1" w:themeTint="F2"/>
          <w:sz w:val="26"/>
          <w:szCs w:val="26"/>
        </w:rPr>
        <w:t>e</w:t>
      </w:r>
      <w:r w:rsidRPr="00B53445">
        <w:rPr>
          <w:color w:val="0D0D0D" w:themeColor="text1" w:themeTint="F2"/>
          <w:sz w:val="26"/>
          <w:szCs w:val="26"/>
        </w:rPr>
        <w:t xml:space="preserve"> matter. </w:t>
      </w:r>
    </w:p>
    <w:p w14:paraId="1DA875A5" w14:textId="77777777" w:rsidR="002E613C" w:rsidRDefault="002E613C" w:rsidP="00967B4C">
      <w:pPr>
        <w:pStyle w:val="p2"/>
        <w:widowControl/>
        <w:spacing w:line="360" w:lineRule="auto"/>
        <w:ind w:firstLine="720"/>
        <w:rPr>
          <w:color w:val="0D0D0D" w:themeColor="text1" w:themeTint="F2"/>
          <w:sz w:val="26"/>
          <w:szCs w:val="26"/>
        </w:rPr>
      </w:pPr>
    </w:p>
    <w:p w14:paraId="0F16C5A7" w14:textId="77777777" w:rsidR="002E613C" w:rsidRDefault="002E613C" w:rsidP="00967B4C">
      <w:pPr>
        <w:pStyle w:val="p2"/>
        <w:widowControl/>
        <w:spacing w:line="360" w:lineRule="auto"/>
        <w:ind w:firstLine="720"/>
        <w:rPr>
          <w:color w:val="0D0D0D" w:themeColor="text1" w:themeTint="F2"/>
          <w:sz w:val="26"/>
          <w:szCs w:val="26"/>
        </w:rPr>
      </w:pPr>
      <w:r w:rsidRPr="002E613C">
        <w:rPr>
          <w:color w:val="0D0D0D" w:themeColor="text1" w:themeTint="F2"/>
          <w:sz w:val="26"/>
          <w:szCs w:val="26"/>
        </w:rPr>
        <w:t>By Order dated October 23, 2019, the Joint Stipulation of Facts was approved and admitted into the record.</w:t>
      </w:r>
    </w:p>
    <w:p w14:paraId="3580B2EF" w14:textId="77777777" w:rsidR="002E613C" w:rsidRDefault="002E613C" w:rsidP="00967B4C">
      <w:pPr>
        <w:pStyle w:val="p2"/>
        <w:widowControl/>
        <w:spacing w:line="360" w:lineRule="auto"/>
        <w:ind w:firstLine="720"/>
        <w:rPr>
          <w:color w:val="0D0D0D" w:themeColor="text1" w:themeTint="F2"/>
          <w:sz w:val="26"/>
          <w:szCs w:val="26"/>
        </w:rPr>
      </w:pPr>
    </w:p>
    <w:p w14:paraId="3456307D" w14:textId="40F053DD" w:rsidR="0013233F" w:rsidRDefault="00B53445" w:rsidP="0013233F">
      <w:pPr>
        <w:pStyle w:val="p2"/>
        <w:widowControl/>
        <w:spacing w:line="360" w:lineRule="auto"/>
        <w:ind w:firstLine="720"/>
        <w:rPr>
          <w:color w:val="0D0D0D" w:themeColor="text1" w:themeTint="F2"/>
          <w:sz w:val="26"/>
          <w:szCs w:val="26"/>
        </w:rPr>
      </w:pPr>
      <w:r w:rsidRPr="00B53445">
        <w:rPr>
          <w:color w:val="0D0D0D" w:themeColor="text1" w:themeTint="F2"/>
          <w:sz w:val="26"/>
          <w:szCs w:val="26"/>
        </w:rPr>
        <w:t xml:space="preserve"> </w:t>
      </w:r>
      <w:r w:rsidR="0019282D">
        <w:rPr>
          <w:color w:val="0D0D0D" w:themeColor="text1" w:themeTint="F2"/>
          <w:sz w:val="26"/>
          <w:szCs w:val="26"/>
        </w:rPr>
        <w:t>T</w:t>
      </w:r>
      <w:r w:rsidRPr="00B53445">
        <w:rPr>
          <w:color w:val="0D0D0D" w:themeColor="text1" w:themeTint="F2"/>
          <w:sz w:val="26"/>
          <w:szCs w:val="26"/>
        </w:rPr>
        <w:t xml:space="preserve">he Recommended Decision of </w:t>
      </w:r>
      <w:r w:rsidR="0019282D">
        <w:rPr>
          <w:color w:val="0D0D0D" w:themeColor="text1" w:themeTint="F2"/>
          <w:sz w:val="26"/>
          <w:szCs w:val="26"/>
        </w:rPr>
        <w:t>Administrative Law Judges Joel</w:t>
      </w:r>
      <w:r w:rsidRPr="00B53445">
        <w:rPr>
          <w:color w:val="0D0D0D" w:themeColor="text1" w:themeTint="F2"/>
          <w:sz w:val="26"/>
          <w:szCs w:val="26"/>
        </w:rPr>
        <w:t xml:space="preserve"> Cheskis and </w:t>
      </w:r>
      <w:r w:rsidR="0019282D">
        <w:rPr>
          <w:color w:val="0D0D0D" w:themeColor="text1" w:themeTint="F2"/>
          <w:sz w:val="26"/>
          <w:szCs w:val="26"/>
        </w:rPr>
        <w:t xml:space="preserve">Andrew </w:t>
      </w:r>
      <w:r w:rsidRPr="00B53445">
        <w:rPr>
          <w:color w:val="0D0D0D" w:themeColor="text1" w:themeTint="F2"/>
          <w:sz w:val="26"/>
          <w:szCs w:val="26"/>
        </w:rPr>
        <w:t xml:space="preserve">Calvelli </w:t>
      </w:r>
      <w:r w:rsidR="0019282D">
        <w:rPr>
          <w:color w:val="0D0D0D" w:themeColor="text1" w:themeTint="F2"/>
          <w:sz w:val="26"/>
          <w:szCs w:val="26"/>
        </w:rPr>
        <w:t xml:space="preserve">was issued </w:t>
      </w:r>
      <w:r w:rsidRPr="00B53445">
        <w:rPr>
          <w:color w:val="0D0D0D" w:themeColor="text1" w:themeTint="F2"/>
          <w:sz w:val="26"/>
          <w:szCs w:val="26"/>
        </w:rPr>
        <w:t>on November 26, 2019</w:t>
      </w:r>
      <w:r w:rsidR="00B256A7">
        <w:rPr>
          <w:color w:val="0D0D0D" w:themeColor="text1" w:themeTint="F2"/>
          <w:sz w:val="26"/>
          <w:szCs w:val="26"/>
        </w:rPr>
        <w:t>, which recommended approval of the Settlement</w:t>
      </w:r>
      <w:r w:rsidR="0019282D">
        <w:rPr>
          <w:color w:val="0D0D0D" w:themeColor="text1" w:themeTint="F2"/>
          <w:sz w:val="26"/>
          <w:szCs w:val="26"/>
        </w:rPr>
        <w:t xml:space="preserve">.  </w:t>
      </w:r>
      <w:r w:rsidR="00C6309B">
        <w:rPr>
          <w:color w:val="0D0D0D" w:themeColor="text1" w:themeTint="F2"/>
          <w:sz w:val="26"/>
          <w:szCs w:val="26"/>
        </w:rPr>
        <w:t xml:space="preserve">On December 19, 2019, the Commission adopted a Joint Motion that, </w:t>
      </w:r>
      <w:r w:rsidR="00C6309B" w:rsidRPr="00C6309B">
        <w:rPr>
          <w:i/>
          <w:iCs/>
          <w:color w:val="0D0D0D" w:themeColor="text1" w:themeTint="F2"/>
          <w:sz w:val="26"/>
          <w:szCs w:val="26"/>
        </w:rPr>
        <w:t>inter alia</w:t>
      </w:r>
      <w:r w:rsidR="00C6309B">
        <w:rPr>
          <w:color w:val="0D0D0D" w:themeColor="text1" w:themeTint="F2"/>
          <w:sz w:val="26"/>
          <w:szCs w:val="26"/>
        </w:rPr>
        <w:t xml:space="preserve">, adopted the Recommended Decision, but required PAWC-WD to file an amended Modified LTIIP with the Commission’s Bureau of Technical Utility Services incorporating matters expressly resolved by the Settlement.  </w:t>
      </w:r>
      <w:r w:rsidR="0013233F">
        <w:rPr>
          <w:color w:val="0D0D0D" w:themeColor="text1" w:themeTint="F2"/>
          <w:sz w:val="26"/>
          <w:szCs w:val="26"/>
        </w:rPr>
        <w:t>The Commission entered an Order on January 9, 2020, pursuant to the Joint Motion</w:t>
      </w:r>
      <w:bookmarkEnd w:id="2"/>
      <w:r w:rsidR="0013233F">
        <w:rPr>
          <w:color w:val="0D0D0D" w:themeColor="text1" w:themeTint="F2"/>
          <w:sz w:val="26"/>
          <w:szCs w:val="26"/>
        </w:rPr>
        <w:t xml:space="preserve">.  </w:t>
      </w:r>
    </w:p>
    <w:p w14:paraId="228DA9B8" w14:textId="2FB4BFDA" w:rsidR="0013233F" w:rsidRDefault="0013233F" w:rsidP="0013233F">
      <w:pPr>
        <w:pStyle w:val="p2"/>
        <w:widowControl/>
        <w:spacing w:line="360" w:lineRule="auto"/>
        <w:ind w:firstLine="720"/>
        <w:rPr>
          <w:color w:val="0D0D0D" w:themeColor="text1" w:themeTint="F2"/>
          <w:sz w:val="26"/>
          <w:szCs w:val="26"/>
        </w:rPr>
      </w:pPr>
    </w:p>
    <w:p w14:paraId="4430D707" w14:textId="06BEE9F8" w:rsidR="0013233F" w:rsidRDefault="0013233F" w:rsidP="0013233F">
      <w:pPr>
        <w:pStyle w:val="p2"/>
        <w:widowControl/>
        <w:spacing w:line="360" w:lineRule="auto"/>
        <w:ind w:firstLine="720"/>
        <w:rPr>
          <w:color w:val="0D0D0D" w:themeColor="text1" w:themeTint="F2"/>
          <w:sz w:val="26"/>
          <w:szCs w:val="26"/>
        </w:rPr>
      </w:pPr>
      <w:bookmarkStart w:id="3" w:name="_Hlk36541519"/>
      <w:r>
        <w:rPr>
          <w:color w:val="0D0D0D" w:themeColor="text1" w:themeTint="F2"/>
          <w:sz w:val="26"/>
          <w:szCs w:val="26"/>
        </w:rPr>
        <w:t>On January 30, PAWC-WD filed its amended Modified LTIIP.  No comments were filed to the amended Modified LTIIP.</w:t>
      </w:r>
      <w:bookmarkEnd w:id="3"/>
      <w:r>
        <w:rPr>
          <w:color w:val="0D0D0D" w:themeColor="text1" w:themeTint="F2"/>
          <w:sz w:val="26"/>
          <w:szCs w:val="26"/>
        </w:rPr>
        <w:t xml:space="preserve">  BIE and OCA had opportunity to address any concerns of their comments through the adjudication process and Settlement negotiation</w:t>
      </w:r>
      <w:r w:rsidR="00A87C30">
        <w:rPr>
          <w:color w:val="0D0D0D" w:themeColor="text1" w:themeTint="F2"/>
          <w:sz w:val="26"/>
          <w:szCs w:val="26"/>
        </w:rPr>
        <w:t>,</w:t>
      </w:r>
      <w:r>
        <w:rPr>
          <w:color w:val="0D0D0D" w:themeColor="text1" w:themeTint="F2"/>
          <w:sz w:val="26"/>
          <w:szCs w:val="26"/>
        </w:rPr>
        <w:t xml:space="preserve"> and </w:t>
      </w:r>
      <w:r w:rsidR="00991179">
        <w:rPr>
          <w:color w:val="0D0D0D" w:themeColor="text1" w:themeTint="F2"/>
          <w:sz w:val="26"/>
          <w:szCs w:val="26"/>
        </w:rPr>
        <w:t>no</w:t>
      </w:r>
      <w:r>
        <w:rPr>
          <w:color w:val="0D0D0D" w:themeColor="text1" w:themeTint="F2"/>
          <w:sz w:val="26"/>
          <w:szCs w:val="26"/>
        </w:rPr>
        <w:t xml:space="preserve"> new comments </w:t>
      </w:r>
      <w:r w:rsidR="00991179">
        <w:rPr>
          <w:color w:val="0D0D0D" w:themeColor="text1" w:themeTint="F2"/>
          <w:sz w:val="26"/>
          <w:szCs w:val="26"/>
        </w:rPr>
        <w:t xml:space="preserve">were filed </w:t>
      </w:r>
      <w:r w:rsidR="00FB50B2">
        <w:rPr>
          <w:color w:val="0D0D0D" w:themeColor="text1" w:themeTint="F2"/>
          <w:sz w:val="26"/>
          <w:szCs w:val="26"/>
        </w:rPr>
        <w:t>to the amended Modified LTIIP.  T</w:t>
      </w:r>
      <w:r>
        <w:rPr>
          <w:color w:val="0D0D0D" w:themeColor="text1" w:themeTint="F2"/>
          <w:sz w:val="26"/>
          <w:szCs w:val="26"/>
        </w:rPr>
        <w:t xml:space="preserve">herefore, we shall not address </w:t>
      </w:r>
      <w:r w:rsidR="00A87C30">
        <w:rPr>
          <w:color w:val="0D0D0D" w:themeColor="text1" w:themeTint="F2"/>
          <w:sz w:val="26"/>
          <w:szCs w:val="26"/>
        </w:rPr>
        <w:t xml:space="preserve">the </w:t>
      </w:r>
      <w:r>
        <w:rPr>
          <w:color w:val="0D0D0D" w:themeColor="text1" w:themeTint="F2"/>
          <w:sz w:val="26"/>
          <w:szCs w:val="26"/>
        </w:rPr>
        <w:t xml:space="preserve">comments </w:t>
      </w:r>
      <w:r w:rsidR="00A87C30">
        <w:rPr>
          <w:color w:val="0D0D0D" w:themeColor="text1" w:themeTint="F2"/>
          <w:sz w:val="26"/>
          <w:szCs w:val="26"/>
        </w:rPr>
        <w:t xml:space="preserve">any further </w:t>
      </w:r>
      <w:r>
        <w:rPr>
          <w:color w:val="0D0D0D" w:themeColor="text1" w:themeTint="F2"/>
          <w:sz w:val="26"/>
          <w:szCs w:val="26"/>
        </w:rPr>
        <w:t>in this Order</w:t>
      </w:r>
      <w:r w:rsidR="00FB50B2">
        <w:rPr>
          <w:color w:val="0D0D0D" w:themeColor="text1" w:themeTint="F2"/>
          <w:sz w:val="26"/>
          <w:szCs w:val="26"/>
        </w:rPr>
        <w:t xml:space="preserve">. </w:t>
      </w:r>
      <w:r>
        <w:rPr>
          <w:color w:val="0D0D0D" w:themeColor="text1" w:themeTint="F2"/>
          <w:sz w:val="26"/>
          <w:szCs w:val="26"/>
        </w:rPr>
        <w:t xml:space="preserve"> </w:t>
      </w:r>
    </w:p>
    <w:p w14:paraId="017EDC16" w14:textId="77777777" w:rsidR="00137EE2" w:rsidRPr="00F54DF8" w:rsidRDefault="00137EE2" w:rsidP="00773D87">
      <w:pPr>
        <w:pStyle w:val="p2"/>
        <w:widowControl/>
        <w:spacing w:line="360" w:lineRule="auto"/>
        <w:ind w:firstLine="0"/>
        <w:rPr>
          <w:sz w:val="26"/>
          <w:szCs w:val="26"/>
        </w:rPr>
      </w:pPr>
    </w:p>
    <w:p w14:paraId="7ACDE971" w14:textId="77777777" w:rsidR="00E040F0" w:rsidRPr="00F54DF8" w:rsidRDefault="00FB317A" w:rsidP="00F73DF5">
      <w:pPr>
        <w:pStyle w:val="p2"/>
        <w:keepNext/>
        <w:widowControl/>
        <w:spacing w:line="360" w:lineRule="auto"/>
        <w:ind w:firstLine="0"/>
        <w:jc w:val="center"/>
        <w:rPr>
          <w:b/>
          <w:sz w:val="26"/>
          <w:szCs w:val="26"/>
        </w:rPr>
      </w:pPr>
      <w:r w:rsidRPr="00F54DF8">
        <w:rPr>
          <w:b/>
          <w:sz w:val="26"/>
          <w:szCs w:val="26"/>
        </w:rPr>
        <w:lastRenderedPageBreak/>
        <w:t>BACKGROUND</w:t>
      </w:r>
    </w:p>
    <w:p w14:paraId="48818FC2" w14:textId="77777777" w:rsidR="00E040F0" w:rsidRPr="00F54DF8" w:rsidRDefault="00E040F0" w:rsidP="00F73DF5">
      <w:pPr>
        <w:pStyle w:val="p2"/>
        <w:keepNext/>
        <w:widowControl/>
        <w:ind w:firstLine="0"/>
        <w:jc w:val="center"/>
        <w:rPr>
          <w:b/>
          <w:sz w:val="26"/>
          <w:szCs w:val="26"/>
        </w:rPr>
      </w:pPr>
    </w:p>
    <w:p w14:paraId="2D74E6A9" w14:textId="35978501" w:rsidR="008A3493" w:rsidRPr="00F54DF8" w:rsidRDefault="00A11039" w:rsidP="00A11039">
      <w:pPr>
        <w:pStyle w:val="p2"/>
        <w:widowControl/>
        <w:tabs>
          <w:tab w:val="clear" w:pos="1445"/>
          <w:tab w:val="left" w:pos="720"/>
        </w:tabs>
        <w:spacing w:line="360" w:lineRule="auto"/>
        <w:ind w:firstLine="0"/>
        <w:rPr>
          <w:sz w:val="26"/>
          <w:szCs w:val="26"/>
        </w:rPr>
      </w:pPr>
      <w:r>
        <w:rPr>
          <w:sz w:val="26"/>
          <w:szCs w:val="26"/>
        </w:rPr>
        <w:tab/>
      </w:r>
      <w:r w:rsidR="008A3493" w:rsidRPr="00F54DF8">
        <w:rPr>
          <w:sz w:val="26"/>
          <w:szCs w:val="26"/>
        </w:rPr>
        <w:t>On February 14, 2012,</w:t>
      </w:r>
      <w:r w:rsidR="008A3493" w:rsidRPr="00F54DF8">
        <w:rPr>
          <w:b/>
          <w:sz w:val="26"/>
          <w:szCs w:val="26"/>
        </w:rPr>
        <w:t xml:space="preserve"> </w:t>
      </w:r>
      <w:r w:rsidR="008A3493" w:rsidRPr="00F54DF8">
        <w:rPr>
          <w:sz w:val="26"/>
          <w:szCs w:val="26"/>
        </w:rPr>
        <w:t>Governor Corbett signed into law</w:t>
      </w:r>
      <w:r w:rsidR="008A3493" w:rsidRPr="00F54DF8">
        <w:rPr>
          <w:b/>
          <w:sz w:val="26"/>
          <w:szCs w:val="26"/>
        </w:rPr>
        <w:t xml:space="preserve"> </w:t>
      </w:r>
      <w:r w:rsidR="008A3493" w:rsidRPr="00F54DF8">
        <w:rPr>
          <w:sz w:val="26"/>
          <w:szCs w:val="26"/>
        </w:rPr>
        <w:t>Act 11 of 2012, (Act 11),</w:t>
      </w:r>
      <w:r w:rsidR="008A3493" w:rsidRPr="00F54DF8">
        <w:rPr>
          <w:rStyle w:val="FootnoteReference"/>
          <w:sz w:val="26"/>
          <w:szCs w:val="26"/>
        </w:rPr>
        <w:footnoteReference w:id="2"/>
      </w:r>
      <w:r w:rsidR="008A3493" w:rsidRPr="00F54DF8">
        <w:rPr>
          <w:sz w:val="26"/>
          <w:szCs w:val="26"/>
        </w:rPr>
        <w:t xml:space="preserve"> which amends Chapters 3, 13 and 33 of Title 66.  Act 11, </w:t>
      </w:r>
      <w:r w:rsidR="008A3493" w:rsidRPr="00F54DF8">
        <w:rPr>
          <w:i/>
          <w:sz w:val="26"/>
          <w:szCs w:val="26"/>
        </w:rPr>
        <w:t>inter alia</w:t>
      </w:r>
      <w:r w:rsidR="008A3493" w:rsidRPr="00F54DF8">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008A3493" w:rsidRPr="00F54DF8">
        <w:rPr>
          <w:iCs/>
          <w:sz w:val="26"/>
          <w:szCs w:val="26"/>
        </w:rPr>
        <w:t>§</w:t>
      </w:r>
      <w:r w:rsidR="008A3493" w:rsidRPr="00F54DF8">
        <w:rPr>
          <w:sz w:val="26"/>
          <w:szCs w:val="26"/>
        </w:rPr>
        <w:t xml:space="preserve">1351.  Act 11 states that as a precondition to the implementation of a DSIC, a utility must file a LTIIP with the Commission that is consistent with 66 Pa. C.S. </w:t>
      </w:r>
      <w:r w:rsidR="008A3493" w:rsidRPr="00F54DF8">
        <w:rPr>
          <w:iCs/>
          <w:sz w:val="26"/>
          <w:szCs w:val="26"/>
        </w:rPr>
        <w:t>§</w:t>
      </w:r>
      <w:r w:rsidR="008A3493" w:rsidRPr="00F54DF8">
        <w:rPr>
          <w:sz w:val="26"/>
          <w:szCs w:val="26"/>
        </w:rPr>
        <w:t xml:space="preserve">1352.  </w:t>
      </w:r>
    </w:p>
    <w:p w14:paraId="78C1AB6C" w14:textId="77777777" w:rsidR="008A3493" w:rsidRPr="00F54DF8" w:rsidRDefault="008A3493" w:rsidP="008A3493">
      <w:pPr>
        <w:pStyle w:val="p2"/>
        <w:widowControl/>
        <w:spacing w:line="360" w:lineRule="auto"/>
        <w:ind w:firstLine="0"/>
        <w:rPr>
          <w:sz w:val="26"/>
          <w:szCs w:val="26"/>
        </w:rPr>
      </w:pPr>
    </w:p>
    <w:p w14:paraId="44018692" w14:textId="4FA6308A" w:rsidR="008A3493" w:rsidRPr="00F54DF8" w:rsidRDefault="003D5CA4" w:rsidP="003D5CA4">
      <w:pPr>
        <w:spacing w:line="360" w:lineRule="auto"/>
        <w:ind w:firstLine="720"/>
        <w:rPr>
          <w:sz w:val="26"/>
          <w:szCs w:val="26"/>
        </w:rPr>
      </w:pPr>
      <w:r>
        <w:rPr>
          <w:sz w:val="26"/>
          <w:szCs w:val="26"/>
        </w:rPr>
        <w:t>The Commission promulgated regulations re</w:t>
      </w:r>
      <w:r w:rsidR="00F805EB">
        <w:rPr>
          <w:sz w:val="26"/>
          <w:szCs w:val="26"/>
        </w:rPr>
        <w:t>lating to LTIIPs at 52 Pa. Code </w:t>
      </w:r>
      <w:r>
        <w:rPr>
          <w:sz w:val="26"/>
          <w:szCs w:val="26"/>
        </w:rPr>
        <w:t>§§</w:t>
      </w:r>
      <w:r w:rsidR="00534B69">
        <w:rPr>
          <w:sz w:val="26"/>
          <w:szCs w:val="26"/>
        </w:rPr>
        <w:t> </w:t>
      </w:r>
      <w:r>
        <w:rPr>
          <w:sz w:val="26"/>
          <w:szCs w:val="26"/>
        </w:rPr>
        <w:t xml:space="preserve">121.1 – 121.8 that became effective December 20, 2014.  In accordance with the regulations, </w:t>
      </w:r>
      <w:r w:rsidR="00A740E6">
        <w:rPr>
          <w:sz w:val="26"/>
          <w:szCs w:val="26"/>
        </w:rPr>
        <w:t>a wastewater company</w:t>
      </w:r>
      <w:r>
        <w:rPr>
          <w:sz w:val="26"/>
          <w:szCs w:val="26"/>
        </w:rPr>
        <w:t xml:space="preserve"> must include the following elements in its LTIIP</w:t>
      </w:r>
      <w:r w:rsidR="008A3493" w:rsidRPr="00F54DF8">
        <w:rPr>
          <w:sz w:val="26"/>
          <w:szCs w:val="26"/>
        </w:rPr>
        <w:t>:</w:t>
      </w:r>
      <w:r w:rsidR="00C01398">
        <w:rPr>
          <w:rStyle w:val="FootnoteReference"/>
          <w:sz w:val="26"/>
          <w:szCs w:val="26"/>
        </w:rPr>
        <w:footnoteReference w:id="3"/>
      </w:r>
      <w:r w:rsidR="008A3493" w:rsidRPr="00F54DF8">
        <w:rPr>
          <w:sz w:val="26"/>
          <w:szCs w:val="26"/>
        </w:rPr>
        <w:t xml:space="preserve">   </w:t>
      </w:r>
    </w:p>
    <w:p w14:paraId="099467C2" w14:textId="77777777" w:rsidR="008A3493" w:rsidRPr="00F54DF8" w:rsidRDefault="008A3493" w:rsidP="008A3493">
      <w:pPr>
        <w:pStyle w:val="p2"/>
        <w:spacing w:line="360" w:lineRule="auto"/>
        <w:ind w:firstLine="0"/>
        <w:rPr>
          <w:sz w:val="26"/>
          <w:szCs w:val="26"/>
        </w:rPr>
      </w:pPr>
    </w:p>
    <w:p w14:paraId="1D5D335A" w14:textId="77777777" w:rsidR="008A3493" w:rsidRPr="00F54DF8" w:rsidRDefault="008A3493" w:rsidP="008A3493">
      <w:pPr>
        <w:pStyle w:val="p7"/>
        <w:numPr>
          <w:ilvl w:val="0"/>
          <w:numId w:val="11"/>
        </w:numPr>
        <w:tabs>
          <w:tab w:val="clear" w:pos="1133"/>
          <w:tab w:val="left" w:pos="720"/>
          <w:tab w:val="left" w:pos="1440"/>
        </w:tabs>
        <w:spacing w:line="360" w:lineRule="auto"/>
        <w:ind w:left="810" w:firstLine="0"/>
        <w:jc w:val="both"/>
        <w:rPr>
          <w:sz w:val="26"/>
          <w:szCs w:val="26"/>
        </w:rPr>
      </w:pPr>
      <w:r w:rsidRPr="00F54DF8">
        <w:rPr>
          <w:sz w:val="26"/>
          <w:szCs w:val="26"/>
        </w:rPr>
        <w:t>Types and age of eligible property;</w:t>
      </w:r>
    </w:p>
    <w:p w14:paraId="1B87CE2D" w14:textId="77777777" w:rsidR="008A3493" w:rsidRPr="00F54DF8" w:rsidRDefault="008A3493" w:rsidP="008A3493">
      <w:pPr>
        <w:pStyle w:val="p7"/>
        <w:numPr>
          <w:ilvl w:val="0"/>
          <w:numId w:val="11"/>
        </w:numPr>
        <w:tabs>
          <w:tab w:val="clear" w:pos="1133"/>
          <w:tab w:val="left" w:pos="720"/>
          <w:tab w:val="left" w:pos="1350"/>
          <w:tab w:val="left" w:pos="1440"/>
        </w:tabs>
        <w:spacing w:line="360" w:lineRule="auto"/>
        <w:ind w:hanging="540"/>
        <w:jc w:val="both"/>
        <w:rPr>
          <w:sz w:val="26"/>
          <w:szCs w:val="26"/>
        </w:rPr>
      </w:pPr>
      <w:r w:rsidRPr="00F54DF8">
        <w:rPr>
          <w:sz w:val="26"/>
          <w:szCs w:val="26"/>
        </w:rPr>
        <w:t xml:space="preserve"> Schedule for its planned repair and replacement;</w:t>
      </w:r>
    </w:p>
    <w:p w14:paraId="43FD5CF4"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F54DF8">
        <w:rPr>
          <w:sz w:val="26"/>
          <w:szCs w:val="26"/>
        </w:rPr>
        <w:t xml:space="preserve"> </w:t>
      </w:r>
      <w:r w:rsidRPr="00F54DF8">
        <w:rPr>
          <w:sz w:val="26"/>
          <w:szCs w:val="26"/>
        </w:rPr>
        <w:tab/>
        <w:t>Location of the eligible property;</w:t>
      </w:r>
    </w:p>
    <w:p w14:paraId="69E3D6DA"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sidRPr="00F54DF8">
        <w:rPr>
          <w:sz w:val="26"/>
          <w:szCs w:val="26"/>
        </w:rPr>
        <w:t xml:space="preserve"> Reasonable estimates of the quantity of property to be improved;</w:t>
      </w:r>
    </w:p>
    <w:p w14:paraId="64B65DB5" w14:textId="77777777" w:rsidR="008A3493" w:rsidRPr="00F54DF8" w:rsidRDefault="008A3493" w:rsidP="008A3493">
      <w:pPr>
        <w:pStyle w:val="p7"/>
        <w:numPr>
          <w:ilvl w:val="0"/>
          <w:numId w:val="11"/>
        </w:numPr>
        <w:tabs>
          <w:tab w:val="clear" w:pos="1133"/>
          <w:tab w:val="left" w:pos="720"/>
          <w:tab w:val="left" w:pos="1440"/>
          <w:tab w:val="left" w:pos="1530"/>
        </w:tabs>
        <w:spacing w:line="360" w:lineRule="auto"/>
        <w:ind w:left="1440" w:hanging="630"/>
        <w:rPr>
          <w:sz w:val="26"/>
          <w:szCs w:val="26"/>
        </w:rPr>
      </w:pPr>
      <w:r w:rsidRPr="00F54DF8">
        <w:rPr>
          <w:sz w:val="26"/>
          <w:szCs w:val="26"/>
        </w:rPr>
        <w:t>Projected annual expenditures and measures to ensure that the plan is cost      effective;</w:t>
      </w:r>
    </w:p>
    <w:p w14:paraId="4335D3E7"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proofErr w:type="gramStart"/>
      <w:r w:rsidRPr="00F54DF8">
        <w:rPr>
          <w:sz w:val="26"/>
          <w:szCs w:val="26"/>
        </w:rPr>
        <w:t>Manner in which</w:t>
      </w:r>
      <w:proofErr w:type="gramEnd"/>
      <w:r w:rsidRPr="00F54DF8">
        <w:rPr>
          <w:sz w:val="26"/>
          <w:szCs w:val="26"/>
        </w:rPr>
        <w:t xml:space="preserve"> replacement of aging infrastructure will be accelerated and how repair, improvement or replacement will maintain safe and reliable service; </w:t>
      </w:r>
    </w:p>
    <w:p w14:paraId="030F1505" w14:textId="5ECE18C1" w:rsidR="008A3493" w:rsidRDefault="008A3493" w:rsidP="008A3493">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sidRPr="00F54DF8">
        <w:rPr>
          <w:sz w:val="26"/>
          <w:szCs w:val="26"/>
        </w:rPr>
        <w:t xml:space="preserve"> A workforce management and training program; and</w:t>
      </w:r>
    </w:p>
    <w:p w14:paraId="23988B4B" w14:textId="77777777" w:rsidR="00B23D0B" w:rsidRPr="00F54DF8" w:rsidRDefault="00B23D0B" w:rsidP="00B23D0B">
      <w:pPr>
        <w:pStyle w:val="p7"/>
        <w:tabs>
          <w:tab w:val="clear" w:pos="782"/>
          <w:tab w:val="clear" w:pos="1133"/>
          <w:tab w:val="left" w:pos="720"/>
          <w:tab w:val="left" w:pos="1440"/>
          <w:tab w:val="left" w:pos="1530"/>
        </w:tabs>
        <w:spacing w:line="360" w:lineRule="auto"/>
        <w:rPr>
          <w:sz w:val="26"/>
          <w:szCs w:val="26"/>
        </w:rPr>
      </w:pPr>
    </w:p>
    <w:p w14:paraId="74A61AF5" w14:textId="19D3110F" w:rsidR="008A3493" w:rsidRDefault="008A3493" w:rsidP="004675A3">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sidRPr="00F54DF8">
        <w:rPr>
          <w:sz w:val="26"/>
          <w:szCs w:val="26"/>
        </w:rPr>
        <w:lastRenderedPageBreak/>
        <w:t>A description of a utility’s outreach and coordination activities with other</w:t>
      </w:r>
      <w:r w:rsidR="004675A3">
        <w:rPr>
          <w:sz w:val="26"/>
          <w:szCs w:val="26"/>
        </w:rPr>
        <w:t xml:space="preserve"> </w:t>
      </w:r>
      <w:r w:rsidRPr="00F54DF8">
        <w:rPr>
          <w:sz w:val="26"/>
          <w:szCs w:val="26"/>
        </w:rPr>
        <w:t xml:space="preserve">utilities, </w:t>
      </w:r>
      <w:r w:rsidR="00AC52D9">
        <w:rPr>
          <w:sz w:val="26"/>
          <w:szCs w:val="26"/>
        </w:rPr>
        <w:t>the Department of Transportation</w:t>
      </w:r>
      <w:r w:rsidR="00FE73CF">
        <w:rPr>
          <w:sz w:val="26"/>
          <w:szCs w:val="26"/>
        </w:rPr>
        <w:t xml:space="preserve"> (PennDOT)</w:t>
      </w:r>
      <w:r w:rsidR="008D116A" w:rsidRPr="00F54DF8">
        <w:rPr>
          <w:sz w:val="26"/>
          <w:szCs w:val="26"/>
        </w:rPr>
        <w:t xml:space="preserve"> </w:t>
      </w:r>
      <w:r w:rsidRPr="00F54DF8">
        <w:rPr>
          <w:sz w:val="26"/>
          <w:szCs w:val="26"/>
        </w:rPr>
        <w:t>and local</w:t>
      </w:r>
      <w:r w:rsidR="004675A3">
        <w:rPr>
          <w:sz w:val="26"/>
          <w:szCs w:val="26"/>
        </w:rPr>
        <w:t xml:space="preserve"> g</w:t>
      </w:r>
      <w:r w:rsidRPr="00F54DF8">
        <w:rPr>
          <w:sz w:val="26"/>
          <w:szCs w:val="26"/>
        </w:rPr>
        <w:t>overnments on planned</w:t>
      </w:r>
      <w:r w:rsidR="004675A3">
        <w:rPr>
          <w:sz w:val="26"/>
          <w:szCs w:val="26"/>
        </w:rPr>
        <w:t xml:space="preserve"> </w:t>
      </w:r>
      <w:r w:rsidRPr="00F54DF8">
        <w:rPr>
          <w:sz w:val="26"/>
          <w:szCs w:val="26"/>
        </w:rPr>
        <w:t>maintenance/construction projects.</w:t>
      </w:r>
    </w:p>
    <w:p w14:paraId="2D28DE5B" w14:textId="567658C6" w:rsidR="00067996" w:rsidRDefault="00067996" w:rsidP="00067996">
      <w:pPr>
        <w:pStyle w:val="p7"/>
        <w:tabs>
          <w:tab w:val="clear" w:pos="782"/>
          <w:tab w:val="clear" w:pos="1133"/>
          <w:tab w:val="left" w:pos="720"/>
          <w:tab w:val="left" w:pos="1440"/>
          <w:tab w:val="left" w:pos="1530"/>
        </w:tabs>
        <w:spacing w:line="360" w:lineRule="auto"/>
        <w:ind w:left="782" w:firstLine="0"/>
        <w:rPr>
          <w:sz w:val="26"/>
          <w:szCs w:val="26"/>
        </w:rPr>
      </w:pPr>
    </w:p>
    <w:p w14:paraId="6A865344" w14:textId="7F9898D0" w:rsidR="003D5CA4" w:rsidRDefault="2315FA41" w:rsidP="2315FA41">
      <w:pPr>
        <w:pStyle w:val="p2"/>
        <w:widowControl/>
        <w:spacing w:line="360" w:lineRule="auto"/>
        <w:ind w:firstLine="0"/>
        <w:jc w:val="center"/>
        <w:rPr>
          <w:b/>
          <w:bCs/>
          <w:sz w:val="26"/>
          <w:szCs w:val="26"/>
        </w:rPr>
      </w:pPr>
      <w:r w:rsidRPr="2315FA41">
        <w:rPr>
          <w:b/>
          <w:bCs/>
          <w:sz w:val="26"/>
          <w:szCs w:val="26"/>
        </w:rPr>
        <w:t>PAWC-WD’S MODIFIED LTIIP</w:t>
      </w:r>
    </w:p>
    <w:p w14:paraId="79350255" w14:textId="77777777" w:rsidR="00B53445" w:rsidRDefault="00B53445" w:rsidP="00970B75">
      <w:pPr>
        <w:pStyle w:val="p2"/>
        <w:widowControl/>
        <w:spacing w:line="360" w:lineRule="auto"/>
        <w:ind w:firstLine="0"/>
        <w:jc w:val="center"/>
        <w:rPr>
          <w:b/>
          <w:sz w:val="26"/>
          <w:szCs w:val="26"/>
        </w:rPr>
      </w:pPr>
    </w:p>
    <w:p w14:paraId="2B893046" w14:textId="2E24744B" w:rsidR="006E37E5" w:rsidRDefault="2315FA41" w:rsidP="2315FA41">
      <w:pPr>
        <w:tabs>
          <w:tab w:val="left" w:pos="1440"/>
        </w:tabs>
        <w:spacing w:before="69" w:line="360" w:lineRule="auto"/>
        <w:ind w:firstLine="720"/>
        <w:textAlignment w:val="baseline"/>
        <w:rPr>
          <w:color w:val="000000"/>
          <w:spacing w:val="-1"/>
          <w:sz w:val="26"/>
          <w:szCs w:val="26"/>
        </w:rPr>
      </w:pPr>
      <w:r w:rsidRPr="2315FA41">
        <w:rPr>
          <w:color w:val="000000" w:themeColor="text1"/>
          <w:sz w:val="26"/>
          <w:szCs w:val="26"/>
        </w:rPr>
        <w:t>PAWC-WD, Utility Code 230073, is a wholly owned subsidiary of American Water Works Company, Inc.</w:t>
      </w:r>
      <w:r w:rsidR="00B23D0B">
        <w:rPr>
          <w:color w:val="000000" w:themeColor="text1"/>
          <w:sz w:val="26"/>
          <w:szCs w:val="26"/>
        </w:rPr>
        <w:t>,</w:t>
      </w:r>
      <w:r w:rsidRPr="2315FA41">
        <w:rPr>
          <w:color w:val="000000" w:themeColor="text1"/>
          <w:sz w:val="26"/>
          <w:szCs w:val="26"/>
        </w:rPr>
        <w:t xml:space="preserve"> and an affiliate of Pennsylvania-American Water Company (PAWC), utility Code 212285.  PAWC and PAWC-WD provide public </w:t>
      </w:r>
      <w:r w:rsidR="001602E3">
        <w:rPr>
          <w:color w:val="000000" w:themeColor="text1"/>
          <w:sz w:val="26"/>
          <w:szCs w:val="26"/>
        </w:rPr>
        <w:t xml:space="preserve">utility </w:t>
      </w:r>
      <w:r w:rsidRPr="2315FA41">
        <w:rPr>
          <w:color w:val="000000" w:themeColor="text1"/>
          <w:sz w:val="26"/>
          <w:szCs w:val="26"/>
        </w:rPr>
        <w:t xml:space="preserve">water and sewer service to residents in Pennsylvania.  PAWC-WD owns and operates 18 wastewater systems located in 12 Counties across the Commonwealth and serves approximately 65,139 customer connections, including </w:t>
      </w:r>
      <w:r w:rsidR="008A27F2" w:rsidRPr="008A27F2">
        <w:rPr>
          <w:color w:val="000000"/>
          <w:sz w:val="26"/>
          <w:szCs w:val="26"/>
        </w:rPr>
        <w:t xml:space="preserve">several bulk municipal customers. </w:t>
      </w:r>
      <w:r w:rsidR="00393154" w:rsidRPr="00FF571A">
        <w:rPr>
          <w:color w:val="000000"/>
          <w:sz w:val="26"/>
          <w:szCs w:val="26"/>
        </w:rPr>
        <w:t xml:space="preserve"> </w:t>
      </w:r>
      <w:r w:rsidRPr="2315FA41">
        <w:rPr>
          <w:color w:val="000000" w:themeColor="text1"/>
          <w:sz w:val="26"/>
          <w:szCs w:val="26"/>
        </w:rPr>
        <w:t xml:space="preserve">PAWC-WD’s current LTIIP was approved in a Commission Order entered December 4, 2014, at Docket Number P-2014-2431005.  </w:t>
      </w:r>
    </w:p>
    <w:p w14:paraId="7AF93806" w14:textId="77777777" w:rsidR="00EF38AF" w:rsidRPr="008A27F2" w:rsidRDefault="00EF38AF" w:rsidP="008A27F2">
      <w:pPr>
        <w:tabs>
          <w:tab w:val="left" w:pos="1440"/>
        </w:tabs>
        <w:spacing w:before="69" w:line="360" w:lineRule="auto"/>
        <w:textAlignment w:val="baseline"/>
        <w:rPr>
          <w:color w:val="000000"/>
          <w:sz w:val="26"/>
          <w:szCs w:val="26"/>
        </w:rPr>
      </w:pPr>
    </w:p>
    <w:p w14:paraId="693F4030" w14:textId="478E35FD" w:rsidR="00393154" w:rsidRDefault="00384FA9" w:rsidP="00E80FD1">
      <w:pPr>
        <w:spacing w:line="360" w:lineRule="auto"/>
        <w:ind w:firstLine="720"/>
        <w:textAlignment w:val="baseline"/>
        <w:rPr>
          <w:color w:val="000000"/>
          <w:spacing w:val="-1"/>
          <w:sz w:val="26"/>
          <w:szCs w:val="26"/>
        </w:rPr>
      </w:pPr>
      <w:r>
        <w:rPr>
          <w:color w:val="000000"/>
          <w:spacing w:val="-1"/>
          <w:sz w:val="26"/>
          <w:szCs w:val="26"/>
        </w:rPr>
        <w:t>PAWC-WD</w:t>
      </w:r>
      <w:r w:rsidR="00BA7C44">
        <w:rPr>
          <w:color w:val="000000"/>
          <w:spacing w:val="-1"/>
          <w:sz w:val="26"/>
          <w:szCs w:val="26"/>
        </w:rPr>
        <w:t xml:space="preserve">’s </w:t>
      </w:r>
      <w:r w:rsidR="006F6503">
        <w:rPr>
          <w:color w:val="000000"/>
          <w:spacing w:val="-1"/>
          <w:sz w:val="26"/>
          <w:szCs w:val="26"/>
        </w:rPr>
        <w:t xml:space="preserve">current LTIIP spanned the years </w:t>
      </w:r>
      <w:r w:rsidR="00F56B1C">
        <w:rPr>
          <w:color w:val="000000"/>
          <w:spacing w:val="-1"/>
          <w:sz w:val="26"/>
          <w:szCs w:val="26"/>
        </w:rPr>
        <w:t>2015 through 2019.  PAWC-W</w:t>
      </w:r>
      <w:r w:rsidR="006B53C5">
        <w:rPr>
          <w:color w:val="000000"/>
          <w:spacing w:val="-1"/>
          <w:sz w:val="26"/>
          <w:szCs w:val="26"/>
        </w:rPr>
        <w:t>D</w:t>
      </w:r>
      <w:r w:rsidR="00F56B1C">
        <w:rPr>
          <w:color w:val="000000"/>
          <w:spacing w:val="-1"/>
          <w:sz w:val="26"/>
          <w:szCs w:val="26"/>
        </w:rPr>
        <w:t xml:space="preserve">’s </w:t>
      </w:r>
      <w:r w:rsidR="00940F7D">
        <w:rPr>
          <w:color w:val="000000"/>
          <w:spacing w:val="-1"/>
          <w:sz w:val="26"/>
          <w:szCs w:val="26"/>
        </w:rPr>
        <w:t>M</w:t>
      </w:r>
      <w:r w:rsidR="00BA7C44" w:rsidRPr="00FF571A">
        <w:rPr>
          <w:color w:val="000000"/>
          <w:spacing w:val="-1"/>
          <w:sz w:val="26"/>
          <w:szCs w:val="26"/>
        </w:rPr>
        <w:t>odified</w:t>
      </w:r>
      <w:r w:rsidR="00393154" w:rsidRPr="00FF571A">
        <w:rPr>
          <w:color w:val="000000"/>
          <w:spacing w:val="-1"/>
          <w:sz w:val="26"/>
          <w:szCs w:val="26"/>
        </w:rPr>
        <w:t xml:space="preserve"> LTIIP </w:t>
      </w:r>
      <w:r w:rsidR="00F56B1C">
        <w:rPr>
          <w:color w:val="000000"/>
          <w:spacing w:val="-1"/>
          <w:sz w:val="26"/>
          <w:szCs w:val="26"/>
        </w:rPr>
        <w:t xml:space="preserve">proposes to </w:t>
      </w:r>
      <w:r w:rsidR="00393154" w:rsidRPr="00FF571A">
        <w:rPr>
          <w:color w:val="000000"/>
          <w:spacing w:val="-1"/>
          <w:sz w:val="26"/>
          <w:szCs w:val="26"/>
        </w:rPr>
        <w:t>replace</w:t>
      </w:r>
      <w:r w:rsidR="00676F8F">
        <w:rPr>
          <w:color w:val="000000"/>
          <w:spacing w:val="-1"/>
          <w:sz w:val="26"/>
          <w:szCs w:val="26"/>
        </w:rPr>
        <w:t xml:space="preserve"> </w:t>
      </w:r>
      <w:r w:rsidR="00E80FD1">
        <w:rPr>
          <w:color w:val="000000"/>
          <w:spacing w:val="-1"/>
          <w:sz w:val="26"/>
          <w:szCs w:val="26"/>
        </w:rPr>
        <w:t>y</w:t>
      </w:r>
      <w:r w:rsidR="00393154" w:rsidRPr="00FF571A">
        <w:rPr>
          <w:color w:val="000000"/>
          <w:spacing w:val="-1"/>
          <w:sz w:val="26"/>
          <w:szCs w:val="26"/>
        </w:rPr>
        <w:t>ear</w:t>
      </w:r>
      <w:r w:rsidR="00311DE0">
        <w:rPr>
          <w:color w:val="000000"/>
          <w:spacing w:val="-1"/>
          <w:sz w:val="26"/>
          <w:szCs w:val="26"/>
        </w:rPr>
        <w:t xml:space="preserve"> </w:t>
      </w:r>
      <w:r w:rsidR="00393154" w:rsidRPr="00FF571A">
        <w:rPr>
          <w:color w:val="000000"/>
          <w:spacing w:val="-1"/>
          <w:sz w:val="26"/>
          <w:szCs w:val="26"/>
        </w:rPr>
        <w:t>2019 and further</w:t>
      </w:r>
      <w:r w:rsidR="00D027FE">
        <w:rPr>
          <w:color w:val="000000"/>
          <w:spacing w:val="-1"/>
          <w:sz w:val="26"/>
          <w:szCs w:val="26"/>
        </w:rPr>
        <w:t xml:space="preserve"> expand the LTIIP to include the years </w:t>
      </w:r>
      <w:r w:rsidR="00574ED4">
        <w:rPr>
          <w:color w:val="000000"/>
          <w:spacing w:val="-1"/>
          <w:sz w:val="26"/>
          <w:szCs w:val="26"/>
        </w:rPr>
        <w:t xml:space="preserve">2020 through 2023.  </w:t>
      </w:r>
      <w:r w:rsidR="009E23BD">
        <w:rPr>
          <w:color w:val="000000"/>
          <w:spacing w:val="-1"/>
          <w:sz w:val="26"/>
          <w:szCs w:val="26"/>
        </w:rPr>
        <w:t xml:space="preserve">PAWC-WD’s Modified </w:t>
      </w:r>
      <w:r w:rsidR="00940F7D">
        <w:rPr>
          <w:color w:val="000000"/>
          <w:spacing w:val="-1"/>
          <w:sz w:val="26"/>
          <w:szCs w:val="26"/>
        </w:rPr>
        <w:t xml:space="preserve">LTIIP </w:t>
      </w:r>
      <w:r w:rsidR="00393154" w:rsidRPr="00FF571A">
        <w:rPr>
          <w:color w:val="000000"/>
          <w:spacing w:val="-1"/>
          <w:sz w:val="26"/>
          <w:szCs w:val="26"/>
        </w:rPr>
        <w:t xml:space="preserve">also </w:t>
      </w:r>
      <w:r w:rsidR="005C169E">
        <w:rPr>
          <w:color w:val="000000"/>
          <w:spacing w:val="-1"/>
          <w:sz w:val="26"/>
          <w:szCs w:val="26"/>
        </w:rPr>
        <w:t>adds certain</w:t>
      </w:r>
      <w:r w:rsidR="005C169E" w:rsidRPr="00FF571A">
        <w:rPr>
          <w:color w:val="000000"/>
          <w:spacing w:val="-1"/>
          <w:sz w:val="26"/>
          <w:szCs w:val="26"/>
        </w:rPr>
        <w:t xml:space="preserve"> </w:t>
      </w:r>
      <w:r w:rsidR="00393154" w:rsidRPr="00FF571A">
        <w:rPr>
          <w:color w:val="000000"/>
          <w:spacing w:val="-1"/>
          <w:sz w:val="26"/>
          <w:szCs w:val="26"/>
        </w:rPr>
        <w:t xml:space="preserve">wastewater assets </w:t>
      </w:r>
      <w:r w:rsidR="00846E67">
        <w:rPr>
          <w:color w:val="000000"/>
          <w:spacing w:val="-1"/>
          <w:sz w:val="26"/>
          <w:szCs w:val="26"/>
        </w:rPr>
        <w:t xml:space="preserve">from systems </w:t>
      </w:r>
      <w:r w:rsidR="00393154" w:rsidRPr="00FF571A">
        <w:rPr>
          <w:color w:val="000000"/>
          <w:spacing w:val="-1"/>
          <w:sz w:val="26"/>
          <w:szCs w:val="26"/>
        </w:rPr>
        <w:t xml:space="preserve">acquired by </w:t>
      </w:r>
      <w:r w:rsidR="00846E67">
        <w:rPr>
          <w:color w:val="000000"/>
          <w:spacing w:val="-1"/>
          <w:sz w:val="26"/>
          <w:szCs w:val="26"/>
        </w:rPr>
        <w:t>PAWC-WD</w:t>
      </w:r>
      <w:r w:rsidR="00393154" w:rsidRPr="00FF571A">
        <w:rPr>
          <w:color w:val="000000"/>
          <w:spacing w:val="-1"/>
          <w:sz w:val="26"/>
          <w:szCs w:val="26"/>
        </w:rPr>
        <w:t xml:space="preserve"> since 2014</w:t>
      </w:r>
      <w:r w:rsidR="00FD4CEE" w:rsidRPr="00FF571A">
        <w:rPr>
          <w:color w:val="000000"/>
          <w:spacing w:val="-1"/>
          <w:sz w:val="26"/>
          <w:szCs w:val="26"/>
        </w:rPr>
        <w:t xml:space="preserve">.  </w:t>
      </w:r>
      <w:r w:rsidR="00393154" w:rsidRPr="00FF571A">
        <w:rPr>
          <w:color w:val="000000"/>
          <w:spacing w:val="-1"/>
          <w:sz w:val="26"/>
          <w:szCs w:val="26"/>
        </w:rPr>
        <w:t>The Modified LTIIP utilizes a risk-based condition approach in order to cost-effectively prioritize wastewater collection system replacement and rehabilitation projects and accelerates the rehabilitation, improvement and replacement of aging wastewater infrastructure for wastewater systems.</w:t>
      </w:r>
    </w:p>
    <w:p w14:paraId="54D23605" w14:textId="77777777" w:rsidR="00EF38AF" w:rsidRDefault="00EF38AF" w:rsidP="00E80FD1">
      <w:pPr>
        <w:spacing w:line="360" w:lineRule="auto"/>
        <w:ind w:firstLine="720"/>
        <w:textAlignment w:val="baseline"/>
        <w:rPr>
          <w:color w:val="000000"/>
          <w:spacing w:val="-1"/>
          <w:sz w:val="26"/>
          <w:szCs w:val="26"/>
        </w:rPr>
      </w:pPr>
    </w:p>
    <w:p w14:paraId="28E347D2" w14:textId="4576913A" w:rsidR="00EF38AF" w:rsidRDefault="00384FA9" w:rsidP="00E80FD1">
      <w:pPr>
        <w:spacing w:line="360" w:lineRule="auto"/>
        <w:ind w:firstLine="720"/>
        <w:textAlignment w:val="baseline"/>
        <w:rPr>
          <w:color w:val="000000"/>
          <w:spacing w:val="-1"/>
          <w:sz w:val="26"/>
          <w:szCs w:val="26"/>
        </w:rPr>
      </w:pPr>
      <w:r>
        <w:rPr>
          <w:color w:val="000000"/>
          <w:spacing w:val="-1"/>
          <w:sz w:val="26"/>
          <w:szCs w:val="26"/>
        </w:rPr>
        <w:t>PAWC-WD</w:t>
      </w:r>
      <w:r w:rsidR="00E72F67">
        <w:rPr>
          <w:color w:val="000000"/>
          <w:spacing w:val="-1"/>
          <w:sz w:val="26"/>
          <w:szCs w:val="26"/>
        </w:rPr>
        <w:t xml:space="preserve"> states that the</w:t>
      </w:r>
      <w:r w:rsidR="00EF38AF" w:rsidRPr="00EF38AF">
        <w:rPr>
          <w:color w:val="000000"/>
          <w:spacing w:val="-1"/>
          <w:sz w:val="26"/>
          <w:szCs w:val="26"/>
        </w:rPr>
        <w:t xml:space="preserve"> focus of the </w:t>
      </w:r>
      <w:r w:rsidR="00571A14">
        <w:rPr>
          <w:color w:val="000000"/>
          <w:spacing w:val="-1"/>
          <w:sz w:val="26"/>
          <w:szCs w:val="26"/>
        </w:rPr>
        <w:t>Modified</w:t>
      </w:r>
      <w:r w:rsidR="00571A14" w:rsidRPr="00EF38AF">
        <w:rPr>
          <w:color w:val="000000"/>
          <w:spacing w:val="-1"/>
          <w:sz w:val="26"/>
          <w:szCs w:val="26"/>
        </w:rPr>
        <w:t xml:space="preserve"> </w:t>
      </w:r>
      <w:r w:rsidR="00EF38AF" w:rsidRPr="00EF38AF">
        <w:rPr>
          <w:color w:val="000000"/>
          <w:spacing w:val="-1"/>
          <w:sz w:val="26"/>
          <w:szCs w:val="26"/>
        </w:rPr>
        <w:t>LTIIP is to replace or rehabilitate collection system infrastructure based on strategic condition assessment and hydraulic evaluations</w:t>
      </w:r>
      <w:r w:rsidR="00524032">
        <w:rPr>
          <w:color w:val="000000"/>
          <w:spacing w:val="-1"/>
          <w:sz w:val="26"/>
          <w:szCs w:val="26"/>
        </w:rPr>
        <w:t xml:space="preserve">.  </w:t>
      </w:r>
      <w:r>
        <w:rPr>
          <w:color w:val="000000"/>
          <w:spacing w:val="-1"/>
          <w:sz w:val="26"/>
          <w:szCs w:val="26"/>
        </w:rPr>
        <w:t>PAWC-WD</w:t>
      </w:r>
      <w:r w:rsidR="00524032">
        <w:rPr>
          <w:color w:val="000000"/>
          <w:spacing w:val="-1"/>
          <w:sz w:val="26"/>
          <w:szCs w:val="26"/>
        </w:rPr>
        <w:t xml:space="preserve"> intends to</w:t>
      </w:r>
      <w:r w:rsidR="00EF38AF" w:rsidRPr="00EF38AF">
        <w:rPr>
          <w:color w:val="000000"/>
          <w:spacing w:val="-1"/>
          <w:sz w:val="26"/>
          <w:szCs w:val="26"/>
        </w:rPr>
        <w:t xml:space="preserve"> reduce</w:t>
      </w:r>
      <w:r w:rsidR="00924A42">
        <w:rPr>
          <w:color w:val="000000"/>
          <w:spacing w:val="-1"/>
          <w:sz w:val="26"/>
          <w:szCs w:val="26"/>
        </w:rPr>
        <w:t xml:space="preserve"> </w:t>
      </w:r>
      <w:r w:rsidR="00924A42" w:rsidRPr="00924A42">
        <w:rPr>
          <w:color w:val="000000"/>
          <w:spacing w:val="-1"/>
          <w:sz w:val="26"/>
          <w:szCs w:val="26"/>
        </w:rPr>
        <w:t>infiltration and inflow</w:t>
      </w:r>
      <w:r w:rsidR="00EF38AF" w:rsidRPr="00EF38AF">
        <w:rPr>
          <w:color w:val="000000"/>
          <w:spacing w:val="-1"/>
          <w:sz w:val="26"/>
          <w:szCs w:val="26"/>
        </w:rPr>
        <w:t xml:space="preserve"> </w:t>
      </w:r>
      <w:r w:rsidR="00924A42">
        <w:rPr>
          <w:color w:val="000000"/>
          <w:spacing w:val="-1"/>
          <w:sz w:val="26"/>
          <w:szCs w:val="26"/>
        </w:rPr>
        <w:t>(</w:t>
      </w:r>
      <w:r w:rsidR="00EF38AF" w:rsidRPr="00EF38AF">
        <w:rPr>
          <w:color w:val="000000"/>
          <w:spacing w:val="-1"/>
          <w:sz w:val="26"/>
          <w:szCs w:val="26"/>
        </w:rPr>
        <w:t>I&amp;I</w:t>
      </w:r>
      <w:r w:rsidR="00924A42">
        <w:rPr>
          <w:color w:val="000000"/>
          <w:spacing w:val="-1"/>
          <w:sz w:val="26"/>
          <w:szCs w:val="26"/>
        </w:rPr>
        <w:t>)</w:t>
      </w:r>
      <w:r w:rsidR="00EF38AF" w:rsidRPr="00EF38AF">
        <w:rPr>
          <w:color w:val="000000"/>
          <w:spacing w:val="-1"/>
          <w:sz w:val="26"/>
          <w:szCs w:val="26"/>
        </w:rPr>
        <w:t xml:space="preserve"> levels to address</w:t>
      </w:r>
      <w:r w:rsidR="007C304E">
        <w:rPr>
          <w:color w:val="000000"/>
          <w:spacing w:val="-1"/>
          <w:sz w:val="26"/>
          <w:szCs w:val="26"/>
        </w:rPr>
        <w:t xml:space="preserve"> S</w:t>
      </w:r>
      <w:r w:rsidR="007C304E" w:rsidRPr="007C304E">
        <w:rPr>
          <w:color w:val="000000"/>
          <w:spacing w:val="-1"/>
          <w:sz w:val="26"/>
          <w:szCs w:val="26"/>
        </w:rPr>
        <w:t xml:space="preserve">anitary </w:t>
      </w:r>
      <w:r w:rsidR="007C304E">
        <w:rPr>
          <w:color w:val="000000"/>
          <w:spacing w:val="-1"/>
          <w:sz w:val="26"/>
          <w:szCs w:val="26"/>
        </w:rPr>
        <w:t>S</w:t>
      </w:r>
      <w:r w:rsidR="007C304E" w:rsidRPr="007C304E">
        <w:rPr>
          <w:color w:val="000000"/>
          <w:spacing w:val="-1"/>
          <w:sz w:val="26"/>
          <w:szCs w:val="26"/>
        </w:rPr>
        <w:t xml:space="preserve">ewer </w:t>
      </w:r>
      <w:r w:rsidR="007C304E">
        <w:rPr>
          <w:color w:val="000000"/>
          <w:spacing w:val="-1"/>
          <w:sz w:val="26"/>
          <w:szCs w:val="26"/>
        </w:rPr>
        <w:t>O</w:t>
      </w:r>
      <w:r w:rsidR="007C304E" w:rsidRPr="007C304E">
        <w:rPr>
          <w:color w:val="000000"/>
          <w:spacing w:val="-1"/>
          <w:sz w:val="26"/>
          <w:szCs w:val="26"/>
        </w:rPr>
        <w:t>verflow</w:t>
      </w:r>
      <w:r w:rsidR="007C304E">
        <w:rPr>
          <w:color w:val="000000"/>
          <w:spacing w:val="-1"/>
          <w:sz w:val="26"/>
          <w:szCs w:val="26"/>
        </w:rPr>
        <w:t xml:space="preserve"> (</w:t>
      </w:r>
      <w:r w:rsidR="00924A42" w:rsidRPr="00EF38AF">
        <w:rPr>
          <w:color w:val="000000"/>
          <w:spacing w:val="-1"/>
          <w:sz w:val="26"/>
          <w:szCs w:val="26"/>
        </w:rPr>
        <w:t>SSO</w:t>
      </w:r>
      <w:r w:rsidR="00924A42">
        <w:rPr>
          <w:color w:val="000000"/>
          <w:spacing w:val="-1"/>
          <w:sz w:val="26"/>
          <w:szCs w:val="26"/>
        </w:rPr>
        <w:t xml:space="preserve">) </w:t>
      </w:r>
      <w:r w:rsidR="00924A42" w:rsidRPr="00EF38AF">
        <w:rPr>
          <w:color w:val="000000"/>
          <w:spacing w:val="-1"/>
          <w:sz w:val="26"/>
          <w:szCs w:val="26"/>
        </w:rPr>
        <w:t>and</w:t>
      </w:r>
      <w:r w:rsidR="007C304E" w:rsidRPr="007C304E">
        <w:t xml:space="preserve"> </w:t>
      </w:r>
      <w:r w:rsidR="007C304E">
        <w:rPr>
          <w:color w:val="000000"/>
          <w:spacing w:val="-1"/>
          <w:sz w:val="26"/>
          <w:szCs w:val="26"/>
        </w:rPr>
        <w:t>C</w:t>
      </w:r>
      <w:r w:rsidR="007C304E" w:rsidRPr="007C304E">
        <w:rPr>
          <w:color w:val="000000"/>
          <w:spacing w:val="-1"/>
          <w:sz w:val="26"/>
          <w:szCs w:val="26"/>
        </w:rPr>
        <w:t xml:space="preserve">ombined </w:t>
      </w:r>
      <w:r w:rsidR="007C304E">
        <w:rPr>
          <w:color w:val="000000"/>
          <w:spacing w:val="-1"/>
          <w:sz w:val="26"/>
          <w:szCs w:val="26"/>
        </w:rPr>
        <w:t>S</w:t>
      </w:r>
      <w:r w:rsidR="007C304E" w:rsidRPr="007C304E">
        <w:rPr>
          <w:color w:val="000000"/>
          <w:spacing w:val="-1"/>
          <w:sz w:val="26"/>
          <w:szCs w:val="26"/>
        </w:rPr>
        <w:t xml:space="preserve">ewer </w:t>
      </w:r>
      <w:r w:rsidR="007C304E">
        <w:rPr>
          <w:color w:val="000000"/>
          <w:spacing w:val="-1"/>
          <w:sz w:val="26"/>
          <w:szCs w:val="26"/>
        </w:rPr>
        <w:t>O</w:t>
      </w:r>
      <w:r w:rsidR="007C304E" w:rsidRPr="007C304E">
        <w:rPr>
          <w:color w:val="000000"/>
          <w:spacing w:val="-1"/>
          <w:sz w:val="26"/>
          <w:szCs w:val="26"/>
        </w:rPr>
        <w:t>verflow</w:t>
      </w:r>
      <w:r w:rsidR="007C304E">
        <w:rPr>
          <w:color w:val="000000"/>
          <w:spacing w:val="-1"/>
          <w:sz w:val="26"/>
          <w:szCs w:val="26"/>
        </w:rPr>
        <w:t xml:space="preserve"> (</w:t>
      </w:r>
      <w:r w:rsidR="00924A42" w:rsidRPr="00EF38AF">
        <w:rPr>
          <w:color w:val="000000"/>
          <w:spacing w:val="-1"/>
          <w:sz w:val="26"/>
          <w:szCs w:val="26"/>
        </w:rPr>
        <w:t>CSO</w:t>
      </w:r>
      <w:r w:rsidR="00924A42">
        <w:rPr>
          <w:color w:val="000000"/>
          <w:spacing w:val="-1"/>
          <w:sz w:val="26"/>
          <w:szCs w:val="26"/>
        </w:rPr>
        <w:t xml:space="preserve">) </w:t>
      </w:r>
      <w:r w:rsidR="00924A42" w:rsidRPr="00EF38AF">
        <w:rPr>
          <w:color w:val="000000"/>
          <w:spacing w:val="-1"/>
          <w:sz w:val="26"/>
          <w:szCs w:val="26"/>
        </w:rPr>
        <w:t>issues</w:t>
      </w:r>
      <w:r w:rsidR="007B30A1">
        <w:rPr>
          <w:color w:val="000000"/>
          <w:spacing w:val="-1"/>
          <w:sz w:val="26"/>
          <w:szCs w:val="26"/>
        </w:rPr>
        <w:t>,</w:t>
      </w:r>
      <w:r w:rsidR="00EF38AF" w:rsidRPr="00EF38AF">
        <w:rPr>
          <w:color w:val="000000"/>
          <w:spacing w:val="-1"/>
          <w:sz w:val="26"/>
          <w:szCs w:val="26"/>
        </w:rPr>
        <w:t xml:space="preserve"> and to correct deficiencies in certain newly acquired wastewater systems. </w:t>
      </w:r>
      <w:r w:rsidR="00E72F67">
        <w:rPr>
          <w:color w:val="000000"/>
          <w:spacing w:val="-1"/>
          <w:sz w:val="26"/>
          <w:szCs w:val="26"/>
        </w:rPr>
        <w:t xml:space="preserve"> </w:t>
      </w:r>
      <w:r>
        <w:rPr>
          <w:color w:val="000000"/>
          <w:spacing w:val="-1"/>
          <w:sz w:val="26"/>
          <w:szCs w:val="26"/>
        </w:rPr>
        <w:t>PAWC-WD</w:t>
      </w:r>
      <w:r w:rsidR="00EF38AF">
        <w:rPr>
          <w:color w:val="000000"/>
          <w:spacing w:val="-1"/>
          <w:sz w:val="26"/>
          <w:szCs w:val="26"/>
        </w:rPr>
        <w:t xml:space="preserve"> </w:t>
      </w:r>
      <w:r w:rsidR="00E72F67">
        <w:rPr>
          <w:color w:val="000000"/>
          <w:spacing w:val="-1"/>
          <w:sz w:val="26"/>
          <w:szCs w:val="26"/>
        </w:rPr>
        <w:t>no</w:t>
      </w:r>
      <w:r w:rsidR="00EF38AF">
        <w:rPr>
          <w:color w:val="000000"/>
          <w:spacing w:val="-1"/>
          <w:sz w:val="26"/>
          <w:szCs w:val="26"/>
        </w:rPr>
        <w:t xml:space="preserve">tes that </w:t>
      </w:r>
      <w:r w:rsidR="00EF38AF">
        <w:rPr>
          <w:color w:val="000000"/>
          <w:spacing w:val="-1"/>
          <w:sz w:val="26"/>
          <w:szCs w:val="26"/>
        </w:rPr>
        <w:lastRenderedPageBreak/>
        <w:t>t</w:t>
      </w:r>
      <w:r w:rsidR="00EF38AF" w:rsidRPr="00EF38AF">
        <w:rPr>
          <w:color w:val="000000"/>
          <w:spacing w:val="-1"/>
          <w:sz w:val="26"/>
          <w:szCs w:val="26"/>
        </w:rPr>
        <w:t>hese types of system improvements will improve system safety and reliability, customer service, and environmental compliance.</w:t>
      </w:r>
      <w:r w:rsidR="00EF38AF" w:rsidRPr="00EF38AF">
        <w:rPr>
          <w:color w:val="000000"/>
          <w:spacing w:val="-1"/>
          <w:sz w:val="26"/>
          <w:szCs w:val="26"/>
        </w:rPr>
        <w:tab/>
      </w:r>
    </w:p>
    <w:p w14:paraId="1FF1327D" w14:textId="032A9C69" w:rsidR="00E72F67" w:rsidRDefault="00E72F67" w:rsidP="00E80FD1">
      <w:pPr>
        <w:spacing w:line="360" w:lineRule="auto"/>
        <w:ind w:firstLine="720"/>
        <w:textAlignment w:val="baseline"/>
        <w:rPr>
          <w:color w:val="000000"/>
          <w:spacing w:val="-1"/>
          <w:sz w:val="26"/>
          <w:szCs w:val="26"/>
        </w:rPr>
      </w:pPr>
    </w:p>
    <w:p w14:paraId="027EE6DF" w14:textId="49CA41EB" w:rsidR="00E72F67" w:rsidRDefault="00384FA9" w:rsidP="00E72F67">
      <w:pPr>
        <w:spacing w:line="360" w:lineRule="auto"/>
        <w:ind w:firstLine="720"/>
        <w:textAlignment w:val="baseline"/>
        <w:rPr>
          <w:color w:val="000000"/>
          <w:spacing w:val="-1"/>
          <w:sz w:val="26"/>
          <w:szCs w:val="26"/>
        </w:rPr>
      </w:pPr>
      <w:r>
        <w:rPr>
          <w:color w:val="000000"/>
          <w:spacing w:val="-1"/>
          <w:sz w:val="26"/>
          <w:szCs w:val="26"/>
        </w:rPr>
        <w:t>PAWC-WD</w:t>
      </w:r>
      <w:r w:rsidR="00E72F67">
        <w:rPr>
          <w:color w:val="000000"/>
          <w:spacing w:val="-1"/>
          <w:sz w:val="26"/>
          <w:szCs w:val="26"/>
        </w:rPr>
        <w:t xml:space="preserve"> maintains </w:t>
      </w:r>
      <w:bookmarkStart w:id="4" w:name="_Hlk34226227"/>
      <w:r w:rsidR="00E72F67">
        <w:rPr>
          <w:color w:val="000000"/>
          <w:spacing w:val="-1"/>
          <w:sz w:val="26"/>
          <w:szCs w:val="26"/>
        </w:rPr>
        <w:t xml:space="preserve">that </w:t>
      </w:r>
      <w:r w:rsidR="00E72F67" w:rsidRPr="00E72F67">
        <w:rPr>
          <w:color w:val="000000"/>
          <w:spacing w:val="-1"/>
          <w:sz w:val="26"/>
          <w:szCs w:val="26"/>
        </w:rPr>
        <w:t>I&amp;I has been reduced in several areas since the Wastewater DSIC rate mechanism was implemented.</w:t>
      </w:r>
      <w:bookmarkEnd w:id="4"/>
      <w:r w:rsidR="00E72F67" w:rsidRPr="00E72F67">
        <w:rPr>
          <w:color w:val="000000"/>
          <w:spacing w:val="-1"/>
          <w:sz w:val="26"/>
          <w:szCs w:val="26"/>
        </w:rPr>
        <w:t xml:space="preserve"> </w:t>
      </w:r>
      <w:r w:rsidR="00E72F67">
        <w:rPr>
          <w:color w:val="000000"/>
          <w:spacing w:val="-1"/>
          <w:sz w:val="26"/>
          <w:szCs w:val="26"/>
        </w:rPr>
        <w:t xml:space="preserve"> </w:t>
      </w:r>
      <w:r w:rsidR="006A21E6">
        <w:rPr>
          <w:color w:val="000000"/>
          <w:spacing w:val="-1"/>
          <w:sz w:val="26"/>
          <w:szCs w:val="26"/>
        </w:rPr>
        <w:t xml:space="preserve">PAWC-WD </w:t>
      </w:r>
      <w:r w:rsidR="00E72F67">
        <w:rPr>
          <w:color w:val="000000"/>
          <w:spacing w:val="-1"/>
          <w:sz w:val="26"/>
          <w:szCs w:val="26"/>
        </w:rPr>
        <w:t>note</w:t>
      </w:r>
      <w:r w:rsidR="00924A42">
        <w:rPr>
          <w:color w:val="000000"/>
          <w:spacing w:val="-1"/>
          <w:sz w:val="26"/>
          <w:szCs w:val="26"/>
        </w:rPr>
        <w:t>s</w:t>
      </w:r>
      <w:r w:rsidR="00E72F67">
        <w:rPr>
          <w:color w:val="000000"/>
          <w:spacing w:val="-1"/>
          <w:sz w:val="26"/>
          <w:szCs w:val="26"/>
        </w:rPr>
        <w:t xml:space="preserve"> that</w:t>
      </w:r>
      <w:r w:rsidR="00E72F67" w:rsidRPr="00E72F67">
        <w:rPr>
          <w:color w:val="000000"/>
          <w:spacing w:val="-1"/>
          <w:sz w:val="26"/>
          <w:szCs w:val="26"/>
        </w:rPr>
        <w:t xml:space="preserve"> after significant capital investment</w:t>
      </w:r>
      <w:r w:rsidR="00E72F67">
        <w:rPr>
          <w:color w:val="000000"/>
          <w:spacing w:val="-1"/>
          <w:sz w:val="26"/>
          <w:szCs w:val="26"/>
        </w:rPr>
        <w:t>s</w:t>
      </w:r>
      <w:r w:rsidR="00E72F67" w:rsidRPr="00E72F67">
        <w:rPr>
          <w:color w:val="000000"/>
          <w:spacing w:val="-1"/>
          <w:sz w:val="26"/>
          <w:szCs w:val="26"/>
        </w:rPr>
        <w:t xml:space="preserve"> in collection system upgrades</w:t>
      </w:r>
      <w:r w:rsidR="006A21E6">
        <w:rPr>
          <w:color w:val="000000"/>
          <w:spacing w:val="-1"/>
          <w:sz w:val="26"/>
          <w:szCs w:val="26"/>
        </w:rPr>
        <w:t>,</w:t>
      </w:r>
      <w:r w:rsidR="00E72F67" w:rsidRPr="00E72F67">
        <w:rPr>
          <w:color w:val="000000"/>
          <w:spacing w:val="-1"/>
          <w:sz w:val="26"/>
          <w:szCs w:val="26"/>
        </w:rPr>
        <w:t xml:space="preserve"> which occurred over multi</w:t>
      </w:r>
      <w:r w:rsidR="00E72F67">
        <w:rPr>
          <w:color w:val="000000"/>
          <w:spacing w:val="-1"/>
          <w:sz w:val="26"/>
          <w:szCs w:val="26"/>
        </w:rPr>
        <w:t>-</w:t>
      </w:r>
      <w:r w:rsidR="00E72F67" w:rsidRPr="00E72F67">
        <w:rPr>
          <w:color w:val="000000"/>
          <w:spacing w:val="-1"/>
          <w:sz w:val="26"/>
          <w:szCs w:val="26"/>
        </w:rPr>
        <w:t xml:space="preserve"> year timeframe</w:t>
      </w:r>
      <w:r w:rsidR="00E72F67">
        <w:rPr>
          <w:color w:val="000000"/>
          <w:spacing w:val="-1"/>
          <w:sz w:val="26"/>
          <w:szCs w:val="26"/>
        </w:rPr>
        <w:t>s</w:t>
      </w:r>
      <w:r w:rsidR="00E72F67" w:rsidRPr="00E72F67">
        <w:rPr>
          <w:color w:val="000000"/>
          <w:spacing w:val="-1"/>
          <w:sz w:val="26"/>
          <w:szCs w:val="26"/>
        </w:rPr>
        <w:t xml:space="preserve">, </w:t>
      </w:r>
      <w:r w:rsidR="006A21E6">
        <w:rPr>
          <w:color w:val="000000"/>
          <w:spacing w:val="-1"/>
          <w:sz w:val="26"/>
          <w:szCs w:val="26"/>
        </w:rPr>
        <w:t xml:space="preserve">its </w:t>
      </w:r>
      <w:r w:rsidR="00E72F67" w:rsidRPr="00E72F67">
        <w:rPr>
          <w:color w:val="000000"/>
          <w:spacing w:val="-1"/>
          <w:sz w:val="26"/>
          <w:szCs w:val="26"/>
        </w:rPr>
        <w:t xml:space="preserve">Clarion collection system no longer experiences SSO events. </w:t>
      </w:r>
      <w:r w:rsidR="00E72F67">
        <w:rPr>
          <w:color w:val="000000"/>
          <w:spacing w:val="-1"/>
          <w:sz w:val="26"/>
          <w:szCs w:val="26"/>
        </w:rPr>
        <w:t xml:space="preserve"> </w:t>
      </w:r>
      <w:r w:rsidR="006A21E6">
        <w:rPr>
          <w:color w:val="000000"/>
          <w:spacing w:val="-1"/>
          <w:sz w:val="26"/>
          <w:szCs w:val="26"/>
        </w:rPr>
        <w:t>PAWC-WD also</w:t>
      </w:r>
      <w:r w:rsidR="00E72F67">
        <w:rPr>
          <w:color w:val="000000"/>
          <w:spacing w:val="-1"/>
          <w:sz w:val="26"/>
          <w:szCs w:val="26"/>
        </w:rPr>
        <w:t xml:space="preserve"> note</w:t>
      </w:r>
      <w:r w:rsidR="006A21E6">
        <w:rPr>
          <w:color w:val="000000"/>
          <w:spacing w:val="-1"/>
          <w:sz w:val="26"/>
          <w:szCs w:val="26"/>
        </w:rPr>
        <w:t>s</w:t>
      </w:r>
      <w:r w:rsidR="00E72F67">
        <w:rPr>
          <w:color w:val="000000"/>
          <w:spacing w:val="-1"/>
          <w:sz w:val="26"/>
          <w:szCs w:val="26"/>
        </w:rPr>
        <w:t xml:space="preserve"> that</w:t>
      </w:r>
      <w:r w:rsidR="00E72F67" w:rsidRPr="00E72F67">
        <w:rPr>
          <w:color w:val="000000"/>
          <w:spacing w:val="-1"/>
          <w:sz w:val="26"/>
          <w:szCs w:val="26"/>
        </w:rPr>
        <w:t xml:space="preserve"> after a complete rebuild of</w:t>
      </w:r>
      <w:r w:rsidR="00E72F67">
        <w:rPr>
          <w:color w:val="000000"/>
          <w:spacing w:val="-1"/>
          <w:sz w:val="26"/>
          <w:szCs w:val="26"/>
        </w:rPr>
        <w:t xml:space="preserve"> the</w:t>
      </w:r>
      <w:r w:rsidR="00E72F67" w:rsidRPr="00E72F67">
        <w:rPr>
          <w:color w:val="000000"/>
          <w:spacing w:val="-1"/>
          <w:sz w:val="26"/>
          <w:szCs w:val="26"/>
        </w:rPr>
        <w:t xml:space="preserve"> Marcel Lake collection system</w:t>
      </w:r>
      <w:r w:rsidR="00E72F67">
        <w:rPr>
          <w:color w:val="000000"/>
          <w:spacing w:val="-1"/>
          <w:sz w:val="26"/>
          <w:szCs w:val="26"/>
        </w:rPr>
        <w:t xml:space="preserve">, </w:t>
      </w:r>
      <w:r w:rsidR="00E72F67" w:rsidRPr="00E72F67">
        <w:rPr>
          <w:color w:val="000000"/>
          <w:spacing w:val="-1"/>
          <w:sz w:val="26"/>
          <w:szCs w:val="26"/>
        </w:rPr>
        <w:t>the</w:t>
      </w:r>
      <w:r w:rsidR="006A21E6">
        <w:rPr>
          <w:color w:val="000000"/>
          <w:spacing w:val="-1"/>
          <w:sz w:val="26"/>
          <w:szCs w:val="26"/>
        </w:rPr>
        <w:t xml:space="preserve"> system</w:t>
      </w:r>
      <w:r w:rsidR="00E72F67">
        <w:rPr>
          <w:color w:val="000000"/>
          <w:spacing w:val="-1"/>
          <w:sz w:val="26"/>
          <w:szCs w:val="26"/>
        </w:rPr>
        <w:t xml:space="preserve"> experienced a</w:t>
      </w:r>
      <w:r w:rsidR="00E72F67" w:rsidRPr="00E72F67">
        <w:rPr>
          <w:color w:val="000000"/>
          <w:spacing w:val="-1"/>
          <w:sz w:val="26"/>
          <w:szCs w:val="26"/>
        </w:rPr>
        <w:t xml:space="preserve"> dramatic reduction in I&amp;I</w:t>
      </w:r>
      <w:r w:rsidR="00E72F67">
        <w:rPr>
          <w:color w:val="000000"/>
          <w:spacing w:val="-1"/>
          <w:sz w:val="26"/>
          <w:szCs w:val="26"/>
        </w:rPr>
        <w:t xml:space="preserve">. </w:t>
      </w:r>
      <w:r w:rsidR="00E72F67" w:rsidRPr="00E72F67">
        <w:rPr>
          <w:color w:val="000000"/>
          <w:spacing w:val="-1"/>
          <w:sz w:val="26"/>
          <w:szCs w:val="26"/>
        </w:rPr>
        <w:t xml:space="preserve"> </w:t>
      </w:r>
    </w:p>
    <w:p w14:paraId="4D678612" w14:textId="77777777" w:rsidR="00E72F67" w:rsidRPr="00E72F67" w:rsidRDefault="00E72F67" w:rsidP="00E72F67">
      <w:pPr>
        <w:spacing w:line="360" w:lineRule="auto"/>
        <w:ind w:firstLine="720"/>
        <w:textAlignment w:val="baseline"/>
        <w:rPr>
          <w:color w:val="000000"/>
          <w:spacing w:val="-1"/>
          <w:sz w:val="26"/>
          <w:szCs w:val="26"/>
        </w:rPr>
      </w:pPr>
    </w:p>
    <w:p w14:paraId="14BF2810" w14:textId="5AF7A0F7" w:rsidR="00E72F67" w:rsidRPr="00FF571A" w:rsidRDefault="00384FA9" w:rsidP="00E72F67">
      <w:pPr>
        <w:spacing w:line="360" w:lineRule="auto"/>
        <w:ind w:firstLine="720"/>
        <w:textAlignment w:val="baseline"/>
        <w:rPr>
          <w:color w:val="000000"/>
          <w:spacing w:val="-1"/>
          <w:sz w:val="26"/>
          <w:szCs w:val="26"/>
        </w:rPr>
      </w:pPr>
      <w:r>
        <w:rPr>
          <w:color w:val="000000"/>
          <w:spacing w:val="-1"/>
          <w:sz w:val="26"/>
          <w:szCs w:val="26"/>
        </w:rPr>
        <w:t>PAWC-WD</w:t>
      </w:r>
      <w:r w:rsidR="00E72F67">
        <w:rPr>
          <w:color w:val="000000"/>
          <w:spacing w:val="-1"/>
          <w:sz w:val="26"/>
          <w:szCs w:val="26"/>
        </w:rPr>
        <w:t xml:space="preserve"> notes that a</w:t>
      </w:r>
      <w:r w:rsidR="00E72F67" w:rsidRPr="00E72F67">
        <w:rPr>
          <w:color w:val="000000"/>
          <w:spacing w:val="-1"/>
          <w:sz w:val="26"/>
          <w:szCs w:val="26"/>
        </w:rPr>
        <w:t xml:space="preserve">ccelerated infrastructure replacement and rehabilitation is needed to continue meeting the challenges of </w:t>
      </w:r>
      <w:r w:rsidR="00E72F67">
        <w:rPr>
          <w:color w:val="000000"/>
          <w:spacing w:val="-1"/>
          <w:sz w:val="26"/>
          <w:szCs w:val="26"/>
        </w:rPr>
        <w:t>its</w:t>
      </w:r>
      <w:r w:rsidR="00E72F67" w:rsidRPr="00E72F67">
        <w:rPr>
          <w:color w:val="000000"/>
          <w:spacing w:val="-1"/>
          <w:sz w:val="26"/>
          <w:szCs w:val="26"/>
        </w:rPr>
        <w:t xml:space="preserve"> wastewater systems, including systems that have been acquired since </w:t>
      </w:r>
      <w:r w:rsidR="00C534FA">
        <w:rPr>
          <w:color w:val="000000"/>
          <w:spacing w:val="-1"/>
          <w:sz w:val="26"/>
          <w:szCs w:val="26"/>
        </w:rPr>
        <w:t xml:space="preserve">its current </w:t>
      </w:r>
      <w:r w:rsidR="00E72F67" w:rsidRPr="00E72F67">
        <w:rPr>
          <w:color w:val="000000"/>
          <w:spacing w:val="-1"/>
          <w:sz w:val="26"/>
          <w:szCs w:val="26"/>
        </w:rPr>
        <w:t xml:space="preserve">LTIIP was submitted in 2014.  </w:t>
      </w:r>
      <w:r>
        <w:rPr>
          <w:color w:val="000000"/>
          <w:spacing w:val="-1"/>
          <w:sz w:val="26"/>
          <w:szCs w:val="26"/>
        </w:rPr>
        <w:t>PAWC-WD</w:t>
      </w:r>
      <w:r w:rsidR="00E72F67" w:rsidRPr="00E72F67">
        <w:rPr>
          <w:color w:val="000000"/>
          <w:spacing w:val="-1"/>
          <w:sz w:val="26"/>
          <w:szCs w:val="26"/>
        </w:rPr>
        <w:t xml:space="preserve"> </w:t>
      </w:r>
      <w:r w:rsidR="00E72F67">
        <w:rPr>
          <w:color w:val="000000"/>
          <w:spacing w:val="-1"/>
          <w:sz w:val="26"/>
          <w:szCs w:val="26"/>
        </w:rPr>
        <w:t xml:space="preserve">notes that its </w:t>
      </w:r>
      <w:r w:rsidR="00E72F67" w:rsidRPr="00E72F67">
        <w:rPr>
          <w:color w:val="000000"/>
          <w:spacing w:val="-1"/>
          <w:sz w:val="26"/>
          <w:szCs w:val="26"/>
        </w:rPr>
        <w:t>wastewater customer base has increased</w:t>
      </w:r>
      <w:r w:rsidR="00924A42">
        <w:rPr>
          <w:color w:val="000000"/>
          <w:spacing w:val="-1"/>
          <w:sz w:val="26"/>
          <w:szCs w:val="26"/>
        </w:rPr>
        <w:t xml:space="preserve"> significantly</w:t>
      </w:r>
      <w:r w:rsidR="00E72F67" w:rsidRPr="00E72F67">
        <w:rPr>
          <w:color w:val="000000"/>
          <w:spacing w:val="-1"/>
          <w:sz w:val="26"/>
          <w:szCs w:val="26"/>
        </w:rPr>
        <w:t xml:space="preserve"> from approximately 16,803 </w:t>
      </w:r>
      <w:r w:rsidR="00991179">
        <w:rPr>
          <w:color w:val="000000"/>
          <w:spacing w:val="-1"/>
          <w:sz w:val="26"/>
          <w:szCs w:val="26"/>
        </w:rPr>
        <w:t xml:space="preserve">connections </w:t>
      </w:r>
      <w:r w:rsidR="00C534FA">
        <w:rPr>
          <w:color w:val="000000"/>
          <w:spacing w:val="-1"/>
          <w:sz w:val="26"/>
          <w:szCs w:val="26"/>
        </w:rPr>
        <w:t>in</w:t>
      </w:r>
      <w:r w:rsidR="00E72F67" w:rsidRPr="00E72F67">
        <w:rPr>
          <w:color w:val="000000"/>
          <w:spacing w:val="-1"/>
          <w:sz w:val="26"/>
          <w:szCs w:val="26"/>
        </w:rPr>
        <w:t xml:space="preserve"> 2014</w:t>
      </w:r>
      <w:r w:rsidR="00C700E5">
        <w:rPr>
          <w:color w:val="000000"/>
          <w:spacing w:val="-1"/>
          <w:sz w:val="26"/>
          <w:szCs w:val="26"/>
        </w:rPr>
        <w:t>,</w:t>
      </w:r>
      <w:r w:rsidR="00E72F67" w:rsidRPr="00E72F67">
        <w:rPr>
          <w:color w:val="000000"/>
          <w:spacing w:val="-1"/>
          <w:sz w:val="26"/>
          <w:szCs w:val="26"/>
        </w:rPr>
        <w:t xml:space="preserve"> to the current total of 65,139 customer connections.</w:t>
      </w:r>
      <w:r w:rsidR="00E72F67">
        <w:rPr>
          <w:color w:val="000000"/>
          <w:spacing w:val="-1"/>
          <w:sz w:val="26"/>
          <w:szCs w:val="26"/>
        </w:rPr>
        <w:t xml:space="preserve"> </w:t>
      </w:r>
      <w:r w:rsidR="00924A42">
        <w:rPr>
          <w:color w:val="000000"/>
          <w:spacing w:val="-1"/>
          <w:sz w:val="26"/>
          <w:szCs w:val="26"/>
        </w:rPr>
        <w:t xml:space="preserve"> </w:t>
      </w:r>
      <w:r>
        <w:rPr>
          <w:color w:val="000000"/>
          <w:spacing w:val="-1"/>
          <w:sz w:val="26"/>
          <w:szCs w:val="26"/>
        </w:rPr>
        <w:t>PAWC-WD</w:t>
      </w:r>
      <w:r w:rsidR="00BC6416">
        <w:rPr>
          <w:color w:val="000000"/>
          <w:spacing w:val="-1"/>
          <w:sz w:val="26"/>
          <w:szCs w:val="26"/>
        </w:rPr>
        <w:t xml:space="preserve"> </w:t>
      </w:r>
      <w:r w:rsidR="00BC6416" w:rsidRPr="00E72F67">
        <w:rPr>
          <w:color w:val="000000"/>
          <w:spacing w:val="-1"/>
          <w:sz w:val="26"/>
          <w:szCs w:val="26"/>
        </w:rPr>
        <w:t>maintains</w:t>
      </w:r>
      <w:r w:rsidR="00E72F67">
        <w:rPr>
          <w:color w:val="000000"/>
          <w:spacing w:val="-1"/>
          <w:sz w:val="26"/>
          <w:szCs w:val="26"/>
        </w:rPr>
        <w:t xml:space="preserve"> </w:t>
      </w:r>
      <w:r w:rsidR="00967B4C">
        <w:rPr>
          <w:color w:val="000000"/>
          <w:spacing w:val="-1"/>
          <w:sz w:val="26"/>
          <w:szCs w:val="26"/>
        </w:rPr>
        <w:t xml:space="preserve">that </w:t>
      </w:r>
      <w:r w:rsidR="00967B4C" w:rsidRPr="00E72F67">
        <w:rPr>
          <w:color w:val="000000"/>
          <w:spacing w:val="-1"/>
          <w:sz w:val="26"/>
          <w:szCs w:val="26"/>
        </w:rPr>
        <w:t>newly</w:t>
      </w:r>
      <w:r w:rsidR="00E72F67" w:rsidRPr="00E72F67">
        <w:rPr>
          <w:color w:val="000000"/>
          <w:spacing w:val="-1"/>
          <w:sz w:val="26"/>
          <w:szCs w:val="26"/>
        </w:rPr>
        <w:t xml:space="preserve"> acquired systems such as Scranton, McKeesport, Duquesne, and Dravosburg are currently under </w:t>
      </w:r>
      <w:r w:rsidR="00991179">
        <w:rPr>
          <w:color w:val="000000"/>
          <w:spacing w:val="-1"/>
          <w:sz w:val="26"/>
          <w:szCs w:val="26"/>
        </w:rPr>
        <w:t xml:space="preserve">Pennsylvania Department of Environmental Protection (DEP) </w:t>
      </w:r>
      <w:r w:rsidR="00E72F67" w:rsidRPr="00E72F67">
        <w:rPr>
          <w:color w:val="000000"/>
          <w:spacing w:val="-1"/>
          <w:sz w:val="26"/>
          <w:szCs w:val="26"/>
        </w:rPr>
        <w:t>Consent Orders and require accelerated rehabilitation and replacement.</w:t>
      </w:r>
    </w:p>
    <w:p w14:paraId="41A439DE" w14:textId="77777777" w:rsidR="0077455C" w:rsidRPr="00F54DF8" w:rsidRDefault="0077455C" w:rsidP="00847795">
      <w:pPr>
        <w:pStyle w:val="p2"/>
        <w:widowControl/>
        <w:spacing w:line="360" w:lineRule="auto"/>
        <w:ind w:firstLine="0"/>
        <w:rPr>
          <w:sz w:val="26"/>
          <w:szCs w:val="26"/>
        </w:rPr>
      </w:pPr>
    </w:p>
    <w:p w14:paraId="544CC8EC" w14:textId="328C2887" w:rsidR="00AC08A1" w:rsidRPr="00F54DF8" w:rsidRDefault="2315FA41" w:rsidP="00A11039">
      <w:pPr>
        <w:pStyle w:val="p2"/>
        <w:widowControl/>
        <w:spacing w:line="360" w:lineRule="auto"/>
        <w:ind w:firstLine="720"/>
        <w:rPr>
          <w:sz w:val="26"/>
          <w:szCs w:val="26"/>
        </w:rPr>
      </w:pPr>
      <w:r w:rsidRPr="2315FA41">
        <w:rPr>
          <w:sz w:val="26"/>
          <w:szCs w:val="26"/>
        </w:rPr>
        <w:t>PAWC-WD, in their petition, addressed the 8 LTIIP elements required by 52 Pa. Code § 121.3, as discussed below:</w:t>
      </w:r>
    </w:p>
    <w:p w14:paraId="4CF24BAF" w14:textId="77777777" w:rsidR="00464B4E" w:rsidRPr="00F54DF8" w:rsidRDefault="00464B4E" w:rsidP="00AC08A1">
      <w:pPr>
        <w:pStyle w:val="p2"/>
        <w:widowControl/>
        <w:spacing w:line="360" w:lineRule="auto"/>
        <w:ind w:firstLine="0"/>
        <w:rPr>
          <w:sz w:val="26"/>
          <w:szCs w:val="26"/>
        </w:rPr>
      </w:pPr>
    </w:p>
    <w:p w14:paraId="5BE5D873" w14:textId="77777777" w:rsidR="0077455C" w:rsidRPr="00F54DF8" w:rsidRDefault="00135912" w:rsidP="00135912">
      <w:pPr>
        <w:pStyle w:val="p2"/>
        <w:widowControl/>
        <w:spacing w:line="360" w:lineRule="auto"/>
        <w:ind w:left="720" w:firstLine="0"/>
        <w:rPr>
          <w:b/>
          <w:sz w:val="26"/>
          <w:szCs w:val="26"/>
        </w:rPr>
      </w:pPr>
      <w:r w:rsidRPr="00F54DF8">
        <w:rPr>
          <w:b/>
          <w:sz w:val="26"/>
          <w:szCs w:val="26"/>
        </w:rPr>
        <w:t xml:space="preserve">(1) </w:t>
      </w:r>
      <w:r w:rsidR="0077455C" w:rsidRPr="00F54DF8">
        <w:rPr>
          <w:b/>
          <w:sz w:val="26"/>
          <w:szCs w:val="26"/>
        </w:rPr>
        <w:t>TYPES AND AGE OF ELIGIBLE PROPERTY</w:t>
      </w:r>
    </w:p>
    <w:p w14:paraId="1BADA3B9" w14:textId="68ABAF1E" w:rsidR="0077455C" w:rsidRDefault="0077455C" w:rsidP="00773D87">
      <w:pPr>
        <w:pStyle w:val="p2"/>
        <w:widowControl/>
        <w:tabs>
          <w:tab w:val="left" w:pos="720"/>
        </w:tabs>
        <w:spacing w:line="360" w:lineRule="auto"/>
        <w:ind w:firstLine="0"/>
        <w:rPr>
          <w:b/>
          <w:sz w:val="26"/>
          <w:szCs w:val="26"/>
        </w:rPr>
      </w:pPr>
    </w:p>
    <w:p w14:paraId="208B6CBC" w14:textId="08B89CEA" w:rsidR="0089782B" w:rsidRDefault="2315FA41" w:rsidP="2315FA41">
      <w:pPr>
        <w:pStyle w:val="p2"/>
        <w:widowControl/>
        <w:tabs>
          <w:tab w:val="left" w:pos="720"/>
        </w:tabs>
        <w:spacing w:line="360" w:lineRule="auto"/>
        <w:ind w:firstLine="0"/>
        <w:rPr>
          <w:b/>
          <w:bCs/>
          <w:sz w:val="26"/>
          <w:szCs w:val="26"/>
        </w:rPr>
      </w:pPr>
      <w:r w:rsidRPr="2315FA41">
        <w:rPr>
          <w:b/>
          <w:bCs/>
          <w:sz w:val="26"/>
          <w:szCs w:val="26"/>
        </w:rPr>
        <w:t>PAWC-WD’s Position</w:t>
      </w:r>
    </w:p>
    <w:p w14:paraId="2AF6E258" w14:textId="77777777" w:rsidR="008A27F2" w:rsidRPr="008A27F2" w:rsidRDefault="008A27F2" w:rsidP="008A27F2">
      <w:pPr>
        <w:pStyle w:val="p2"/>
        <w:widowControl/>
        <w:tabs>
          <w:tab w:val="left" w:pos="720"/>
        </w:tabs>
        <w:spacing w:line="360" w:lineRule="auto"/>
        <w:ind w:firstLine="0"/>
        <w:rPr>
          <w:b/>
          <w:sz w:val="26"/>
          <w:szCs w:val="26"/>
        </w:rPr>
      </w:pPr>
    </w:p>
    <w:p w14:paraId="3B2425E3" w14:textId="6BDA4A8C" w:rsidR="00171235" w:rsidRDefault="00EF38AF" w:rsidP="00623463">
      <w:pPr>
        <w:pStyle w:val="p2"/>
        <w:widowControl/>
        <w:tabs>
          <w:tab w:val="clear" w:pos="1445"/>
          <w:tab w:val="left" w:pos="720"/>
        </w:tabs>
        <w:spacing w:line="360" w:lineRule="auto"/>
        <w:ind w:firstLine="0"/>
        <w:rPr>
          <w:sz w:val="26"/>
          <w:szCs w:val="26"/>
        </w:rPr>
      </w:pPr>
      <w:r>
        <w:rPr>
          <w:sz w:val="26"/>
          <w:szCs w:val="26"/>
        </w:rPr>
        <w:tab/>
      </w:r>
      <w:r w:rsidR="00384FA9">
        <w:rPr>
          <w:sz w:val="26"/>
          <w:szCs w:val="26"/>
        </w:rPr>
        <w:t>PAWC-WD</w:t>
      </w:r>
      <w:r w:rsidR="00171235" w:rsidRPr="00171235">
        <w:rPr>
          <w:sz w:val="26"/>
          <w:szCs w:val="26"/>
        </w:rPr>
        <w:t xml:space="preserve"> reports that its wastewater collection systems are comprised of approximately 65,139 service laterals, 20,874 manholes, and 4,156,078 linear feet (LF) of gravity main</w:t>
      </w:r>
      <w:r w:rsidR="008A748D">
        <w:rPr>
          <w:sz w:val="26"/>
          <w:szCs w:val="26"/>
        </w:rPr>
        <w:t>,</w:t>
      </w:r>
      <w:r w:rsidR="00171235" w:rsidRPr="00171235">
        <w:rPr>
          <w:sz w:val="26"/>
          <w:szCs w:val="26"/>
        </w:rPr>
        <w:t xml:space="preserve"> which includes combined sewer gravity mains.  </w:t>
      </w:r>
      <w:r w:rsidR="00384FA9">
        <w:rPr>
          <w:sz w:val="26"/>
          <w:szCs w:val="26"/>
        </w:rPr>
        <w:t>PAWC-WD</w:t>
      </w:r>
      <w:r w:rsidR="00171235" w:rsidRPr="00171235">
        <w:rPr>
          <w:sz w:val="26"/>
          <w:szCs w:val="26"/>
        </w:rPr>
        <w:t xml:space="preserve"> </w:t>
      </w:r>
      <w:r w:rsidR="00991179">
        <w:rPr>
          <w:sz w:val="26"/>
          <w:szCs w:val="26"/>
        </w:rPr>
        <w:t xml:space="preserve">in its Petition </w:t>
      </w:r>
      <w:r w:rsidR="00171235" w:rsidRPr="00171235">
        <w:rPr>
          <w:sz w:val="26"/>
          <w:szCs w:val="26"/>
        </w:rPr>
        <w:lastRenderedPageBreak/>
        <w:t>provided substantial detail on</w:t>
      </w:r>
      <w:r w:rsidR="00991179">
        <w:rPr>
          <w:sz w:val="26"/>
          <w:szCs w:val="26"/>
        </w:rPr>
        <w:t xml:space="preserve"> its system components including:</w:t>
      </w:r>
      <w:r w:rsidR="00171235" w:rsidRPr="00171235">
        <w:rPr>
          <w:sz w:val="26"/>
          <w:szCs w:val="26"/>
        </w:rPr>
        <w:t xml:space="preserve"> the material composition, length</w:t>
      </w:r>
      <w:r w:rsidR="00991179">
        <w:rPr>
          <w:sz w:val="26"/>
          <w:szCs w:val="26"/>
        </w:rPr>
        <w:t>,</w:t>
      </w:r>
      <w:r w:rsidR="00171235" w:rsidRPr="00171235">
        <w:rPr>
          <w:sz w:val="26"/>
          <w:szCs w:val="26"/>
        </w:rPr>
        <w:t xml:space="preserve"> and age of</w:t>
      </w:r>
      <w:r w:rsidR="00924A42">
        <w:rPr>
          <w:sz w:val="26"/>
          <w:szCs w:val="26"/>
        </w:rPr>
        <w:t xml:space="preserve"> its</w:t>
      </w:r>
      <w:r w:rsidR="00171235" w:rsidRPr="00171235">
        <w:rPr>
          <w:sz w:val="26"/>
          <w:szCs w:val="26"/>
        </w:rPr>
        <w:t xml:space="preserve"> pipes</w:t>
      </w:r>
      <w:r w:rsidR="00991179">
        <w:rPr>
          <w:sz w:val="26"/>
          <w:szCs w:val="26"/>
        </w:rPr>
        <w:t xml:space="preserve"> and</w:t>
      </w:r>
      <w:r w:rsidR="00171235" w:rsidRPr="00171235">
        <w:rPr>
          <w:sz w:val="26"/>
          <w:szCs w:val="26"/>
        </w:rPr>
        <w:t xml:space="preserve"> mains</w:t>
      </w:r>
      <w:r w:rsidR="00991179">
        <w:rPr>
          <w:sz w:val="26"/>
          <w:szCs w:val="26"/>
        </w:rPr>
        <w:t xml:space="preserve">; </w:t>
      </w:r>
      <w:r w:rsidR="00171235" w:rsidRPr="00171235">
        <w:rPr>
          <w:sz w:val="26"/>
          <w:szCs w:val="26"/>
        </w:rPr>
        <w:t>lift stations</w:t>
      </w:r>
      <w:r w:rsidR="00991179">
        <w:rPr>
          <w:sz w:val="26"/>
          <w:szCs w:val="26"/>
        </w:rPr>
        <w:t>;</w:t>
      </w:r>
      <w:r w:rsidR="00171235" w:rsidRPr="00171235">
        <w:rPr>
          <w:sz w:val="26"/>
          <w:szCs w:val="26"/>
        </w:rPr>
        <w:t xml:space="preserve"> manholes</w:t>
      </w:r>
      <w:r w:rsidR="00991179">
        <w:rPr>
          <w:sz w:val="26"/>
          <w:szCs w:val="26"/>
        </w:rPr>
        <w:t>;</w:t>
      </w:r>
      <w:r w:rsidR="00171235" w:rsidRPr="00171235">
        <w:rPr>
          <w:sz w:val="26"/>
          <w:szCs w:val="26"/>
        </w:rPr>
        <w:t xml:space="preserve"> and service laterals.   </w:t>
      </w:r>
    </w:p>
    <w:p w14:paraId="27836F01" w14:textId="77777777" w:rsidR="00171235" w:rsidRDefault="00171235" w:rsidP="00623463">
      <w:pPr>
        <w:pStyle w:val="p2"/>
        <w:widowControl/>
        <w:tabs>
          <w:tab w:val="clear" w:pos="1445"/>
          <w:tab w:val="left" w:pos="720"/>
        </w:tabs>
        <w:spacing w:line="360" w:lineRule="auto"/>
        <w:ind w:firstLine="0"/>
        <w:rPr>
          <w:sz w:val="26"/>
          <w:szCs w:val="26"/>
        </w:rPr>
      </w:pPr>
    </w:p>
    <w:p w14:paraId="7DE1B4D5" w14:textId="3CAB2106" w:rsidR="0077455C" w:rsidRDefault="00171235" w:rsidP="00623463">
      <w:pPr>
        <w:pStyle w:val="p2"/>
        <w:widowControl/>
        <w:tabs>
          <w:tab w:val="clear" w:pos="1445"/>
          <w:tab w:val="left" w:pos="720"/>
        </w:tabs>
        <w:spacing w:line="360" w:lineRule="auto"/>
        <w:ind w:firstLine="0"/>
        <w:rPr>
          <w:sz w:val="26"/>
          <w:szCs w:val="26"/>
        </w:rPr>
      </w:pPr>
      <w:r>
        <w:rPr>
          <w:sz w:val="26"/>
          <w:szCs w:val="26"/>
        </w:rPr>
        <w:tab/>
      </w:r>
      <w:r w:rsidR="00384FA9">
        <w:rPr>
          <w:sz w:val="26"/>
          <w:szCs w:val="26"/>
        </w:rPr>
        <w:t>PAWC-WD</w:t>
      </w:r>
      <w:r w:rsidR="00EF38AF">
        <w:rPr>
          <w:sz w:val="26"/>
          <w:szCs w:val="26"/>
        </w:rPr>
        <w:t xml:space="preserve"> states that t</w:t>
      </w:r>
      <w:r w:rsidR="008A27F2" w:rsidRPr="008A27F2">
        <w:rPr>
          <w:sz w:val="26"/>
          <w:szCs w:val="26"/>
        </w:rPr>
        <w:t>he condition of the</w:t>
      </w:r>
      <w:r w:rsidR="00EF38AF">
        <w:rPr>
          <w:sz w:val="26"/>
          <w:szCs w:val="26"/>
        </w:rPr>
        <w:t>ir</w:t>
      </w:r>
      <w:r w:rsidR="008A27F2" w:rsidRPr="008A27F2">
        <w:rPr>
          <w:sz w:val="26"/>
          <w:szCs w:val="26"/>
        </w:rPr>
        <w:t xml:space="preserve"> wastewater systems varies, depending on age, material, local conditions and quality of initial design or installation.</w:t>
      </w:r>
      <w:r w:rsidR="00CE6B5A">
        <w:rPr>
          <w:sz w:val="26"/>
          <w:szCs w:val="26"/>
        </w:rPr>
        <w:t xml:space="preserve"> </w:t>
      </w:r>
      <w:r>
        <w:rPr>
          <w:sz w:val="26"/>
          <w:szCs w:val="26"/>
        </w:rPr>
        <w:t xml:space="preserve"> </w:t>
      </w:r>
      <w:r w:rsidR="00384FA9">
        <w:rPr>
          <w:sz w:val="26"/>
          <w:szCs w:val="26"/>
        </w:rPr>
        <w:t>PAWC-WD</w:t>
      </w:r>
      <w:r w:rsidR="00CE6B5A">
        <w:rPr>
          <w:sz w:val="26"/>
          <w:szCs w:val="26"/>
        </w:rPr>
        <w:t xml:space="preserve"> notes that </w:t>
      </w:r>
      <w:r w:rsidR="00CE6B5A" w:rsidRPr="008A27F2">
        <w:rPr>
          <w:sz w:val="26"/>
          <w:szCs w:val="26"/>
        </w:rPr>
        <w:t>some</w:t>
      </w:r>
      <w:r w:rsidR="008A27F2" w:rsidRPr="008A27F2">
        <w:rPr>
          <w:sz w:val="26"/>
          <w:szCs w:val="26"/>
        </w:rPr>
        <w:t xml:space="preserve"> systems require significant capital investment to maintain efficient, safe, and reliable service for existing customers.</w:t>
      </w:r>
      <w:r w:rsidR="00CE6B5A">
        <w:rPr>
          <w:sz w:val="26"/>
          <w:szCs w:val="26"/>
        </w:rPr>
        <w:t xml:space="preserve"> </w:t>
      </w:r>
      <w:r w:rsidR="008A27F2" w:rsidRPr="008A27F2">
        <w:rPr>
          <w:sz w:val="26"/>
          <w:szCs w:val="26"/>
        </w:rPr>
        <w:t xml:space="preserve"> </w:t>
      </w:r>
      <w:r w:rsidR="00384FA9">
        <w:rPr>
          <w:sz w:val="26"/>
          <w:szCs w:val="26"/>
        </w:rPr>
        <w:t>PAWC-WD</w:t>
      </w:r>
      <w:r w:rsidR="00CE6B5A">
        <w:rPr>
          <w:sz w:val="26"/>
          <w:szCs w:val="26"/>
        </w:rPr>
        <w:t xml:space="preserve"> acknowledges that it</w:t>
      </w:r>
      <w:r w:rsidR="008A27F2" w:rsidRPr="008A27F2">
        <w:rPr>
          <w:sz w:val="26"/>
          <w:szCs w:val="26"/>
        </w:rPr>
        <w:t xml:space="preserve"> has acquired its wastewater systems from prior ownership in various states of disrepair</w:t>
      </w:r>
      <w:r w:rsidR="00FD4CEE" w:rsidRPr="008A27F2">
        <w:rPr>
          <w:sz w:val="26"/>
          <w:szCs w:val="26"/>
        </w:rPr>
        <w:t xml:space="preserve">.  </w:t>
      </w:r>
      <w:r w:rsidR="00384FA9">
        <w:rPr>
          <w:sz w:val="26"/>
          <w:szCs w:val="26"/>
        </w:rPr>
        <w:t>PAWC-WD</w:t>
      </w:r>
      <w:r w:rsidR="00CE6B5A">
        <w:rPr>
          <w:sz w:val="26"/>
          <w:szCs w:val="26"/>
        </w:rPr>
        <w:t xml:space="preserve"> notes that m</w:t>
      </w:r>
      <w:r w:rsidR="008A27F2" w:rsidRPr="008A27F2">
        <w:rPr>
          <w:sz w:val="26"/>
          <w:szCs w:val="26"/>
        </w:rPr>
        <w:t>any</w:t>
      </w:r>
      <w:r w:rsidR="00CE6B5A">
        <w:rPr>
          <w:sz w:val="26"/>
          <w:szCs w:val="26"/>
        </w:rPr>
        <w:t xml:space="preserve"> of its</w:t>
      </w:r>
      <w:r w:rsidR="008A27F2" w:rsidRPr="008A27F2">
        <w:rPr>
          <w:sz w:val="26"/>
          <w:szCs w:val="26"/>
        </w:rPr>
        <w:t xml:space="preserve"> systems have aging infrastructure and significant I&amp;I from rainfall runoff and groundwater.</w:t>
      </w:r>
    </w:p>
    <w:p w14:paraId="517E63CA" w14:textId="78C7268E" w:rsidR="001432FF" w:rsidRDefault="001432FF" w:rsidP="00623463">
      <w:pPr>
        <w:pStyle w:val="p2"/>
        <w:widowControl/>
        <w:tabs>
          <w:tab w:val="clear" w:pos="1445"/>
          <w:tab w:val="left" w:pos="720"/>
        </w:tabs>
        <w:spacing w:line="360" w:lineRule="auto"/>
        <w:ind w:firstLine="0"/>
        <w:rPr>
          <w:sz w:val="26"/>
          <w:szCs w:val="26"/>
        </w:rPr>
      </w:pPr>
    </w:p>
    <w:p w14:paraId="6C23E04F" w14:textId="107D2F0E" w:rsidR="008A27F2" w:rsidRDefault="001432FF" w:rsidP="00623463">
      <w:pPr>
        <w:pStyle w:val="p2"/>
        <w:widowControl/>
        <w:tabs>
          <w:tab w:val="clear" w:pos="1445"/>
          <w:tab w:val="left" w:pos="720"/>
        </w:tabs>
        <w:spacing w:line="360" w:lineRule="auto"/>
        <w:ind w:firstLine="0"/>
        <w:rPr>
          <w:sz w:val="26"/>
          <w:szCs w:val="26"/>
        </w:rPr>
      </w:pPr>
      <w:r>
        <w:rPr>
          <w:sz w:val="26"/>
          <w:szCs w:val="26"/>
        </w:rPr>
        <w:tab/>
      </w:r>
      <w:r w:rsidR="00384FA9">
        <w:rPr>
          <w:sz w:val="26"/>
          <w:szCs w:val="26"/>
        </w:rPr>
        <w:t>PAWC-WD</w:t>
      </w:r>
      <w:r w:rsidR="0089782B">
        <w:rPr>
          <w:sz w:val="26"/>
          <w:szCs w:val="26"/>
        </w:rPr>
        <w:t xml:space="preserve"> </w:t>
      </w:r>
      <w:r w:rsidR="003A6F41">
        <w:rPr>
          <w:sz w:val="26"/>
          <w:szCs w:val="26"/>
        </w:rPr>
        <w:t>reported</w:t>
      </w:r>
      <w:r w:rsidR="0089782B">
        <w:rPr>
          <w:sz w:val="26"/>
          <w:szCs w:val="26"/>
        </w:rPr>
        <w:t xml:space="preserve"> that it</w:t>
      </w:r>
      <w:r w:rsidR="00EF38AF" w:rsidRPr="00EF38AF">
        <w:rPr>
          <w:sz w:val="26"/>
          <w:szCs w:val="26"/>
        </w:rPr>
        <w:t xml:space="preserve"> owns the following types of sewer collection systems:</w:t>
      </w:r>
      <w:r w:rsidR="008A27F2">
        <w:rPr>
          <w:sz w:val="26"/>
          <w:szCs w:val="26"/>
        </w:rPr>
        <w:tab/>
      </w:r>
    </w:p>
    <w:p w14:paraId="05DC267F" w14:textId="69BD81B5" w:rsidR="00EF38AF" w:rsidRPr="00C02A58" w:rsidRDefault="00EF38AF" w:rsidP="008A27F2">
      <w:pPr>
        <w:pStyle w:val="p2"/>
        <w:widowControl/>
        <w:spacing w:line="360" w:lineRule="auto"/>
        <w:ind w:firstLine="0"/>
        <w:rPr>
          <w:sz w:val="26"/>
          <w:szCs w:val="26"/>
        </w:rPr>
      </w:pPr>
    </w:p>
    <w:p w14:paraId="29DD598C" w14:textId="5204F602" w:rsidR="00367B84" w:rsidRDefault="2315FA41" w:rsidP="00171235">
      <w:pPr>
        <w:pStyle w:val="p2"/>
        <w:widowControl/>
        <w:tabs>
          <w:tab w:val="clear" w:pos="1445"/>
          <w:tab w:val="left" w:pos="720"/>
        </w:tabs>
        <w:spacing w:line="360" w:lineRule="auto"/>
        <w:ind w:firstLine="720"/>
        <w:rPr>
          <w:sz w:val="26"/>
          <w:szCs w:val="26"/>
        </w:rPr>
      </w:pPr>
      <w:r w:rsidRPr="2315FA41">
        <w:rPr>
          <w:b/>
          <w:bCs/>
          <w:sz w:val="26"/>
          <w:szCs w:val="26"/>
        </w:rPr>
        <w:t>Gravity Systems</w:t>
      </w:r>
      <w:r w:rsidRPr="2315FA41">
        <w:rPr>
          <w:sz w:val="26"/>
          <w:szCs w:val="26"/>
        </w:rPr>
        <w:t xml:space="preserve"> – PAWC-WD states that its gravity main and manhole material generally depends on installation date.  PAWC-WD maintains that newer mains are polyvinyl chloride (PVC) and older mains are mostly vitrified clay pipe (VCP).  PAWC-WD notes that its newer manholes are pre-cast or cast in place concrete and older manholes are brick.  However, PAWC-WD’s Modified LTIIP notes that 53.8% of the gravity main material is unknown.  In additional information filed with the Commission, PAWC-WD notes that it has two paths it can take to reduce the amount of unknown materials.  One path is through regular maintenance where the material and condition of the pipe is logged and entered in its data base.  The other path occurs when PAWC-WD acquires a system.  As part of its evaluation process, much of the system is cleaned and inspected.  PAWC-WD notes that condition assessment of its pipes and manholes is done at that time along with a notation of types of material found.</w:t>
      </w:r>
    </w:p>
    <w:p w14:paraId="26945020" w14:textId="22D2977F" w:rsidR="00171235" w:rsidRDefault="00171235" w:rsidP="00171235">
      <w:pPr>
        <w:pStyle w:val="p2"/>
        <w:widowControl/>
        <w:tabs>
          <w:tab w:val="clear" w:pos="1445"/>
          <w:tab w:val="left" w:pos="720"/>
        </w:tabs>
        <w:spacing w:line="360" w:lineRule="auto"/>
        <w:ind w:firstLine="720"/>
        <w:rPr>
          <w:sz w:val="26"/>
          <w:szCs w:val="26"/>
        </w:rPr>
      </w:pPr>
    </w:p>
    <w:p w14:paraId="34838034" w14:textId="55C1D9DF" w:rsidR="00171235" w:rsidRDefault="2315FA41" w:rsidP="00817538">
      <w:pPr>
        <w:pStyle w:val="p2"/>
        <w:widowControl/>
        <w:tabs>
          <w:tab w:val="clear" w:pos="1445"/>
          <w:tab w:val="left" w:pos="720"/>
        </w:tabs>
        <w:spacing w:line="360" w:lineRule="auto"/>
        <w:ind w:firstLine="720"/>
        <w:rPr>
          <w:sz w:val="26"/>
          <w:szCs w:val="26"/>
        </w:rPr>
      </w:pPr>
      <w:r w:rsidRPr="2315FA41">
        <w:rPr>
          <w:sz w:val="26"/>
          <w:szCs w:val="26"/>
        </w:rPr>
        <w:t>PAWC-WD’s Modified LTIIP indicated that it deemed the entire customer service lateral on a gravity collection to be DSIC-eligible property.  In s</w:t>
      </w:r>
      <w:r w:rsidR="001602E3">
        <w:rPr>
          <w:sz w:val="26"/>
          <w:szCs w:val="26"/>
        </w:rPr>
        <w:t>upplemental</w:t>
      </w:r>
      <w:r w:rsidRPr="2315FA41">
        <w:rPr>
          <w:sz w:val="26"/>
          <w:szCs w:val="26"/>
        </w:rPr>
        <w:t xml:space="preserve"> information filed with the Commission, PAWC-WD clarified that </w:t>
      </w:r>
      <w:r w:rsidR="001602E3" w:rsidRPr="001602E3">
        <w:rPr>
          <w:sz w:val="26"/>
          <w:szCs w:val="26"/>
        </w:rPr>
        <w:t xml:space="preserve">it does not plan to replace or line </w:t>
      </w:r>
      <w:r w:rsidR="001602E3" w:rsidRPr="001602E3">
        <w:rPr>
          <w:sz w:val="26"/>
          <w:szCs w:val="26"/>
        </w:rPr>
        <w:lastRenderedPageBreak/>
        <w:t>customer-owned portions of the service lateral</w:t>
      </w:r>
      <w:r w:rsidR="001602E3">
        <w:rPr>
          <w:sz w:val="26"/>
          <w:szCs w:val="26"/>
        </w:rPr>
        <w:t>s</w:t>
      </w:r>
      <w:r w:rsidR="001602E3" w:rsidRPr="001602E3">
        <w:rPr>
          <w:sz w:val="26"/>
          <w:szCs w:val="26"/>
        </w:rPr>
        <w:t xml:space="preserve"> </w:t>
      </w:r>
      <w:r w:rsidRPr="2315FA41">
        <w:rPr>
          <w:sz w:val="26"/>
          <w:szCs w:val="26"/>
        </w:rPr>
        <w:t>in a gravity system.  However, it notes that when there is high influent at the connection of a service lateral to the sewer main the company may replace a portion of the service lateral to remedy or reduce the influent flow.  PAWC-WD notes that this work is done either through the installation of a "top-hat" washer type used in plumbing for tap fitting or through physical work on that portion in the right-of-way.</w:t>
      </w:r>
    </w:p>
    <w:p w14:paraId="55400424" w14:textId="305FC511" w:rsidR="00623463" w:rsidRDefault="00623463" w:rsidP="00623463">
      <w:pPr>
        <w:pStyle w:val="p2"/>
        <w:widowControl/>
        <w:spacing w:line="360" w:lineRule="auto"/>
        <w:ind w:firstLine="0"/>
        <w:rPr>
          <w:sz w:val="26"/>
          <w:szCs w:val="26"/>
        </w:rPr>
      </w:pPr>
    </w:p>
    <w:p w14:paraId="6517D72B" w14:textId="2C326942" w:rsidR="00624878" w:rsidRDefault="00624878" w:rsidP="00624878">
      <w:pPr>
        <w:pStyle w:val="p2"/>
        <w:widowControl/>
        <w:tabs>
          <w:tab w:val="clear" w:pos="1445"/>
          <w:tab w:val="left" w:pos="720"/>
        </w:tabs>
        <w:spacing w:line="360" w:lineRule="auto"/>
        <w:ind w:firstLine="0"/>
        <w:rPr>
          <w:sz w:val="26"/>
          <w:szCs w:val="26"/>
        </w:rPr>
      </w:pPr>
      <w:r w:rsidRPr="00C02A58">
        <w:rPr>
          <w:sz w:val="26"/>
          <w:szCs w:val="26"/>
        </w:rPr>
        <w:tab/>
      </w:r>
      <w:r w:rsidRPr="00C02A58">
        <w:rPr>
          <w:b/>
          <w:bCs/>
          <w:sz w:val="26"/>
          <w:szCs w:val="26"/>
        </w:rPr>
        <w:t>Low Pressure Systems</w:t>
      </w:r>
      <w:r>
        <w:rPr>
          <w:sz w:val="26"/>
          <w:szCs w:val="26"/>
        </w:rPr>
        <w:t xml:space="preserve"> </w:t>
      </w:r>
      <w:r w:rsidR="00CE6B5A">
        <w:rPr>
          <w:sz w:val="26"/>
          <w:szCs w:val="26"/>
        </w:rPr>
        <w:t>–</w:t>
      </w:r>
      <w:r>
        <w:rPr>
          <w:sz w:val="26"/>
          <w:szCs w:val="26"/>
        </w:rPr>
        <w:t xml:space="preserve"> </w:t>
      </w:r>
      <w:r w:rsidR="00384FA9">
        <w:rPr>
          <w:sz w:val="26"/>
          <w:szCs w:val="26"/>
        </w:rPr>
        <w:t>PAWC-WD</w:t>
      </w:r>
      <w:r w:rsidR="00CE6B5A">
        <w:rPr>
          <w:sz w:val="26"/>
          <w:szCs w:val="26"/>
        </w:rPr>
        <w:t xml:space="preserve"> reports that o</w:t>
      </w:r>
      <w:r w:rsidRPr="00624878">
        <w:rPr>
          <w:sz w:val="26"/>
          <w:szCs w:val="26"/>
        </w:rPr>
        <w:t>n</w:t>
      </w:r>
      <w:r w:rsidR="0093447C">
        <w:rPr>
          <w:sz w:val="26"/>
          <w:szCs w:val="26"/>
        </w:rPr>
        <w:t xml:space="preserve"> its</w:t>
      </w:r>
      <w:r w:rsidRPr="00624878">
        <w:rPr>
          <w:sz w:val="26"/>
          <w:szCs w:val="26"/>
        </w:rPr>
        <w:t xml:space="preserve"> </w:t>
      </w:r>
      <w:r w:rsidR="0093447C" w:rsidRPr="00624878">
        <w:rPr>
          <w:sz w:val="26"/>
          <w:szCs w:val="26"/>
        </w:rPr>
        <w:t>low-pressure</w:t>
      </w:r>
      <w:r w:rsidRPr="00624878">
        <w:rPr>
          <w:sz w:val="26"/>
          <w:szCs w:val="26"/>
        </w:rPr>
        <w:t xml:space="preserve"> systems</w:t>
      </w:r>
      <w:r w:rsidR="0093447C">
        <w:rPr>
          <w:sz w:val="26"/>
          <w:szCs w:val="26"/>
        </w:rPr>
        <w:t>,</w:t>
      </w:r>
      <w:r w:rsidRPr="00624878">
        <w:rPr>
          <w:sz w:val="26"/>
          <w:szCs w:val="26"/>
        </w:rPr>
        <w:t xml:space="preserve"> the eligible property associated with the service lateral extends from the sewer main to the individual customer’s grinder pump unit</w:t>
      </w:r>
      <w:r w:rsidR="0041789B" w:rsidRPr="00624878">
        <w:rPr>
          <w:sz w:val="26"/>
          <w:szCs w:val="26"/>
        </w:rPr>
        <w:t>.</w:t>
      </w:r>
      <w:r w:rsidR="0041789B">
        <w:rPr>
          <w:sz w:val="26"/>
          <w:szCs w:val="26"/>
        </w:rPr>
        <w:t xml:space="preserve">  </w:t>
      </w:r>
      <w:r w:rsidR="00384FA9">
        <w:rPr>
          <w:sz w:val="26"/>
          <w:szCs w:val="26"/>
        </w:rPr>
        <w:t>PAWC-WD</w:t>
      </w:r>
      <w:r w:rsidR="00CE6B5A">
        <w:rPr>
          <w:sz w:val="26"/>
          <w:szCs w:val="26"/>
        </w:rPr>
        <w:t xml:space="preserve"> notes</w:t>
      </w:r>
      <w:r w:rsidR="000E6C91">
        <w:rPr>
          <w:sz w:val="26"/>
          <w:szCs w:val="26"/>
        </w:rPr>
        <w:t xml:space="preserve"> </w:t>
      </w:r>
      <w:r w:rsidR="00CE6B5A">
        <w:rPr>
          <w:sz w:val="26"/>
          <w:szCs w:val="26"/>
        </w:rPr>
        <w:t>o</w:t>
      </w:r>
      <w:r w:rsidRPr="00624878">
        <w:rPr>
          <w:sz w:val="26"/>
          <w:szCs w:val="26"/>
        </w:rPr>
        <w:t>ne exception to this exists in the Blue Mountain district where there are 5 company grinder pump</w:t>
      </w:r>
      <w:r w:rsidR="0093447C">
        <w:rPr>
          <w:sz w:val="26"/>
          <w:szCs w:val="26"/>
        </w:rPr>
        <w:t>s</w:t>
      </w:r>
      <w:r w:rsidRPr="00624878">
        <w:rPr>
          <w:sz w:val="26"/>
          <w:szCs w:val="26"/>
        </w:rPr>
        <w:t xml:space="preserve"> and pit installations. </w:t>
      </w:r>
      <w:r w:rsidR="00CE6B5A">
        <w:rPr>
          <w:sz w:val="26"/>
          <w:szCs w:val="26"/>
        </w:rPr>
        <w:t xml:space="preserve"> </w:t>
      </w:r>
      <w:r w:rsidR="00384FA9">
        <w:rPr>
          <w:sz w:val="26"/>
          <w:szCs w:val="26"/>
        </w:rPr>
        <w:t>PAWC-WD</w:t>
      </w:r>
      <w:r w:rsidRPr="00624878">
        <w:rPr>
          <w:sz w:val="26"/>
          <w:szCs w:val="26"/>
        </w:rPr>
        <w:t xml:space="preserve"> </w:t>
      </w:r>
      <w:r w:rsidR="00CE6B5A">
        <w:rPr>
          <w:sz w:val="26"/>
          <w:szCs w:val="26"/>
        </w:rPr>
        <w:t xml:space="preserve">states that it </w:t>
      </w:r>
      <w:r w:rsidRPr="00624878">
        <w:rPr>
          <w:sz w:val="26"/>
          <w:szCs w:val="26"/>
        </w:rPr>
        <w:t>owns approximately 458,177 LF of low-pressure sewer main</w:t>
      </w:r>
      <w:r w:rsidR="00CE6B5A">
        <w:rPr>
          <w:sz w:val="26"/>
          <w:szCs w:val="26"/>
        </w:rPr>
        <w:t>s</w:t>
      </w:r>
      <w:r w:rsidRPr="00624878">
        <w:rPr>
          <w:sz w:val="26"/>
          <w:szCs w:val="26"/>
        </w:rPr>
        <w:t>.</w:t>
      </w:r>
    </w:p>
    <w:p w14:paraId="6A189C9E" w14:textId="77777777" w:rsidR="008979CB" w:rsidRDefault="008979CB" w:rsidP="00624878">
      <w:pPr>
        <w:pStyle w:val="p2"/>
        <w:widowControl/>
        <w:tabs>
          <w:tab w:val="clear" w:pos="1445"/>
          <w:tab w:val="left" w:pos="720"/>
        </w:tabs>
        <w:spacing w:line="360" w:lineRule="auto"/>
        <w:ind w:firstLine="0"/>
        <w:rPr>
          <w:sz w:val="26"/>
          <w:szCs w:val="26"/>
        </w:rPr>
      </w:pPr>
    </w:p>
    <w:p w14:paraId="7A66283C" w14:textId="644CA165" w:rsidR="00624878" w:rsidRDefault="008979CB" w:rsidP="00624878">
      <w:pPr>
        <w:pStyle w:val="p2"/>
        <w:widowControl/>
        <w:tabs>
          <w:tab w:val="clear" w:pos="1445"/>
          <w:tab w:val="left" w:pos="720"/>
        </w:tabs>
        <w:spacing w:line="360" w:lineRule="auto"/>
        <w:ind w:firstLine="0"/>
        <w:rPr>
          <w:sz w:val="26"/>
          <w:szCs w:val="26"/>
        </w:rPr>
      </w:pPr>
      <w:r>
        <w:rPr>
          <w:sz w:val="26"/>
          <w:szCs w:val="26"/>
        </w:rPr>
        <w:tab/>
      </w:r>
      <w:r w:rsidR="00624878" w:rsidRPr="00C02A58">
        <w:rPr>
          <w:b/>
          <w:bCs/>
          <w:sz w:val="26"/>
          <w:szCs w:val="26"/>
        </w:rPr>
        <w:t>Force Main Systems</w:t>
      </w:r>
      <w:r w:rsidR="00624878">
        <w:rPr>
          <w:sz w:val="26"/>
          <w:szCs w:val="26"/>
        </w:rPr>
        <w:t xml:space="preserve"> </w:t>
      </w:r>
      <w:r w:rsidR="004427E5">
        <w:rPr>
          <w:sz w:val="26"/>
          <w:szCs w:val="26"/>
        </w:rPr>
        <w:t>–</w:t>
      </w:r>
      <w:r w:rsidR="0089782B">
        <w:rPr>
          <w:sz w:val="26"/>
          <w:szCs w:val="26"/>
        </w:rPr>
        <w:t xml:space="preserve"> </w:t>
      </w:r>
      <w:r w:rsidR="00384FA9">
        <w:rPr>
          <w:sz w:val="26"/>
          <w:szCs w:val="26"/>
        </w:rPr>
        <w:t>PAWC-WD</w:t>
      </w:r>
      <w:r w:rsidR="004427E5">
        <w:rPr>
          <w:sz w:val="26"/>
          <w:szCs w:val="26"/>
        </w:rPr>
        <w:t xml:space="preserve"> reports that a</w:t>
      </w:r>
      <w:r w:rsidR="00624878" w:rsidRPr="00624878">
        <w:rPr>
          <w:sz w:val="26"/>
          <w:szCs w:val="26"/>
        </w:rPr>
        <w:t xml:space="preserve"> force main is a pressurized discharge pipeline from a lift station.</w:t>
      </w:r>
      <w:r w:rsidR="00624878" w:rsidRPr="00624878">
        <w:t xml:space="preserve"> </w:t>
      </w:r>
      <w:r w:rsidR="004427E5">
        <w:t xml:space="preserve"> </w:t>
      </w:r>
      <w:r w:rsidR="00384FA9">
        <w:rPr>
          <w:sz w:val="26"/>
          <w:szCs w:val="26"/>
        </w:rPr>
        <w:t>PAWC-WD</w:t>
      </w:r>
      <w:r w:rsidR="004427E5" w:rsidRPr="004427E5">
        <w:rPr>
          <w:sz w:val="26"/>
          <w:szCs w:val="26"/>
        </w:rPr>
        <w:t xml:space="preserve"> notes that</w:t>
      </w:r>
      <w:r w:rsidR="004427E5">
        <w:t xml:space="preserve"> </w:t>
      </w:r>
      <w:r w:rsidR="004427E5">
        <w:rPr>
          <w:sz w:val="26"/>
          <w:szCs w:val="26"/>
        </w:rPr>
        <w:t>a</w:t>
      </w:r>
      <w:r w:rsidR="00624878" w:rsidRPr="00624878">
        <w:rPr>
          <w:sz w:val="26"/>
          <w:szCs w:val="26"/>
        </w:rPr>
        <w:t xml:space="preserve"> force main pipeline may contain in-line flow meters, valve vaults, and air and vacuum release chambers.  </w:t>
      </w:r>
      <w:r w:rsidR="00384FA9">
        <w:rPr>
          <w:sz w:val="26"/>
          <w:szCs w:val="26"/>
        </w:rPr>
        <w:t>PAWC-WD</w:t>
      </w:r>
      <w:r w:rsidR="004427E5">
        <w:rPr>
          <w:sz w:val="26"/>
          <w:szCs w:val="26"/>
        </w:rPr>
        <w:t xml:space="preserve"> states that it</w:t>
      </w:r>
      <w:r w:rsidR="00624878" w:rsidRPr="00624878">
        <w:rPr>
          <w:sz w:val="26"/>
          <w:szCs w:val="26"/>
        </w:rPr>
        <w:t xml:space="preserve"> owns and operates 95 lift stations and approximately 257,725 LF of force main</w:t>
      </w:r>
      <w:r w:rsidR="004427E5">
        <w:rPr>
          <w:sz w:val="26"/>
          <w:szCs w:val="26"/>
        </w:rPr>
        <w:t xml:space="preserve"> collectively.</w:t>
      </w:r>
      <w:r w:rsidR="00624878" w:rsidRPr="00624878">
        <w:rPr>
          <w:sz w:val="26"/>
          <w:szCs w:val="26"/>
        </w:rPr>
        <w:t xml:space="preserve"> </w:t>
      </w:r>
      <w:r w:rsidR="004427E5">
        <w:rPr>
          <w:sz w:val="26"/>
          <w:szCs w:val="26"/>
        </w:rPr>
        <w:t xml:space="preserve"> </w:t>
      </w:r>
      <w:r w:rsidR="00384FA9">
        <w:rPr>
          <w:sz w:val="26"/>
          <w:szCs w:val="26"/>
        </w:rPr>
        <w:t>PAWC-WD</w:t>
      </w:r>
      <w:r w:rsidR="004427E5">
        <w:rPr>
          <w:sz w:val="26"/>
          <w:szCs w:val="26"/>
        </w:rPr>
        <w:t xml:space="preserve"> states that i</w:t>
      </w:r>
      <w:r w:rsidR="00624878" w:rsidRPr="00624878">
        <w:rPr>
          <w:sz w:val="26"/>
          <w:szCs w:val="26"/>
        </w:rPr>
        <w:t>n general,</w:t>
      </w:r>
      <w:r w:rsidR="004427E5">
        <w:rPr>
          <w:sz w:val="26"/>
          <w:szCs w:val="26"/>
        </w:rPr>
        <w:t xml:space="preserve"> its</w:t>
      </w:r>
      <w:r w:rsidR="00624878" w:rsidRPr="00624878">
        <w:rPr>
          <w:sz w:val="26"/>
          <w:szCs w:val="26"/>
        </w:rPr>
        <w:t xml:space="preserve"> force main material is cast iron for older pipes</w:t>
      </w:r>
      <w:r w:rsidR="004427E5">
        <w:rPr>
          <w:sz w:val="26"/>
          <w:szCs w:val="26"/>
        </w:rPr>
        <w:t xml:space="preserve"> and</w:t>
      </w:r>
      <w:r w:rsidR="00624878" w:rsidRPr="00624878">
        <w:rPr>
          <w:sz w:val="26"/>
          <w:szCs w:val="26"/>
        </w:rPr>
        <w:t xml:space="preserve"> ductile iron or PVC for newer pipes</w:t>
      </w:r>
      <w:r w:rsidR="00624878">
        <w:rPr>
          <w:sz w:val="26"/>
          <w:szCs w:val="26"/>
        </w:rPr>
        <w:t xml:space="preserve">. </w:t>
      </w:r>
    </w:p>
    <w:p w14:paraId="52EC8897" w14:textId="5740D9DA" w:rsidR="0089782B" w:rsidRDefault="0089782B" w:rsidP="00624878">
      <w:pPr>
        <w:pStyle w:val="p2"/>
        <w:widowControl/>
        <w:tabs>
          <w:tab w:val="clear" w:pos="1445"/>
          <w:tab w:val="left" w:pos="720"/>
        </w:tabs>
        <w:spacing w:line="360" w:lineRule="auto"/>
        <w:ind w:firstLine="0"/>
        <w:rPr>
          <w:sz w:val="26"/>
          <w:szCs w:val="26"/>
        </w:rPr>
      </w:pPr>
    </w:p>
    <w:p w14:paraId="6DF26798" w14:textId="3F09D6DD" w:rsidR="0089782B" w:rsidRDefault="004675A3" w:rsidP="00624878">
      <w:pPr>
        <w:pStyle w:val="p2"/>
        <w:widowControl/>
        <w:tabs>
          <w:tab w:val="clear" w:pos="1445"/>
          <w:tab w:val="left" w:pos="720"/>
        </w:tabs>
        <w:spacing w:line="360" w:lineRule="auto"/>
        <w:ind w:firstLine="0"/>
        <w:rPr>
          <w:sz w:val="26"/>
          <w:szCs w:val="26"/>
        </w:rPr>
      </w:pPr>
      <w:r>
        <w:rPr>
          <w:sz w:val="26"/>
          <w:szCs w:val="26"/>
        </w:rPr>
        <w:tab/>
      </w:r>
      <w:r w:rsidR="2315FA41" w:rsidRPr="2315FA41">
        <w:rPr>
          <w:sz w:val="26"/>
          <w:szCs w:val="26"/>
        </w:rPr>
        <w:t>Table 1 and Table 2, below, detail certain classes of eligible property for each wastewater system.</w:t>
      </w:r>
    </w:p>
    <w:p w14:paraId="7A98778C" w14:textId="0E7AEE03" w:rsidR="00CA73CA" w:rsidRDefault="00CA73CA" w:rsidP="00624878">
      <w:pPr>
        <w:pStyle w:val="p2"/>
        <w:widowControl/>
        <w:tabs>
          <w:tab w:val="clear" w:pos="1445"/>
          <w:tab w:val="left" w:pos="720"/>
        </w:tabs>
        <w:spacing w:line="360" w:lineRule="auto"/>
        <w:ind w:firstLine="0"/>
        <w:rPr>
          <w:sz w:val="26"/>
          <w:szCs w:val="26"/>
        </w:rPr>
      </w:pPr>
    </w:p>
    <w:p w14:paraId="1D09AE07" w14:textId="1765FA38" w:rsidR="001602E3" w:rsidRDefault="001602E3" w:rsidP="00624878">
      <w:pPr>
        <w:pStyle w:val="p2"/>
        <w:widowControl/>
        <w:tabs>
          <w:tab w:val="clear" w:pos="1445"/>
          <w:tab w:val="left" w:pos="720"/>
        </w:tabs>
        <w:spacing w:line="360" w:lineRule="auto"/>
        <w:ind w:firstLine="0"/>
        <w:rPr>
          <w:sz w:val="26"/>
          <w:szCs w:val="26"/>
        </w:rPr>
      </w:pPr>
    </w:p>
    <w:p w14:paraId="3E3CE83F" w14:textId="41A691AD" w:rsidR="001602E3" w:rsidRDefault="001602E3" w:rsidP="00624878">
      <w:pPr>
        <w:pStyle w:val="p2"/>
        <w:widowControl/>
        <w:tabs>
          <w:tab w:val="clear" w:pos="1445"/>
          <w:tab w:val="left" w:pos="720"/>
        </w:tabs>
        <w:spacing w:line="360" w:lineRule="auto"/>
        <w:ind w:firstLine="0"/>
        <w:rPr>
          <w:sz w:val="26"/>
          <w:szCs w:val="26"/>
        </w:rPr>
      </w:pPr>
    </w:p>
    <w:p w14:paraId="2E2F7D0E" w14:textId="6EDD4871" w:rsidR="001602E3" w:rsidRDefault="001602E3" w:rsidP="00624878">
      <w:pPr>
        <w:pStyle w:val="p2"/>
        <w:widowControl/>
        <w:tabs>
          <w:tab w:val="clear" w:pos="1445"/>
          <w:tab w:val="left" w:pos="720"/>
        </w:tabs>
        <w:spacing w:line="360" w:lineRule="auto"/>
        <w:ind w:firstLine="0"/>
        <w:rPr>
          <w:sz w:val="26"/>
          <w:szCs w:val="26"/>
        </w:rPr>
      </w:pPr>
    </w:p>
    <w:p w14:paraId="3A310665" w14:textId="05CF278A" w:rsidR="001602E3" w:rsidRDefault="001602E3" w:rsidP="00624878">
      <w:pPr>
        <w:pStyle w:val="p2"/>
        <w:widowControl/>
        <w:tabs>
          <w:tab w:val="clear" w:pos="1445"/>
          <w:tab w:val="left" w:pos="720"/>
        </w:tabs>
        <w:spacing w:line="360" w:lineRule="auto"/>
        <w:ind w:firstLine="0"/>
        <w:rPr>
          <w:sz w:val="26"/>
          <w:szCs w:val="26"/>
        </w:rPr>
      </w:pPr>
    </w:p>
    <w:p w14:paraId="772C7A40" w14:textId="77777777" w:rsidR="001602E3" w:rsidRDefault="001602E3" w:rsidP="00624878">
      <w:pPr>
        <w:pStyle w:val="p2"/>
        <w:widowControl/>
        <w:tabs>
          <w:tab w:val="clear" w:pos="1445"/>
          <w:tab w:val="left" w:pos="720"/>
        </w:tabs>
        <w:spacing w:line="360" w:lineRule="auto"/>
        <w:ind w:firstLine="0"/>
        <w:rPr>
          <w:sz w:val="26"/>
          <w:szCs w:val="26"/>
        </w:rPr>
      </w:pPr>
    </w:p>
    <w:p w14:paraId="5DBFFE53" w14:textId="47A6A097" w:rsidR="0089782B" w:rsidRDefault="2315FA41" w:rsidP="00624878">
      <w:pPr>
        <w:pStyle w:val="p2"/>
        <w:widowControl/>
        <w:tabs>
          <w:tab w:val="clear" w:pos="1445"/>
          <w:tab w:val="left" w:pos="720"/>
        </w:tabs>
        <w:spacing w:line="360" w:lineRule="auto"/>
        <w:ind w:firstLine="0"/>
        <w:rPr>
          <w:b/>
          <w:bCs/>
          <w:sz w:val="26"/>
          <w:szCs w:val="26"/>
        </w:rPr>
      </w:pPr>
      <w:r w:rsidRPr="2315FA41">
        <w:rPr>
          <w:b/>
          <w:bCs/>
          <w:sz w:val="26"/>
          <w:szCs w:val="26"/>
        </w:rPr>
        <w:lastRenderedPageBreak/>
        <w:t>Table 1 – Types and Age of Eligible Property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26"/>
        <w:gridCol w:w="1306"/>
        <w:gridCol w:w="1016"/>
        <w:gridCol w:w="1095"/>
        <w:gridCol w:w="986"/>
        <w:gridCol w:w="925"/>
        <w:gridCol w:w="1046"/>
        <w:gridCol w:w="1055"/>
        <w:gridCol w:w="885"/>
      </w:tblGrid>
      <w:tr w:rsidR="0089782B" w:rsidRPr="0089782B" w14:paraId="7176BF26" w14:textId="77777777" w:rsidTr="00967B4C">
        <w:trPr>
          <w:trHeight w:val="1668"/>
        </w:trPr>
        <w:tc>
          <w:tcPr>
            <w:tcW w:w="1248" w:type="pct"/>
            <w:gridSpan w:val="2"/>
            <w:shd w:val="clear" w:color="auto" w:fill="auto"/>
            <w:vAlign w:val="center"/>
            <w:hideMark/>
          </w:tcPr>
          <w:p w14:paraId="2A6B484E" w14:textId="77777777" w:rsidR="0089782B" w:rsidRPr="007F0307" w:rsidRDefault="0089782B" w:rsidP="0089782B">
            <w:pPr>
              <w:rPr>
                <w:b/>
                <w:bCs/>
                <w:color w:val="000000"/>
                <w:sz w:val="18"/>
                <w:szCs w:val="18"/>
              </w:rPr>
            </w:pPr>
            <w:r w:rsidRPr="007F0307">
              <w:rPr>
                <w:b/>
                <w:bCs/>
                <w:color w:val="000000"/>
                <w:sz w:val="18"/>
                <w:szCs w:val="18"/>
              </w:rPr>
              <w:t>Wastewater System</w:t>
            </w:r>
          </w:p>
        </w:tc>
        <w:tc>
          <w:tcPr>
            <w:tcW w:w="544" w:type="pct"/>
            <w:shd w:val="clear" w:color="auto" w:fill="auto"/>
            <w:vAlign w:val="center"/>
            <w:hideMark/>
          </w:tcPr>
          <w:p w14:paraId="70C19F84" w14:textId="77777777" w:rsidR="0089782B" w:rsidRPr="007F0307" w:rsidRDefault="0089782B" w:rsidP="0089782B">
            <w:pPr>
              <w:rPr>
                <w:b/>
                <w:bCs/>
                <w:color w:val="000000"/>
                <w:sz w:val="18"/>
                <w:szCs w:val="18"/>
              </w:rPr>
            </w:pPr>
            <w:r w:rsidRPr="007F0307">
              <w:rPr>
                <w:b/>
                <w:bCs/>
                <w:color w:val="000000"/>
                <w:sz w:val="18"/>
                <w:szCs w:val="18"/>
              </w:rPr>
              <w:t>Gravity Main (LF)</w:t>
            </w:r>
          </w:p>
        </w:tc>
        <w:tc>
          <w:tcPr>
            <w:tcW w:w="586" w:type="pct"/>
            <w:shd w:val="clear" w:color="auto" w:fill="auto"/>
            <w:vAlign w:val="center"/>
            <w:hideMark/>
          </w:tcPr>
          <w:p w14:paraId="4F117A39" w14:textId="77777777" w:rsidR="0089782B" w:rsidRPr="007F0307" w:rsidRDefault="0089782B" w:rsidP="0089782B">
            <w:pPr>
              <w:rPr>
                <w:b/>
                <w:bCs/>
                <w:color w:val="000000"/>
                <w:sz w:val="18"/>
                <w:szCs w:val="18"/>
              </w:rPr>
            </w:pPr>
            <w:r w:rsidRPr="007F0307">
              <w:rPr>
                <w:b/>
                <w:bCs/>
                <w:color w:val="000000"/>
                <w:sz w:val="18"/>
                <w:szCs w:val="18"/>
              </w:rPr>
              <w:t>Combined Sewer Gravity Main (LF)</w:t>
            </w:r>
          </w:p>
        </w:tc>
        <w:tc>
          <w:tcPr>
            <w:tcW w:w="528" w:type="pct"/>
            <w:shd w:val="clear" w:color="auto" w:fill="auto"/>
            <w:vAlign w:val="center"/>
            <w:hideMark/>
          </w:tcPr>
          <w:p w14:paraId="6C8AAC81" w14:textId="77777777" w:rsidR="0089782B" w:rsidRPr="007F0307" w:rsidRDefault="0089782B" w:rsidP="0089782B">
            <w:pPr>
              <w:rPr>
                <w:b/>
                <w:bCs/>
                <w:color w:val="000000"/>
                <w:sz w:val="18"/>
                <w:szCs w:val="18"/>
              </w:rPr>
            </w:pPr>
            <w:r w:rsidRPr="007F0307">
              <w:rPr>
                <w:b/>
                <w:bCs/>
                <w:color w:val="000000"/>
                <w:sz w:val="18"/>
                <w:szCs w:val="18"/>
              </w:rPr>
              <w:t>Force Main / Low Pressure Main (LF)</w:t>
            </w:r>
          </w:p>
        </w:tc>
        <w:tc>
          <w:tcPr>
            <w:tcW w:w="495" w:type="pct"/>
            <w:shd w:val="clear" w:color="auto" w:fill="auto"/>
            <w:vAlign w:val="center"/>
            <w:hideMark/>
          </w:tcPr>
          <w:p w14:paraId="1F08BBDD" w14:textId="77777777" w:rsidR="0089782B" w:rsidRPr="007F0307" w:rsidRDefault="0089782B" w:rsidP="0089782B">
            <w:pPr>
              <w:rPr>
                <w:b/>
                <w:bCs/>
                <w:color w:val="000000"/>
                <w:sz w:val="18"/>
                <w:szCs w:val="18"/>
              </w:rPr>
            </w:pPr>
            <w:r w:rsidRPr="007F0307">
              <w:rPr>
                <w:b/>
                <w:bCs/>
                <w:color w:val="000000"/>
                <w:sz w:val="18"/>
                <w:szCs w:val="18"/>
              </w:rPr>
              <w:t>Lift Stations</w:t>
            </w:r>
          </w:p>
        </w:tc>
        <w:tc>
          <w:tcPr>
            <w:tcW w:w="560" w:type="pct"/>
            <w:shd w:val="clear" w:color="auto" w:fill="auto"/>
            <w:vAlign w:val="center"/>
            <w:hideMark/>
          </w:tcPr>
          <w:p w14:paraId="2D1BCF73" w14:textId="77777777" w:rsidR="0089782B" w:rsidRPr="007F0307" w:rsidRDefault="0089782B" w:rsidP="0089782B">
            <w:pPr>
              <w:rPr>
                <w:b/>
                <w:bCs/>
                <w:color w:val="000000"/>
                <w:sz w:val="18"/>
                <w:szCs w:val="18"/>
              </w:rPr>
            </w:pPr>
            <w:r w:rsidRPr="007F0307">
              <w:rPr>
                <w:b/>
                <w:bCs/>
                <w:color w:val="000000"/>
                <w:sz w:val="18"/>
                <w:szCs w:val="18"/>
              </w:rPr>
              <w:t>Manholes</w:t>
            </w:r>
          </w:p>
        </w:tc>
        <w:tc>
          <w:tcPr>
            <w:tcW w:w="565" w:type="pct"/>
            <w:shd w:val="clear" w:color="auto" w:fill="auto"/>
            <w:vAlign w:val="center"/>
            <w:hideMark/>
          </w:tcPr>
          <w:p w14:paraId="1EF2312B" w14:textId="77777777" w:rsidR="0089782B" w:rsidRPr="007F0307" w:rsidRDefault="0089782B" w:rsidP="0089782B">
            <w:pPr>
              <w:rPr>
                <w:b/>
                <w:bCs/>
                <w:color w:val="000000"/>
                <w:sz w:val="18"/>
                <w:szCs w:val="18"/>
              </w:rPr>
            </w:pPr>
            <w:r w:rsidRPr="007F0307">
              <w:rPr>
                <w:b/>
                <w:bCs/>
                <w:color w:val="000000"/>
                <w:sz w:val="18"/>
                <w:szCs w:val="18"/>
              </w:rPr>
              <w:t xml:space="preserve"> Service Laterals </w:t>
            </w:r>
            <w:r w:rsidRPr="007F0307">
              <w:rPr>
                <w:b/>
                <w:bCs/>
                <w:color w:val="000000"/>
                <w:sz w:val="18"/>
                <w:szCs w:val="18"/>
                <w:vertAlign w:val="superscript"/>
              </w:rPr>
              <w:t>a</w:t>
            </w:r>
          </w:p>
        </w:tc>
        <w:tc>
          <w:tcPr>
            <w:tcW w:w="474" w:type="pct"/>
            <w:shd w:val="clear" w:color="auto" w:fill="auto"/>
            <w:vAlign w:val="center"/>
            <w:hideMark/>
          </w:tcPr>
          <w:p w14:paraId="4C54EF8D" w14:textId="77777777" w:rsidR="0089782B" w:rsidRPr="007F0307" w:rsidRDefault="0089782B" w:rsidP="0089782B">
            <w:pPr>
              <w:rPr>
                <w:b/>
                <w:bCs/>
                <w:color w:val="000000"/>
                <w:sz w:val="18"/>
                <w:szCs w:val="18"/>
              </w:rPr>
            </w:pPr>
            <w:r w:rsidRPr="007F0307">
              <w:rPr>
                <w:b/>
                <w:bCs/>
                <w:color w:val="000000"/>
                <w:sz w:val="18"/>
                <w:szCs w:val="18"/>
              </w:rPr>
              <w:t>General System Age</w:t>
            </w:r>
          </w:p>
        </w:tc>
      </w:tr>
      <w:tr w:rsidR="0089782B" w:rsidRPr="0089782B" w14:paraId="5E5A7254" w14:textId="77777777" w:rsidTr="00967B4C">
        <w:trPr>
          <w:trHeight w:val="300"/>
        </w:trPr>
        <w:tc>
          <w:tcPr>
            <w:tcW w:w="549" w:type="pct"/>
            <w:vMerge w:val="restart"/>
            <w:shd w:val="clear" w:color="auto" w:fill="auto"/>
            <w:vAlign w:val="center"/>
            <w:hideMark/>
          </w:tcPr>
          <w:p w14:paraId="73900738" w14:textId="77777777" w:rsidR="0089782B" w:rsidRPr="00E6140C" w:rsidRDefault="0089782B" w:rsidP="0089782B">
            <w:pPr>
              <w:rPr>
                <w:b/>
                <w:bCs/>
                <w:color w:val="000000"/>
                <w:sz w:val="18"/>
                <w:szCs w:val="18"/>
              </w:rPr>
            </w:pPr>
            <w:r w:rsidRPr="00E6140C">
              <w:rPr>
                <w:b/>
                <w:bCs/>
                <w:color w:val="000000"/>
                <w:sz w:val="18"/>
                <w:szCs w:val="18"/>
              </w:rPr>
              <w:t>Central</w:t>
            </w:r>
          </w:p>
        </w:tc>
        <w:tc>
          <w:tcPr>
            <w:tcW w:w="699" w:type="pct"/>
            <w:shd w:val="clear" w:color="auto" w:fill="auto"/>
            <w:vAlign w:val="center"/>
            <w:hideMark/>
          </w:tcPr>
          <w:p w14:paraId="7771D744" w14:textId="77777777" w:rsidR="0089782B" w:rsidRPr="007F0307" w:rsidRDefault="0089782B" w:rsidP="0089782B">
            <w:pPr>
              <w:rPr>
                <w:color w:val="000000"/>
                <w:sz w:val="18"/>
                <w:szCs w:val="18"/>
              </w:rPr>
            </w:pPr>
            <w:r w:rsidRPr="007F0307">
              <w:rPr>
                <w:color w:val="000000"/>
                <w:sz w:val="18"/>
                <w:szCs w:val="18"/>
              </w:rPr>
              <w:t>Fairview North</w:t>
            </w:r>
          </w:p>
        </w:tc>
        <w:tc>
          <w:tcPr>
            <w:tcW w:w="544" w:type="pct"/>
            <w:shd w:val="clear" w:color="auto" w:fill="auto"/>
            <w:noWrap/>
            <w:vAlign w:val="center"/>
            <w:hideMark/>
          </w:tcPr>
          <w:p w14:paraId="655C4981" w14:textId="77777777" w:rsidR="0089782B" w:rsidRPr="007F0307" w:rsidRDefault="0089782B" w:rsidP="0089782B">
            <w:pPr>
              <w:rPr>
                <w:color w:val="000000"/>
                <w:sz w:val="18"/>
                <w:szCs w:val="18"/>
              </w:rPr>
            </w:pPr>
            <w:r w:rsidRPr="007F0307">
              <w:rPr>
                <w:color w:val="000000"/>
                <w:sz w:val="18"/>
                <w:szCs w:val="18"/>
              </w:rPr>
              <w:t>165,600</w:t>
            </w:r>
          </w:p>
        </w:tc>
        <w:tc>
          <w:tcPr>
            <w:tcW w:w="586" w:type="pct"/>
            <w:shd w:val="clear" w:color="auto" w:fill="auto"/>
            <w:noWrap/>
            <w:vAlign w:val="center"/>
            <w:hideMark/>
          </w:tcPr>
          <w:p w14:paraId="207CD92B"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70A41166" w14:textId="77777777" w:rsidR="0089782B" w:rsidRPr="007F0307" w:rsidRDefault="0089782B" w:rsidP="0089782B">
            <w:pPr>
              <w:rPr>
                <w:color w:val="000000"/>
                <w:sz w:val="18"/>
                <w:szCs w:val="18"/>
              </w:rPr>
            </w:pPr>
            <w:r w:rsidRPr="007F0307">
              <w:rPr>
                <w:color w:val="000000"/>
                <w:sz w:val="18"/>
                <w:szCs w:val="18"/>
              </w:rPr>
              <w:t>18,844</w:t>
            </w:r>
          </w:p>
        </w:tc>
        <w:tc>
          <w:tcPr>
            <w:tcW w:w="495" w:type="pct"/>
            <w:shd w:val="clear" w:color="auto" w:fill="auto"/>
            <w:noWrap/>
            <w:vAlign w:val="center"/>
            <w:hideMark/>
          </w:tcPr>
          <w:p w14:paraId="613C5A88" w14:textId="77777777" w:rsidR="0089782B" w:rsidRPr="007F0307" w:rsidRDefault="0089782B" w:rsidP="0089782B">
            <w:pPr>
              <w:rPr>
                <w:color w:val="000000"/>
                <w:sz w:val="18"/>
                <w:szCs w:val="18"/>
              </w:rPr>
            </w:pPr>
            <w:r w:rsidRPr="007F0307">
              <w:rPr>
                <w:color w:val="000000"/>
                <w:sz w:val="18"/>
                <w:szCs w:val="18"/>
              </w:rPr>
              <w:t>11</w:t>
            </w:r>
          </w:p>
        </w:tc>
        <w:tc>
          <w:tcPr>
            <w:tcW w:w="560" w:type="pct"/>
            <w:shd w:val="clear" w:color="auto" w:fill="auto"/>
            <w:noWrap/>
            <w:vAlign w:val="center"/>
            <w:hideMark/>
          </w:tcPr>
          <w:p w14:paraId="636A0392" w14:textId="77777777" w:rsidR="0089782B" w:rsidRPr="007F0307" w:rsidRDefault="0089782B" w:rsidP="0089782B">
            <w:pPr>
              <w:rPr>
                <w:color w:val="000000"/>
                <w:sz w:val="18"/>
                <w:szCs w:val="18"/>
              </w:rPr>
            </w:pPr>
            <w:r w:rsidRPr="007F0307">
              <w:rPr>
                <w:color w:val="000000"/>
                <w:sz w:val="18"/>
                <w:szCs w:val="18"/>
              </w:rPr>
              <w:t>869</w:t>
            </w:r>
          </w:p>
        </w:tc>
        <w:tc>
          <w:tcPr>
            <w:tcW w:w="565" w:type="pct"/>
            <w:shd w:val="clear" w:color="auto" w:fill="auto"/>
            <w:vAlign w:val="center"/>
            <w:hideMark/>
          </w:tcPr>
          <w:p w14:paraId="7517F504" w14:textId="77777777" w:rsidR="0089782B" w:rsidRPr="007F0307" w:rsidRDefault="0089782B" w:rsidP="0089782B">
            <w:pPr>
              <w:rPr>
                <w:color w:val="000000"/>
                <w:sz w:val="18"/>
                <w:szCs w:val="18"/>
              </w:rPr>
            </w:pPr>
            <w:r w:rsidRPr="007F0307">
              <w:rPr>
                <w:color w:val="000000"/>
                <w:sz w:val="18"/>
                <w:szCs w:val="18"/>
              </w:rPr>
              <w:t>1,498</w:t>
            </w:r>
          </w:p>
        </w:tc>
        <w:tc>
          <w:tcPr>
            <w:tcW w:w="474" w:type="pct"/>
            <w:shd w:val="clear" w:color="auto" w:fill="auto"/>
            <w:noWrap/>
            <w:vAlign w:val="center"/>
            <w:hideMark/>
          </w:tcPr>
          <w:p w14:paraId="331F99C2" w14:textId="77777777" w:rsidR="0089782B" w:rsidRPr="007F0307" w:rsidRDefault="0089782B" w:rsidP="0089782B">
            <w:pPr>
              <w:rPr>
                <w:color w:val="000000"/>
                <w:sz w:val="18"/>
                <w:szCs w:val="18"/>
              </w:rPr>
            </w:pPr>
            <w:r w:rsidRPr="007F0307">
              <w:rPr>
                <w:color w:val="000000"/>
                <w:sz w:val="18"/>
                <w:szCs w:val="18"/>
              </w:rPr>
              <w:t>&gt;1950</w:t>
            </w:r>
          </w:p>
        </w:tc>
      </w:tr>
      <w:tr w:rsidR="0089782B" w:rsidRPr="0089782B" w14:paraId="077CC5D6" w14:textId="77777777" w:rsidTr="00967B4C">
        <w:trPr>
          <w:trHeight w:val="300"/>
        </w:trPr>
        <w:tc>
          <w:tcPr>
            <w:tcW w:w="549" w:type="pct"/>
            <w:vMerge/>
            <w:vAlign w:val="center"/>
            <w:hideMark/>
          </w:tcPr>
          <w:p w14:paraId="4EE0EBF6" w14:textId="77777777" w:rsidR="0089782B" w:rsidRPr="00E6140C" w:rsidRDefault="0089782B" w:rsidP="0089782B">
            <w:pPr>
              <w:rPr>
                <w:b/>
                <w:bCs/>
                <w:color w:val="000000"/>
                <w:sz w:val="16"/>
                <w:szCs w:val="16"/>
              </w:rPr>
            </w:pPr>
          </w:p>
        </w:tc>
        <w:tc>
          <w:tcPr>
            <w:tcW w:w="699" w:type="pct"/>
            <w:shd w:val="clear" w:color="auto" w:fill="auto"/>
            <w:vAlign w:val="center"/>
            <w:hideMark/>
          </w:tcPr>
          <w:p w14:paraId="25C92857" w14:textId="77777777" w:rsidR="0089782B" w:rsidRPr="007F0307" w:rsidRDefault="0089782B" w:rsidP="0089782B">
            <w:pPr>
              <w:rPr>
                <w:color w:val="000000"/>
                <w:sz w:val="18"/>
                <w:szCs w:val="18"/>
              </w:rPr>
            </w:pPr>
            <w:r w:rsidRPr="007F0307">
              <w:rPr>
                <w:color w:val="000000"/>
                <w:sz w:val="18"/>
                <w:szCs w:val="18"/>
              </w:rPr>
              <w:t>Fairview South</w:t>
            </w:r>
          </w:p>
        </w:tc>
        <w:tc>
          <w:tcPr>
            <w:tcW w:w="544" w:type="pct"/>
            <w:shd w:val="clear" w:color="auto" w:fill="auto"/>
            <w:noWrap/>
            <w:vAlign w:val="center"/>
            <w:hideMark/>
          </w:tcPr>
          <w:p w14:paraId="311D61A1" w14:textId="77777777" w:rsidR="0089782B" w:rsidRPr="007F0307" w:rsidRDefault="0089782B" w:rsidP="0089782B">
            <w:pPr>
              <w:rPr>
                <w:color w:val="000000"/>
                <w:sz w:val="18"/>
                <w:szCs w:val="18"/>
              </w:rPr>
            </w:pPr>
            <w:r w:rsidRPr="007F0307">
              <w:rPr>
                <w:color w:val="000000"/>
                <w:sz w:val="18"/>
                <w:szCs w:val="18"/>
              </w:rPr>
              <w:t>198,722</w:t>
            </w:r>
          </w:p>
        </w:tc>
        <w:tc>
          <w:tcPr>
            <w:tcW w:w="586" w:type="pct"/>
            <w:shd w:val="clear" w:color="auto" w:fill="auto"/>
            <w:noWrap/>
            <w:vAlign w:val="center"/>
            <w:hideMark/>
          </w:tcPr>
          <w:p w14:paraId="4F373707"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1446E3B5" w14:textId="77777777" w:rsidR="0089782B" w:rsidRPr="007F0307" w:rsidRDefault="0089782B" w:rsidP="0089782B">
            <w:pPr>
              <w:rPr>
                <w:color w:val="000000"/>
                <w:sz w:val="18"/>
                <w:szCs w:val="18"/>
              </w:rPr>
            </w:pPr>
            <w:r w:rsidRPr="007F0307">
              <w:rPr>
                <w:color w:val="000000"/>
                <w:sz w:val="18"/>
                <w:szCs w:val="18"/>
              </w:rPr>
              <w:t>13,068</w:t>
            </w:r>
          </w:p>
        </w:tc>
        <w:tc>
          <w:tcPr>
            <w:tcW w:w="495" w:type="pct"/>
            <w:shd w:val="clear" w:color="auto" w:fill="auto"/>
            <w:noWrap/>
            <w:vAlign w:val="center"/>
            <w:hideMark/>
          </w:tcPr>
          <w:p w14:paraId="7E9A5A43" w14:textId="77777777" w:rsidR="0089782B" w:rsidRPr="007F0307" w:rsidRDefault="0089782B" w:rsidP="0089782B">
            <w:pPr>
              <w:rPr>
                <w:color w:val="000000"/>
                <w:sz w:val="18"/>
                <w:szCs w:val="18"/>
              </w:rPr>
            </w:pPr>
            <w:r w:rsidRPr="007F0307">
              <w:rPr>
                <w:color w:val="000000"/>
                <w:sz w:val="18"/>
                <w:szCs w:val="18"/>
              </w:rPr>
              <w:t>6</w:t>
            </w:r>
          </w:p>
        </w:tc>
        <w:tc>
          <w:tcPr>
            <w:tcW w:w="560" w:type="pct"/>
            <w:shd w:val="clear" w:color="auto" w:fill="auto"/>
            <w:noWrap/>
            <w:vAlign w:val="center"/>
            <w:hideMark/>
          </w:tcPr>
          <w:p w14:paraId="0285AF6F" w14:textId="77777777" w:rsidR="0089782B" w:rsidRPr="007F0307" w:rsidRDefault="0089782B" w:rsidP="0089782B">
            <w:pPr>
              <w:rPr>
                <w:color w:val="000000"/>
                <w:sz w:val="18"/>
                <w:szCs w:val="18"/>
              </w:rPr>
            </w:pPr>
            <w:r w:rsidRPr="007F0307">
              <w:rPr>
                <w:color w:val="000000"/>
                <w:sz w:val="18"/>
                <w:szCs w:val="18"/>
              </w:rPr>
              <w:t>1,050</w:t>
            </w:r>
          </w:p>
        </w:tc>
        <w:tc>
          <w:tcPr>
            <w:tcW w:w="565" w:type="pct"/>
            <w:shd w:val="clear" w:color="auto" w:fill="auto"/>
            <w:vAlign w:val="center"/>
            <w:hideMark/>
          </w:tcPr>
          <w:p w14:paraId="5DA7E8CC" w14:textId="77777777" w:rsidR="0089782B" w:rsidRPr="007F0307" w:rsidRDefault="0089782B" w:rsidP="0089782B">
            <w:pPr>
              <w:rPr>
                <w:color w:val="000000"/>
                <w:sz w:val="18"/>
                <w:szCs w:val="18"/>
              </w:rPr>
            </w:pPr>
            <w:r w:rsidRPr="007F0307">
              <w:rPr>
                <w:color w:val="000000"/>
                <w:sz w:val="18"/>
                <w:szCs w:val="18"/>
              </w:rPr>
              <w:t>2,498</w:t>
            </w:r>
          </w:p>
        </w:tc>
        <w:tc>
          <w:tcPr>
            <w:tcW w:w="474" w:type="pct"/>
            <w:shd w:val="clear" w:color="auto" w:fill="auto"/>
            <w:noWrap/>
            <w:vAlign w:val="center"/>
            <w:hideMark/>
          </w:tcPr>
          <w:p w14:paraId="0D9AD226" w14:textId="77777777" w:rsidR="0089782B" w:rsidRPr="007F0307" w:rsidRDefault="0089782B" w:rsidP="0089782B">
            <w:pPr>
              <w:rPr>
                <w:color w:val="000000"/>
                <w:sz w:val="18"/>
                <w:szCs w:val="18"/>
              </w:rPr>
            </w:pPr>
            <w:r w:rsidRPr="007F0307">
              <w:rPr>
                <w:color w:val="000000"/>
                <w:sz w:val="18"/>
                <w:szCs w:val="18"/>
              </w:rPr>
              <w:t>&gt;1992</w:t>
            </w:r>
          </w:p>
        </w:tc>
      </w:tr>
      <w:tr w:rsidR="0089782B" w:rsidRPr="0089782B" w14:paraId="71E90595" w14:textId="77777777" w:rsidTr="00967B4C">
        <w:trPr>
          <w:trHeight w:val="300"/>
        </w:trPr>
        <w:tc>
          <w:tcPr>
            <w:tcW w:w="549" w:type="pct"/>
            <w:vMerge/>
            <w:vAlign w:val="center"/>
            <w:hideMark/>
          </w:tcPr>
          <w:p w14:paraId="58BE67E6" w14:textId="77777777" w:rsidR="0089782B" w:rsidRPr="00E6140C" w:rsidRDefault="0089782B" w:rsidP="0089782B">
            <w:pPr>
              <w:rPr>
                <w:b/>
                <w:bCs/>
                <w:color w:val="000000"/>
                <w:sz w:val="16"/>
                <w:szCs w:val="16"/>
              </w:rPr>
            </w:pPr>
          </w:p>
        </w:tc>
        <w:tc>
          <w:tcPr>
            <w:tcW w:w="699" w:type="pct"/>
            <w:shd w:val="clear" w:color="auto" w:fill="auto"/>
            <w:vAlign w:val="center"/>
            <w:hideMark/>
          </w:tcPr>
          <w:p w14:paraId="1BA4D57F" w14:textId="77777777" w:rsidR="0089782B" w:rsidRPr="007F0307" w:rsidRDefault="0089782B" w:rsidP="0089782B">
            <w:pPr>
              <w:rPr>
                <w:color w:val="000000"/>
                <w:sz w:val="18"/>
                <w:szCs w:val="18"/>
              </w:rPr>
            </w:pPr>
            <w:r w:rsidRPr="007F0307">
              <w:rPr>
                <w:color w:val="000000"/>
                <w:sz w:val="18"/>
                <w:szCs w:val="18"/>
              </w:rPr>
              <w:t>Franklin</w:t>
            </w:r>
          </w:p>
        </w:tc>
        <w:tc>
          <w:tcPr>
            <w:tcW w:w="544" w:type="pct"/>
            <w:shd w:val="clear" w:color="auto" w:fill="auto"/>
            <w:noWrap/>
            <w:vAlign w:val="center"/>
            <w:hideMark/>
          </w:tcPr>
          <w:p w14:paraId="1D9F350B" w14:textId="77777777" w:rsidR="0089782B" w:rsidRPr="007F0307" w:rsidRDefault="0089782B" w:rsidP="0089782B">
            <w:pPr>
              <w:rPr>
                <w:color w:val="000000"/>
                <w:sz w:val="18"/>
                <w:szCs w:val="18"/>
              </w:rPr>
            </w:pPr>
            <w:r w:rsidRPr="007F0307">
              <w:rPr>
                <w:color w:val="000000"/>
                <w:sz w:val="18"/>
                <w:szCs w:val="18"/>
              </w:rPr>
              <w:t>55,239</w:t>
            </w:r>
          </w:p>
        </w:tc>
        <w:tc>
          <w:tcPr>
            <w:tcW w:w="586" w:type="pct"/>
            <w:shd w:val="clear" w:color="auto" w:fill="auto"/>
            <w:noWrap/>
            <w:vAlign w:val="center"/>
            <w:hideMark/>
          </w:tcPr>
          <w:p w14:paraId="7FC29A8B"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67AFC57F" w14:textId="77777777" w:rsidR="0089782B" w:rsidRPr="007F0307" w:rsidRDefault="0089782B" w:rsidP="0089782B">
            <w:pPr>
              <w:rPr>
                <w:color w:val="000000"/>
                <w:sz w:val="18"/>
                <w:szCs w:val="18"/>
              </w:rPr>
            </w:pPr>
            <w:r w:rsidRPr="007F0307">
              <w:rPr>
                <w:color w:val="000000"/>
                <w:sz w:val="18"/>
                <w:szCs w:val="18"/>
              </w:rPr>
              <w:t>12,423</w:t>
            </w:r>
          </w:p>
        </w:tc>
        <w:tc>
          <w:tcPr>
            <w:tcW w:w="495" w:type="pct"/>
            <w:shd w:val="clear" w:color="auto" w:fill="auto"/>
            <w:noWrap/>
            <w:vAlign w:val="center"/>
            <w:hideMark/>
          </w:tcPr>
          <w:p w14:paraId="5D3894D8" w14:textId="77777777" w:rsidR="0089782B" w:rsidRPr="007F0307" w:rsidRDefault="0089782B" w:rsidP="0089782B">
            <w:pPr>
              <w:rPr>
                <w:color w:val="000000"/>
                <w:sz w:val="18"/>
                <w:szCs w:val="18"/>
              </w:rPr>
            </w:pPr>
            <w:r w:rsidRPr="007F0307">
              <w:rPr>
                <w:color w:val="000000"/>
                <w:sz w:val="18"/>
                <w:szCs w:val="18"/>
              </w:rPr>
              <w:t>1</w:t>
            </w:r>
          </w:p>
        </w:tc>
        <w:tc>
          <w:tcPr>
            <w:tcW w:w="560" w:type="pct"/>
            <w:shd w:val="clear" w:color="auto" w:fill="auto"/>
            <w:noWrap/>
            <w:vAlign w:val="center"/>
            <w:hideMark/>
          </w:tcPr>
          <w:p w14:paraId="5EB2F809" w14:textId="77777777" w:rsidR="0089782B" w:rsidRPr="007F0307" w:rsidRDefault="0089782B" w:rsidP="0089782B">
            <w:pPr>
              <w:rPr>
                <w:color w:val="000000"/>
                <w:sz w:val="18"/>
                <w:szCs w:val="18"/>
              </w:rPr>
            </w:pPr>
            <w:r w:rsidRPr="007F0307">
              <w:rPr>
                <w:color w:val="000000"/>
                <w:sz w:val="18"/>
                <w:szCs w:val="18"/>
              </w:rPr>
              <w:t>198</w:t>
            </w:r>
          </w:p>
        </w:tc>
        <w:tc>
          <w:tcPr>
            <w:tcW w:w="565" w:type="pct"/>
            <w:shd w:val="clear" w:color="auto" w:fill="auto"/>
            <w:vAlign w:val="center"/>
            <w:hideMark/>
          </w:tcPr>
          <w:p w14:paraId="12E25BBF" w14:textId="77777777" w:rsidR="0089782B" w:rsidRPr="007F0307" w:rsidRDefault="0089782B" w:rsidP="0089782B">
            <w:pPr>
              <w:rPr>
                <w:color w:val="000000"/>
                <w:sz w:val="18"/>
                <w:szCs w:val="18"/>
              </w:rPr>
            </w:pPr>
            <w:r w:rsidRPr="007F0307">
              <w:rPr>
                <w:color w:val="000000"/>
                <w:sz w:val="18"/>
                <w:szCs w:val="18"/>
              </w:rPr>
              <w:t>348</w:t>
            </w:r>
          </w:p>
        </w:tc>
        <w:tc>
          <w:tcPr>
            <w:tcW w:w="474" w:type="pct"/>
            <w:shd w:val="clear" w:color="auto" w:fill="auto"/>
            <w:noWrap/>
            <w:vAlign w:val="center"/>
            <w:hideMark/>
          </w:tcPr>
          <w:p w14:paraId="10E66623" w14:textId="77777777" w:rsidR="0089782B" w:rsidRPr="007F0307" w:rsidRDefault="0089782B" w:rsidP="0089782B">
            <w:pPr>
              <w:rPr>
                <w:color w:val="000000"/>
                <w:sz w:val="18"/>
                <w:szCs w:val="18"/>
              </w:rPr>
            </w:pPr>
            <w:r w:rsidRPr="007F0307">
              <w:rPr>
                <w:color w:val="000000"/>
                <w:sz w:val="18"/>
                <w:szCs w:val="18"/>
              </w:rPr>
              <w:t>&gt;1972</w:t>
            </w:r>
          </w:p>
        </w:tc>
      </w:tr>
      <w:tr w:rsidR="0089782B" w:rsidRPr="0089782B" w14:paraId="525262EB" w14:textId="77777777" w:rsidTr="00967B4C">
        <w:trPr>
          <w:trHeight w:val="300"/>
        </w:trPr>
        <w:tc>
          <w:tcPr>
            <w:tcW w:w="549" w:type="pct"/>
            <w:vMerge/>
            <w:vAlign w:val="center"/>
            <w:hideMark/>
          </w:tcPr>
          <w:p w14:paraId="1388202A" w14:textId="77777777" w:rsidR="0089782B" w:rsidRPr="00E6140C" w:rsidRDefault="0089782B" w:rsidP="0089782B">
            <w:pPr>
              <w:rPr>
                <w:b/>
                <w:bCs/>
                <w:color w:val="000000"/>
                <w:sz w:val="16"/>
                <w:szCs w:val="16"/>
              </w:rPr>
            </w:pPr>
          </w:p>
        </w:tc>
        <w:tc>
          <w:tcPr>
            <w:tcW w:w="699" w:type="pct"/>
            <w:shd w:val="clear" w:color="auto" w:fill="auto"/>
            <w:vAlign w:val="center"/>
            <w:hideMark/>
          </w:tcPr>
          <w:p w14:paraId="6846A89F" w14:textId="77777777" w:rsidR="0089782B" w:rsidRPr="007F0307" w:rsidRDefault="0089782B" w:rsidP="0089782B">
            <w:pPr>
              <w:rPr>
                <w:color w:val="000000"/>
                <w:sz w:val="18"/>
                <w:szCs w:val="18"/>
              </w:rPr>
            </w:pPr>
            <w:r w:rsidRPr="007F0307">
              <w:rPr>
                <w:color w:val="000000"/>
                <w:sz w:val="18"/>
                <w:szCs w:val="18"/>
              </w:rPr>
              <w:t>McEwensville</w:t>
            </w:r>
          </w:p>
        </w:tc>
        <w:tc>
          <w:tcPr>
            <w:tcW w:w="544" w:type="pct"/>
            <w:shd w:val="clear" w:color="auto" w:fill="auto"/>
            <w:noWrap/>
            <w:vAlign w:val="center"/>
            <w:hideMark/>
          </w:tcPr>
          <w:p w14:paraId="79BFD2E5" w14:textId="77777777" w:rsidR="0089782B" w:rsidRPr="007F0307" w:rsidRDefault="0089782B" w:rsidP="0089782B">
            <w:pPr>
              <w:rPr>
                <w:color w:val="000000"/>
                <w:sz w:val="18"/>
                <w:szCs w:val="18"/>
              </w:rPr>
            </w:pPr>
            <w:r w:rsidRPr="007F0307">
              <w:rPr>
                <w:color w:val="000000"/>
                <w:sz w:val="18"/>
                <w:szCs w:val="18"/>
              </w:rPr>
              <w:t>12,669</w:t>
            </w:r>
          </w:p>
        </w:tc>
        <w:tc>
          <w:tcPr>
            <w:tcW w:w="586" w:type="pct"/>
            <w:shd w:val="clear" w:color="auto" w:fill="auto"/>
            <w:noWrap/>
            <w:vAlign w:val="center"/>
            <w:hideMark/>
          </w:tcPr>
          <w:p w14:paraId="4F0A940D"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63DE901C" w14:textId="77777777" w:rsidR="0089782B" w:rsidRPr="007F0307" w:rsidRDefault="0089782B" w:rsidP="0089782B">
            <w:pPr>
              <w:rPr>
                <w:color w:val="000000"/>
                <w:sz w:val="18"/>
                <w:szCs w:val="18"/>
              </w:rPr>
            </w:pPr>
            <w:r w:rsidRPr="007F0307">
              <w:rPr>
                <w:color w:val="000000"/>
                <w:sz w:val="18"/>
                <w:szCs w:val="18"/>
              </w:rPr>
              <w:t>1,242</w:t>
            </w:r>
          </w:p>
        </w:tc>
        <w:tc>
          <w:tcPr>
            <w:tcW w:w="495" w:type="pct"/>
            <w:shd w:val="clear" w:color="auto" w:fill="auto"/>
            <w:noWrap/>
            <w:vAlign w:val="center"/>
            <w:hideMark/>
          </w:tcPr>
          <w:p w14:paraId="6C4B76C2" w14:textId="77777777" w:rsidR="0089782B" w:rsidRPr="007F0307" w:rsidRDefault="0089782B" w:rsidP="0089782B">
            <w:pPr>
              <w:rPr>
                <w:color w:val="000000"/>
                <w:sz w:val="18"/>
                <w:szCs w:val="18"/>
              </w:rPr>
            </w:pPr>
            <w:r w:rsidRPr="007F0307">
              <w:rPr>
                <w:color w:val="000000"/>
                <w:sz w:val="18"/>
                <w:szCs w:val="18"/>
              </w:rPr>
              <w:t>4</w:t>
            </w:r>
          </w:p>
        </w:tc>
        <w:tc>
          <w:tcPr>
            <w:tcW w:w="560" w:type="pct"/>
            <w:shd w:val="clear" w:color="auto" w:fill="auto"/>
            <w:noWrap/>
            <w:vAlign w:val="center"/>
            <w:hideMark/>
          </w:tcPr>
          <w:p w14:paraId="2617E298" w14:textId="77777777" w:rsidR="0089782B" w:rsidRPr="007F0307" w:rsidRDefault="0089782B" w:rsidP="0089782B">
            <w:pPr>
              <w:rPr>
                <w:color w:val="000000"/>
                <w:sz w:val="18"/>
                <w:szCs w:val="18"/>
              </w:rPr>
            </w:pPr>
            <w:r w:rsidRPr="007F0307">
              <w:rPr>
                <w:color w:val="000000"/>
                <w:sz w:val="18"/>
                <w:szCs w:val="18"/>
              </w:rPr>
              <w:t>57</w:t>
            </w:r>
          </w:p>
        </w:tc>
        <w:tc>
          <w:tcPr>
            <w:tcW w:w="565" w:type="pct"/>
            <w:shd w:val="clear" w:color="auto" w:fill="auto"/>
            <w:vAlign w:val="center"/>
            <w:hideMark/>
          </w:tcPr>
          <w:p w14:paraId="7D5CAD44" w14:textId="77777777" w:rsidR="0089782B" w:rsidRPr="007F0307" w:rsidRDefault="0089782B" w:rsidP="0089782B">
            <w:pPr>
              <w:rPr>
                <w:color w:val="000000"/>
                <w:sz w:val="18"/>
                <w:szCs w:val="18"/>
              </w:rPr>
            </w:pPr>
            <w:r w:rsidRPr="007F0307">
              <w:rPr>
                <w:color w:val="000000"/>
                <w:sz w:val="18"/>
                <w:szCs w:val="18"/>
              </w:rPr>
              <w:t>133</w:t>
            </w:r>
          </w:p>
        </w:tc>
        <w:tc>
          <w:tcPr>
            <w:tcW w:w="474" w:type="pct"/>
            <w:shd w:val="clear" w:color="auto" w:fill="auto"/>
            <w:noWrap/>
            <w:vAlign w:val="center"/>
            <w:hideMark/>
          </w:tcPr>
          <w:p w14:paraId="677017EA" w14:textId="77777777" w:rsidR="0089782B" w:rsidRPr="007F0307" w:rsidRDefault="0089782B" w:rsidP="0089782B">
            <w:pPr>
              <w:rPr>
                <w:color w:val="000000"/>
                <w:sz w:val="18"/>
                <w:szCs w:val="18"/>
              </w:rPr>
            </w:pPr>
            <w:r w:rsidRPr="007F0307">
              <w:rPr>
                <w:color w:val="000000"/>
                <w:sz w:val="18"/>
                <w:szCs w:val="18"/>
              </w:rPr>
              <w:t>&gt;1984</w:t>
            </w:r>
          </w:p>
        </w:tc>
      </w:tr>
      <w:tr w:rsidR="0089782B" w:rsidRPr="0089782B" w14:paraId="0960EC81" w14:textId="77777777" w:rsidTr="00967B4C">
        <w:trPr>
          <w:trHeight w:val="300"/>
        </w:trPr>
        <w:tc>
          <w:tcPr>
            <w:tcW w:w="549" w:type="pct"/>
            <w:vMerge/>
            <w:vAlign w:val="center"/>
            <w:hideMark/>
          </w:tcPr>
          <w:p w14:paraId="3DA9B553" w14:textId="77777777" w:rsidR="0089782B" w:rsidRPr="00E6140C" w:rsidRDefault="0089782B" w:rsidP="0089782B">
            <w:pPr>
              <w:rPr>
                <w:b/>
                <w:bCs/>
                <w:color w:val="000000"/>
                <w:sz w:val="16"/>
                <w:szCs w:val="16"/>
              </w:rPr>
            </w:pPr>
          </w:p>
        </w:tc>
        <w:tc>
          <w:tcPr>
            <w:tcW w:w="699" w:type="pct"/>
            <w:shd w:val="clear" w:color="auto" w:fill="auto"/>
            <w:vAlign w:val="center"/>
            <w:hideMark/>
          </w:tcPr>
          <w:p w14:paraId="329E16D5" w14:textId="77777777" w:rsidR="0089782B" w:rsidRPr="007F0307" w:rsidRDefault="0089782B" w:rsidP="0089782B">
            <w:pPr>
              <w:rPr>
                <w:color w:val="000000"/>
                <w:sz w:val="18"/>
                <w:szCs w:val="18"/>
              </w:rPr>
            </w:pPr>
            <w:r w:rsidRPr="007F0307">
              <w:rPr>
                <w:color w:val="000000"/>
                <w:sz w:val="18"/>
                <w:szCs w:val="18"/>
              </w:rPr>
              <w:t>New Cumberland</w:t>
            </w:r>
          </w:p>
        </w:tc>
        <w:tc>
          <w:tcPr>
            <w:tcW w:w="544" w:type="pct"/>
            <w:shd w:val="clear" w:color="auto" w:fill="auto"/>
            <w:noWrap/>
            <w:vAlign w:val="center"/>
            <w:hideMark/>
          </w:tcPr>
          <w:p w14:paraId="75DEAF82" w14:textId="77777777" w:rsidR="0089782B" w:rsidRPr="007F0307" w:rsidRDefault="0089782B" w:rsidP="0089782B">
            <w:pPr>
              <w:rPr>
                <w:color w:val="000000"/>
                <w:sz w:val="18"/>
                <w:szCs w:val="18"/>
              </w:rPr>
            </w:pPr>
            <w:r w:rsidRPr="007F0307">
              <w:rPr>
                <w:color w:val="000000"/>
                <w:sz w:val="18"/>
                <w:szCs w:val="18"/>
              </w:rPr>
              <w:t>144,692</w:t>
            </w:r>
          </w:p>
        </w:tc>
        <w:tc>
          <w:tcPr>
            <w:tcW w:w="586" w:type="pct"/>
            <w:shd w:val="clear" w:color="auto" w:fill="auto"/>
            <w:noWrap/>
            <w:vAlign w:val="center"/>
            <w:hideMark/>
          </w:tcPr>
          <w:p w14:paraId="7B000F06"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4C4D62AC" w14:textId="77777777" w:rsidR="0089782B" w:rsidRPr="007F0307" w:rsidRDefault="0089782B" w:rsidP="0089782B">
            <w:pPr>
              <w:rPr>
                <w:color w:val="000000"/>
                <w:sz w:val="18"/>
                <w:szCs w:val="18"/>
              </w:rPr>
            </w:pPr>
            <w:r w:rsidRPr="007F0307">
              <w:rPr>
                <w:color w:val="000000"/>
                <w:sz w:val="18"/>
                <w:szCs w:val="18"/>
              </w:rPr>
              <w:t>6,898</w:t>
            </w:r>
          </w:p>
        </w:tc>
        <w:tc>
          <w:tcPr>
            <w:tcW w:w="495" w:type="pct"/>
            <w:shd w:val="clear" w:color="auto" w:fill="auto"/>
            <w:noWrap/>
            <w:vAlign w:val="center"/>
            <w:hideMark/>
          </w:tcPr>
          <w:p w14:paraId="4FCF4650" w14:textId="77777777" w:rsidR="0089782B" w:rsidRPr="007F0307" w:rsidRDefault="0089782B" w:rsidP="0089782B">
            <w:pPr>
              <w:rPr>
                <w:color w:val="000000"/>
                <w:sz w:val="18"/>
                <w:szCs w:val="18"/>
              </w:rPr>
            </w:pPr>
            <w:r w:rsidRPr="007F0307">
              <w:rPr>
                <w:color w:val="000000"/>
                <w:sz w:val="18"/>
                <w:szCs w:val="18"/>
              </w:rPr>
              <w:t>3</w:t>
            </w:r>
          </w:p>
        </w:tc>
        <w:tc>
          <w:tcPr>
            <w:tcW w:w="560" w:type="pct"/>
            <w:shd w:val="clear" w:color="auto" w:fill="auto"/>
            <w:noWrap/>
            <w:vAlign w:val="center"/>
            <w:hideMark/>
          </w:tcPr>
          <w:p w14:paraId="5DC93F21" w14:textId="77777777" w:rsidR="0089782B" w:rsidRPr="007F0307" w:rsidRDefault="0089782B" w:rsidP="0089782B">
            <w:pPr>
              <w:rPr>
                <w:color w:val="000000"/>
                <w:sz w:val="18"/>
                <w:szCs w:val="18"/>
              </w:rPr>
            </w:pPr>
            <w:r w:rsidRPr="007F0307">
              <w:rPr>
                <w:color w:val="000000"/>
                <w:sz w:val="18"/>
                <w:szCs w:val="18"/>
              </w:rPr>
              <w:t>608</w:t>
            </w:r>
          </w:p>
        </w:tc>
        <w:tc>
          <w:tcPr>
            <w:tcW w:w="565" w:type="pct"/>
            <w:shd w:val="clear" w:color="auto" w:fill="auto"/>
            <w:vAlign w:val="center"/>
            <w:hideMark/>
          </w:tcPr>
          <w:p w14:paraId="0C87CD8D" w14:textId="77777777" w:rsidR="0089782B" w:rsidRPr="007F0307" w:rsidRDefault="0089782B" w:rsidP="0089782B">
            <w:pPr>
              <w:rPr>
                <w:color w:val="000000"/>
                <w:sz w:val="18"/>
                <w:szCs w:val="18"/>
              </w:rPr>
            </w:pPr>
            <w:r w:rsidRPr="007F0307">
              <w:rPr>
                <w:color w:val="000000"/>
                <w:sz w:val="18"/>
                <w:szCs w:val="18"/>
              </w:rPr>
              <w:t>3,066</w:t>
            </w:r>
          </w:p>
        </w:tc>
        <w:tc>
          <w:tcPr>
            <w:tcW w:w="474" w:type="pct"/>
            <w:shd w:val="clear" w:color="auto" w:fill="auto"/>
            <w:noWrap/>
            <w:vAlign w:val="center"/>
            <w:hideMark/>
          </w:tcPr>
          <w:p w14:paraId="50E557AA" w14:textId="77777777" w:rsidR="0089782B" w:rsidRPr="007F0307" w:rsidRDefault="0089782B" w:rsidP="0089782B">
            <w:pPr>
              <w:rPr>
                <w:color w:val="000000"/>
                <w:sz w:val="18"/>
                <w:szCs w:val="18"/>
              </w:rPr>
            </w:pPr>
            <w:r w:rsidRPr="007F0307">
              <w:rPr>
                <w:color w:val="000000"/>
                <w:sz w:val="18"/>
                <w:szCs w:val="18"/>
              </w:rPr>
              <w:t>&gt;1950</w:t>
            </w:r>
          </w:p>
        </w:tc>
      </w:tr>
      <w:tr w:rsidR="0089782B" w:rsidRPr="0089782B" w14:paraId="781AA691" w14:textId="77777777" w:rsidTr="00967B4C">
        <w:trPr>
          <w:trHeight w:val="540"/>
        </w:trPr>
        <w:tc>
          <w:tcPr>
            <w:tcW w:w="549" w:type="pct"/>
            <w:vMerge w:val="restart"/>
            <w:shd w:val="clear" w:color="auto" w:fill="auto"/>
            <w:vAlign w:val="center"/>
            <w:hideMark/>
          </w:tcPr>
          <w:p w14:paraId="665DB8DF" w14:textId="77777777" w:rsidR="0089782B" w:rsidRPr="00E6140C" w:rsidRDefault="0089782B" w:rsidP="0089782B">
            <w:pPr>
              <w:rPr>
                <w:b/>
                <w:bCs/>
                <w:color w:val="000000"/>
                <w:sz w:val="18"/>
                <w:szCs w:val="18"/>
              </w:rPr>
            </w:pPr>
            <w:r w:rsidRPr="00E6140C">
              <w:rPr>
                <w:b/>
                <w:bCs/>
                <w:color w:val="000000"/>
                <w:sz w:val="18"/>
                <w:szCs w:val="18"/>
              </w:rPr>
              <w:t>Northeast</w:t>
            </w:r>
          </w:p>
        </w:tc>
        <w:tc>
          <w:tcPr>
            <w:tcW w:w="699" w:type="pct"/>
            <w:shd w:val="clear" w:color="auto" w:fill="auto"/>
            <w:vAlign w:val="center"/>
            <w:hideMark/>
          </w:tcPr>
          <w:p w14:paraId="348A4311" w14:textId="77777777" w:rsidR="0089782B" w:rsidRPr="007F0307" w:rsidRDefault="0089782B" w:rsidP="0089782B">
            <w:pPr>
              <w:rPr>
                <w:color w:val="000000"/>
                <w:sz w:val="18"/>
                <w:szCs w:val="18"/>
              </w:rPr>
            </w:pPr>
            <w:r w:rsidRPr="007F0307">
              <w:rPr>
                <w:color w:val="000000"/>
                <w:sz w:val="18"/>
                <w:szCs w:val="18"/>
              </w:rPr>
              <w:t>Blue Mountain Lake</w:t>
            </w:r>
          </w:p>
        </w:tc>
        <w:tc>
          <w:tcPr>
            <w:tcW w:w="544" w:type="pct"/>
            <w:shd w:val="clear" w:color="auto" w:fill="auto"/>
            <w:noWrap/>
            <w:vAlign w:val="center"/>
            <w:hideMark/>
          </w:tcPr>
          <w:p w14:paraId="373BA6E9" w14:textId="77777777" w:rsidR="0089782B" w:rsidRPr="007F0307" w:rsidRDefault="0089782B" w:rsidP="0089782B">
            <w:pPr>
              <w:rPr>
                <w:color w:val="000000"/>
                <w:sz w:val="18"/>
                <w:szCs w:val="18"/>
              </w:rPr>
            </w:pPr>
            <w:r w:rsidRPr="007F0307">
              <w:rPr>
                <w:color w:val="000000"/>
                <w:sz w:val="18"/>
                <w:szCs w:val="18"/>
              </w:rPr>
              <w:t>0</w:t>
            </w:r>
          </w:p>
        </w:tc>
        <w:tc>
          <w:tcPr>
            <w:tcW w:w="586" w:type="pct"/>
            <w:shd w:val="clear" w:color="auto" w:fill="auto"/>
            <w:noWrap/>
            <w:vAlign w:val="center"/>
            <w:hideMark/>
          </w:tcPr>
          <w:p w14:paraId="067F1A48"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551FE345" w14:textId="77777777" w:rsidR="0089782B" w:rsidRPr="007F0307" w:rsidRDefault="0089782B" w:rsidP="0089782B">
            <w:pPr>
              <w:rPr>
                <w:color w:val="000000"/>
                <w:sz w:val="18"/>
                <w:szCs w:val="18"/>
              </w:rPr>
            </w:pPr>
            <w:r w:rsidRPr="007F0307">
              <w:rPr>
                <w:color w:val="000000"/>
                <w:sz w:val="18"/>
                <w:szCs w:val="18"/>
              </w:rPr>
              <w:t>68,250</w:t>
            </w:r>
          </w:p>
        </w:tc>
        <w:tc>
          <w:tcPr>
            <w:tcW w:w="495" w:type="pct"/>
            <w:shd w:val="clear" w:color="auto" w:fill="auto"/>
            <w:noWrap/>
            <w:vAlign w:val="center"/>
            <w:hideMark/>
          </w:tcPr>
          <w:p w14:paraId="435EA0DD" w14:textId="77777777" w:rsidR="0089782B" w:rsidRPr="007F0307" w:rsidRDefault="0089782B" w:rsidP="0089782B">
            <w:pPr>
              <w:rPr>
                <w:color w:val="000000"/>
                <w:sz w:val="18"/>
                <w:szCs w:val="18"/>
              </w:rPr>
            </w:pPr>
            <w:r w:rsidRPr="007F0307">
              <w:rPr>
                <w:color w:val="000000"/>
                <w:sz w:val="18"/>
                <w:szCs w:val="18"/>
              </w:rPr>
              <w:t>6</w:t>
            </w:r>
          </w:p>
        </w:tc>
        <w:tc>
          <w:tcPr>
            <w:tcW w:w="560" w:type="pct"/>
            <w:shd w:val="clear" w:color="auto" w:fill="auto"/>
            <w:noWrap/>
            <w:vAlign w:val="center"/>
            <w:hideMark/>
          </w:tcPr>
          <w:p w14:paraId="204E0D1D" w14:textId="77777777" w:rsidR="0089782B" w:rsidRPr="007F0307" w:rsidRDefault="0089782B" w:rsidP="0089782B">
            <w:pPr>
              <w:rPr>
                <w:color w:val="000000"/>
                <w:sz w:val="18"/>
                <w:szCs w:val="18"/>
              </w:rPr>
            </w:pPr>
            <w:r w:rsidRPr="007F0307">
              <w:rPr>
                <w:color w:val="000000"/>
                <w:sz w:val="18"/>
                <w:szCs w:val="18"/>
              </w:rPr>
              <w:t>0</w:t>
            </w:r>
          </w:p>
        </w:tc>
        <w:tc>
          <w:tcPr>
            <w:tcW w:w="565" w:type="pct"/>
            <w:shd w:val="clear" w:color="auto" w:fill="auto"/>
            <w:vAlign w:val="center"/>
            <w:hideMark/>
          </w:tcPr>
          <w:p w14:paraId="6D59C84E" w14:textId="77777777" w:rsidR="0089782B" w:rsidRPr="007F0307" w:rsidRDefault="0089782B" w:rsidP="0089782B">
            <w:pPr>
              <w:rPr>
                <w:color w:val="000000"/>
                <w:sz w:val="18"/>
                <w:szCs w:val="18"/>
              </w:rPr>
            </w:pPr>
            <w:r w:rsidRPr="007F0307">
              <w:rPr>
                <w:color w:val="000000"/>
                <w:sz w:val="18"/>
                <w:szCs w:val="18"/>
              </w:rPr>
              <w:t>830</w:t>
            </w:r>
          </w:p>
        </w:tc>
        <w:tc>
          <w:tcPr>
            <w:tcW w:w="474" w:type="pct"/>
            <w:shd w:val="clear" w:color="auto" w:fill="auto"/>
            <w:noWrap/>
            <w:vAlign w:val="center"/>
            <w:hideMark/>
          </w:tcPr>
          <w:p w14:paraId="28665013" w14:textId="77777777" w:rsidR="0089782B" w:rsidRPr="007F0307" w:rsidRDefault="0089782B" w:rsidP="0089782B">
            <w:pPr>
              <w:rPr>
                <w:color w:val="000000"/>
                <w:sz w:val="18"/>
                <w:szCs w:val="18"/>
              </w:rPr>
            </w:pPr>
            <w:r w:rsidRPr="007F0307">
              <w:rPr>
                <w:color w:val="000000"/>
                <w:sz w:val="18"/>
                <w:szCs w:val="18"/>
              </w:rPr>
              <w:t>&gt;1990</w:t>
            </w:r>
          </w:p>
        </w:tc>
      </w:tr>
      <w:tr w:rsidR="0089782B" w:rsidRPr="0089782B" w14:paraId="74D55FB4" w14:textId="77777777" w:rsidTr="00967B4C">
        <w:trPr>
          <w:trHeight w:val="336"/>
        </w:trPr>
        <w:tc>
          <w:tcPr>
            <w:tcW w:w="549" w:type="pct"/>
            <w:vMerge/>
            <w:vAlign w:val="center"/>
            <w:hideMark/>
          </w:tcPr>
          <w:p w14:paraId="3174F553" w14:textId="77777777" w:rsidR="0089782B" w:rsidRPr="00E6140C" w:rsidRDefault="0089782B" w:rsidP="0089782B">
            <w:pPr>
              <w:rPr>
                <w:b/>
                <w:bCs/>
                <w:color w:val="000000"/>
                <w:sz w:val="16"/>
                <w:szCs w:val="16"/>
              </w:rPr>
            </w:pPr>
          </w:p>
        </w:tc>
        <w:tc>
          <w:tcPr>
            <w:tcW w:w="699" w:type="pct"/>
            <w:shd w:val="clear" w:color="auto" w:fill="auto"/>
            <w:vAlign w:val="center"/>
            <w:hideMark/>
          </w:tcPr>
          <w:p w14:paraId="6EF43350" w14:textId="77777777" w:rsidR="0089782B" w:rsidRPr="007F0307" w:rsidRDefault="0089782B" w:rsidP="0089782B">
            <w:pPr>
              <w:rPr>
                <w:color w:val="000000"/>
                <w:sz w:val="18"/>
                <w:szCs w:val="18"/>
              </w:rPr>
            </w:pPr>
            <w:r w:rsidRPr="007F0307">
              <w:rPr>
                <w:color w:val="000000"/>
                <w:sz w:val="18"/>
                <w:szCs w:val="18"/>
              </w:rPr>
              <w:t>Lehman Pike</w:t>
            </w:r>
          </w:p>
        </w:tc>
        <w:tc>
          <w:tcPr>
            <w:tcW w:w="544" w:type="pct"/>
            <w:shd w:val="clear" w:color="auto" w:fill="auto"/>
            <w:noWrap/>
            <w:vAlign w:val="center"/>
            <w:hideMark/>
          </w:tcPr>
          <w:p w14:paraId="29616CD0" w14:textId="77777777" w:rsidR="0089782B" w:rsidRPr="007F0307" w:rsidRDefault="0089782B" w:rsidP="0089782B">
            <w:pPr>
              <w:rPr>
                <w:color w:val="000000"/>
                <w:sz w:val="18"/>
                <w:szCs w:val="18"/>
              </w:rPr>
            </w:pPr>
            <w:r w:rsidRPr="007F0307">
              <w:rPr>
                <w:color w:val="000000"/>
                <w:sz w:val="18"/>
                <w:szCs w:val="18"/>
              </w:rPr>
              <w:t>0</w:t>
            </w:r>
          </w:p>
        </w:tc>
        <w:tc>
          <w:tcPr>
            <w:tcW w:w="586" w:type="pct"/>
            <w:shd w:val="clear" w:color="auto" w:fill="auto"/>
            <w:noWrap/>
            <w:vAlign w:val="center"/>
            <w:hideMark/>
          </w:tcPr>
          <w:p w14:paraId="19983F02"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00B5E23C" w14:textId="77777777" w:rsidR="0089782B" w:rsidRPr="007F0307" w:rsidRDefault="0089782B" w:rsidP="0089782B">
            <w:pPr>
              <w:rPr>
                <w:color w:val="000000"/>
                <w:sz w:val="18"/>
                <w:szCs w:val="18"/>
              </w:rPr>
            </w:pPr>
            <w:r w:rsidRPr="007F0307">
              <w:rPr>
                <w:color w:val="000000"/>
                <w:sz w:val="18"/>
                <w:szCs w:val="18"/>
              </w:rPr>
              <w:t>268,447</w:t>
            </w:r>
          </w:p>
        </w:tc>
        <w:tc>
          <w:tcPr>
            <w:tcW w:w="495" w:type="pct"/>
            <w:shd w:val="clear" w:color="auto" w:fill="auto"/>
            <w:noWrap/>
            <w:vAlign w:val="center"/>
            <w:hideMark/>
          </w:tcPr>
          <w:p w14:paraId="5CB4B53E" w14:textId="77777777" w:rsidR="0089782B" w:rsidRPr="007F0307" w:rsidRDefault="0089782B" w:rsidP="0089782B">
            <w:pPr>
              <w:rPr>
                <w:color w:val="000000"/>
                <w:sz w:val="18"/>
                <w:szCs w:val="18"/>
              </w:rPr>
            </w:pPr>
            <w:r w:rsidRPr="007F0307">
              <w:rPr>
                <w:color w:val="000000"/>
                <w:sz w:val="18"/>
                <w:szCs w:val="18"/>
              </w:rPr>
              <w:t>13</w:t>
            </w:r>
          </w:p>
        </w:tc>
        <w:tc>
          <w:tcPr>
            <w:tcW w:w="560" w:type="pct"/>
            <w:shd w:val="clear" w:color="auto" w:fill="auto"/>
            <w:noWrap/>
            <w:vAlign w:val="center"/>
            <w:hideMark/>
          </w:tcPr>
          <w:p w14:paraId="1B99F421" w14:textId="77777777" w:rsidR="0089782B" w:rsidRPr="007F0307" w:rsidRDefault="0089782B" w:rsidP="0089782B">
            <w:pPr>
              <w:rPr>
                <w:color w:val="000000"/>
                <w:sz w:val="18"/>
                <w:szCs w:val="18"/>
              </w:rPr>
            </w:pPr>
            <w:r w:rsidRPr="007F0307">
              <w:rPr>
                <w:color w:val="000000"/>
                <w:sz w:val="18"/>
                <w:szCs w:val="18"/>
              </w:rPr>
              <w:t>0</w:t>
            </w:r>
          </w:p>
        </w:tc>
        <w:tc>
          <w:tcPr>
            <w:tcW w:w="565" w:type="pct"/>
            <w:shd w:val="clear" w:color="auto" w:fill="auto"/>
            <w:vAlign w:val="center"/>
            <w:hideMark/>
          </w:tcPr>
          <w:p w14:paraId="7C374471" w14:textId="77777777" w:rsidR="0089782B" w:rsidRPr="007F0307" w:rsidRDefault="0089782B" w:rsidP="0089782B">
            <w:pPr>
              <w:rPr>
                <w:color w:val="000000"/>
                <w:sz w:val="18"/>
                <w:szCs w:val="18"/>
              </w:rPr>
            </w:pPr>
            <w:r w:rsidRPr="007F0307">
              <w:rPr>
                <w:color w:val="000000"/>
                <w:sz w:val="18"/>
                <w:szCs w:val="18"/>
              </w:rPr>
              <w:t>2,714</w:t>
            </w:r>
          </w:p>
        </w:tc>
        <w:tc>
          <w:tcPr>
            <w:tcW w:w="474" w:type="pct"/>
            <w:shd w:val="clear" w:color="auto" w:fill="auto"/>
            <w:noWrap/>
            <w:vAlign w:val="center"/>
            <w:hideMark/>
          </w:tcPr>
          <w:p w14:paraId="6F499491" w14:textId="77777777" w:rsidR="0089782B" w:rsidRPr="007F0307" w:rsidRDefault="0089782B" w:rsidP="0089782B">
            <w:pPr>
              <w:rPr>
                <w:color w:val="000000"/>
                <w:sz w:val="18"/>
                <w:szCs w:val="18"/>
              </w:rPr>
            </w:pPr>
            <w:r w:rsidRPr="007F0307">
              <w:rPr>
                <w:color w:val="000000"/>
                <w:sz w:val="18"/>
                <w:szCs w:val="18"/>
              </w:rPr>
              <w:t>&gt;1980</w:t>
            </w:r>
          </w:p>
        </w:tc>
      </w:tr>
      <w:tr w:rsidR="0089782B" w:rsidRPr="0089782B" w14:paraId="2503F7D8" w14:textId="77777777" w:rsidTr="00967B4C">
        <w:trPr>
          <w:trHeight w:val="336"/>
        </w:trPr>
        <w:tc>
          <w:tcPr>
            <w:tcW w:w="549" w:type="pct"/>
            <w:vMerge/>
            <w:vAlign w:val="center"/>
            <w:hideMark/>
          </w:tcPr>
          <w:p w14:paraId="38C58549" w14:textId="77777777" w:rsidR="0089782B" w:rsidRPr="00E6140C" w:rsidRDefault="0089782B" w:rsidP="0089782B">
            <w:pPr>
              <w:rPr>
                <w:b/>
                <w:bCs/>
                <w:color w:val="000000"/>
                <w:sz w:val="16"/>
                <w:szCs w:val="16"/>
              </w:rPr>
            </w:pPr>
          </w:p>
        </w:tc>
        <w:tc>
          <w:tcPr>
            <w:tcW w:w="699" w:type="pct"/>
            <w:shd w:val="clear" w:color="auto" w:fill="auto"/>
            <w:vAlign w:val="center"/>
            <w:hideMark/>
          </w:tcPr>
          <w:p w14:paraId="0C9715F8" w14:textId="77777777" w:rsidR="0089782B" w:rsidRPr="007F0307" w:rsidRDefault="0089782B" w:rsidP="0089782B">
            <w:pPr>
              <w:rPr>
                <w:color w:val="000000"/>
                <w:sz w:val="18"/>
                <w:szCs w:val="18"/>
              </w:rPr>
            </w:pPr>
            <w:r w:rsidRPr="007F0307">
              <w:rPr>
                <w:color w:val="000000"/>
                <w:sz w:val="18"/>
                <w:szCs w:val="18"/>
              </w:rPr>
              <w:t>Marcel Lake</w:t>
            </w:r>
          </w:p>
        </w:tc>
        <w:tc>
          <w:tcPr>
            <w:tcW w:w="544" w:type="pct"/>
            <w:shd w:val="clear" w:color="auto" w:fill="auto"/>
            <w:noWrap/>
            <w:vAlign w:val="center"/>
            <w:hideMark/>
          </w:tcPr>
          <w:p w14:paraId="1B327368" w14:textId="77777777" w:rsidR="0089782B" w:rsidRPr="007F0307" w:rsidRDefault="0089782B" w:rsidP="0089782B">
            <w:pPr>
              <w:rPr>
                <w:color w:val="000000"/>
                <w:sz w:val="18"/>
                <w:szCs w:val="18"/>
              </w:rPr>
            </w:pPr>
            <w:r w:rsidRPr="007F0307">
              <w:rPr>
                <w:color w:val="000000"/>
                <w:sz w:val="18"/>
                <w:szCs w:val="18"/>
              </w:rPr>
              <w:t>30,732</w:t>
            </w:r>
          </w:p>
        </w:tc>
        <w:tc>
          <w:tcPr>
            <w:tcW w:w="586" w:type="pct"/>
            <w:shd w:val="clear" w:color="auto" w:fill="auto"/>
            <w:noWrap/>
            <w:vAlign w:val="center"/>
            <w:hideMark/>
          </w:tcPr>
          <w:p w14:paraId="79822BFA"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11DE15CD" w14:textId="77777777" w:rsidR="0089782B" w:rsidRPr="007F0307" w:rsidRDefault="0089782B" w:rsidP="0089782B">
            <w:pPr>
              <w:rPr>
                <w:color w:val="000000"/>
                <w:sz w:val="18"/>
                <w:szCs w:val="18"/>
              </w:rPr>
            </w:pPr>
            <w:r w:rsidRPr="007F0307">
              <w:rPr>
                <w:color w:val="000000"/>
                <w:sz w:val="18"/>
                <w:szCs w:val="18"/>
              </w:rPr>
              <w:t>28,597</w:t>
            </w:r>
          </w:p>
        </w:tc>
        <w:tc>
          <w:tcPr>
            <w:tcW w:w="495" w:type="pct"/>
            <w:shd w:val="clear" w:color="auto" w:fill="auto"/>
            <w:noWrap/>
            <w:vAlign w:val="center"/>
            <w:hideMark/>
          </w:tcPr>
          <w:p w14:paraId="0FF7163E" w14:textId="77777777" w:rsidR="0089782B" w:rsidRPr="007F0307" w:rsidRDefault="0089782B" w:rsidP="0089782B">
            <w:pPr>
              <w:rPr>
                <w:color w:val="000000"/>
                <w:sz w:val="18"/>
                <w:szCs w:val="18"/>
              </w:rPr>
            </w:pPr>
            <w:r w:rsidRPr="007F0307">
              <w:rPr>
                <w:color w:val="000000"/>
                <w:sz w:val="18"/>
                <w:szCs w:val="18"/>
              </w:rPr>
              <w:t>3</w:t>
            </w:r>
          </w:p>
        </w:tc>
        <w:tc>
          <w:tcPr>
            <w:tcW w:w="560" w:type="pct"/>
            <w:shd w:val="clear" w:color="auto" w:fill="auto"/>
            <w:noWrap/>
            <w:vAlign w:val="center"/>
            <w:hideMark/>
          </w:tcPr>
          <w:p w14:paraId="151D07EA" w14:textId="77777777" w:rsidR="0089782B" w:rsidRPr="007F0307" w:rsidRDefault="0089782B" w:rsidP="0089782B">
            <w:pPr>
              <w:rPr>
                <w:color w:val="000000"/>
                <w:sz w:val="18"/>
                <w:szCs w:val="18"/>
              </w:rPr>
            </w:pPr>
            <w:r w:rsidRPr="007F0307">
              <w:rPr>
                <w:color w:val="000000"/>
                <w:sz w:val="18"/>
                <w:szCs w:val="18"/>
              </w:rPr>
              <w:t>130</w:t>
            </w:r>
          </w:p>
        </w:tc>
        <w:tc>
          <w:tcPr>
            <w:tcW w:w="565" w:type="pct"/>
            <w:shd w:val="clear" w:color="auto" w:fill="auto"/>
            <w:vAlign w:val="center"/>
            <w:hideMark/>
          </w:tcPr>
          <w:p w14:paraId="15C5691D" w14:textId="77777777" w:rsidR="0089782B" w:rsidRPr="007F0307" w:rsidRDefault="0089782B" w:rsidP="0089782B">
            <w:pPr>
              <w:rPr>
                <w:color w:val="000000"/>
                <w:sz w:val="18"/>
                <w:szCs w:val="18"/>
              </w:rPr>
            </w:pPr>
            <w:r w:rsidRPr="007F0307">
              <w:rPr>
                <w:color w:val="000000"/>
                <w:sz w:val="18"/>
                <w:szCs w:val="18"/>
              </w:rPr>
              <w:t>354</w:t>
            </w:r>
          </w:p>
        </w:tc>
        <w:tc>
          <w:tcPr>
            <w:tcW w:w="474" w:type="pct"/>
            <w:shd w:val="clear" w:color="auto" w:fill="auto"/>
            <w:noWrap/>
            <w:vAlign w:val="center"/>
            <w:hideMark/>
          </w:tcPr>
          <w:p w14:paraId="515E2D7D" w14:textId="77777777" w:rsidR="0089782B" w:rsidRPr="007F0307" w:rsidRDefault="0089782B" w:rsidP="0089782B">
            <w:pPr>
              <w:rPr>
                <w:color w:val="000000"/>
                <w:sz w:val="18"/>
                <w:szCs w:val="18"/>
              </w:rPr>
            </w:pPr>
            <w:r w:rsidRPr="007F0307">
              <w:rPr>
                <w:color w:val="000000"/>
                <w:sz w:val="18"/>
                <w:szCs w:val="18"/>
              </w:rPr>
              <w:t>&gt;1980</w:t>
            </w:r>
          </w:p>
        </w:tc>
      </w:tr>
      <w:tr w:rsidR="0089782B" w:rsidRPr="0089782B" w14:paraId="16134F57" w14:textId="77777777" w:rsidTr="00967B4C">
        <w:trPr>
          <w:trHeight w:val="300"/>
        </w:trPr>
        <w:tc>
          <w:tcPr>
            <w:tcW w:w="549" w:type="pct"/>
            <w:vMerge/>
            <w:vAlign w:val="center"/>
            <w:hideMark/>
          </w:tcPr>
          <w:p w14:paraId="2447CE5F" w14:textId="77777777" w:rsidR="0089782B" w:rsidRPr="00E6140C" w:rsidRDefault="0089782B" w:rsidP="0089782B">
            <w:pPr>
              <w:rPr>
                <w:b/>
                <w:bCs/>
                <w:color w:val="000000"/>
                <w:sz w:val="16"/>
                <w:szCs w:val="16"/>
              </w:rPr>
            </w:pPr>
          </w:p>
        </w:tc>
        <w:tc>
          <w:tcPr>
            <w:tcW w:w="699" w:type="pct"/>
            <w:shd w:val="clear" w:color="auto" w:fill="auto"/>
            <w:vAlign w:val="center"/>
            <w:hideMark/>
          </w:tcPr>
          <w:p w14:paraId="71C4CF20" w14:textId="77777777" w:rsidR="0089782B" w:rsidRPr="007F0307" w:rsidRDefault="0089782B" w:rsidP="0089782B">
            <w:pPr>
              <w:rPr>
                <w:color w:val="000000"/>
                <w:sz w:val="18"/>
                <w:szCs w:val="18"/>
              </w:rPr>
            </w:pPr>
            <w:r w:rsidRPr="007F0307">
              <w:rPr>
                <w:color w:val="000000"/>
                <w:sz w:val="18"/>
                <w:szCs w:val="18"/>
              </w:rPr>
              <w:t>Pocono</w:t>
            </w:r>
          </w:p>
        </w:tc>
        <w:tc>
          <w:tcPr>
            <w:tcW w:w="544" w:type="pct"/>
            <w:shd w:val="clear" w:color="auto" w:fill="auto"/>
            <w:noWrap/>
            <w:vAlign w:val="center"/>
            <w:hideMark/>
          </w:tcPr>
          <w:p w14:paraId="264AFCCE" w14:textId="77777777" w:rsidR="0089782B" w:rsidRPr="007F0307" w:rsidRDefault="0089782B" w:rsidP="0089782B">
            <w:pPr>
              <w:rPr>
                <w:color w:val="000000"/>
                <w:sz w:val="18"/>
                <w:szCs w:val="18"/>
              </w:rPr>
            </w:pPr>
            <w:r w:rsidRPr="007F0307">
              <w:rPr>
                <w:color w:val="000000"/>
                <w:sz w:val="18"/>
                <w:szCs w:val="18"/>
              </w:rPr>
              <w:t>150,648</w:t>
            </w:r>
          </w:p>
        </w:tc>
        <w:tc>
          <w:tcPr>
            <w:tcW w:w="586" w:type="pct"/>
            <w:shd w:val="clear" w:color="auto" w:fill="auto"/>
            <w:noWrap/>
            <w:vAlign w:val="center"/>
            <w:hideMark/>
          </w:tcPr>
          <w:p w14:paraId="25D1402E"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6797FA47" w14:textId="77777777" w:rsidR="0089782B" w:rsidRPr="007F0307" w:rsidRDefault="0089782B" w:rsidP="0089782B">
            <w:pPr>
              <w:rPr>
                <w:color w:val="000000"/>
                <w:sz w:val="18"/>
                <w:szCs w:val="18"/>
              </w:rPr>
            </w:pPr>
            <w:r w:rsidRPr="007F0307">
              <w:rPr>
                <w:color w:val="000000"/>
                <w:sz w:val="18"/>
                <w:szCs w:val="18"/>
              </w:rPr>
              <w:t>99,795</w:t>
            </w:r>
          </w:p>
        </w:tc>
        <w:tc>
          <w:tcPr>
            <w:tcW w:w="495" w:type="pct"/>
            <w:shd w:val="clear" w:color="auto" w:fill="auto"/>
            <w:noWrap/>
            <w:vAlign w:val="center"/>
            <w:hideMark/>
          </w:tcPr>
          <w:p w14:paraId="4C696044" w14:textId="77777777" w:rsidR="0089782B" w:rsidRPr="007F0307" w:rsidRDefault="0089782B" w:rsidP="0089782B">
            <w:pPr>
              <w:rPr>
                <w:color w:val="000000"/>
                <w:sz w:val="18"/>
                <w:szCs w:val="18"/>
              </w:rPr>
            </w:pPr>
            <w:r w:rsidRPr="007F0307">
              <w:rPr>
                <w:color w:val="000000"/>
                <w:sz w:val="18"/>
                <w:szCs w:val="18"/>
              </w:rPr>
              <w:t>2</w:t>
            </w:r>
          </w:p>
        </w:tc>
        <w:tc>
          <w:tcPr>
            <w:tcW w:w="560" w:type="pct"/>
            <w:shd w:val="clear" w:color="auto" w:fill="auto"/>
            <w:noWrap/>
            <w:vAlign w:val="center"/>
            <w:hideMark/>
          </w:tcPr>
          <w:p w14:paraId="019EEED1" w14:textId="77777777" w:rsidR="0089782B" w:rsidRPr="007F0307" w:rsidRDefault="0089782B" w:rsidP="0089782B">
            <w:pPr>
              <w:rPr>
                <w:color w:val="000000"/>
                <w:sz w:val="18"/>
                <w:szCs w:val="18"/>
              </w:rPr>
            </w:pPr>
            <w:r w:rsidRPr="007F0307">
              <w:rPr>
                <w:color w:val="000000"/>
                <w:sz w:val="18"/>
                <w:szCs w:val="18"/>
              </w:rPr>
              <w:t>777</w:t>
            </w:r>
          </w:p>
        </w:tc>
        <w:tc>
          <w:tcPr>
            <w:tcW w:w="565" w:type="pct"/>
            <w:shd w:val="clear" w:color="auto" w:fill="auto"/>
            <w:vAlign w:val="center"/>
            <w:hideMark/>
          </w:tcPr>
          <w:p w14:paraId="493C80CC" w14:textId="77777777" w:rsidR="0089782B" w:rsidRPr="007F0307" w:rsidRDefault="0089782B" w:rsidP="0089782B">
            <w:pPr>
              <w:rPr>
                <w:color w:val="000000"/>
                <w:sz w:val="18"/>
                <w:szCs w:val="18"/>
              </w:rPr>
            </w:pPr>
            <w:r w:rsidRPr="007F0307">
              <w:rPr>
                <w:color w:val="000000"/>
                <w:sz w:val="18"/>
                <w:szCs w:val="18"/>
              </w:rPr>
              <w:t>3,689</w:t>
            </w:r>
          </w:p>
        </w:tc>
        <w:tc>
          <w:tcPr>
            <w:tcW w:w="474" w:type="pct"/>
            <w:shd w:val="clear" w:color="auto" w:fill="auto"/>
            <w:noWrap/>
            <w:vAlign w:val="center"/>
            <w:hideMark/>
          </w:tcPr>
          <w:p w14:paraId="3125E6C8" w14:textId="77777777" w:rsidR="0089782B" w:rsidRPr="007F0307" w:rsidRDefault="0089782B" w:rsidP="0089782B">
            <w:pPr>
              <w:rPr>
                <w:color w:val="000000"/>
                <w:sz w:val="18"/>
                <w:szCs w:val="18"/>
              </w:rPr>
            </w:pPr>
            <w:r w:rsidRPr="007F0307">
              <w:rPr>
                <w:color w:val="000000"/>
                <w:sz w:val="18"/>
                <w:szCs w:val="18"/>
              </w:rPr>
              <w:t>&gt;1975</w:t>
            </w:r>
          </w:p>
        </w:tc>
      </w:tr>
      <w:tr w:rsidR="0089782B" w:rsidRPr="0089782B" w14:paraId="63745355" w14:textId="77777777" w:rsidTr="00967B4C">
        <w:trPr>
          <w:trHeight w:val="336"/>
        </w:trPr>
        <w:tc>
          <w:tcPr>
            <w:tcW w:w="549" w:type="pct"/>
            <w:vMerge/>
            <w:vAlign w:val="center"/>
            <w:hideMark/>
          </w:tcPr>
          <w:p w14:paraId="7DD7776C" w14:textId="77777777" w:rsidR="0089782B" w:rsidRPr="00E6140C" w:rsidRDefault="0089782B" w:rsidP="0089782B">
            <w:pPr>
              <w:rPr>
                <w:b/>
                <w:bCs/>
                <w:color w:val="000000"/>
                <w:sz w:val="16"/>
                <w:szCs w:val="16"/>
              </w:rPr>
            </w:pPr>
          </w:p>
        </w:tc>
        <w:tc>
          <w:tcPr>
            <w:tcW w:w="699" w:type="pct"/>
            <w:shd w:val="clear" w:color="auto" w:fill="auto"/>
            <w:vAlign w:val="center"/>
            <w:hideMark/>
          </w:tcPr>
          <w:p w14:paraId="4E0D5AA0" w14:textId="77777777" w:rsidR="0089782B" w:rsidRPr="007F0307" w:rsidRDefault="0089782B" w:rsidP="0089782B">
            <w:pPr>
              <w:rPr>
                <w:color w:val="000000"/>
                <w:sz w:val="18"/>
                <w:szCs w:val="18"/>
              </w:rPr>
            </w:pPr>
            <w:r w:rsidRPr="007F0307">
              <w:rPr>
                <w:color w:val="000000"/>
                <w:sz w:val="18"/>
                <w:szCs w:val="18"/>
              </w:rPr>
              <w:t>Scranton</w:t>
            </w:r>
          </w:p>
        </w:tc>
        <w:tc>
          <w:tcPr>
            <w:tcW w:w="544" w:type="pct"/>
            <w:shd w:val="clear" w:color="auto" w:fill="auto"/>
            <w:noWrap/>
            <w:vAlign w:val="center"/>
            <w:hideMark/>
          </w:tcPr>
          <w:p w14:paraId="715A97A5" w14:textId="77777777" w:rsidR="0089782B" w:rsidRPr="007F0307" w:rsidRDefault="0089782B" w:rsidP="0089782B">
            <w:pPr>
              <w:rPr>
                <w:color w:val="000000"/>
                <w:sz w:val="18"/>
                <w:szCs w:val="18"/>
              </w:rPr>
            </w:pPr>
            <w:r w:rsidRPr="007F0307">
              <w:rPr>
                <w:color w:val="000000"/>
                <w:sz w:val="18"/>
                <w:szCs w:val="18"/>
              </w:rPr>
              <w:t>552,748</w:t>
            </w:r>
          </w:p>
        </w:tc>
        <w:tc>
          <w:tcPr>
            <w:tcW w:w="586" w:type="pct"/>
            <w:shd w:val="clear" w:color="auto" w:fill="auto"/>
            <w:noWrap/>
            <w:vAlign w:val="center"/>
            <w:hideMark/>
          </w:tcPr>
          <w:p w14:paraId="3B7887E2" w14:textId="77777777" w:rsidR="0089782B" w:rsidRPr="007F0307" w:rsidRDefault="0089782B" w:rsidP="0089782B">
            <w:pPr>
              <w:rPr>
                <w:color w:val="000000"/>
                <w:sz w:val="18"/>
                <w:szCs w:val="18"/>
              </w:rPr>
            </w:pPr>
            <w:r w:rsidRPr="007F0307">
              <w:rPr>
                <w:color w:val="000000"/>
                <w:sz w:val="18"/>
                <w:szCs w:val="18"/>
              </w:rPr>
              <w:t>1,186,820</w:t>
            </w:r>
          </w:p>
        </w:tc>
        <w:tc>
          <w:tcPr>
            <w:tcW w:w="528" w:type="pct"/>
            <w:shd w:val="clear" w:color="auto" w:fill="auto"/>
            <w:noWrap/>
            <w:vAlign w:val="center"/>
            <w:hideMark/>
          </w:tcPr>
          <w:p w14:paraId="1A01B528" w14:textId="77777777" w:rsidR="0089782B" w:rsidRPr="007F0307" w:rsidRDefault="0089782B" w:rsidP="0089782B">
            <w:pPr>
              <w:rPr>
                <w:color w:val="000000"/>
                <w:sz w:val="18"/>
                <w:szCs w:val="18"/>
              </w:rPr>
            </w:pPr>
            <w:r w:rsidRPr="007F0307">
              <w:rPr>
                <w:color w:val="000000"/>
                <w:sz w:val="18"/>
                <w:szCs w:val="18"/>
              </w:rPr>
              <w:t>12,032</w:t>
            </w:r>
          </w:p>
        </w:tc>
        <w:tc>
          <w:tcPr>
            <w:tcW w:w="495" w:type="pct"/>
            <w:shd w:val="clear" w:color="auto" w:fill="auto"/>
            <w:noWrap/>
            <w:vAlign w:val="center"/>
            <w:hideMark/>
          </w:tcPr>
          <w:p w14:paraId="4E8F8105" w14:textId="77777777" w:rsidR="0089782B" w:rsidRPr="007F0307" w:rsidRDefault="0089782B" w:rsidP="0089782B">
            <w:pPr>
              <w:rPr>
                <w:color w:val="000000"/>
                <w:sz w:val="18"/>
                <w:szCs w:val="18"/>
              </w:rPr>
            </w:pPr>
            <w:r w:rsidRPr="007F0307">
              <w:rPr>
                <w:color w:val="000000"/>
                <w:sz w:val="18"/>
                <w:szCs w:val="18"/>
              </w:rPr>
              <w:t>7</w:t>
            </w:r>
          </w:p>
        </w:tc>
        <w:tc>
          <w:tcPr>
            <w:tcW w:w="560" w:type="pct"/>
            <w:shd w:val="clear" w:color="auto" w:fill="auto"/>
            <w:noWrap/>
            <w:vAlign w:val="center"/>
            <w:hideMark/>
          </w:tcPr>
          <w:p w14:paraId="72556D36" w14:textId="77777777" w:rsidR="0089782B" w:rsidRPr="007F0307" w:rsidRDefault="0089782B" w:rsidP="0089782B">
            <w:pPr>
              <w:rPr>
                <w:color w:val="000000"/>
                <w:sz w:val="18"/>
                <w:szCs w:val="18"/>
              </w:rPr>
            </w:pPr>
            <w:r w:rsidRPr="007F0307">
              <w:rPr>
                <w:color w:val="000000"/>
                <w:sz w:val="18"/>
                <w:szCs w:val="18"/>
              </w:rPr>
              <w:t>9,055</w:t>
            </w:r>
          </w:p>
        </w:tc>
        <w:tc>
          <w:tcPr>
            <w:tcW w:w="565" w:type="pct"/>
            <w:shd w:val="clear" w:color="auto" w:fill="auto"/>
            <w:vAlign w:val="center"/>
            <w:hideMark/>
          </w:tcPr>
          <w:p w14:paraId="524BACFF" w14:textId="77777777" w:rsidR="0089782B" w:rsidRPr="007F0307" w:rsidRDefault="0089782B" w:rsidP="0089782B">
            <w:pPr>
              <w:rPr>
                <w:color w:val="000000"/>
                <w:sz w:val="18"/>
                <w:szCs w:val="18"/>
              </w:rPr>
            </w:pPr>
            <w:r w:rsidRPr="007F0307">
              <w:rPr>
                <w:color w:val="000000"/>
                <w:sz w:val="18"/>
                <w:szCs w:val="18"/>
              </w:rPr>
              <w:t>29,551</w:t>
            </w:r>
          </w:p>
        </w:tc>
        <w:tc>
          <w:tcPr>
            <w:tcW w:w="474" w:type="pct"/>
            <w:shd w:val="clear" w:color="auto" w:fill="auto"/>
            <w:noWrap/>
            <w:vAlign w:val="center"/>
            <w:hideMark/>
          </w:tcPr>
          <w:p w14:paraId="3C38A08F" w14:textId="77777777" w:rsidR="0089782B" w:rsidRPr="007F0307" w:rsidRDefault="0089782B" w:rsidP="0089782B">
            <w:pPr>
              <w:rPr>
                <w:color w:val="000000"/>
                <w:sz w:val="18"/>
                <w:szCs w:val="18"/>
              </w:rPr>
            </w:pPr>
            <w:r w:rsidRPr="007F0307">
              <w:rPr>
                <w:color w:val="000000"/>
                <w:sz w:val="18"/>
                <w:szCs w:val="18"/>
              </w:rPr>
              <w:t>&gt;1900</w:t>
            </w:r>
          </w:p>
        </w:tc>
      </w:tr>
      <w:tr w:rsidR="0089782B" w:rsidRPr="0089782B" w14:paraId="06D2C645" w14:textId="77777777" w:rsidTr="00967B4C">
        <w:trPr>
          <w:trHeight w:val="564"/>
        </w:trPr>
        <w:tc>
          <w:tcPr>
            <w:tcW w:w="549" w:type="pct"/>
            <w:shd w:val="clear" w:color="auto" w:fill="auto"/>
            <w:vAlign w:val="center"/>
            <w:hideMark/>
          </w:tcPr>
          <w:p w14:paraId="00ADC55D" w14:textId="77777777" w:rsidR="0089782B" w:rsidRPr="00E6140C" w:rsidRDefault="0089782B" w:rsidP="0089782B">
            <w:pPr>
              <w:rPr>
                <w:b/>
                <w:bCs/>
                <w:color w:val="000000"/>
                <w:sz w:val="18"/>
                <w:szCs w:val="18"/>
              </w:rPr>
            </w:pPr>
            <w:r w:rsidRPr="00E6140C">
              <w:rPr>
                <w:b/>
                <w:bCs/>
                <w:color w:val="000000"/>
                <w:sz w:val="18"/>
                <w:szCs w:val="18"/>
              </w:rPr>
              <w:t>Southeast</w:t>
            </w:r>
          </w:p>
        </w:tc>
        <w:tc>
          <w:tcPr>
            <w:tcW w:w="699" w:type="pct"/>
            <w:shd w:val="clear" w:color="auto" w:fill="auto"/>
            <w:vAlign w:val="center"/>
            <w:hideMark/>
          </w:tcPr>
          <w:p w14:paraId="25794054" w14:textId="77777777" w:rsidR="0089782B" w:rsidRPr="007F0307" w:rsidRDefault="0089782B" w:rsidP="0089782B">
            <w:pPr>
              <w:rPr>
                <w:color w:val="000000"/>
                <w:sz w:val="18"/>
                <w:szCs w:val="18"/>
              </w:rPr>
            </w:pPr>
            <w:r w:rsidRPr="007F0307">
              <w:rPr>
                <w:color w:val="000000"/>
                <w:sz w:val="18"/>
                <w:szCs w:val="18"/>
              </w:rPr>
              <w:t>Coatesville</w:t>
            </w:r>
          </w:p>
        </w:tc>
        <w:tc>
          <w:tcPr>
            <w:tcW w:w="544" w:type="pct"/>
            <w:shd w:val="clear" w:color="auto" w:fill="auto"/>
            <w:noWrap/>
            <w:vAlign w:val="center"/>
            <w:hideMark/>
          </w:tcPr>
          <w:p w14:paraId="37A58B31" w14:textId="77777777" w:rsidR="0089782B" w:rsidRPr="007F0307" w:rsidRDefault="0089782B" w:rsidP="0089782B">
            <w:pPr>
              <w:rPr>
                <w:color w:val="000000"/>
                <w:sz w:val="18"/>
                <w:szCs w:val="18"/>
              </w:rPr>
            </w:pPr>
            <w:r w:rsidRPr="007F0307">
              <w:rPr>
                <w:color w:val="000000"/>
                <w:sz w:val="18"/>
                <w:szCs w:val="18"/>
              </w:rPr>
              <w:t>352,945</w:t>
            </w:r>
          </w:p>
        </w:tc>
        <w:tc>
          <w:tcPr>
            <w:tcW w:w="586" w:type="pct"/>
            <w:shd w:val="clear" w:color="auto" w:fill="auto"/>
            <w:noWrap/>
            <w:vAlign w:val="center"/>
            <w:hideMark/>
          </w:tcPr>
          <w:p w14:paraId="64D9B060"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0E5045AB" w14:textId="77777777" w:rsidR="0089782B" w:rsidRPr="007F0307" w:rsidRDefault="0089782B" w:rsidP="0089782B">
            <w:pPr>
              <w:rPr>
                <w:color w:val="000000"/>
                <w:sz w:val="18"/>
                <w:szCs w:val="18"/>
              </w:rPr>
            </w:pPr>
            <w:r w:rsidRPr="007F0307">
              <w:rPr>
                <w:color w:val="000000"/>
                <w:sz w:val="18"/>
                <w:szCs w:val="18"/>
              </w:rPr>
              <w:t>93,605</w:t>
            </w:r>
          </w:p>
        </w:tc>
        <w:tc>
          <w:tcPr>
            <w:tcW w:w="495" w:type="pct"/>
            <w:shd w:val="clear" w:color="auto" w:fill="auto"/>
            <w:noWrap/>
            <w:vAlign w:val="center"/>
            <w:hideMark/>
          </w:tcPr>
          <w:p w14:paraId="388D6F16" w14:textId="77777777" w:rsidR="0089782B" w:rsidRPr="007F0307" w:rsidRDefault="0089782B" w:rsidP="0089782B">
            <w:pPr>
              <w:rPr>
                <w:color w:val="000000"/>
                <w:sz w:val="18"/>
                <w:szCs w:val="18"/>
              </w:rPr>
            </w:pPr>
            <w:r w:rsidRPr="007F0307">
              <w:rPr>
                <w:color w:val="000000"/>
                <w:sz w:val="18"/>
                <w:szCs w:val="18"/>
              </w:rPr>
              <w:t>17</w:t>
            </w:r>
          </w:p>
        </w:tc>
        <w:tc>
          <w:tcPr>
            <w:tcW w:w="560" w:type="pct"/>
            <w:shd w:val="clear" w:color="auto" w:fill="auto"/>
            <w:noWrap/>
            <w:vAlign w:val="center"/>
            <w:hideMark/>
          </w:tcPr>
          <w:p w14:paraId="24EB8126" w14:textId="77777777" w:rsidR="0089782B" w:rsidRPr="007F0307" w:rsidRDefault="0089782B" w:rsidP="0089782B">
            <w:pPr>
              <w:rPr>
                <w:color w:val="000000"/>
                <w:sz w:val="18"/>
                <w:szCs w:val="18"/>
              </w:rPr>
            </w:pPr>
            <w:r w:rsidRPr="007F0307">
              <w:rPr>
                <w:color w:val="000000"/>
                <w:sz w:val="18"/>
                <w:szCs w:val="18"/>
              </w:rPr>
              <w:t>1,670</w:t>
            </w:r>
          </w:p>
        </w:tc>
        <w:tc>
          <w:tcPr>
            <w:tcW w:w="565" w:type="pct"/>
            <w:shd w:val="clear" w:color="auto" w:fill="auto"/>
            <w:vAlign w:val="center"/>
            <w:hideMark/>
          </w:tcPr>
          <w:p w14:paraId="79C666B1" w14:textId="77777777" w:rsidR="0089782B" w:rsidRPr="007F0307" w:rsidRDefault="0089782B" w:rsidP="0089782B">
            <w:pPr>
              <w:rPr>
                <w:color w:val="000000"/>
                <w:sz w:val="18"/>
                <w:szCs w:val="18"/>
              </w:rPr>
            </w:pPr>
            <w:r w:rsidRPr="007F0307">
              <w:rPr>
                <w:color w:val="000000"/>
                <w:sz w:val="18"/>
                <w:szCs w:val="18"/>
              </w:rPr>
              <w:t>6,226</w:t>
            </w:r>
          </w:p>
        </w:tc>
        <w:tc>
          <w:tcPr>
            <w:tcW w:w="474" w:type="pct"/>
            <w:shd w:val="clear" w:color="auto" w:fill="auto"/>
            <w:noWrap/>
            <w:vAlign w:val="center"/>
            <w:hideMark/>
          </w:tcPr>
          <w:p w14:paraId="4B5E96FA" w14:textId="77777777" w:rsidR="0089782B" w:rsidRPr="007F0307" w:rsidRDefault="0089782B" w:rsidP="0089782B">
            <w:pPr>
              <w:rPr>
                <w:color w:val="000000"/>
                <w:sz w:val="18"/>
                <w:szCs w:val="18"/>
              </w:rPr>
            </w:pPr>
            <w:r w:rsidRPr="007F0307">
              <w:rPr>
                <w:color w:val="000000"/>
                <w:sz w:val="18"/>
                <w:szCs w:val="18"/>
              </w:rPr>
              <w:t>&gt;1930s</w:t>
            </w:r>
          </w:p>
        </w:tc>
      </w:tr>
      <w:tr w:rsidR="0089782B" w:rsidRPr="0089782B" w14:paraId="688BCB5F" w14:textId="77777777" w:rsidTr="00967B4C">
        <w:trPr>
          <w:trHeight w:val="336"/>
        </w:trPr>
        <w:tc>
          <w:tcPr>
            <w:tcW w:w="549" w:type="pct"/>
            <w:vMerge w:val="restart"/>
            <w:shd w:val="clear" w:color="auto" w:fill="auto"/>
            <w:vAlign w:val="center"/>
            <w:hideMark/>
          </w:tcPr>
          <w:p w14:paraId="5F0D098D" w14:textId="77777777" w:rsidR="0089782B" w:rsidRPr="00E6140C" w:rsidRDefault="0089782B" w:rsidP="0089782B">
            <w:pPr>
              <w:rPr>
                <w:b/>
                <w:bCs/>
                <w:color w:val="000000"/>
                <w:sz w:val="18"/>
                <w:szCs w:val="18"/>
              </w:rPr>
            </w:pPr>
            <w:r w:rsidRPr="00E6140C">
              <w:rPr>
                <w:b/>
                <w:bCs/>
                <w:color w:val="000000"/>
                <w:sz w:val="18"/>
                <w:szCs w:val="18"/>
              </w:rPr>
              <w:t>West</w:t>
            </w:r>
          </w:p>
        </w:tc>
        <w:tc>
          <w:tcPr>
            <w:tcW w:w="699" w:type="pct"/>
            <w:shd w:val="clear" w:color="auto" w:fill="auto"/>
            <w:vAlign w:val="center"/>
            <w:hideMark/>
          </w:tcPr>
          <w:p w14:paraId="123440D0" w14:textId="77777777" w:rsidR="0089782B" w:rsidRPr="007F0307" w:rsidRDefault="0089782B" w:rsidP="0089782B">
            <w:pPr>
              <w:rPr>
                <w:color w:val="000000"/>
                <w:sz w:val="18"/>
                <w:szCs w:val="18"/>
              </w:rPr>
            </w:pPr>
            <w:r w:rsidRPr="007F0307">
              <w:rPr>
                <w:color w:val="000000"/>
                <w:sz w:val="18"/>
                <w:szCs w:val="18"/>
              </w:rPr>
              <w:t>Clarion</w:t>
            </w:r>
          </w:p>
        </w:tc>
        <w:tc>
          <w:tcPr>
            <w:tcW w:w="544" w:type="pct"/>
            <w:shd w:val="clear" w:color="auto" w:fill="auto"/>
            <w:noWrap/>
            <w:vAlign w:val="center"/>
            <w:hideMark/>
          </w:tcPr>
          <w:p w14:paraId="79A73630" w14:textId="77777777" w:rsidR="0089782B" w:rsidRPr="007F0307" w:rsidRDefault="0089782B" w:rsidP="0089782B">
            <w:pPr>
              <w:rPr>
                <w:color w:val="000000"/>
                <w:sz w:val="18"/>
                <w:szCs w:val="18"/>
              </w:rPr>
            </w:pPr>
            <w:r w:rsidRPr="007F0307">
              <w:rPr>
                <w:color w:val="000000"/>
                <w:sz w:val="18"/>
                <w:szCs w:val="18"/>
              </w:rPr>
              <w:t>200,860</w:t>
            </w:r>
          </w:p>
        </w:tc>
        <w:tc>
          <w:tcPr>
            <w:tcW w:w="586" w:type="pct"/>
            <w:shd w:val="clear" w:color="auto" w:fill="auto"/>
            <w:noWrap/>
            <w:vAlign w:val="center"/>
            <w:hideMark/>
          </w:tcPr>
          <w:p w14:paraId="1ED6CC58"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316A1E04" w14:textId="77777777" w:rsidR="0089782B" w:rsidRPr="007F0307" w:rsidRDefault="0089782B" w:rsidP="0089782B">
            <w:pPr>
              <w:rPr>
                <w:color w:val="000000"/>
                <w:sz w:val="18"/>
                <w:szCs w:val="18"/>
              </w:rPr>
            </w:pPr>
            <w:r w:rsidRPr="007F0307">
              <w:rPr>
                <w:color w:val="000000"/>
                <w:sz w:val="18"/>
                <w:szCs w:val="18"/>
              </w:rPr>
              <w:t>36,293</w:t>
            </w:r>
          </w:p>
        </w:tc>
        <w:tc>
          <w:tcPr>
            <w:tcW w:w="495" w:type="pct"/>
            <w:shd w:val="clear" w:color="auto" w:fill="auto"/>
            <w:noWrap/>
            <w:vAlign w:val="center"/>
            <w:hideMark/>
          </w:tcPr>
          <w:p w14:paraId="4F0E5552" w14:textId="77777777" w:rsidR="0089782B" w:rsidRPr="007F0307" w:rsidRDefault="0089782B" w:rsidP="0089782B">
            <w:pPr>
              <w:rPr>
                <w:color w:val="000000"/>
                <w:sz w:val="18"/>
                <w:szCs w:val="18"/>
              </w:rPr>
            </w:pPr>
            <w:r w:rsidRPr="007F0307">
              <w:rPr>
                <w:color w:val="000000"/>
                <w:sz w:val="18"/>
                <w:szCs w:val="18"/>
              </w:rPr>
              <w:t>6</w:t>
            </w:r>
          </w:p>
        </w:tc>
        <w:tc>
          <w:tcPr>
            <w:tcW w:w="560" w:type="pct"/>
            <w:shd w:val="clear" w:color="auto" w:fill="auto"/>
            <w:noWrap/>
            <w:vAlign w:val="center"/>
            <w:hideMark/>
          </w:tcPr>
          <w:p w14:paraId="73EC0AC5" w14:textId="77777777" w:rsidR="0089782B" w:rsidRPr="007F0307" w:rsidRDefault="0089782B" w:rsidP="0089782B">
            <w:pPr>
              <w:rPr>
                <w:color w:val="000000"/>
                <w:sz w:val="18"/>
                <w:szCs w:val="18"/>
              </w:rPr>
            </w:pPr>
            <w:r w:rsidRPr="007F0307">
              <w:rPr>
                <w:color w:val="000000"/>
                <w:sz w:val="18"/>
                <w:szCs w:val="18"/>
              </w:rPr>
              <w:t>930</w:t>
            </w:r>
          </w:p>
        </w:tc>
        <w:tc>
          <w:tcPr>
            <w:tcW w:w="565" w:type="pct"/>
            <w:shd w:val="clear" w:color="auto" w:fill="auto"/>
            <w:vAlign w:val="center"/>
            <w:hideMark/>
          </w:tcPr>
          <w:p w14:paraId="41661B8E" w14:textId="77777777" w:rsidR="0089782B" w:rsidRPr="007F0307" w:rsidRDefault="0089782B" w:rsidP="0089782B">
            <w:pPr>
              <w:rPr>
                <w:color w:val="000000"/>
                <w:sz w:val="18"/>
                <w:szCs w:val="18"/>
              </w:rPr>
            </w:pPr>
            <w:r w:rsidRPr="007F0307">
              <w:rPr>
                <w:color w:val="000000"/>
                <w:sz w:val="18"/>
                <w:szCs w:val="18"/>
              </w:rPr>
              <w:t>2,157</w:t>
            </w:r>
          </w:p>
        </w:tc>
        <w:tc>
          <w:tcPr>
            <w:tcW w:w="474" w:type="pct"/>
            <w:shd w:val="clear" w:color="auto" w:fill="auto"/>
            <w:noWrap/>
            <w:vAlign w:val="center"/>
            <w:hideMark/>
          </w:tcPr>
          <w:p w14:paraId="053BF753" w14:textId="77777777" w:rsidR="0089782B" w:rsidRPr="007F0307" w:rsidRDefault="0089782B" w:rsidP="0089782B">
            <w:pPr>
              <w:rPr>
                <w:color w:val="000000"/>
                <w:sz w:val="18"/>
                <w:szCs w:val="18"/>
              </w:rPr>
            </w:pPr>
            <w:r w:rsidRPr="007F0307">
              <w:rPr>
                <w:color w:val="000000"/>
                <w:sz w:val="18"/>
                <w:szCs w:val="18"/>
              </w:rPr>
              <w:t>&gt;1930s</w:t>
            </w:r>
          </w:p>
        </w:tc>
      </w:tr>
      <w:tr w:rsidR="0089782B" w:rsidRPr="0089782B" w14:paraId="5CA67D2F" w14:textId="77777777" w:rsidTr="00967B4C">
        <w:trPr>
          <w:trHeight w:val="300"/>
        </w:trPr>
        <w:tc>
          <w:tcPr>
            <w:tcW w:w="549" w:type="pct"/>
            <w:vMerge/>
            <w:vAlign w:val="center"/>
            <w:hideMark/>
          </w:tcPr>
          <w:p w14:paraId="5605D965" w14:textId="77777777" w:rsidR="0089782B" w:rsidRPr="007F0307" w:rsidRDefault="0089782B" w:rsidP="0089782B">
            <w:pPr>
              <w:rPr>
                <w:color w:val="000000"/>
                <w:sz w:val="16"/>
                <w:szCs w:val="16"/>
              </w:rPr>
            </w:pPr>
          </w:p>
        </w:tc>
        <w:tc>
          <w:tcPr>
            <w:tcW w:w="699" w:type="pct"/>
            <w:shd w:val="clear" w:color="auto" w:fill="auto"/>
            <w:vAlign w:val="center"/>
            <w:hideMark/>
          </w:tcPr>
          <w:p w14:paraId="3971E862" w14:textId="77777777" w:rsidR="0089782B" w:rsidRPr="007F0307" w:rsidRDefault="0089782B" w:rsidP="0089782B">
            <w:pPr>
              <w:rPr>
                <w:color w:val="000000"/>
                <w:sz w:val="18"/>
                <w:szCs w:val="18"/>
              </w:rPr>
            </w:pPr>
            <w:r w:rsidRPr="007F0307">
              <w:rPr>
                <w:color w:val="000000"/>
                <w:sz w:val="18"/>
                <w:szCs w:val="18"/>
              </w:rPr>
              <w:t>Claysville</w:t>
            </w:r>
          </w:p>
        </w:tc>
        <w:tc>
          <w:tcPr>
            <w:tcW w:w="544" w:type="pct"/>
            <w:shd w:val="clear" w:color="auto" w:fill="auto"/>
            <w:noWrap/>
            <w:vAlign w:val="center"/>
            <w:hideMark/>
          </w:tcPr>
          <w:p w14:paraId="61ECD8A2" w14:textId="77777777" w:rsidR="0089782B" w:rsidRPr="007F0307" w:rsidRDefault="0089782B" w:rsidP="0089782B">
            <w:pPr>
              <w:rPr>
                <w:color w:val="000000"/>
                <w:sz w:val="18"/>
                <w:szCs w:val="18"/>
              </w:rPr>
            </w:pPr>
            <w:r w:rsidRPr="007F0307">
              <w:rPr>
                <w:color w:val="000000"/>
                <w:sz w:val="18"/>
                <w:szCs w:val="18"/>
              </w:rPr>
              <w:t>62,082</w:t>
            </w:r>
          </w:p>
        </w:tc>
        <w:tc>
          <w:tcPr>
            <w:tcW w:w="586" w:type="pct"/>
            <w:shd w:val="clear" w:color="auto" w:fill="auto"/>
            <w:noWrap/>
            <w:vAlign w:val="center"/>
            <w:hideMark/>
          </w:tcPr>
          <w:p w14:paraId="563FA14E"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621C2119" w14:textId="77777777" w:rsidR="0089782B" w:rsidRPr="007F0307" w:rsidRDefault="0089782B" w:rsidP="0089782B">
            <w:pPr>
              <w:rPr>
                <w:color w:val="000000"/>
                <w:sz w:val="18"/>
                <w:szCs w:val="18"/>
              </w:rPr>
            </w:pPr>
            <w:r w:rsidRPr="007F0307">
              <w:rPr>
                <w:color w:val="000000"/>
                <w:sz w:val="18"/>
                <w:szCs w:val="18"/>
              </w:rPr>
              <w:t>1,149</w:t>
            </w:r>
          </w:p>
        </w:tc>
        <w:tc>
          <w:tcPr>
            <w:tcW w:w="495" w:type="pct"/>
            <w:shd w:val="clear" w:color="auto" w:fill="auto"/>
            <w:noWrap/>
            <w:vAlign w:val="center"/>
            <w:hideMark/>
          </w:tcPr>
          <w:p w14:paraId="6C2EAE45" w14:textId="77777777" w:rsidR="0089782B" w:rsidRPr="007F0307" w:rsidRDefault="0089782B" w:rsidP="0089782B">
            <w:pPr>
              <w:rPr>
                <w:color w:val="000000"/>
                <w:sz w:val="18"/>
                <w:szCs w:val="18"/>
              </w:rPr>
            </w:pPr>
            <w:r w:rsidRPr="007F0307">
              <w:rPr>
                <w:color w:val="000000"/>
                <w:sz w:val="18"/>
                <w:szCs w:val="18"/>
              </w:rPr>
              <w:t>1</w:t>
            </w:r>
          </w:p>
        </w:tc>
        <w:tc>
          <w:tcPr>
            <w:tcW w:w="560" w:type="pct"/>
            <w:shd w:val="clear" w:color="auto" w:fill="auto"/>
            <w:noWrap/>
            <w:vAlign w:val="center"/>
            <w:hideMark/>
          </w:tcPr>
          <w:p w14:paraId="55E08660" w14:textId="77777777" w:rsidR="0089782B" w:rsidRPr="007F0307" w:rsidRDefault="0089782B" w:rsidP="0089782B">
            <w:pPr>
              <w:rPr>
                <w:color w:val="000000"/>
                <w:sz w:val="18"/>
                <w:szCs w:val="18"/>
              </w:rPr>
            </w:pPr>
            <w:r w:rsidRPr="007F0307">
              <w:rPr>
                <w:color w:val="000000"/>
                <w:sz w:val="18"/>
                <w:szCs w:val="18"/>
              </w:rPr>
              <w:t>342</w:t>
            </w:r>
          </w:p>
        </w:tc>
        <w:tc>
          <w:tcPr>
            <w:tcW w:w="565" w:type="pct"/>
            <w:shd w:val="clear" w:color="auto" w:fill="auto"/>
            <w:vAlign w:val="center"/>
            <w:hideMark/>
          </w:tcPr>
          <w:p w14:paraId="218FEDB7" w14:textId="77777777" w:rsidR="0089782B" w:rsidRPr="007F0307" w:rsidRDefault="0089782B" w:rsidP="0089782B">
            <w:pPr>
              <w:rPr>
                <w:color w:val="000000"/>
                <w:sz w:val="18"/>
                <w:szCs w:val="18"/>
              </w:rPr>
            </w:pPr>
            <w:r w:rsidRPr="007F0307">
              <w:rPr>
                <w:color w:val="000000"/>
                <w:sz w:val="18"/>
                <w:szCs w:val="18"/>
              </w:rPr>
              <w:t>503</w:t>
            </w:r>
          </w:p>
        </w:tc>
        <w:tc>
          <w:tcPr>
            <w:tcW w:w="474" w:type="pct"/>
            <w:shd w:val="clear" w:color="auto" w:fill="auto"/>
            <w:noWrap/>
            <w:vAlign w:val="center"/>
            <w:hideMark/>
          </w:tcPr>
          <w:p w14:paraId="299F3AFB" w14:textId="77777777" w:rsidR="0089782B" w:rsidRPr="007F0307" w:rsidRDefault="0089782B" w:rsidP="0089782B">
            <w:pPr>
              <w:rPr>
                <w:color w:val="000000"/>
                <w:sz w:val="18"/>
                <w:szCs w:val="18"/>
              </w:rPr>
            </w:pPr>
            <w:r w:rsidRPr="007F0307">
              <w:rPr>
                <w:color w:val="000000"/>
                <w:sz w:val="18"/>
                <w:szCs w:val="18"/>
              </w:rPr>
              <w:t>&gt;1983</w:t>
            </w:r>
          </w:p>
        </w:tc>
      </w:tr>
      <w:tr w:rsidR="0089782B" w:rsidRPr="0089782B" w14:paraId="40BD7410" w14:textId="77777777" w:rsidTr="00967B4C">
        <w:trPr>
          <w:trHeight w:val="336"/>
        </w:trPr>
        <w:tc>
          <w:tcPr>
            <w:tcW w:w="549" w:type="pct"/>
            <w:vMerge/>
            <w:vAlign w:val="center"/>
            <w:hideMark/>
          </w:tcPr>
          <w:p w14:paraId="7A1D5148" w14:textId="77777777" w:rsidR="0089782B" w:rsidRPr="007F0307" w:rsidRDefault="0089782B" w:rsidP="0089782B">
            <w:pPr>
              <w:rPr>
                <w:color w:val="000000"/>
                <w:sz w:val="16"/>
                <w:szCs w:val="16"/>
              </w:rPr>
            </w:pPr>
          </w:p>
        </w:tc>
        <w:tc>
          <w:tcPr>
            <w:tcW w:w="699" w:type="pct"/>
            <w:shd w:val="clear" w:color="auto" w:fill="auto"/>
            <w:vAlign w:val="center"/>
            <w:hideMark/>
          </w:tcPr>
          <w:p w14:paraId="51C435DC" w14:textId="77777777" w:rsidR="0089782B" w:rsidRPr="007F0307" w:rsidRDefault="0089782B" w:rsidP="0089782B">
            <w:pPr>
              <w:rPr>
                <w:color w:val="000000"/>
                <w:sz w:val="18"/>
                <w:szCs w:val="18"/>
              </w:rPr>
            </w:pPr>
            <w:r w:rsidRPr="007F0307">
              <w:rPr>
                <w:color w:val="000000"/>
                <w:sz w:val="18"/>
                <w:szCs w:val="18"/>
              </w:rPr>
              <w:t>Koppel</w:t>
            </w:r>
          </w:p>
        </w:tc>
        <w:tc>
          <w:tcPr>
            <w:tcW w:w="544" w:type="pct"/>
            <w:shd w:val="clear" w:color="auto" w:fill="auto"/>
            <w:noWrap/>
            <w:vAlign w:val="center"/>
            <w:hideMark/>
          </w:tcPr>
          <w:p w14:paraId="6F5318C1" w14:textId="77777777" w:rsidR="0089782B" w:rsidRPr="007F0307" w:rsidRDefault="0089782B" w:rsidP="0089782B">
            <w:pPr>
              <w:rPr>
                <w:color w:val="000000"/>
                <w:sz w:val="18"/>
                <w:szCs w:val="18"/>
              </w:rPr>
            </w:pPr>
            <w:r w:rsidRPr="007F0307">
              <w:rPr>
                <w:color w:val="000000"/>
                <w:sz w:val="18"/>
                <w:szCs w:val="18"/>
              </w:rPr>
              <w:t>25,909</w:t>
            </w:r>
          </w:p>
        </w:tc>
        <w:tc>
          <w:tcPr>
            <w:tcW w:w="586" w:type="pct"/>
            <w:shd w:val="clear" w:color="auto" w:fill="auto"/>
            <w:noWrap/>
            <w:vAlign w:val="center"/>
            <w:hideMark/>
          </w:tcPr>
          <w:p w14:paraId="61E98A2A"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57665662" w14:textId="77777777" w:rsidR="0089782B" w:rsidRPr="007F0307" w:rsidRDefault="0089782B" w:rsidP="0089782B">
            <w:pPr>
              <w:rPr>
                <w:color w:val="000000"/>
                <w:sz w:val="18"/>
                <w:szCs w:val="18"/>
              </w:rPr>
            </w:pPr>
            <w:r w:rsidRPr="007F0307">
              <w:rPr>
                <w:color w:val="000000"/>
                <w:sz w:val="18"/>
                <w:szCs w:val="18"/>
              </w:rPr>
              <w:t>0</w:t>
            </w:r>
          </w:p>
        </w:tc>
        <w:tc>
          <w:tcPr>
            <w:tcW w:w="495" w:type="pct"/>
            <w:shd w:val="clear" w:color="auto" w:fill="auto"/>
            <w:noWrap/>
            <w:vAlign w:val="center"/>
            <w:hideMark/>
          </w:tcPr>
          <w:p w14:paraId="0C0CC160" w14:textId="77777777" w:rsidR="0089782B" w:rsidRPr="007F0307" w:rsidRDefault="0089782B" w:rsidP="0089782B">
            <w:pPr>
              <w:rPr>
                <w:color w:val="000000"/>
                <w:sz w:val="18"/>
                <w:szCs w:val="18"/>
              </w:rPr>
            </w:pPr>
            <w:r w:rsidRPr="007F0307">
              <w:rPr>
                <w:color w:val="000000"/>
                <w:sz w:val="18"/>
                <w:szCs w:val="18"/>
              </w:rPr>
              <w:t>0</w:t>
            </w:r>
          </w:p>
        </w:tc>
        <w:tc>
          <w:tcPr>
            <w:tcW w:w="560" w:type="pct"/>
            <w:shd w:val="clear" w:color="auto" w:fill="auto"/>
            <w:noWrap/>
            <w:vAlign w:val="center"/>
            <w:hideMark/>
          </w:tcPr>
          <w:p w14:paraId="60633632" w14:textId="77777777" w:rsidR="0089782B" w:rsidRPr="007F0307" w:rsidRDefault="0089782B" w:rsidP="0089782B">
            <w:pPr>
              <w:rPr>
                <w:color w:val="000000"/>
                <w:sz w:val="18"/>
                <w:szCs w:val="18"/>
              </w:rPr>
            </w:pPr>
            <w:r w:rsidRPr="007F0307">
              <w:rPr>
                <w:color w:val="000000"/>
                <w:sz w:val="18"/>
                <w:szCs w:val="18"/>
              </w:rPr>
              <w:t>87</w:t>
            </w:r>
          </w:p>
        </w:tc>
        <w:tc>
          <w:tcPr>
            <w:tcW w:w="565" w:type="pct"/>
            <w:shd w:val="clear" w:color="auto" w:fill="auto"/>
            <w:vAlign w:val="center"/>
            <w:hideMark/>
          </w:tcPr>
          <w:p w14:paraId="59231074" w14:textId="77777777" w:rsidR="0089782B" w:rsidRPr="007F0307" w:rsidRDefault="0089782B" w:rsidP="0089782B">
            <w:pPr>
              <w:rPr>
                <w:color w:val="000000"/>
                <w:sz w:val="18"/>
                <w:szCs w:val="18"/>
              </w:rPr>
            </w:pPr>
            <w:r w:rsidRPr="007F0307">
              <w:rPr>
                <w:color w:val="000000"/>
                <w:sz w:val="18"/>
                <w:szCs w:val="18"/>
              </w:rPr>
              <w:t>351</w:t>
            </w:r>
          </w:p>
        </w:tc>
        <w:tc>
          <w:tcPr>
            <w:tcW w:w="474" w:type="pct"/>
            <w:shd w:val="clear" w:color="auto" w:fill="auto"/>
            <w:noWrap/>
            <w:vAlign w:val="center"/>
            <w:hideMark/>
          </w:tcPr>
          <w:p w14:paraId="313B0862" w14:textId="77777777" w:rsidR="0089782B" w:rsidRPr="007F0307" w:rsidRDefault="0089782B" w:rsidP="0089782B">
            <w:pPr>
              <w:rPr>
                <w:color w:val="000000"/>
                <w:sz w:val="18"/>
                <w:szCs w:val="18"/>
              </w:rPr>
            </w:pPr>
            <w:r w:rsidRPr="007F0307">
              <w:rPr>
                <w:color w:val="000000"/>
                <w:sz w:val="18"/>
                <w:szCs w:val="18"/>
              </w:rPr>
              <w:t>&gt;1920s</w:t>
            </w:r>
          </w:p>
        </w:tc>
      </w:tr>
      <w:tr w:rsidR="0089782B" w:rsidRPr="0089782B" w14:paraId="363700B4" w14:textId="77777777" w:rsidTr="00967B4C">
        <w:trPr>
          <w:trHeight w:val="336"/>
        </w:trPr>
        <w:tc>
          <w:tcPr>
            <w:tcW w:w="549" w:type="pct"/>
            <w:vMerge/>
            <w:vAlign w:val="center"/>
            <w:hideMark/>
          </w:tcPr>
          <w:p w14:paraId="3F1A6932" w14:textId="77777777" w:rsidR="0089782B" w:rsidRPr="007F0307" w:rsidRDefault="0089782B" w:rsidP="0089782B">
            <w:pPr>
              <w:rPr>
                <w:color w:val="000000"/>
                <w:sz w:val="16"/>
                <w:szCs w:val="16"/>
              </w:rPr>
            </w:pPr>
          </w:p>
        </w:tc>
        <w:tc>
          <w:tcPr>
            <w:tcW w:w="699" w:type="pct"/>
            <w:shd w:val="clear" w:color="auto" w:fill="auto"/>
            <w:vAlign w:val="center"/>
            <w:hideMark/>
          </w:tcPr>
          <w:p w14:paraId="734285C4" w14:textId="77777777" w:rsidR="0089782B" w:rsidRPr="007F0307" w:rsidRDefault="0089782B" w:rsidP="0089782B">
            <w:pPr>
              <w:rPr>
                <w:color w:val="000000"/>
                <w:sz w:val="18"/>
                <w:szCs w:val="18"/>
              </w:rPr>
            </w:pPr>
            <w:r w:rsidRPr="007F0307">
              <w:rPr>
                <w:color w:val="000000"/>
                <w:sz w:val="18"/>
                <w:szCs w:val="18"/>
              </w:rPr>
              <w:t>McKeesport</w:t>
            </w:r>
          </w:p>
        </w:tc>
        <w:tc>
          <w:tcPr>
            <w:tcW w:w="544" w:type="pct"/>
            <w:shd w:val="clear" w:color="auto" w:fill="auto"/>
            <w:noWrap/>
            <w:vAlign w:val="center"/>
            <w:hideMark/>
          </w:tcPr>
          <w:p w14:paraId="5A12B1E7" w14:textId="77777777" w:rsidR="0089782B" w:rsidRPr="007F0307" w:rsidRDefault="0089782B" w:rsidP="0089782B">
            <w:pPr>
              <w:rPr>
                <w:color w:val="000000"/>
                <w:sz w:val="18"/>
                <w:szCs w:val="18"/>
              </w:rPr>
            </w:pPr>
            <w:r w:rsidRPr="007F0307">
              <w:rPr>
                <w:color w:val="000000"/>
                <w:sz w:val="18"/>
                <w:szCs w:val="18"/>
              </w:rPr>
              <w:t>73,403</w:t>
            </w:r>
          </w:p>
        </w:tc>
        <w:tc>
          <w:tcPr>
            <w:tcW w:w="586" w:type="pct"/>
            <w:shd w:val="clear" w:color="auto" w:fill="auto"/>
            <w:noWrap/>
            <w:vAlign w:val="center"/>
            <w:hideMark/>
          </w:tcPr>
          <w:p w14:paraId="1A3FD4F2" w14:textId="77777777" w:rsidR="0089782B" w:rsidRPr="007F0307" w:rsidRDefault="0089782B" w:rsidP="0089782B">
            <w:pPr>
              <w:rPr>
                <w:color w:val="000000"/>
                <w:sz w:val="18"/>
                <w:szCs w:val="18"/>
              </w:rPr>
            </w:pPr>
            <w:r w:rsidRPr="007F0307">
              <w:rPr>
                <w:color w:val="000000"/>
                <w:sz w:val="18"/>
                <w:szCs w:val="18"/>
              </w:rPr>
              <w:t>616,877</w:t>
            </w:r>
          </w:p>
        </w:tc>
        <w:tc>
          <w:tcPr>
            <w:tcW w:w="528" w:type="pct"/>
            <w:shd w:val="clear" w:color="auto" w:fill="auto"/>
            <w:noWrap/>
            <w:vAlign w:val="center"/>
            <w:hideMark/>
          </w:tcPr>
          <w:p w14:paraId="1DD8FC37" w14:textId="77777777" w:rsidR="0089782B" w:rsidRPr="007F0307" w:rsidRDefault="0089782B" w:rsidP="0089782B">
            <w:pPr>
              <w:rPr>
                <w:color w:val="000000"/>
                <w:sz w:val="18"/>
                <w:szCs w:val="18"/>
              </w:rPr>
            </w:pPr>
            <w:r w:rsidRPr="007F0307">
              <w:rPr>
                <w:color w:val="000000"/>
                <w:sz w:val="18"/>
                <w:szCs w:val="18"/>
              </w:rPr>
              <w:t>32,731</w:t>
            </w:r>
          </w:p>
        </w:tc>
        <w:tc>
          <w:tcPr>
            <w:tcW w:w="495" w:type="pct"/>
            <w:shd w:val="clear" w:color="auto" w:fill="auto"/>
            <w:noWrap/>
            <w:vAlign w:val="center"/>
            <w:hideMark/>
          </w:tcPr>
          <w:p w14:paraId="28509B94" w14:textId="77777777" w:rsidR="0089782B" w:rsidRPr="007F0307" w:rsidRDefault="0089782B" w:rsidP="0089782B">
            <w:pPr>
              <w:rPr>
                <w:color w:val="000000"/>
                <w:sz w:val="18"/>
                <w:szCs w:val="18"/>
              </w:rPr>
            </w:pPr>
            <w:r w:rsidRPr="007F0307">
              <w:rPr>
                <w:color w:val="000000"/>
                <w:sz w:val="18"/>
                <w:szCs w:val="18"/>
              </w:rPr>
              <w:t>9</w:t>
            </w:r>
          </w:p>
        </w:tc>
        <w:tc>
          <w:tcPr>
            <w:tcW w:w="560" w:type="pct"/>
            <w:shd w:val="clear" w:color="auto" w:fill="auto"/>
            <w:noWrap/>
            <w:vAlign w:val="center"/>
            <w:hideMark/>
          </w:tcPr>
          <w:p w14:paraId="376D4F30" w14:textId="77777777" w:rsidR="0089782B" w:rsidRPr="007F0307" w:rsidRDefault="0089782B" w:rsidP="0089782B">
            <w:pPr>
              <w:rPr>
                <w:color w:val="000000"/>
                <w:sz w:val="18"/>
                <w:szCs w:val="18"/>
              </w:rPr>
            </w:pPr>
            <w:r w:rsidRPr="007F0307">
              <w:rPr>
                <w:color w:val="000000"/>
                <w:sz w:val="18"/>
                <w:szCs w:val="18"/>
              </w:rPr>
              <w:t>3,236</w:t>
            </w:r>
          </w:p>
        </w:tc>
        <w:tc>
          <w:tcPr>
            <w:tcW w:w="565" w:type="pct"/>
            <w:shd w:val="clear" w:color="auto" w:fill="auto"/>
            <w:vAlign w:val="center"/>
            <w:hideMark/>
          </w:tcPr>
          <w:p w14:paraId="7783B6C8" w14:textId="77777777" w:rsidR="0089782B" w:rsidRPr="007F0307" w:rsidRDefault="0089782B" w:rsidP="0089782B">
            <w:pPr>
              <w:rPr>
                <w:color w:val="000000"/>
                <w:sz w:val="18"/>
                <w:szCs w:val="18"/>
              </w:rPr>
            </w:pPr>
            <w:r w:rsidRPr="007F0307">
              <w:rPr>
                <w:color w:val="000000"/>
                <w:sz w:val="18"/>
                <w:szCs w:val="18"/>
              </w:rPr>
              <w:t>8,096</w:t>
            </w:r>
          </w:p>
        </w:tc>
        <w:tc>
          <w:tcPr>
            <w:tcW w:w="474" w:type="pct"/>
            <w:shd w:val="clear" w:color="auto" w:fill="auto"/>
            <w:noWrap/>
            <w:vAlign w:val="center"/>
            <w:hideMark/>
          </w:tcPr>
          <w:p w14:paraId="13080867" w14:textId="77777777" w:rsidR="0089782B" w:rsidRPr="007F0307" w:rsidRDefault="0089782B" w:rsidP="0089782B">
            <w:pPr>
              <w:rPr>
                <w:color w:val="000000"/>
                <w:sz w:val="18"/>
                <w:szCs w:val="18"/>
              </w:rPr>
            </w:pPr>
            <w:r w:rsidRPr="007F0307">
              <w:rPr>
                <w:color w:val="000000"/>
                <w:sz w:val="18"/>
                <w:szCs w:val="18"/>
              </w:rPr>
              <w:t>&gt;1900</w:t>
            </w:r>
          </w:p>
        </w:tc>
      </w:tr>
      <w:tr w:rsidR="0089782B" w:rsidRPr="0089782B" w14:paraId="702D9025" w14:textId="77777777" w:rsidTr="00967B4C">
        <w:trPr>
          <w:trHeight w:val="300"/>
        </w:trPr>
        <w:tc>
          <w:tcPr>
            <w:tcW w:w="549" w:type="pct"/>
            <w:vMerge/>
            <w:vAlign w:val="center"/>
            <w:hideMark/>
          </w:tcPr>
          <w:p w14:paraId="7722D673" w14:textId="77777777" w:rsidR="0089782B" w:rsidRPr="007F0307" w:rsidRDefault="0089782B" w:rsidP="0089782B">
            <w:pPr>
              <w:rPr>
                <w:color w:val="000000"/>
                <w:sz w:val="16"/>
                <w:szCs w:val="16"/>
              </w:rPr>
            </w:pPr>
          </w:p>
        </w:tc>
        <w:tc>
          <w:tcPr>
            <w:tcW w:w="699" w:type="pct"/>
            <w:shd w:val="clear" w:color="auto" w:fill="auto"/>
            <w:vAlign w:val="center"/>
            <w:hideMark/>
          </w:tcPr>
          <w:p w14:paraId="0E89EA8C" w14:textId="77777777" w:rsidR="0089782B" w:rsidRPr="007F0307" w:rsidRDefault="0089782B" w:rsidP="0089782B">
            <w:pPr>
              <w:rPr>
                <w:color w:val="000000"/>
                <w:sz w:val="18"/>
                <w:szCs w:val="18"/>
              </w:rPr>
            </w:pPr>
            <w:r w:rsidRPr="007F0307">
              <w:rPr>
                <w:color w:val="000000"/>
                <w:sz w:val="18"/>
                <w:szCs w:val="18"/>
              </w:rPr>
              <w:t>Dravosburg</w:t>
            </w:r>
          </w:p>
        </w:tc>
        <w:tc>
          <w:tcPr>
            <w:tcW w:w="544" w:type="pct"/>
            <w:shd w:val="clear" w:color="auto" w:fill="auto"/>
            <w:noWrap/>
            <w:vAlign w:val="center"/>
            <w:hideMark/>
          </w:tcPr>
          <w:p w14:paraId="5BF7BE92" w14:textId="77777777" w:rsidR="0089782B" w:rsidRPr="007F0307" w:rsidRDefault="0089782B" w:rsidP="0089782B">
            <w:pPr>
              <w:rPr>
                <w:color w:val="000000"/>
                <w:sz w:val="18"/>
                <w:szCs w:val="18"/>
              </w:rPr>
            </w:pPr>
            <w:r w:rsidRPr="007F0307">
              <w:rPr>
                <w:color w:val="000000"/>
                <w:sz w:val="18"/>
                <w:szCs w:val="18"/>
              </w:rPr>
              <w:t>19,604</w:t>
            </w:r>
          </w:p>
        </w:tc>
        <w:tc>
          <w:tcPr>
            <w:tcW w:w="586" w:type="pct"/>
            <w:shd w:val="clear" w:color="auto" w:fill="auto"/>
            <w:noWrap/>
            <w:vAlign w:val="center"/>
            <w:hideMark/>
          </w:tcPr>
          <w:p w14:paraId="4A56CC58" w14:textId="77777777" w:rsidR="0089782B" w:rsidRPr="007F0307" w:rsidRDefault="0089782B" w:rsidP="0089782B">
            <w:pPr>
              <w:rPr>
                <w:color w:val="000000"/>
                <w:sz w:val="18"/>
                <w:szCs w:val="18"/>
              </w:rPr>
            </w:pPr>
            <w:r w:rsidRPr="007F0307">
              <w:rPr>
                <w:color w:val="000000"/>
                <w:sz w:val="18"/>
                <w:szCs w:val="18"/>
              </w:rPr>
              <w:t>32,544</w:t>
            </w:r>
          </w:p>
        </w:tc>
        <w:tc>
          <w:tcPr>
            <w:tcW w:w="528" w:type="pct"/>
            <w:shd w:val="clear" w:color="auto" w:fill="auto"/>
            <w:noWrap/>
            <w:vAlign w:val="center"/>
            <w:hideMark/>
          </w:tcPr>
          <w:p w14:paraId="7EEA159F" w14:textId="77777777" w:rsidR="0089782B" w:rsidRPr="007F0307" w:rsidRDefault="0089782B" w:rsidP="0089782B">
            <w:pPr>
              <w:rPr>
                <w:color w:val="000000"/>
                <w:sz w:val="18"/>
                <w:szCs w:val="18"/>
              </w:rPr>
            </w:pPr>
            <w:r w:rsidRPr="007F0307">
              <w:rPr>
                <w:color w:val="000000"/>
                <w:sz w:val="18"/>
                <w:szCs w:val="18"/>
              </w:rPr>
              <w:t>1,219</w:t>
            </w:r>
          </w:p>
        </w:tc>
        <w:tc>
          <w:tcPr>
            <w:tcW w:w="495" w:type="pct"/>
            <w:shd w:val="clear" w:color="auto" w:fill="auto"/>
            <w:noWrap/>
            <w:vAlign w:val="center"/>
            <w:hideMark/>
          </w:tcPr>
          <w:p w14:paraId="754C63CD" w14:textId="77777777" w:rsidR="0089782B" w:rsidRPr="007F0307" w:rsidRDefault="0089782B" w:rsidP="0089782B">
            <w:pPr>
              <w:rPr>
                <w:color w:val="000000"/>
                <w:sz w:val="18"/>
                <w:szCs w:val="18"/>
              </w:rPr>
            </w:pPr>
            <w:r w:rsidRPr="007F0307">
              <w:rPr>
                <w:color w:val="000000"/>
                <w:sz w:val="18"/>
                <w:szCs w:val="18"/>
              </w:rPr>
              <w:t>1</w:t>
            </w:r>
          </w:p>
        </w:tc>
        <w:tc>
          <w:tcPr>
            <w:tcW w:w="560" w:type="pct"/>
            <w:shd w:val="clear" w:color="auto" w:fill="auto"/>
            <w:noWrap/>
            <w:vAlign w:val="center"/>
            <w:hideMark/>
          </w:tcPr>
          <w:p w14:paraId="0E9DB72C" w14:textId="77777777" w:rsidR="0089782B" w:rsidRPr="007F0307" w:rsidRDefault="0089782B" w:rsidP="0089782B">
            <w:pPr>
              <w:rPr>
                <w:color w:val="000000"/>
                <w:sz w:val="18"/>
                <w:szCs w:val="18"/>
              </w:rPr>
            </w:pPr>
            <w:r w:rsidRPr="007F0307">
              <w:rPr>
                <w:color w:val="000000"/>
                <w:sz w:val="18"/>
                <w:szCs w:val="18"/>
              </w:rPr>
              <w:t>308</w:t>
            </w:r>
          </w:p>
        </w:tc>
        <w:tc>
          <w:tcPr>
            <w:tcW w:w="565" w:type="pct"/>
            <w:shd w:val="clear" w:color="auto" w:fill="auto"/>
            <w:vAlign w:val="center"/>
            <w:hideMark/>
          </w:tcPr>
          <w:p w14:paraId="5388C4A9" w14:textId="77777777" w:rsidR="0089782B" w:rsidRPr="007F0307" w:rsidRDefault="0089782B" w:rsidP="0089782B">
            <w:pPr>
              <w:rPr>
                <w:color w:val="000000"/>
                <w:sz w:val="18"/>
                <w:szCs w:val="18"/>
              </w:rPr>
            </w:pPr>
            <w:r w:rsidRPr="007F0307">
              <w:rPr>
                <w:color w:val="000000"/>
                <w:sz w:val="18"/>
                <w:szCs w:val="18"/>
              </w:rPr>
              <w:t>625</w:t>
            </w:r>
          </w:p>
        </w:tc>
        <w:tc>
          <w:tcPr>
            <w:tcW w:w="474" w:type="pct"/>
            <w:shd w:val="clear" w:color="auto" w:fill="auto"/>
            <w:noWrap/>
            <w:vAlign w:val="center"/>
            <w:hideMark/>
          </w:tcPr>
          <w:p w14:paraId="40ED71A5" w14:textId="77777777" w:rsidR="0089782B" w:rsidRPr="007F0307" w:rsidRDefault="0089782B" w:rsidP="0089782B">
            <w:pPr>
              <w:rPr>
                <w:color w:val="000000"/>
                <w:sz w:val="18"/>
                <w:szCs w:val="18"/>
              </w:rPr>
            </w:pPr>
            <w:r w:rsidRPr="007F0307">
              <w:rPr>
                <w:color w:val="000000"/>
                <w:sz w:val="18"/>
                <w:szCs w:val="18"/>
              </w:rPr>
              <w:t>&gt;1900</w:t>
            </w:r>
          </w:p>
        </w:tc>
      </w:tr>
      <w:tr w:rsidR="0089782B" w:rsidRPr="0089782B" w14:paraId="074BEE99" w14:textId="77777777" w:rsidTr="00967B4C">
        <w:trPr>
          <w:trHeight w:val="300"/>
        </w:trPr>
        <w:tc>
          <w:tcPr>
            <w:tcW w:w="549" w:type="pct"/>
            <w:vMerge/>
            <w:vAlign w:val="center"/>
            <w:hideMark/>
          </w:tcPr>
          <w:p w14:paraId="1EFFC70A" w14:textId="77777777" w:rsidR="0089782B" w:rsidRPr="007F0307" w:rsidRDefault="0089782B" w:rsidP="0089782B">
            <w:pPr>
              <w:rPr>
                <w:color w:val="000000"/>
                <w:sz w:val="16"/>
                <w:szCs w:val="16"/>
              </w:rPr>
            </w:pPr>
          </w:p>
        </w:tc>
        <w:tc>
          <w:tcPr>
            <w:tcW w:w="699" w:type="pct"/>
            <w:shd w:val="clear" w:color="auto" w:fill="auto"/>
            <w:vAlign w:val="center"/>
            <w:hideMark/>
          </w:tcPr>
          <w:p w14:paraId="55839E2D" w14:textId="77777777" w:rsidR="0089782B" w:rsidRPr="007F0307" w:rsidRDefault="0089782B" w:rsidP="0089782B">
            <w:pPr>
              <w:rPr>
                <w:color w:val="000000"/>
                <w:sz w:val="18"/>
                <w:szCs w:val="18"/>
              </w:rPr>
            </w:pPr>
            <w:r w:rsidRPr="007F0307">
              <w:rPr>
                <w:color w:val="000000"/>
                <w:sz w:val="18"/>
                <w:szCs w:val="18"/>
              </w:rPr>
              <w:t>Duquesne</w:t>
            </w:r>
          </w:p>
        </w:tc>
        <w:tc>
          <w:tcPr>
            <w:tcW w:w="544" w:type="pct"/>
            <w:shd w:val="clear" w:color="auto" w:fill="auto"/>
            <w:noWrap/>
            <w:vAlign w:val="center"/>
            <w:hideMark/>
          </w:tcPr>
          <w:p w14:paraId="3558127E" w14:textId="77777777" w:rsidR="0089782B" w:rsidRPr="007F0307" w:rsidRDefault="0089782B" w:rsidP="0089782B">
            <w:pPr>
              <w:rPr>
                <w:color w:val="000000"/>
                <w:sz w:val="18"/>
                <w:szCs w:val="18"/>
              </w:rPr>
            </w:pPr>
            <w:r w:rsidRPr="007F0307">
              <w:rPr>
                <w:color w:val="000000"/>
                <w:sz w:val="18"/>
                <w:szCs w:val="18"/>
              </w:rPr>
              <w:t>59,963</w:t>
            </w:r>
          </w:p>
        </w:tc>
        <w:tc>
          <w:tcPr>
            <w:tcW w:w="586" w:type="pct"/>
            <w:shd w:val="clear" w:color="auto" w:fill="auto"/>
            <w:noWrap/>
            <w:vAlign w:val="center"/>
            <w:hideMark/>
          </w:tcPr>
          <w:p w14:paraId="0ECA4611" w14:textId="77777777" w:rsidR="0089782B" w:rsidRPr="007F0307" w:rsidRDefault="0089782B" w:rsidP="0089782B">
            <w:pPr>
              <w:rPr>
                <w:color w:val="000000"/>
                <w:sz w:val="18"/>
                <w:szCs w:val="18"/>
              </w:rPr>
            </w:pPr>
            <w:r w:rsidRPr="007F0307">
              <w:rPr>
                <w:color w:val="000000"/>
                <w:sz w:val="18"/>
                <w:szCs w:val="18"/>
              </w:rPr>
              <w:t>124,596</w:t>
            </w:r>
          </w:p>
        </w:tc>
        <w:tc>
          <w:tcPr>
            <w:tcW w:w="528" w:type="pct"/>
            <w:shd w:val="clear" w:color="auto" w:fill="auto"/>
            <w:noWrap/>
            <w:vAlign w:val="center"/>
            <w:hideMark/>
          </w:tcPr>
          <w:p w14:paraId="00EEA8EF" w14:textId="77777777" w:rsidR="0089782B" w:rsidRPr="007F0307" w:rsidRDefault="0089782B" w:rsidP="0089782B">
            <w:pPr>
              <w:rPr>
                <w:color w:val="000000"/>
                <w:sz w:val="18"/>
                <w:szCs w:val="18"/>
              </w:rPr>
            </w:pPr>
            <w:r w:rsidRPr="007F0307">
              <w:rPr>
                <w:color w:val="000000"/>
                <w:sz w:val="18"/>
                <w:szCs w:val="18"/>
              </w:rPr>
              <w:t>0</w:t>
            </w:r>
          </w:p>
        </w:tc>
        <w:tc>
          <w:tcPr>
            <w:tcW w:w="495" w:type="pct"/>
            <w:shd w:val="clear" w:color="auto" w:fill="auto"/>
            <w:noWrap/>
            <w:vAlign w:val="center"/>
            <w:hideMark/>
          </w:tcPr>
          <w:p w14:paraId="5ED3997C" w14:textId="77777777" w:rsidR="0089782B" w:rsidRPr="007F0307" w:rsidRDefault="0089782B" w:rsidP="0089782B">
            <w:pPr>
              <w:rPr>
                <w:color w:val="000000"/>
                <w:sz w:val="18"/>
                <w:szCs w:val="18"/>
              </w:rPr>
            </w:pPr>
            <w:r w:rsidRPr="007F0307">
              <w:rPr>
                <w:color w:val="000000"/>
                <w:sz w:val="18"/>
                <w:szCs w:val="18"/>
              </w:rPr>
              <w:t>0</w:t>
            </w:r>
          </w:p>
        </w:tc>
        <w:tc>
          <w:tcPr>
            <w:tcW w:w="560" w:type="pct"/>
            <w:shd w:val="clear" w:color="auto" w:fill="auto"/>
            <w:noWrap/>
            <w:vAlign w:val="center"/>
            <w:hideMark/>
          </w:tcPr>
          <w:p w14:paraId="76B420E2" w14:textId="77777777" w:rsidR="0089782B" w:rsidRPr="007F0307" w:rsidRDefault="0089782B" w:rsidP="0089782B">
            <w:pPr>
              <w:rPr>
                <w:color w:val="000000"/>
                <w:sz w:val="18"/>
                <w:szCs w:val="18"/>
              </w:rPr>
            </w:pPr>
            <w:r w:rsidRPr="007F0307">
              <w:rPr>
                <w:color w:val="000000"/>
                <w:sz w:val="18"/>
                <w:szCs w:val="18"/>
              </w:rPr>
              <w:t>1,125</w:t>
            </w:r>
          </w:p>
        </w:tc>
        <w:tc>
          <w:tcPr>
            <w:tcW w:w="565" w:type="pct"/>
            <w:shd w:val="clear" w:color="auto" w:fill="auto"/>
            <w:vAlign w:val="center"/>
            <w:hideMark/>
          </w:tcPr>
          <w:p w14:paraId="775E668C" w14:textId="77777777" w:rsidR="0089782B" w:rsidRPr="007F0307" w:rsidRDefault="0089782B" w:rsidP="0089782B">
            <w:pPr>
              <w:rPr>
                <w:color w:val="000000"/>
                <w:sz w:val="18"/>
                <w:szCs w:val="18"/>
              </w:rPr>
            </w:pPr>
            <w:r w:rsidRPr="007F0307">
              <w:rPr>
                <w:color w:val="000000"/>
                <w:sz w:val="18"/>
                <w:szCs w:val="18"/>
              </w:rPr>
              <w:t>1.840</w:t>
            </w:r>
          </w:p>
        </w:tc>
        <w:tc>
          <w:tcPr>
            <w:tcW w:w="474" w:type="pct"/>
            <w:shd w:val="clear" w:color="auto" w:fill="auto"/>
            <w:noWrap/>
            <w:vAlign w:val="center"/>
            <w:hideMark/>
          </w:tcPr>
          <w:p w14:paraId="7B911127" w14:textId="77777777" w:rsidR="0089782B" w:rsidRPr="007F0307" w:rsidRDefault="0089782B" w:rsidP="0089782B">
            <w:pPr>
              <w:rPr>
                <w:color w:val="000000"/>
                <w:sz w:val="18"/>
                <w:szCs w:val="18"/>
              </w:rPr>
            </w:pPr>
            <w:r w:rsidRPr="007F0307">
              <w:rPr>
                <w:color w:val="000000"/>
                <w:sz w:val="18"/>
                <w:szCs w:val="18"/>
              </w:rPr>
              <w:t>&gt;1900</w:t>
            </w:r>
          </w:p>
        </w:tc>
      </w:tr>
      <w:tr w:rsidR="0089782B" w:rsidRPr="0089782B" w14:paraId="3434C669" w14:textId="77777777" w:rsidTr="00967B4C">
        <w:trPr>
          <w:trHeight w:val="300"/>
        </w:trPr>
        <w:tc>
          <w:tcPr>
            <w:tcW w:w="549" w:type="pct"/>
            <w:vMerge/>
            <w:vAlign w:val="center"/>
            <w:hideMark/>
          </w:tcPr>
          <w:p w14:paraId="070D0694" w14:textId="77777777" w:rsidR="0089782B" w:rsidRPr="007F0307" w:rsidRDefault="0089782B" w:rsidP="0089782B">
            <w:pPr>
              <w:rPr>
                <w:color w:val="000000"/>
                <w:sz w:val="16"/>
                <w:szCs w:val="16"/>
              </w:rPr>
            </w:pPr>
          </w:p>
        </w:tc>
        <w:tc>
          <w:tcPr>
            <w:tcW w:w="699" w:type="pct"/>
            <w:shd w:val="clear" w:color="auto" w:fill="auto"/>
            <w:vAlign w:val="center"/>
            <w:hideMark/>
          </w:tcPr>
          <w:p w14:paraId="19C20893" w14:textId="77777777" w:rsidR="0089782B" w:rsidRPr="007F0307" w:rsidRDefault="0089782B" w:rsidP="0089782B">
            <w:pPr>
              <w:rPr>
                <w:color w:val="000000"/>
                <w:sz w:val="18"/>
                <w:szCs w:val="18"/>
              </w:rPr>
            </w:pPr>
            <w:r w:rsidRPr="007F0307">
              <w:rPr>
                <w:color w:val="000000"/>
                <w:sz w:val="18"/>
                <w:szCs w:val="18"/>
              </w:rPr>
              <w:t>Paint-Elk</w:t>
            </w:r>
          </w:p>
        </w:tc>
        <w:tc>
          <w:tcPr>
            <w:tcW w:w="544" w:type="pct"/>
            <w:shd w:val="clear" w:color="auto" w:fill="auto"/>
            <w:noWrap/>
            <w:vAlign w:val="center"/>
            <w:hideMark/>
          </w:tcPr>
          <w:p w14:paraId="43CFBAB5" w14:textId="77777777" w:rsidR="0089782B" w:rsidRPr="007F0307" w:rsidRDefault="0089782B" w:rsidP="0089782B">
            <w:pPr>
              <w:rPr>
                <w:color w:val="000000"/>
                <w:sz w:val="18"/>
                <w:szCs w:val="18"/>
              </w:rPr>
            </w:pPr>
            <w:r w:rsidRPr="007F0307">
              <w:rPr>
                <w:color w:val="000000"/>
                <w:sz w:val="18"/>
                <w:szCs w:val="18"/>
              </w:rPr>
              <w:t>89,425</w:t>
            </w:r>
          </w:p>
        </w:tc>
        <w:tc>
          <w:tcPr>
            <w:tcW w:w="586" w:type="pct"/>
            <w:shd w:val="clear" w:color="auto" w:fill="auto"/>
            <w:noWrap/>
            <w:vAlign w:val="center"/>
            <w:hideMark/>
          </w:tcPr>
          <w:p w14:paraId="133A7A4A" w14:textId="77777777" w:rsidR="0089782B" w:rsidRPr="007F0307" w:rsidRDefault="0089782B" w:rsidP="0089782B">
            <w:pPr>
              <w:rPr>
                <w:color w:val="000000"/>
                <w:sz w:val="18"/>
                <w:szCs w:val="18"/>
              </w:rPr>
            </w:pPr>
            <w:r w:rsidRPr="007F0307">
              <w:rPr>
                <w:color w:val="000000"/>
                <w:sz w:val="18"/>
                <w:szCs w:val="18"/>
              </w:rPr>
              <w:t>0</w:t>
            </w:r>
          </w:p>
        </w:tc>
        <w:tc>
          <w:tcPr>
            <w:tcW w:w="528" w:type="pct"/>
            <w:shd w:val="clear" w:color="auto" w:fill="auto"/>
            <w:noWrap/>
            <w:vAlign w:val="center"/>
            <w:hideMark/>
          </w:tcPr>
          <w:p w14:paraId="457215C4" w14:textId="77777777" w:rsidR="0089782B" w:rsidRPr="007F0307" w:rsidRDefault="0089782B" w:rsidP="0089782B">
            <w:pPr>
              <w:rPr>
                <w:color w:val="000000"/>
                <w:sz w:val="18"/>
                <w:szCs w:val="18"/>
              </w:rPr>
            </w:pPr>
            <w:r w:rsidRPr="007F0307">
              <w:rPr>
                <w:color w:val="000000"/>
                <w:sz w:val="18"/>
                <w:szCs w:val="18"/>
              </w:rPr>
              <w:t>21,310</w:t>
            </w:r>
          </w:p>
        </w:tc>
        <w:tc>
          <w:tcPr>
            <w:tcW w:w="495" w:type="pct"/>
            <w:shd w:val="clear" w:color="auto" w:fill="auto"/>
            <w:noWrap/>
            <w:vAlign w:val="center"/>
            <w:hideMark/>
          </w:tcPr>
          <w:p w14:paraId="44B9D279" w14:textId="77777777" w:rsidR="0089782B" w:rsidRPr="007F0307" w:rsidRDefault="0089782B" w:rsidP="0089782B">
            <w:pPr>
              <w:rPr>
                <w:color w:val="000000"/>
                <w:sz w:val="18"/>
                <w:szCs w:val="18"/>
              </w:rPr>
            </w:pPr>
            <w:r w:rsidRPr="007F0307">
              <w:rPr>
                <w:color w:val="000000"/>
                <w:sz w:val="18"/>
                <w:szCs w:val="18"/>
              </w:rPr>
              <w:t>5</w:t>
            </w:r>
          </w:p>
        </w:tc>
        <w:tc>
          <w:tcPr>
            <w:tcW w:w="560" w:type="pct"/>
            <w:shd w:val="clear" w:color="auto" w:fill="auto"/>
            <w:noWrap/>
            <w:vAlign w:val="center"/>
            <w:hideMark/>
          </w:tcPr>
          <w:p w14:paraId="27CC56BB" w14:textId="77777777" w:rsidR="0089782B" w:rsidRPr="007F0307" w:rsidRDefault="0089782B" w:rsidP="0089782B">
            <w:pPr>
              <w:rPr>
                <w:color w:val="000000"/>
                <w:sz w:val="18"/>
                <w:szCs w:val="18"/>
              </w:rPr>
            </w:pPr>
            <w:r w:rsidRPr="007F0307">
              <w:rPr>
                <w:color w:val="000000"/>
                <w:sz w:val="18"/>
                <w:szCs w:val="18"/>
              </w:rPr>
              <w:t>432</w:t>
            </w:r>
          </w:p>
        </w:tc>
        <w:tc>
          <w:tcPr>
            <w:tcW w:w="565" w:type="pct"/>
            <w:shd w:val="clear" w:color="auto" w:fill="auto"/>
            <w:vAlign w:val="center"/>
            <w:hideMark/>
          </w:tcPr>
          <w:p w14:paraId="6528178D" w14:textId="77777777" w:rsidR="0089782B" w:rsidRPr="007F0307" w:rsidRDefault="0089782B" w:rsidP="0089782B">
            <w:pPr>
              <w:rPr>
                <w:color w:val="000000"/>
                <w:sz w:val="18"/>
                <w:szCs w:val="18"/>
              </w:rPr>
            </w:pPr>
            <w:r w:rsidRPr="007F0307">
              <w:rPr>
                <w:color w:val="000000"/>
                <w:sz w:val="18"/>
                <w:szCs w:val="18"/>
              </w:rPr>
              <w:t>660</w:t>
            </w:r>
          </w:p>
        </w:tc>
        <w:tc>
          <w:tcPr>
            <w:tcW w:w="474" w:type="pct"/>
            <w:shd w:val="clear" w:color="auto" w:fill="auto"/>
            <w:noWrap/>
            <w:vAlign w:val="center"/>
            <w:hideMark/>
          </w:tcPr>
          <w:p w14:paraId="4E1C7156" w14:textId="77777777" w:rsidR="0089782B" w:rsidRPr="007F0307" w:rsidRDefault="0089782B" w:rsidP="0089782B">
            <w:pPr>
              <w:rPr>
                <w:color w:val="000000"/>
                <w:sz w:val="18"/>
                <w:szCs w:val="18"/>
              </w:rPr>
            </w:pPr>
            <w:r w:rsidRPr="007F0307">
              <w:rPr>
                <w:color w:val="000000"/>
                <w:sz w:val="18"/>
                <w:szCs w:val="18"/>
              </w:rPr>
              <w:t>&gt;1960s</w:t>
            </w:r>
          </w:p>
        </w:tc>
      </w:tr>
      <w:tr w:rsidR="0089782B" w:rsidRPr="0089782B" w14:paraId="06FA83F6" w14:textId="77777777" w:rsidTr="00967B4C">
        <w:trPr>
          <w:trHeight w:val="300"/>
        </w:trPr>
        <w:tc>
          <w:tcPr>
            <w:tcW w:w="1248" w:type="pct"/>
            <w:gridSpan w:val="2"/>
            <w:shd w:val="clear" w:color="auto" w:fill="auto"/>
            <w:noWrap/>
            <w:vAlign w:val="center"/>
            <w:hideMark/>
          </w:tcPr>
          <w:p w14:paraId="67AC7FA3" w14:textId="77777777" w:rsidR="0089782B" w:rsidRPr="00E6140C" w:rsidRDefault="0089782B" w:rsidP="0089782B">
            <w:pPr>
              <w:rPr>
                <w:b/>
                <w:bCs/>
                <w:color w:val="000000"/>
                <w:sz w:val="18"/>
                <w:szCs w:val="18"/>
              </w:rPr>
            </w:pPr>
            <w:r w:rsidRPr="00E6140C">
              <w:rPr>
                <w:b/>
                <w:bCs/>
                <w:color w:val="000000"/>
                <w:sz w:val="18"/>
                <w:szCs w:val="18"/>
              </w:rPr>
              <w:t>TOTAL</w:t>
            </w:r>
          </w:p>
        </w:tc>
        <w:tc>
          <w:tcPr>
            <w:tcW w:w="544" w:type="pct"/>
            <w:shd w:val="clear" w:color="auto" w:fill="auto"/>
            <w:noWrap/>
            <w:vAlign w:val="center"/>
            <w:hideMark/>
          </w:tcPr>
          <w:p w14:paraId="5FA973B8" w14:textId="77777777" w:rsidR="0089782B" w:rsidRPr="007F0307" w:rsidRDefault="0089782B" w:rsidP="0089782B">
            <w:pPr>
              <w:rPr>
                <w:color w:val="000000"/>
                <w:sz w:val="18"/>
                <w:szCs w:val="18"/>
              </w:rPr>
            </w:pPr>
            <w:r w:rsidRPr="007F0307">
              <w:rPr>
                <w:color w:val="000000"/>
                <w:sz w:val="18"/>
                <w:szCs w:val="18"/>
              </w:rPr>
              <w:t>2,195,241</w:t>
            </w:r>
          </w:p>
        </w:tc>
        <w:tc>
          <w:tcPr>
            <w:tcW w:w="586" w:type="pct"/>
            <w:shd w:val="clear" w:color="auto" w:fill="auto"/>
            <w:noWrap/>
            <w:vAlign w:val="center"/>
            <w:hideMark/>
          </w:tcPr>
          <w:p w14:paraId="02C93C14" w14:textId="77777777" w:rsidR="0089782B" w:rsidRPr="007F0307" w:rsidRDefault="0089782B" w:rsidP="0089782B">
            <w:pPr>
              <w:rPr>
                <w:color w:val="000000"/>
                <w:sz w:val="18"/>
                <w:szCs w:val="18"/>
              </w:rPr>
            </w:pPr>
            <w:r w:rsidRPr="007F0307">
              <w:rPr>
                <w:color w:val="000000"/>
                <w:sz w:val="18"/>
                <w:szCs w:val="18"/>
              </w:rPr>
              <w:t>1,960,837</w:t>
            </w:r>
          </w:p>
        </w:tc>
        <w:tc>
          <w:tcPr>
            <w:tcW w:w="528" w:type="pct"/>
            <w:shd w:val="clear" w:color="auto" w:fill="auto"/>
            <w:noWrap/>
            <w:vAlign w:val="center"/>
            <w:hideMark/>
          </w:tcPr>
          <w:p w14:paraId="7D1283C2" w14:textId="77777777" w:rsidR="0089782B" w:rsidRPr="007F0307" w:rsidRDefault="0089782B" w:rsidP="0089782B">
            <w:pPr>
              <w:rPr>
                <w:color w:val="000000"/>
                <w:sz w:val="18"/>
                <w:szCs w:val="18"/>
              </w:rPr>
            </w:pPr>
            <w:r w:rsidRPr="007F0307">
              <w:rPr>
                <w:color w:val="000000"/>
                <w:sz w:val="18"/>
                <w:szCs w:val="18"/>
              </w:rPr>
              <w:t>715,902</w:t>
            </w:r>
          </w:p>
        </w:tc>
        <w:tc>
          <w:tcPr>
            <w:tcW w:w="495" w:type="pct"/>
            <w:shd w:val="clear" w:color="auto" w:fill="auto"/>
            <w:noWrap/>
            <w:vAlign w:val="center"/>
            <w:hideMark/>
          </w:tcPr>
          <w:p w14:paraId="4A55A808" w14:textId="77777777" w:rsidR="0089782B" w:rsidRPr="007F0307" w:rsidRDefault="0089782B" w:rsidP="0089782B">
            <w:pPr>
              <w:rPr>
                <w:color w:val="000000"/>
                <w:sz w:val="18"/>
                <w:szCs w:val="18"/>
              </w:rPr>
            </w:pPr>
            <w:r w:rsidRPr="007F0307">
              <w:rPr>
                <w:color w:val="000000"/>
                <w:sz w:val="18"/>
                <w:szCs w:val="18"/>
              </w:rPr>
              <w:t>95</w:t>
            </w:r>
          </w:p>
        </w:tc>
        <w:tc>
          <w:tcPr>
            <w:tcW w:w="560" w:type="pct"/>
            <w:shd w:val="clear" w:color="auto" w:fill="auto"/>
            <w:noWrap/>
            <w:vAlign w:val="center"/>
            <w:hideMark/>
          </w:tcPr>
          <w:p w14:paraId="531C23BB" w14:textId="77777777" w:rsidR="0089782B" w:rsidRPr="007F0307" w:rsidRDefault="0089782B" w:rsidP="0089782B">
            <w:pPr>
              <w:rPr>
                <w:color w:val="000000"/>
                <w:sz w:val="18"/>
                <w:szCs w:val="18"/>
              </w:rPr>
            </w:pPr>
            <w:r w:rsidRPr="007F0307">
              <w:rPr>
                <w:color w:val="000000"/>
                <w:sz w:val="18"/>
                <w:szCs w:val="18"/>
              </w:rPr>
              <w:t>20,874</w:t>
            </w:r>
          </w:p>
        </w:tc>
        <w:tc>
          <w:tcPr>
            <w:tcW w:w="565" w:type="pct"/>
            <w:shd w:val="clear" w:color="auto" w:fill="auto"/>
            <w:noWrap/>
            <w:vAlign w:val="center"/>
            <w:hideMark/>
          </w:tcPr>
          <w:p w14:paraId="79939B31" w14:textId="77777777" w:rsidR="0089782B" w:rsidRPr="007F0307" w:rsidRDefault="0089782B" w:rsidP="0089782B">
            <w:pPr>
              <w:rPr>
                <w:color w:val="000000"/>
                <w:sz w:val="18"/>
                <w:szCs w:val="18"/>
              </w:rPr>
            </w:pPr>
            <w:r w:rsidRPr="007F0307">
              <w:rPr>
                <w:color w:val="000000"/>
                <w:sz w:val="18"/>
                <w:szCs w:val="18"/>
              </w:rPr>
              <w:t>65,139</w:t>
            </w:r>
          </w:p>
        </w:tc>
        <w:tc>
          <w:tcPr>
            <w:tcW w:w="474" w:type="pct"/>
            <w:shd w:val="clear" w:color="auto" w:fill="auto"/>
            <w:noWrap/>
            <w:vAlign w:val="center"/>
            <w:hideMark/>
          </w:tcPr>
          <w:p w14:paraId="2EB593F9" w14:textId="77777777" w:rsidR="0089782B" w:rsidRPr="007F0307" w:rsidRDefault="0089782B" w:rsidP="0089782B">
            <w:pPr>
              <w:rPr>
                <w:color w:val="000000"/>
                <w:sz w:val="18"/>
                <w:szCs w:val="18"/>
              </w:rPr>
            </w:pPr>
            <w:r w:rsidRPr="007F0307">
              <w:rPr>
                <w:color w:val="000000"/>
                <w:sz w:val="18"/>
                <w:szCs w:val="18"/>
              </w:rPr>
              <w:t> </w:t>
            </w:r>
          </w:p>
        </w:tc>
      </w:tr>
    </w:tbl>
    <w:p w14:paraId="1799D59E" w14:textId="4410E255" w:rsidR="00CA73CA" w:rsidRPr="00D364C3" w:rsidRDefault="2315FA41" w:rsidP="0089782B">
      <w:pPr>
        <w:rPr>
          <w:sz w:val="26"/>
          <w:szCs w:val="26"/>
        </w:rPr>
      </w:pPr>
      <w:r w:rsidRPr="2315FA41">
        <w:rPr>
          <w:sz w:val="26"/>
          <w:szCs w:val="26"/>
        </w:rPr>
        <w:t>* PAWC-WD is not including the customer-owned portion of the service lateral as DSIC eligible property.  Only the portion of the service lateral owned by PAWC-WD is included in the scope of replacement/rehabilitation.</w:t>
      </w:r>
    </w:p>
    <w:p w14:paraId="47B49DEF" w14:textId="77777777" w:rsidR="00604EE2" w:rsidRPr="007F0307" w:rsidRDefault="00604EE2" w:rsidP="0089782B">
      <w:pPr>
        <w:rPr>
          <w:sz w:val="20"/>
          <w:szCs w:val="20"/>
        </w:rPr>
      </w:pPr>
    </w:p>
    <w:p w14:paraId="459CD746" w14:textId="005ACE08" w:rsidR="000E6C91" w:rsidRDefault="000E6C91" w:rsidP="0089782B">
      <w:pPr>
        <w:rPr>
          <w:sz w:val="18"/>
          <w:szCs w:val="18"/>
        </w:rPr>
      </w:pPr>
    </w:p>
    <w:p w14:paraId="369EC839" w14:textId="0473F8D8" w:rsidR="001602E3" w:rsidRDefault="001602E3" w:rsidP="0089782B">
      <w:pPr>
        <w:rPr>
          <w:sz w:val="18"/>
          <w:szCs w:val="18"/>
        </w:rPr>
      </w:pPr>
    </w:p>
    <w:p w14:paraId="701E38ED" w14:textId="527AE0B8" w:rsidR="001602E3" w:rsidRDefault="001602E3" w:rsidP="0089782B">
      <w:pPr>
        <w:rPr>
          <w:sz w:val="18"/>
          <w:szCs w:val="18"/>
        </w:rPr>
      </w:pPr>
    </w:p>
    <w:p w14:paraId="4F0BE02A" w14:textId="15A385A0" w:rsidR="001602E3" w:rsidRDefault="001602E3" w:rsidP="0089782B">
      <w:pPr>
        <w:rPr>
          <w:sz w:val="18"/>
          <w:szCs w:val="18"/>
        </w:rPr>
      </w:pPr>
    </w:p>
    <w:p w14:paraId="3D4A00D9" w14:textId="5B0F67BC" w:rsidR="001602E3" w:rsidRDefault="001602E3" w:rsidP="0089782B">
      <w:pPr>
        <w:rPr>
          <w:sz w:val="18"/>
          <w:szCs w:val="18"/>
        </w:rPr>
      </w:pPr>
    </w:p>
    <w:p w14:paraId="790B8E81" w14:textId="4B66EAB1" w:rsidR="001602E3" w:rsidRDefault="001602E3" w:rsidP="0089782B">
      <w:pPr>
        <w:rPr>
          <w:sz w:val="18"/>
          <w:szCs w:val="18"/>
        </w:rPr>
      </w:pPr>
    </w:p>
    <w:p w14:paraId="46465DA5" w14:textId="77777777" w:rsidR="001602E3" w:rsidRDefault="001602E3" w:rsidP="0089782B">
      <w:pPr>
        <w:rPr>
          <w:sz w:val="18"/>
          <w:szCs w:val="18"/>
        </w:rPr>
      </w:pPr>
    </w:p>
    <w:p w14:paraId="0D3411A2" w14:textId="219534BE" w:rsidR="00991179" w:rsidRDefault="00991179" w:rsidP="0089782B">
      <w:pPr>
        <w:rPr>
          <w:sz w:val="18"/>
          <w:szCs w:val="18"/>
        </w:rPr>
      </w:pPr>
    </w:p>
    <w:p w14:paraId="74151C09" w14:textId="68E17C41" w:rsidR="00991179" w:rsidRDefault="00991179" w:rsidP="0089782B">
      <w:pPr>
        <w:rPr>
          <w:sz w:val="18"/>
          <w:szCs w:val="18"/>
        </w:rPr>
      </w:pPr>
    </w:p>
    <w:p w14:paraId="2D68B48A" w14:textId="24E2CD54" w:rsidR="00991179" w:rsidRDefault="00991179" w:rsidP="0089782B">
      <w:pPr>
        <w:rPr>
          <w:sz w:val="18"/>
          <w:szCs w:val="18"/>
        </w:rPr>
      </w:pPr>
    </w:p>
    <w:p w14:paraId="2BEBD606" w14:textId="77777777" w:rsidR="00991179" w:rsidRPr="0089782B" w:rsidRDefault="00991179" w:rsidP="0089782B">
      <w:pPr>
        <w:rPr>
          <w:sz w:val="18"/>
          <w:szCs w:val="18"/>
        </w:rPr>
      </w:pPr>
    </w:p>
    <w:p w14:paraId="0EB8F8BC" w14:textId="78253F6D" w:rsidR="0089782B" w:rsidRDefault="2315FA41" w:rsidP="0089782B">
      <w:pPr>
        <w:pStyle w:val="p2"/>
        <w:widowControl/>
        <w:tabs>
          <w:tab w:val="clear" w:pos="1445"/>
          <w:tab w:val="left" w:pos="720"/>
        </w:tabs>
        <w:spacing w:line="360" w:lineRule="auto"/>
        <w:ind w:firstLine="0"/>
        <w:rPr>
          <w:b/>
          <w:bCs/>
          <w:sz w:val="26"/>
          <w:szCs w:val="26"/>
        </w:rPr>
      </w:pPr>
      <w:r w:rsidRPr="2315FA41">
        <w:rPr>
          <w:b/>
          <w:bCs/>
          <w:sz w:val="26"/>
          <w:szCs w:val="26"/>
        </w:rPr>
        <w:lastRenderedPageBreak/>
        <w:t>Table 2 – Types of Eligible Property for Combined Sewer Systems</w:t>
      </w:r>
    </w:p>
    <w:tbl>
      <w:tblPr>
        <w:tblStyle w:val="TableGrid"/>
        <w:tblW w:w="0" w:type="auto"/>
        <w:tblLook w:val="04A0" w:firstRow="1" w:lastRow="0" w:firstColumn="1" w:lastColumn="0" w:noHBand="0" w:noVBand="1"/>
      </w:tblPr>
      <w:tblGrid>
        <w:gridCol w:w="2337"/>
        <w:gridCol w:w="2337"/>
        <w:gridCol w:w="2338"/>
        <w:gridCol w:w="2338"/>
      </w:tblGrid>
      <w:tr w:rsidR="0089782B" w14:paraId="336E9E09" w14:textId="77777777" w:rsidTr="00967B4C">
        <w:trPr>
          <w:trHeight w:val="476"/>
        </w:trPr>
        <w:tc>
          <w:tcPr>
            <w:tcW w:w="2337" w:type="dxa"/>
            <w:vAlign w:val="center"/>
          </w:tcPr>
          <w:p w14:paraId="4D30AD91" w14:textId="77777777" w:rsidR="0089782B" w:rsidRPr="002A6A53" w:rsidRDefault="0089782B" w:rsidP="00E6140C">
            <w:pPr>
              <w:rPr>
                <w:b/>
              </w:rPr>
            </w:pPr>
            <w:r w:rsidRPr="002A6A53">
              <w:rPr>
                <w:b/>
              </w:rPr>
              <w:t>System</w:t>
            </w:r>
          </w:p>
        </w:tc>
        <w:tc>
          <w:tcPr>
            <w:tcW w:w="2337" w:type="dxa"/>
            <w:vAlign w:val="center"/>
          </w:tcPr>
          <w:p w14:paraId="5F7F84BE" w14:textId="77777777" w:rsidR="0089782B" w:rsidRPr="002A6A53" w:rsidRDefault="0089782B" w:rsidP="00E6140C">
            <w:pPr>
              <w:jc w:val="center"/>
              <w:rPr>
                <w:b/>
              </w:rPr>
            </w:pPr>
            <w:r w:rsidRPr="002A6A53">
              <w:rPr>
                <w:b/>
              </w:rPr>
              <w:t>CSO Structures</w:t>
            </w:r>
          </w:p>
        </w:tc>
        <w:tc>
          <w:tcPr>
            <w:tcW w:w="2338" w:type="dxa"/>
            <w:vAlign w:val="center"/>
          </w:tcPr>
          <w:p w14:paraId="3A144A89" w14:textId="77777777" w:rsidR="0089782B" w:rsidRPr="002A6A53" w:rsidRDefault="0089782B" w:rsidP="00E6140C">
            <w:pPr>
              <w:rPr>
                <w:b/>
              </w:rPr>
            </w:pPr>
            <w:r w:rsidRPr="002A6A53">
              <w:rPr>
                <w:b/>
              </w:rPr>
              <w:t>Diversion Chambers</w:t>
            </w:r>
          </w:p>
        </w:tc>
        <w:tc>
          <w:tcPr>
            <w:tcW w:w="2338" w:type="dxa"/>
            <w:vAlign w:val="center"/>
          </w:tcPr>
          <w:p w14:paraId="377C379F" w14:textId="44609E1C" w:rsidR="0089782B" w:rsidRPr="002A6A53" w:rsidRDefault="0089782B" w:rsidP="00E6140C">
            <w:pPr>
              <w:rPr>
                <w:b/>
              </w:rPr>
            </w:pPr>
            <w:r w:rsidRPr="002A6A53">
              <w:rPr>
                <w:b/>
              </w:rPr>
              <w:t>Inlets / Catch</w:t>
            </w:r>
            <w:r>
              <w:rPr>
                <w:b/>
              </w:rPr>
              <w:t xml:space="preserve"> B</w:t>
            </w:r>
            <w:r w:rsidRPr="002A6A53">
              <w:rPr>
                <w:b/>
              </w:rPr>
              <w:t>asins</w:t>
            </w:r>
          </w:p>
        </w:tc>
      </w:tr>
      <w:tr w:rsidR="0089782B" w14:paraId="10FB29A4" w14:textId="77777777" w:rsidTr="00967B4C">
        <w:tc>
          <w:tcPr>
            <w:tcW w:w="2337" w:type="dxa"/>
            <w:vAlign w:val="center"/>
          </w:tcPr>
          <w:p w14:paraId="35B19FDA" w14:textId="77777777" w:rsidR="0089782B" w:rsidRPr="002A6A53" w:rsidRDefault="0089782B" w:rsidP="00E6140C">
            <w:r w:rsidRPr="002A6A53">
              <w:t>Scranton</w:t>
            </w:r>
          </w:p>
        </w:tc>
        <w:tc>
          <w:tcPr>
            <w:tcW w:w="2337" w:type="dxa"/>
            <w:vAlign w:val="center"/>
          </w:tcPr>
          <w:p w14:paraId="7A4E4D33" w14:textId="77777777" w:rsidR="0089782B" w:rsidRPr="002A6A53" w:rsidRDefault="0089782B" w:rsidP="00E6140C">
            <w:pPr>
              <w:jc w:val="center"/>
            </w:pPr>
            <w:r w:rsidRPr="002A6A53">
              <w:t>70</w:t>
            </w:r>
          </w:p>
        </w:tc>
        <w:tc>
          <w:tcPr>
            <w:tcW w:w="2338" w:type="dxa"/>
            <w:vAlign w:val="center"/>
          </w:tcPr>
          <w:p w14:paraId="28F4AA05" w14:textId="77777777" w:rsidR="0089782B" w:rsidRPr="002A6A53" w:rsidRDefault="0089782B" w:rsidP="00E6140C">
            <w:pPr>
              <w:jc w:val="center"/>
            </w:pPr>
            <w:r w:rsidRPr="002A6A53">
              <w:t>4</w:t>
            </w:r>
          </w:p>
        </w:tc>
        <w:tc>
          <w:tcPr>
            <w:tcW w:w="2338" w:type="dxa"/>
            <w:vAlign w:val="center"/>
          </w:tcPr>
          <w:p w14:paraId="4D2B4B78" w14:textId="77777777" w:rsidR="0089782B" w:rsidRPr="002A6A53" w:rsidRDefault="0089782B" w:rsidP="00E6140C">
            <w:pPr>
              <w:jc w:val="center"/>
            </w:pPr>
            <w:r w:rsidRPr="002A6A53">
              <w:t>3,013</w:t>
            </w:r>
          </w:p>
        </w:tc>
      </w:tr>
      <w:tr w:rsidR="0089782B" w14:paraId="144D5A4B" w14:textId="77777777" w:rsidTr="00967B4C">
        <w:tc>
          <w:tcPr>
            <w:tcW w:w="2337" w:type="dxa"/>
            <w:vAlign w:val="center"/>
          </w:tcPr>
          <w:p w14:paraId="0E793366" w14:textId="77777777" w:rsidR="0089782B" w:rsidRPr="002A6A53" w:rsidRDefault="0089782B" w:rsidP="00E6140C">
            <w:r w:rsidRPr="002A6A53">
              <w:t>McKeesport</w:t>
            </w:r>
          </w:p>
        </w:tc>
        <w:tc>
          <w:tcPr>
            <w:tcW w:w="2337" w:type="dxa"/>
            <w:vAlign w:val="center"/>
          </w:tcPr>
          <w:p w14:paraId="5AB59A15" w14:textId="77777777" w:rsidR="0089782B" w:rsidRPr="002A6A53" w:rsidRDefault="0089782B" w:rsidP="00E6140C">
            <w:pPr>
              <w:jc w:val="center"/>
            </w:pPr>
            <w:r w:rsidRPr="002A6A53">
              <w:t>26</w:t>
            </w:r>
          </w:p>
        </w:tc>
        <w:tc>
          <w:tcPr>
            <w:tcW w:w="2338" w:type="dxa"/>
            <w:vAlign w:val="center"/>
          </w:tcPr>
          <w:p w14:paraId="03E50328" w14:textId="77777777" w:rsidR="0089782B" w:rsidRPr="002A6A53" w:rsidRDefault="0089782B" w:rsidP="00E6140C">
            <w:pPr>
              <w:jc w:val="center"/>
            </w:pPr>
            <w:r w:rsidRPr="002A6A53">
              <w:t>4</w:t>
            </w:r>
          </w:p>
        </w:tc>
        <w:tc>
          <w:tcPr>
            <w:tcW w:w="2338" w:type="dxa"/>
            <w:vAlign w:val="center"/>
          </w:tcPr>
          <w:p w14:paraId="03B6BBC0" w14:textId="77777777" w:rsidR="0089782B" w:rsidRPr="002A6A53" w:rsidRDefault="0089782B" w:rsidP="00E6140C">
            <w:pPr>
              <w:jc w:val="center"/>
            </w:pPr>
            <w:r w:rsidRPr="002A6A53">
              <w:t>1,852</w:t>
            </w:r>
          </w:p>
        </w:tc>
      </w:tr>
      <w:tr w:rsidR="0089782B" w14:paraId="66F5D824" w14:textId="77777777" w:rsidTr="00967B4C">
        <w:tc>
          <w:tcPr>
            <w:tcW w:w="2337" w:type="dxa"/>
            <w:vAlign w:val="center"/>
          </w:tcPr>
          <w:p w14:paraId="768DA2CB" w14:textId="77777777" w:rsidR="0089782B" w:rsidRPr="002A6A53" w:rsidRDefault="0089782B" w:rsidP="00E6140C">
            <w:r w:rsidRPr="002A6A53">
              <w:t>Dravosburg</w:t>
            </w:r>
          </w:p>
        </w:tc>
        <w:tc>
          <w:tcPr>
            <w:tcW w:w="2337" w:type="dxa"/>
            <w:vAlign w:val="center"/>
          </w:tcPr>
          <w:p w14:paraId="32AB44C0" w14:textId="77777777" w:rsidR="0089782B" w:rsidRPr="002A6A53" w:rsidRDefault="0089782B" w:rsidP="00E6140C">
            <w:pPr>
              <w:jc w:val="center"/>
            </w:pPr>
            <w:r w:rsidRPr="002A6A53">
              <w:t>1</w:t>
            </w:r>
          </w:p>
        </w:tc>
        <w:tc>
          <w:tcPr>
            <w:tcW w:w="2338" w:type="dxa"/>
            <w:vAlign w:val="center"/>
          </w:tcPr>
          <w:p w14:paraId="6F794F17" w14:textId="77777777" w:rsidR="0089782B" w:rsidRPr="002A6A53" w:rsidRDefault="0089782B" w:rsidP="00E6140C">
            <w:pPr>
              <w:jc w:val="center"/>
            </w:pPr>
            <w:r w:rsidRPr="002A6A53">
              <w:t>0</w:t>
            </w:r>
          </w:p>
        </w:tc>
        <w:tc>
          <w:tcPr>
            <w:tcW w:w="2338" w:type="dxa"/>
            <w:vAlign w:val="center"/>
          </w:tcPr>
          <w:p w14:paraId="1BDC214A" w14:textId="77777777" w:rsidR="0089782B" w:rsidRPr="002A6A53" w:rsidRDefault="0089782B" w:rsidP="00E6140C">
            <w:pPr>
              <w:jc w:val="center"/>
            </w:pPr>
            <w:r w:rsidRPr="002A6A53">
              <w:t>264</w:t>
            </w:r>
          </w:p>
        </w:tc>
      </w:tr>
      <w:tr w:rsidR="0089782B" w14:paraId="6508DC67" w14:textId="77777777" w:rsidTr="00967B4C">
        <w:tc>
          <w:tcPr>
            <w:tcW w:w="2337" w:type="dxa"/>
            <w:vAlign w:val="center"/>
          </w:tcPr>
          <w:p w14:paraId="0071C921" w14:textId="77777777" w:rsidR="0089782B" w:rsidRPr="002A6A53" w:rsidRDefault="0089782B" w:rsidP="00E6140C">
            <w:r w:rsidRPr="002A6A53">
              <w:t>Duquesne</w:t>
            </w:r>
          </w:p>
        </w:tc>
        <w:tc>
          <w:tcPr>
            <w:tcW w:w="2337" w:type="dxa"/>
            <w:vAlign w:val="center"/>
          </w:tcPr>
          <w:p w14:paraId="283DA79E" w14:textId="77777777" w:rsidR="0089782B" w:rsidRPr="002A6A53" w:rsidRDefault="0089782B" w:rsidP="00E6140C">
            <w:pPr>
              <w:jc w:val="center"/>
            </w:pPr>
            <w:r w:rsidRPr="002A6A53">
              <w:t>4</w:t>
            </w:r>
          </w:p>
        </w:tc>
        <w:tc>
          <w:tcPr>
            <w:tcW w:w="2338" w:type="dxa"/>
            <w:vAlign w:val="center"/>
          </w:tcPr>
          <w:p w14:paraId="60542DD1" w14:textId="77777777" w:rsidR="0089782B" w:rsidRPr="002A6A53" w:rsidRDefault="0089782B" w:rsidP="00E6140C">
            <w:pPr>
              <w:jc w:val="center"/>
            </w:pPr>
            <w:r w:rsidRPr="002A6A53">
              <w:t>0</w:t>
            </w:r>
          </w:p>
        </w:tc>
        <w:tc>
          <w:tcPr>
            <w:tcW w:w="2338" w:type="dxa"/>
            <w:vAlign w:val="center"/>
          </w:tcPr>
          <w:p w14:paraId="186E92F7" w14:textId="77777777" w:rsidR="0089782B" w:rsidRPr="002A6A53" w:rsidRDefault="0089782B" w:rsidP="00E6140C">
            <w:pPr>
              <w:jc w:val="center"/>
            </w:pPr>
            <w:r w:rsidRPr="002A6A53">
              <w:t>944</w:t>
            </w:r>
          </w:p>
        </w:tc>
      </w:tr>
    </w:tbl>
    <w:p w14:paraId="53C69A2F" w14:textId="77777777" w:rsidR="008A27F2" w:rsidRPr="008A27F2" w:rsidRDefault="008A27F2" w:rsidP="008A27F2">
      <w:pPr>
        <w:pStyle w:val="p2"/>
        <w:widowControl/>
        <w:spacing w:line="360" w:lineRule="auto"/>
        <w:ind w:firstLine="0"/>
        <w:rPr>
          <w:sz w:val="26"/>
          <w:szCs w:val="26"/>
        </w:rPr>
      </w:pPr>
    </w:p>
    <w:p w14:paraId="27B07D1F" w14:textId="19CDF1E1" w:rsidR="0077455C" w:rsidRDefault="0077455C" w:rsidP="00F939FA">
      <w:pPr>
        <w:pStyle w:val="p2"/>
        <w:keepNext/>
        <w:widowControl/>
        <w:spacing w:line="360" w:lineRule="auto"/>
        <w:ind w:firstLine="0"/>
        <w:rPr>
          <w:b/>
          <w:sz w:val="26"/>
          <w:szCs w:val="26"/>
        </w:rPr>
      </w:pPr>
      <w:r w:rsidRPr="00F54DF8">
        <w:rPr>
          <w:b/>
          <w:sz w:val="26"/>
          <w:szCs w:val="26"/>
        </w:rPr>
        <w:t>Comments</w:t>
      </w:r>
    </w:p>
    <w:p w14:paraId="389F5660" w14:textId="77777777" w:rsidR="00A95E1D" w:rsidRPr="00F54DF8" w:rsidRDefault="00A95E1D" w:rsidP="00F939FA">
      <w:pPr>
        <w:pStyle w:val="p2"/>
        <w:keepNext/>
        <w:widowControl/>
        <w:spacing w:line="360" w:lineRule="auto"/>
        <w:ind w:firstLine="0"/>
        <w:rPr>
          <w:b/>
          <w:sz w:val="26"/>
          <w:szCs w:val="26"/>
        </w:rPr>
      </w:pPr>
    </w:p>
    <w:p w14:paraId="3EEAE41B" w14:textId="3ACEE682" w:rsidR="0077455C" w:rsidRPr="00A95E1D" w:rsidRDefault="00B3603D" w:rsidP="00A11039">
      <w:pPr>
        <w:pStyle w:val="p7"/>
        <w:widowControl/>
        <w:tabs>
          <w:tab w:val="clear" w:pos="782"/>
          <w:tab w:val="clear" w:pos="1133"/>
          <w:tab w:val="left" w:pos="720"/>
          <w:tab w:val="left" w:pos="1440"/>
        </w:tabs>
        <w:spacing w:line="360" w:lineRule="auto"/>
        <w:ind w:left="0" w:firstLine="720"/>
        <w:rPr>
          <w:iCs/>
          <w:sz w:val="26"/>
          <w:szCs w:val="26"/>
        </w:rPr>
      </w:pPr>
      <w:r w:rsidRPr="00A95E1D">
        <w:rPr>
          <w:iCs/>
          <w:sz w:val="26"/>
          <w:szCs w:val="26"/>
        </w:rPr>
        <w:t xml:space="preserve">No comments were received regarding the </w:t>
      </w:r>
      <w:r w:rsidR="00DE5C83" w:rsidRPr="00A95E1D">
        <w:rPr>
          <w:iCs/>
          <w:sz w:val="26"/>
          <w:szCs w:val="26"/>
        </w:rPr>
        <w:t>types and age of</w:t>
      </w:r>
      <w:r w:rsidRPr="00A95E1D">
        <w:rPr>
          <w:iCs/>
          <w:sz w:val="26"/>
          <w:szCs w:val="26"/>
        </w:rPr>
        <w:t xml:space="preserve"> eligible property.</w:t>
      </w:r>
    </w:p>
    <w:p w14:paraId="5D5E7A1E" w14:textId="77777777" w:rsidR="0077455C" w:rsidRPr="00F54DF8" w:rsidRDefault="0077455C" w:rsidP="00773D87">
      <w:pPr>
        <w:pStyle w:val="p7"/>
        <w:widowControl/>
        <w:tabs>
          <w:tab w:val="clear" w:pos="782"/>
          <w:tab w:val="clear" w:pos="1133"/>
          <w:tab w:val="left" w:pos="720"/>
          <w:tab w:val="left" w:pos="1440"/>
        </w:tabs>
        <w:spacing w:line="360" w:lineRule="auto"/>
        <w:ind w:left="0" w:firstLine="0"/>
        <w:jc w:val="both"/>
        <w:rPr>
          <w:sz w:val="26"/>
          <w:szCs w:val="26"/>
        </w:rPr>
      </w:pPr>
    </w:p>
    <w:p w14:paraId="0C7FA665" w14:textId="77777777" w:rsidR="0077455C" w:rsidRPr="00F54DF8" w:rsidRDefault="2315FA41"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2315FA41">
        <w:rPr>
          <w:b/>
          <w:bCs/>
          <w:sz w:val="26"/>
          <w:szCs w:val="26"/>
        </w:rPr>
        <w:t>Resolution</w:t>
      </w:r>
    </w:p>
    <w:p w14:paraId="2055B104" w14:textId="4B5313CF" w:rsidR="2315FA41" w:rsidRDefault="2315FA41" w:rsidP="2315FA41">
      <w:pPr>
        <w:pStyle w:val="p2"/>
        <w:spacing w:line="360" w:lineRule="auto"/>
        <w:ind w:firstLine="720"/>
        <w:rPr>
          <w:sz w:val="25"/>
          <w:szCs w:val="25"/>
        </w:rPr>
      </w:pPr>
      <w:r w:rsidRPr="20EA62E2">
        <w:rPr>
          <w:sz w:val="26"/>
          <w:szCs w:val="26"/>
        </w:rPr>
        <w:t>As noted</w:t>
      </w:r>
      <w:r w:rsidR="004675A3">
        <w:rPr>
          <w:sz w:val="26"/>
          <w:szCs w:val="26"/>
        </w:rPr>
        <w:t xml:space="preserve"> on page 7,</w:t>
      </w:r>
      <w:r w:rsidRPr="20EA62E2">
        <w:rPr>
          <w:sz w:val="26"/>
          <w:szCs w:val="26"/>
        </w:rPr>
        <w:t xml:space="preserve"> above</w:t>
      </w:r>
      <w:r w:rsidR="00991179">
        <w:rPr>
          <w:sz w:val="26"/>
          <w:szCs w:val="26"/>
        </w:rPr>
        <w:t>,</w:t>
      </w:r>
      <w:r w:rsidRPr="20EA62E2">
        <w:rPr>
          <w:sz w:val="26"/>
          <w:szCs w:val="26"/>
        </w:rPr>
        <w:t xml:space="preserve"> PAWC-</w:t>
      </w:r>
      <w:r w:rsidR="000413E9" w:rsidRPr="20EA62E2">
        <w:rPr>
          <w:sz w:val="26"/>
          <w:szCs w:val="26"/>
        </w:rPr>
        <w:t xml:space="preserve">WD </w:t>
      </w:r>
      <w:r w:rsidR="00991179">
        <w:rPr>
          <w:sz w:val="26"/>
          <w:szCs w:val="26"/>
        </w:rPr>
        <w:t>indicates</w:t>
      </w:r>
      <w:r w:rsidR="00243C4B">
        <w:rPr>
          <w:sz w:val="26"/>
          <w:szCs w:val="26"/>
        </w:rPr>
        <w:t xml:space="preserve"> that </w:t>
      </w:r>
      <w:r w:rsidR="00243C4B" w:rsidRPr="00243C4B">
        <w:rPr>
          <w:sz w:val="26"/>
          <w:szCs w:val="26"/>
        </w:rPr>
        <w:t>53.8% of the gravity main material is unknown</w:t>
      </w:r>
      <w:r w:rsidR="00243C4B">
        <w:rPr>
          <w:sz w:val="26"/>
          <w:szCs w:val="26"/>
        </w:rPr>
        <w:t>.  PAWC-WD has outlined methods to reduce the amount of unknown material and it is important that Commission staff and other interested parties be updated on the progress of identification of main material in PAWC-WD’s gravity system, as well as its other systems.  Therefore, PAWC-WD,</w:t>
      </w:r>
      <w:r w:rsidRPr="20EA62E2">
        <w:rPr>
          <w:sz w:val="26"/>
          <w:szCs w:val="26"/>
        </w:rPr>
        <w:t xml:space="preserve"> beginning with its Annual Asset Optimization Plan</w:t>
      </w:r>
      <w:r w:rsidR="00243C4B">
        <w:rPr>
          <w:sz w:val="26"/>
          <w:szCs w:val="26"/>
        </w:rPr>
        <w:t xml:space="preserve"> (AAOP)</w:t>
      </w:r>
      <w:r w:rsidRPr="20EA62E2">
        <w:rPr>
          <w:sz w:val="26"/>
          <w:szCs w:val="26"/>
        </w:rPr>
        <w:t xml:space="preserve"> for calendar year 2020, </w:t>
      </w:r>
      <w:r w:rsidR="36FFE228" w:rsidRPr="20EA62E2">
        <w:rPr>
          <w:sz w:val="26"/>
          <w:szCs w:val="26"/>
        </w:rPr>
        <w:t>shall</w:t>
      </w:r>
      <w:r w:rsidRPr="20EA62E2">
        <w:rPr>
          <w:sz w:val="26"/>
          <w:szCs w:val="26"/>
        </w:rPr>
        <w:t xml:space="preserve"> include </w:t>
      </w:r>
      <w:r w:rsidRPr="20EA62E2">
        <w:rPr>
          <w:sz w:val="25"/>
          <w:szCs w:val="25"/>
        </w:rPr>
        <w:t xml:space="preserve">updated information on its pipeline materials and diameters for </w:t>
      </w:r>
      <w:r w:rsidR="00D0134C" w:rsidRPr="20EA62E2">
        <w:rPr>
          <w:sz w:val="25"/>
          <w:szCs w:val="25"/>
        </w:rPr>
        <w:t>all</w:t>
      </w:r>
      <w:r w:rsidRPr="20EA62E2">
        <w:rPr>
          <w:sz w:val="25"/>
          <w:szCs w:val="25"/>
        </w:rPr>
        <w:t xml:space="preserve"> its wastewater systems</w:t>
      </w:r>
      <w:r w:rsidR="00243C4B">
        <w:rPr>
          <w:sz w:val="25"/>
          <w:szCs w:val="25"/>
        </w:rPr>
        <w:t>.</w:t>
      </w:r>
      <w:r w:rsidR="0077315B">
        <w:rPr>
          <w:rStyle w:val="FootnoteReference"/>
          <w:sz w:val="25"/>
          <w:szCs w:val="25"/>
        </w:rPr>
        <w:footnoteReference w:id="4"/>
      </w:r>
      <w:r w:rsidR="00243C4B">
        <w:rPr>
          <w:sz w:val="25"/>
          <w:szCs w:val="25"/>
        </w:rPr>
        <w:t xml:space="preserve">  </w:t>
      </w:r>
    </w:p>
    <w:p w14:paraId="0D36D171" w14:textId="1994D2C2" w:rsidR="2315FA41" w:rsidRDefault="2315FA41" w:rsidP="2315FA41">
      <w:pPr>
        <w:pStyle w:val="p2"/>
        <w:spacing w:line="360" w:lineRule="auto"/>
        <w:ind w:firstLine="720"/>
        <w:rPr>
          <w:b/>
          <w:bCs/>
          <w:sz w:val="26"/>
          <w:szCs w:val="26"/>
        </w:rPr>
      </w:pPr>
    </w:p>
    <w:p w14:paraId="1FEFF2C0" w14:textId="65517304" w:rsidR="009450B4" w:rsidRPr="00F54DF8" w:rsidRDefault="2315FA41" w:rsidP="00A11039">
      <w:pPr>
        <w:pStyle w:val="p2"/>
        <w:widowControl/>
        <w:spacing w:line="360" w:lineRule="auto"/>
        <w:ind w:firstLine="720"/>
        <w:rPr>
          <w:sz w:val="26"/>
          <w:szCs w:val="26"/>
        </w:rPr>
      </w:pPr>
      <w:r w:rsidRPr="2315FA41">
        <w:rPr>
          <w:sz w:val="26"/>
          <w:szCs w:val="26"/>
        </w:rPr>
        <w:t>Upon review of PAWC-WD’s Modified LTIIP, as amended, and any supplemental information filed, the Commission finds that PAWC-WD’s Modified LTIIP fulfills the requirements of 52 Pa. Code § 121.3(a)(1) by identifying the types and ages of eligible property for which it seeks DSIC recovery.</w:t>
      </w:r>
    </w:p>
    <w:p w14:paraId="690E8F86" w14:textId="77777777" w:rsidR="009450B4" w:rsidRPr="00F54DF8" w:rsidRDefault="009450B4" w:rsidP="005F1325">
      <w:pPr>
        <w:pStyle w:val="p2"/>
        <w:widowControl/>
        <w:spacing w:line="360" w:lineRule="auto"/>
        <w:ind w:firstLine="0"/>
        <w:rPr>
          <w:sz w:val="26"/>
          <w:szCs w:val="26"/>
        </w:rPr>
      </w:pPr>
    </w:p>
    <w:p w14:paraId="6EA4F4C6" w14:textId="77777777" w:rsidR="0077455C" w:rsidRPr="00F54DF8" w:rsidRDefault="00135912" w:rsidP="009450B4">
      <w:pPr>
        <w:pStyle w:val="p7"/>
        <w:keepNext/>
        <w:widowControl/>
        <w:tabs>
          <w:tab w:val="clear" w:pos="1133"/>
          <w:tab w:val="left" w:pos="720"/>
          <w:tab w:val="left" w:pos="1350"/>
          <w:tab w:val="left" w:pos="1440"/>
        </w:tabs>
        <w:spacing w:line="360" w:lineRule="auto"/>
        <w:ind w:left="720" w:firstLine="0"/>
        <w:rPr>
          <w:b/>
          <w:sz w:val="26"/>
          <w:szCs w:val="26"/>
        </w:rPr>
      </w:pPr>
      <w:r w:rsidRPr="00F54DF8">
        <w:rPr>
          <w:b/>
          <w:sz w:val="26"/>
          <w:szCs w:val="26"/>
        </w:rPr>
        <w:lastRenderedPageBreak/>
        <w:t xml:space="preserve">(2) </w:t>
      </w:r>
      <w:r w:rsidR="0077455C" w:rsidRPr="00F54DF8">
        <w:rPr>
          <w:b/>
          <w:sz w:val="26"/>
          <w:szCs w:val="26"/>
        </w:rPr>
        <w:t>SCHEDULE FOR PLANNED REPAIR AND REPLACEMENT OF ELIGIBLE PROPERTY</w:t>
      </w:r>
    </w:p>
    <w:p w14:paraId="494F3BC0" w14:textId="77777777" w:rsidR="0077455C" w:rsidRPr="00F54DF8" w:rsidRDefault="0077455C" w:rsidP="2315FA41">
      <w:pPr>
        <w:pStyle w:val="p7"/>
        <w:keepNext/>
        <w:widowControl/>
        <w:tabs>
          <w:tab w:val="clear" w:pos="1133"/>
          <w:tab w:val="left" w:pos="720"/>
          <w:tab w:val="left" w:pos="1350"/>
          <w:tab w:val="left" w:pos="1440"/>
        </w:tabs>
        <w:spacing w:line="360" w:lineRule="auto"/>
        <w:rPr>
          <w:sz w:val="26"/>
          <w:szCs w:val="26"/>
        </w:rPr>
      </w:pPr>
    </w:p>
    <w:p w14:paraId="7FB41D45" w14:textId="4ED00EE6" w:rsidR="0077455C" w:rsidRDefault="2315FA41" w:rsidP="2315FA41">
      <w:pPr>
        <w:pStyle w:val="p7"/>
        <w:keepNext/>
        <w:widowControl/>
        <w:tabs>
          <w:tab w:val="clear" w:pos="1133"/>
          <w:tab w:val="left" w:pos="720"/>
          <w:tab w:val="left" w:pos="1350"/>
          <w:tab w:val="left" w:pos="1440"/>
        </w:tabs>
        <w:spacing w:line="360" w:lineRule="auto"/>
        <w:ind w:left="0" w:firstLine="0"/>
        <w:rPr>
          <w:b/>
          <w:bCs/>
          <w:sz w:val="26"/>
          <w:szCs w:val="26"/>
        </w:rPr>
      </w:pPr>
      <w:r w:rsidRPr="2315FA41">
        <w:rPr>
          <w:b/>
          <w:bCs/>
          <w:sz w:val="26"/>
          <w:szCs w:val="26"/>
        </w:rPr>
        <w:t xml:space="preserve">PAWC-WD’s Position </w:t>
      </w:r>
    </w:p>
    <w:p w14:paraId="2CEC18E7" w14:textId="77777777" w:rsidR="001504E4" w:rsidRPr="00F54DF8" w:rsidRDefault="001504E4" w:rsidP="009450B4">
      <w:pPr>
        <w:pStyle w:val="p7"/>
        <w:keepNext/>
        <w:widowControl/>
        <w:tabs>
          <w:tab w:val="clear" w:pos="1133"/>
          <w:tab w:val="left" w:pos="720"/>
          <w:tab w:val="left" w:pos="1350"/>
          <w:tab w:val="left" w:pos="1440"/>
        </w:tabs>
        <w:spacing w:line="360" w:lineRule="auto"/>
        <w:ind w:left="0" w:firstLine="0"/>
        <w:jc w:val="both"/>
        <w:rPr>
          <w:b/>
          <w:sz w:val="26"/>
          <w:szCs w:val="26"/>
        </w:rPr>
      </w:pPr>
    </w:p>
    <w:p w14:paraId="45980435" w14:textId="6E896CAA" w:rsidR="00C10F04" w:rsidRDefault="2315FA41" w:rsidP="2315FA41">
      <w:pPr>
        <w:pStyle w:val="p7"/>
        <w:keepNext/>
        <w:widowControl/>
        <w:tabs>
          <w:tab w:val="clear" w:pos="1133"/>
          <w:tab w:val="left" w:pos="720"/>
          <w:tab w:val="left" w:pos="1350"/>
          <w:tab w:val="left" w:pos="1440"/>
        </w:tabs>
        <w:spacing w:line="360" w:lineRule="auto"/>
        <w:ind w:left="0" w:firstLine="782"/>
        <w:rPr>
          <w:sz w:val="26"/>
          <w:szCs w:val="26"/>
        </w:rPr>
      </w:pPr>
      <w:r w:rsidRPr="2315FA41">
        <w:rPr>
          <w:sz w:val="26"/>
          <w:szCs w:val="26"/>
        </w:rPr>
        <w:t>PAWC-WD states that it will utilize a risk-based condition assessment approach to schedule planned repairs and replacements of eligible property.  PAWC-WD maintains that it follows a condition-based risk assessment prioritization system developed by the National Association of Sewer Service Companies (NASSCO) that can be applied to score and rank projects in different wastewater systems against each other to ensure cost-effective prioritization of capital investment.  PAWC-WD states that</w:t>
      </w:r>
      <w:r>
        <w:t xml:space="preserve"> </w:t>
      </w:r>
      <w:r w:rsidRPr="2315FA41">
        <w:rPr>
          <w:sz w:val="26"/>
          <w:szCs w:val="26"/>
        </w:rPr>
        <w:t xml:space="preserve">its risk-based management approach allows for proactive planning.   PAWC-WD maintains that the scoring system has flexibility by allowing adjustments in how each criterion is weighted, and accounts for special circumstances which may be difficult to quantify.  PAWC-WD states that this model will help develop a schedule for planned rehabilitation and replacement of eligible property in order to maintain safe, reliable service to existing customers.  </w:t>
      </w:r>
    </w:p>
    <w:p w14:paraId="32170C5B" w14:textId="77777777" w:rsidR="00C10F04" w:rsidRDefault="00C10F04" w:rsidP="00C10F04">
      <w:pPr>
        <w:pStyle w:val="p7"/>
        <w:keepNext/>
        <w:widowControl/>
        <w:tabs>
          <w:tab w:val="clear" w:pos="1133"/>
          <w:tab w:val="left" w:pos="720"/>
          <w:tab w:val="left" w:pos="1350"/>
          <w:tab w:val="left" w:pos="1440"/>
        </w:tabs>
        <w:spacing w:line="360" w:lineRule="auto"/>
        <w:ind w:left="0" w:firstLine="782"/>
        <w:jc w:val="both"/>
        <w:rPr>
          <w:sz w:val="26"/>
          <w:szCs w:val="26"/>
        </w:rPr>
      </w:pPr>
    </w:p>
    <w:p w14:paraId="4140AEEA" w14:textId="13370ABD" w:rsidR="00FA7608" w:rsidRDefault="2315FA41" w:rsidP="2315FA41">
      <w:pPr>
        <w:pStyle w:val="p7"/>
        <w:keepNext/>
        <w:widowControl/>
        <w:tabs>
          <w:tab w:val="clear" w:pos="1133"/>
          <w:tab w:val="left" w:pos="720"/>
          <w:tab w:val="left" w:pos="1350"/>
          <w:tab w:val="left" w:pos="1440"/>
        </w:tabs>
        <w:spacing w:line="360" w:lineRule="auto"/>
        <w:ind w:left="0" w:firstLine="782"/>
        <w:rPr>
          <w:sz w:val="26"/>
          <w:szCs w:val="26"/>
        </w:rPr>
      </w:pPr>
      <w:r w:rsidRPr="2315FA41">
        <w:rPr>
          <w:sz w:val="26"/>
          <w:szCs w:val="26"/>
        </w:rPr>
        <w:t xml:space="preserve"> PAWC-WD states that it will perform a GIS analysis to assign a risk score to each likely project</w:t>
      </w:r>
      <w:r>
        <w:t xml:space="preserve"> </w:t>
      </w:r>
      <w:r w:rsidRPr="2315FA41">
        <w:rPr>
          <w:sz w:val="26"/>
          <w:szCs w:val="26"/>
        </w:rPr>
        <w:t>to accomplish this prioritization.  PAWC-WD defines risk as: Risk = Likelihood of Failure (LoF) x Consequence of Failure (CoF).  PAWC-WD notes that the first step of the planning process is to conduct a macro-level overview of each wastewater system to help identify areas of concern which may contain properties in need of replacement.  PAWC-WD states that its macro-level planning process helps identify groups of assets that are potential candidates and those groups of assets that are unlikely to need near-term replacement.  PAWC-WD maintains that the macro-level planning allows resources required for micro-level planning to be more efficiently targeted to those areas most likely to contain aging infrastructure in need of rehabilitation or replacement</w:t>
      </w:r>
      <w:r w:rsidR="00F9003F">
        <w:rPr>
          <w:sz w:val="26"/>
          <w:szCs w:val="26"/>
        </w:rPr>
        <w:t>.</w:t>
      </w:r>
    </w:p>
    <w:p w14:paraId="6D985F75" w14:textId="1D6245A1" w:rsidR="00135501" w:rsidRDefault="00FA7608" w:rsidP="00E816C8">
      <w:pPr>
        <w:pStyle w:val="p7"/>
        <w:widowControl/>
        <w:tabs>
          <w:tab w:val="clear" w:pos="782"/>
          <w:tab w:val="clear" w:pos="1133"/>
        </w:tabs>
        <w:spacing w:line="360" w:lineRule="auto"/>
        <w:ind w:left="0" w:firstLine="0"/>
        <w:rPr>
          <w:sz w:val="26"/>
          <w:szCs w:val="26"/>
        </w:rPr>
      </w:pPr>
      <w:r>
        <w:rPr>
          <w:sz w:val="26"/>
          <w:szCs w:val="26"/>
        </w:rPr>
        <w:tab/>
      </w:r>
    </w:p>
    <w:p w14:paraId="579BF684" w14:textId="154AA6E3" w:rsidR="009433CC" w:rsidRDefault="00135501" w:rsidP="009433CC">
      <w:pPr>
        <w:pStyle w:val="p7"/>
        <w:widowControl/>
        <w:tabs>
          <w:tab w:val="clear" w:pos="1133"/>
          <w:tab w:val="left" w:pos="810"/>
        </w:tabs>
        <w:spacing w:line="360" w:lineRule="auto"/>
        <w:ind w:left="0" w:firstLine="720"/>
        <w:rPr>
          <w:sz w:val="26"/>
          <w:szCs w:val="26"/>
        </w:rPr>
      </w:pPr>
      <w:r>
        <w:rPr>
          <w:sz w:val="26"/>
          <w:szCs w:val="26"/>
        </w:rPr>
        <w:lastRenderedPageBreak/>
        <w:tab/>
      </w:r>
      <w:r w:rsidR="00384FA9">
        <w:rPr>
          <w:sz w:val="26"/>
          <w:szCs w:val="26"/>
        </w:rPr>
        <w:t>PAWC-WD</w:t>
      </w:r>
      <w:r>
        <w:rPr>
          <w:sz w:val="26"/>
          <w:szCs w:val="26"/>
        </w:rPr>
        <w:t xml:space="preserve"> </w:t>
      </w:r>
      <w:r w:rsidR="009433CC">
        <w:rPr>
          <w:sz w:val="26"/>
          <w:szCs w:val="26"/>
        </w:rPr>
        <w:t>states</w:t>
      </w:r>
      <w:r>
        <w:rPr>
          <w:sz w:val="26"/>
          <w:szCs w:val="26"/>
        </w:rPr>
        <w:t xml:space="preserve"> that </w:t>
      </w:r>
      <w:r w:rsidRPr="00135501">
        <w:rPr>
          <w:sz w:val="26"/>
          <w:szCs w:val="26"/>
        </w:rPr>
        <w:t xml:space="preserve">the next step in </w:t>
      </w:r>
      <w:r w:rsidR="00C10F04">
        <w:rPr>
          <w:sz w:val="26"/>
          <w:szCs w:val="26"/>
        </w:rPr>
        <w:t>its</w:t>
      </w:r>
      <w:r w:rsidRPr="00135501">
        <w:rPr>
          <w:sz w:val="26"/>
          <w:szCs w:val="26"/>
        </w:rPr>
        <w:t xml:space="preserve"> planning process is to conduct a more detailed, micro-level planning analysis.  </w:t>
      </w:r>
      <w:r w:rsidR="00384FA9">
        <w:rPr>
          <w:sz w:val="26"/>
          <w:szCs w:val="26"/>
        </w:rPr>
        <w:t>PAWC-WD</w:t>
      </w:r>
      <w:r w:rsidR="00FE5883">
        <w:rPr>
          <w:sz w:val="26"/>
          <w:szCs w:val="26"/>
        </w:rPr>
        <w:t xml:space="preserve"> notes that it conducts a </w:t>
      </w:r>
      <w:r w:rsidRPr="00135501">
        <w:rPr>
          <w:sz w:val="26"/>
          <w:szCs w:val="26"/>
        </w:rPr>
        <w:t xml:space="preserve">comprehensive sewer system evaluation which is </w:t>
      </w:r>
      <w:r w:rsidR="00FE5883">
        <w:rPr>
          <w:sz w:val="26"/>
          <w:szCs w:val="26"/>
        </w:rPr>
        <w:t>its</w:t>
      </w:r>
      <w:r w:rsidRPr="00135501">
        <w:rPr>
          <w:sz w:val="26"/>
          <w:szCs w:val="26"/>
        </w:rPr>
        <w:t xml:space="preserve"> systematic approach to identify specific properties to be rehabilitated or replaced.</w:t>
      </w:r>
      <w:r w:rsidR="00FE5883">
        <w:rPr>
          <w:sz w:val="26"/>
          <w:szCs w:val="26"/>
        </w:rPr>
        <w:t xml:space="preserve"> </w:t>
      </w:r>
      <w:r w:rsidRPr="00135501">
        <w:rPr>
          <w:sz w:val="26"/>
          <w:szCs w:val="26"/>
        </w:rPr>
        <w:t xml:space="preserve"> </w:t>
      </w:r>
      <w:r w:rsidR="00384FA9">
        <w:rPr>
          <w:sz w:val="26"/>
          <w:szCs w:val="26"/>
        </w:rPr>
        <w:t>PAWC-WD</w:t>
      </w:r>
      <w:r w:rsidR="00FE5883">
        <w:rPr>
          <w:sz w:val="26"/>
          <w:szCs w:val="26"/>
        </w:rPr>
        <w:t xml:space="preserve"> maintains that</w:t>
      </w:r>
      <w:r w:rsidRPr="00135501">
        <w:rPr>
          <w:sz w:val="26"/>
          <w:szCs w:val="26"/>
        </w:rPr>
        <w:t xml:space="preserve"> </w:t>
      </w:r>
      <w:r w:rsidR="00FE5883">
        <w:rPr>
          <w:sz w:val="26"/>
          <w:szCs w:val="26"/>
        </w:rPr>
        <w:t>d</w:t>
      </w:r>
      <w:r w:rsidR="009433CC" w:rsidRPr="009433CC">
        <w:rPr>
          <w:sz w:val="26"/>
          <w:szCs w:val="26"/>
        </w:rPr>
        <w:t xml:space="preserve">uring the micro-level planning process, specific properties are identified as candidates for replacement or rehabilitation using a risk-based methodology based on a condition assessment and hydraulic capacity evaluation. </w:t>
      </w:r>
    </w:p>
    <w:p w14:paraId="486F1454" w14:textId="77777777" w:rsidR="009433CC" w:rsidRDefault="009433CC" w:rsidP="009433CC">
      <w:pPr>
        <w:pStyle w:val="p7"/>
        <w:widowControl/>
        <w:tabs>
          <w:tab w:val="clear" w:pos="1133"/>
          <w:tab w:val="left" w:pos="810"/>
        </w:tabs>
        <w:spacing w:line="360" w:lineRule="auto"/>
        <w:ind w:left="0" w:firstLine="720"/>
        <w:rPr>
          <w:sz w:val="26"/>
          <w:szCs w:val="26"/>
        </w:rPr>
      </w:pPr>
    </w:p>
    <w:p w14:paraId="72CAFCD9" w14:textId="0826F9DE" w:rsidR="009433CC" w:rsidRDefault="2315FA41" w:rsidP="009433CC">
      <w:pPr>
        <w:pStyle w:val="p7"/>
        <w:widowControl/>
        <w:tabs>
          <w:tab w:val="clear" w:pos="1133"/>
          <w:tab w:val="left" w:pos="810"/>
        </w:tabs>
        <w:spacing w:line="360" w:lineRule="auto"/>
        <w:ind w:left="0" w:firstLine="720"/>
        <w:rPr>
          <w:sz w:val="26"/>
          <w:szCs w:val="26"/>
        </w:rPr>
      </w:pPr>
      <w:r w:rsidRPr="2315FA41">
        <w:rPr>
          <w:sz w:val="26"/>
          <w:szCs w:val="26"/>
        </w:rPr>
        <w:t>PAWC-WD states that its strategic improvements identified in the micro-level planning process can be grouped in the following categories:</w:t>
      </w:r>
    </w:p>
    <w:p w14:paraId="72387C4A" w14:textId="77777777" w:rsidR="008C39FA" w:rsidRPr="00C827E9" w:rsidRDefault="008C39FA" w:rsidP="009433CC">
      <w:pPr>
        <w:pStyle w:val="p7"/>
        <w:widowControl/>
        <w:tabs>
          <w:tab w:val="clear" w:pos="1133"/>
          <w:tab w:val="left" w:pos="810"/>
        </w:tabs>
        <w:spacing w:line="360" w:lineRule="auto"/>
        <w:ind w:left="0" w:firstLine="720"/>
        <w:rPr>
          <w:b/>
          <w:bCs/>
          <w:sz w:val="26"/>
          <w:szCs w:val="26"/>
        </w:rPr>
      </w:pPr>
    </w:p>
    <w:p w14:paraId="3DB6457F" w14:textId="290D62DE" w:rsidR="008C39FA" w:rsidRDefault="2315FA41" w:rsidP="009433CC">
      <w:pPr>
        <w:pStyle w:val="p7"/>
        <w:widowControl/>
        <w:tabs>
          <w:tab w:val="clear" w:pos="1133"/>
          <w:tab w:val="left" w:pos="810"/>
        </w:tabs>
        <w:spacing w:line="360" w:lineRule="auto"/>
        <w:ind w:left="0" w:firstLine="720"/>
        <w:rPr>
          <w:sz w:val="26"/>
          <w:szCs w:val="26"/>
        </w:rPr>
      </w:pPr>
      <w:r w:rsidRPr="2315FA41">
        <w:rPr>
          <w:b/>
          <w:bCs/>
          <w:sz w:val="26"/>
          <w:szCs w:val="26"/>
        </w:rPr>
        <w:t>Manhole replacement / rehabilitation</w:t>
      </w:r>
      <w:r w:rsidRPr="2315FA41">
        <w:rPr>
          <w:sz w:val="26"/>
          <w:szCs w:val="26"/>
        </w:rPr>
        <w:t xml:space="preserve"> – PAWC-WD advised that work in this category may include frame and cover replacement, internal grouting, lining, or complete replacements.  PAWC-WD notes that manhole lining can be used for structural reinforcement, reduction of groundwater infiltration, or protection from corrosive gases.  PAWC-WD maintains </w:t>
      </w:r>
      <w:r w:rsidR="0050028D" w:rsidRPr="2315FA41">
        <w:rPr>
          <w:sz w:val="26"/>
          <w:szCs w:val="26"/>
        </w:rPr>
        <w:t>that various</w:t>
      </w:r>
      <w:r w:rsidRPr="2315FA41">
        <w:rPr>
          <w:sz w:val="26"/>
          <w:szCs w:val="26"/>
        </w:rPr>
        <w:t xml:space="preserve"> factors, such as location, structural integrity, and manhole depth determine</w:t>
      </w:r>
      <w:r>
        <w:t xml:space="preserve"> </w:t>
      </w:r>
      <w:r w:rsidRPr="2315FA41">
        <w:rPr>
          <w:sz w:val="26"/>
          <w:szCs w:val="26"/>
        </w:rPr>
        <w:t xml:space="preserve">whether replacement or rehabilitation is best.  </w:t>
      </w:r>
    </w:p>
    <w:p w14:paraId="2FBEC391" w14:textId="7C051D76" w:rsidR="008C39FA" w:rsidRDefault="008C39FA" w:rsidP="009433CC">
      <w:pPr>
        <w:pStyle w:val="p7"/>
        <w:widowControl/>
        <w:tabs>
          <w:tab w:val="clear" w:pos="1133"/>
          <w:tab w:val="left" w:pos="810"/>
        </w:tabs>
        <w:spacing w:line="360" w:lineRule="auto"/>
        <w:ind w:left="0" w:firstLine="720"/>
        <w:rPr>
          <w:sz w:val="26"/>
          <w:szCs w:val="26"/>
        </w:rPr>
      </w:pPr>
    </w:p>
    <w:p w14:paraId="6B483E5C" w14:textId="23F19B38" w:rsidR="008C39FA" w:rsidRPr="00135501" w:rsidRDefault="2315FA41" w:rsidP="009433CC">
      <w:pPr>
        <w:pStyle w:val="p7"/>
        <w:widowControl/>
        <w:tabs>
          <w:tab w:val="clear" w:pos="1133"/>
          <w:tab w:val="left" w:pos="810"/>
        </w:tabs>
        <w:spacing w:line="360" w:lineRule="auto"/>
        <w:ind w:left="0" w:firstLine="720"/>
        <w:rPr>
          <w:sz w:val="26"/>
          <w:szCs w:val="26"/>
        </w:rPr>
      </w:pPr>
      <w:r w:rsidRPr="2315FA41">
        <w:rPr>
          <w:b/>
          <w:bCs/>
          <w:sz w:val="26"/>
          <w:szCs w:val="26"/>
        </w:rPr>
        <w:t>Pipe replacement / rehabilitation</w:t>
      </w:r>
      <w:r w:rsidRPr="2315FA41">
        <w:rPr>
          <w:sz w:val="26"/>
          <w:szCs w:val="26"/>
        </w:rPr>
        <w:t xml:space="preserve"> – PAWC-WD advised that work</w:t>
      </w:r>
      <w:r>
        <w:t xml:space="preserve"> </w:t>
      </w:r>
      <w:r w:rsidRPr="2315FA41">
        <w:rPr>
          <w:sz w:val="26"/>
          <w:szCs w:val="26"/>
        </w:rPr>
        <w:t xml:space="preserve">in this category  may consist of the following: complete replacements, partial replacements, or trenchless rehabilitation such as cured-in-place pipe lining (CIPP), slip lining, close-fit pipe lining (fold and form), other pipe coatings/lining systems, pipe bursting, horizontal directional drilling using fused high-density polyethylene (HDPE) pipe or fused PVC pipe.  </w:t>
      </w:r>
    </w:p>
    <w:p w14:paraId="65861AEB" w14:textId="1C8B09B5" w:rsidR="00135501" w:rsidRDefault="00135501" w:rsidP="00135501">
      <w:pPr>
        <w:pStyle w:val="p7"/>
        <w:widowControl/>
        <w:tabs>
          <w:tab w:val="clear" w:pos="782"/>
          <w:tab w:val="clear" w:pos="1133"/>
        </w:tabs>
        <w:spacing w:line="360" w:lineRule="auto"/>
        <w:ind w:left="0" w:firstLine="810"/>
        <w:rPr>
          <w:sz w:val="26"/>
          <w:szCs w:val="26"/>
        </w:rPr>
      </w:pPr>
    </w:p>
    <w:p w14:paraId="62041F87" w14:textId="5A5DB107" w:rsidR="005A0820" w:rsidRDefault="2315FA41" w:rsidP="00135501">
      <w:pPr>
        <w:pStyle w:val="p7"/>
        <w:widowControl/>
        <w:tabs>
          <w:tab w:val="clear" w:pos="782"/>
          <w:tab w:val="clear" w:pos="1133"/>
        </w:tabs>
        <w:spacing w:line="360" w:lineRule="auto"/>
        <w:ind w:left="0" w:firstLine="810"/>
        <w:rPr>
          <w:sz w:val="26"/>
          <w:szCs w:val="26"/>
        </w:rPr>
      </w:pPr>
      <w:r w:rsidRPr="2315FA41">
        <w:rPr>
          <w:b/>
          <w:bCs/>
          <w:sz w:val="26"/>
          <w:szCs w:val="26"/>
        </w:rPr>
        <w:t>Service lateral replacement / rehabilitation</w:t>
      </w:r>
      <w:r w:rsidRPr="2315FA41">
        <w:rPr>
          <w:sz w:val="26"/>
          <w:szCs w:val="26"/>
        </w:rPr>
        <w:t xml:space="preserve"> –</w:t>
      </w:r>
      <w:r>
        <w:t xml:space="preserve"> </w:t>
      </w:r>
      <w:r w:rsidRPr="2315FA41">
        <w:rPr>
          <w:sz w:val="26"/>
          <w:szCs w:val="26"/>
        </w:rPr>
        <w:t xml:space="preserve">PAWC-WD advised that work in this category may consist of replacing or rehabilitating gravity or low-pressure sewer laterals, including taps, and cleanouts.  PAWC-WD notes that a cured-in-place liner is a trenchless alternative that may be best for service laterals that are difficult to excavate.  </w:t>
      </w:r>
      <w:r w:rsidRPr="2315FA41">
        <w:rPr>
          <w:sz w:val="26"/>
          <w:szCs w:val="26"/>
        </w:rPr>
        <w:lastRenderedPageBreak/>
        <w:t xml:space="preserve">PAWC-WD states that depending on the condition and number of connections, service lateral replacements may be combined with main line replacement / rehabilitations. </w:t>
      </w:r>
    </w:p>
    <w:p w14:paraId="057D2EE6" w14:textId="77777777" w:rsidR="005A0820" w:rsidRDefault="005A0820" w:rsidP="00135501">
      <w:pPr>
        <w:pStyle w:val="p7"/>
        <w:widowControl/>
        <w:tabs>
          <w:tab w:val="clear" w:pos="782"/>
          <w:tab w:val="clear" w:pos="1133"/>
        </w:tabs>
        <w:spacing w:line="360" w:lineRule="auto"/>
        <w:ind w:left="0" w:firstLine="810"/>
        <w:rPr>
          <w:sz w:val="26"/>
          <w:szCs w:val="26"/>
        </w:rPr>
      </w:pPr>
    </w:p>
    <w:p w14:paraId="1D00141D" w14:textId="326A8941" w:rsidR="008C39FA" w:rsidRDefault="2315FA41" w:rsidP="005A0820">
      <w:pPr>
        <w:pStyle w:val="p7"/>
        <w:widowControl/>
        <w:tabs>
          <w:tab w:val="clear" w:pos="782"/>
          <w:tab w:val="clear" w:pos="1133"/>
        </w:tabs>
        <w:spacing w:line="360" w:lineRule="auto"/>
        <w:ind w:left="0" w:firstLine="720"/>
        <w:rPr>
          <w:sz w:val="26"/>
          <w:szCs w:val="26"/>
        </w:rPr>
      </w:pPr>
      <w:r w:rsidRPr="2315FA41">
        <w:rPr>
          <w:sz w:val="26"/>
          <w:szCs w:val="26"/>
        </w:rPr>
        <w:t xml:space="preserve">Through a data request, Commission staff asked PAWC-WD for clarification on its plans to replace or line service laterals.  </w:t>
      </w:r>
      <w:bookmarkStart w:id="5" w:name="_Hlk36542834"/>
      <w:r w:rsidRPr="2315FA41">
        <w:rPr>
          <w:sz w:val="26"/>
          <w:szCs w:val="26"/>
        </w:rPr>
        <w:t>In supplemental information filed with the Commission, PAWC-WD advised that it does not plan to replace or line customer</w:t>
      </w:r>
      <w:r w:rsidR="00243C4B">
        <w:rPr>
          <w:sz w:val="26"/>
          <w:szCs w:val="26"/>
        </w:rPr>
        <w:t>-</w:t>
      </w:r>
      <w:r w:rsidRPr="2315FA41">
        <w:rPr>
          <w:sz w:val="26"/>
          <w:szCs w:val="26"/>
        </w:rPr>
        <w:t>owned portions of the service lateral</w:t>
      </w:r>
      <w:bookmarkEnd w:id="5"/>
      <w:r w:rsidRPr="2315FA41">
        <w:rPr>
          <w:sz w:val="26"/>
          <w:szCs w:val="26"/>
        </w:rPr>
        <w:t xml:space="preserve">. </w:t>
      </w:r>
    </w:p>
    <w:p w14:paraId="75C28074" w14:textId="41C6E6D7" w:rsidR="008C39FA" w:rsidRDefault="008C39FA" w:rsidP="00135501">
      <w:pPr>
        <w:pStyle w:val="p7"/>
        <w:widowControl/>
        <w:tabs>
          <w:tab w:val="clear" w:pos="782"/>
          <w:tab w:val="clear" w:pos="1133"/>
        </w:tabs>
        <w:spacing w:line="360" w:lineRule="auto"/>
        <w:ind w:left="0" w:firstLine="810"/>
        <w:rPr>
          <w:sz w:val="26"/>
          <w:szCs w:val="26"/>
        </w:rPr>
      </w:pPr>
    </w:p>
    <w:p w14:paraId="27E27CEB" w14:textId="57F4B6CB" w:rsidR="008C39FA" w:rsidRDefault="2315FA41" w:rsidP="008C39FA">
      <w:pPr>
        <w:pStyle w:val="p7"/>
        <w:widowControl/>
        <w:tabs>
          <w:tab w:val="clear" w:pos="1133"/>
          <w:tab w:val="left" w:pos="720"/>
        </w:tabs>
        <w:spacing w:line="360" w:lineRule="auto"/>
        <w:ind w:left="0" w:firstLine="720"/>
        <w:rPr>
          <w:sz w:val="26"/>
          <w:szCs w:val="26"/>
        </w:rPr>
      </w:pPr>
      <w:r w:rsidRPr="2315FA41">
        <w:rPr>
          <w:b/>
          <w:bCs/>
          <w:sz w:val="26"/>
          <w:szCs w:val="26"/>
        </w:rPr>
        <w:t>Lift station replacement / rehabilitation</w:t>
      </w:r>
      <w:r w:rsidRPr="2315FA41">
        <w:rPr>
          <w:sz w:val="26"/>
          <w:szCs w:val="26"/>
        </w:rPr>
        <w:t xml:space="preserve"> – Lift stations are evaluated on a case by case basis.  A scoring system is provided at the end of this Section.  Necessary improvements can usually be completed by full or partial rehabilitation.  Replacement may be the best option for older and outdated lift stations.</w:t>
      </w:r>
    </w:p>
    <w:p w14:paraId="60680C7C" w14:textId="77777777" w:rsidR="008C39FA" w:rsidRPr="00C02A58" w:rsidRDefault="008C39FA" w:rsidP="008C39FA">
      <w:pPr>
        <w:pStyle w:val="p7"/>
        <w:widowControl/>
        <w:tabs>
          <w:tab w:val="clear" w:pos="1133"/>
          <w:tab w:val="left" w:pos="720"/>
        </w:tabs>
        <w:spacing w:line="360" w:lineRule="auto"/>
        <w:ind w:left="0" w:firstLine="720"/>
        <w:rPr>
          <w:sz w:val="26"/>
          <w:szCs w:val="26"/>
        </w:rPr>
      </w:pPr>
    </w:p>
    <w:p w14:paraId="0692AAE3" w14:textId="21AFEE5D" w:rsidR="008C39FA" w:rsidRDefault="008C39FA" w:rsidP="005825B3">
      <w:pPr>
        <w:pStyle w:val="p7"/>
        <w:widowControl/>
        <w:tabs>
          <w:tab w:val="clear" w:pos="782"/>
          <w:tab w:val="clear" w:pos="1133"/>
        </w:tabs>
        <w:spacing w:line="360" w:lineRule="auto"/>
        <w:ind w:left="0" w:firstLine="720"/>
        <w:rPr>
          <w:sz w:val="26"/>
          <w:szCs w:val="26"/>
        </w:rPr>
      </w:pPr>
      <w:r w:rsidRPr="00C02A58">
        <w:rPr>
          <w:b/>
          <w:bCs/>
          <w:sz w:val="26"/>
          <w:szCs w:val="26"/>
        </w:rPr>
        <w:t>Combined sewer overflow facility replacement / rehabilitation</w:t>
      </w:r>
      <w:r w:rsidRPr="008C39FA">
        <w:rPr>
          <w:sz w:val="26"/>
          <w:szCs w:val="26"/>
        </w:rPr>
        <w:t xml:space="preserve"> – CSO facilities are evaluated on a case by case basis.  Replacement or rehabilitation of these facilities may include features such as outfall structures, bar screens, piping, valves, or diversion chamber / flow weirs</w:t>
      </w:r>
      <w:r>
        <w:rPr>
          <w:sz w:val="26"/>
          <w:szCs w:val="26"/>
        </w:rPr>
        <w:t xml:space="preserve">. </w:t>
      </w:r>
    </w:p>
    <w:p w14:paraId="75583BCD" w14:textId="54FB1564" w:rsidR="008C39FA" w:rsidRDefault="008C39FA" w:rsidP="008C39FA">
      <w:pPr>
        <w:pStyle w:val="p7"/>
        <w:widowControl/>
        <w:tabs>
          <w:tab w:val="clear" w:pos="782"/>
          <w:tab w:val="clear" w:pos="1133"/>
        </w:tabs>
        <w:spacing w:line="360" w:lineRule="auto"/>
        <w:ind w:left="0" w:firstLine="0"/>
        <w:rPr>
          <w:sz w:val="26"/>
          <w:szCs w:val="26"/>
        </w:rPr>
      </w:pPr>
    </w:p>
    <w:p w14:paraId="365319B2" w14:textId="5F929B34" w:rsidR="00FA7608" w:rsidRPr="00FA7608" w:rsidRDefault="008C39FA" w:rsidP="00C10F04">
      <w:pPr>
        <w:pStyle w:val="p7"/>
        <w:widowControl/>
        <w:tabs>
          <w:tab w:val="clear" w:pos="782"/>
          <w:tab w:val="clear" w:pos="1133"/>
        </w:tabs>
        <w:spacing w:line="360" w:lineRule="auto"/>
        <w:ind w:left="0" w:firstLine="0"/>
        <w:rPr>
          <w:sz w:val="26"/>
          <w:szCs w:val="26"/>
        </w:rPr>
      </w:pPr>
      <w:r>
        <w:rPr>
          <w:sz w:val="26"/>
          <w:szCs w:val="26"/>
        </w:rPr>
        <w:tab/>
      </w:r>
      <w:r w:rsidR="00384FA9">
        <w:rPr>
          <w:sz w:val="26"/>
          <w:szCs w:val="26"/>
        </w:rPr>
        <w:t>PAWC-WD</w:t>
      </w:r>
      <w:r>
        <w:rPr>
          <w:sz w:val="26"/>
          <w:szCs w:val="26"/>
        </w:rPr>
        <w:t xml:space="preserve"> notes </w:t>
      </w:r>
      <w:r w:rsidR="007653DD">
        <w:rPr>
          <w:sz w:val="26"/>
          <w:szCs w:val="26"/>
        </w:rPr>
        <w:t xml:space="preserve">that </w:t>
      </w:r>
      <w:r>
        <w:rPr>
          <w:sz w:val="26"/>
          <w:szCs w:val="26"/>
        </w:rPr>
        <w:t>o</w:t>
      </w:r>
      <w:r w:rsidRPr="008C39FA">
        <w:rPr>
          <w:sz w:val="26"/>
          <w:szCs w:val="26"/>
        </w:rPr>
        <w:t>nce specific properties are identified as needing replacement or rehabilitation, the final step in the micro-level planning process is prioritization</w:t>
      </w:r>
      <w:r w:rsidR="00FD4CEE">
        <w:rPr>
          <w:sz w:val="26"/>
          <w:szCs w:val="26"/>
        </w:rPr>
        <w:t xml:space="preserve">.  </w:t>
      </w:r>
      <w:r w:rsidR="00384FA9">
        <w:rPr>
          <w:sz w:val="26"/>
          <w:szCs w:val="26"/>
        </w:rPr>
        <w:t>PAWC-WD</w:t>
      </w:r>
      <w:r w:rsidRPr="008C39FA">
        <w:rPr>
          <w:sz w:val="26"/>
          <w:szCs w:val="26"/>
        </w:rPr>
        <w:t xml:space="preserve"> </w:t>
      </w:r>
      <w:r w:rsidR="00EC21E8">
        <w:rPr>
          <w:sz w:val="26"/>
          <w:szCs w:val="26"/>
        </w:rPr>
        <w:t xml:space="preserve">states that it </w:t>
      </w:r>
      <w:r w:rsidRPr="008C39FA">
        <w:rPr>
          <w:sz w:val="26"/>
          <w:szCs w:val="26"/>
        </w:rPr>
        <w:t>plans to apply a prioritization model to score capital improvement projects which will be funded through the wastewater DSIC program.</w:t>
      </w:r>
      <w:r w:rsidRPr="008C39FA">
        <w:t xml:space="preserve"> </w:t>
      </w:r>
      <w:r>
        <w:t xml:space="preserve"> </w:t>
      </w:r>
      <w:r w:rsidR="00384FA9">
        <w:rPr>
          <w:sz w:val="26"/>
          <w:szCs w:val="26"/>
        </w:rPr>
        <w:t>PAWC-WD</w:t>
      </w:r>
      <w:r w:rsidR="009E72FE">
        <w:rPr>
          <w:sz w:val="26"/>
          <w:szCs w:val="26"/>
        </w:rPr>
        <w:t>’s</w:t>
      </w:r>
      <w:r w:rsidRPr="008C39FA">
        <w:rPr>
          <w:sz w:val="26"/>
          <w:szCs w:val="26"/>
        </w:rPr>
        <w:t xml:space="preserve"> prioritization model for wastewater collection mains will use pipe condition information to assess the system’s ability to meet performance measures</w:t>
      </w:r>
      <w:r w:rsidR="00C10F04">
        <w:rPr>
          <w:sz w:val="26"/>
          <w:szCs w:val="26"/>
        </w:rPr>
        <w:t xml:space="preserve">. </w:t>
      </w:r>
      <w:r w:rsidRPr="008C39FA">
        <w:rPr>
          <w:sz w:val="26"/>
          <w:szCs w:val="26"/>
        </w:rPr>
        <w:t xml:space="preserve"> </w:t>
      </w:r>
      <w:r w:rsidR="00384FA9">
        <w:rPr>
          <w:sz w:val="26"/>
          <w:szCs w:val="26"/>
        </w:rPr>
        <w:t>PAWC-WD</w:t>
      </w:r>
      <w:r w:rsidR="00C10F04">
        <w:rPr>
          <w:sz w:val="26"/>
          <w:szCs w:val="26"/>
        </w:rPr>
        <w:t xml:space="preserve"> maintains that t</w:t>
      </w:r>
      <w:r w:rsidR="00C10F04" w:rsidRPr="00C10F04">
        <w:rPr>
          <w:sz w:val="26"/>
          <w:szCs w:val="26"/>
        </w:rPr>
        <w:t xml:space="preserve">he list of identified projects will cover multiple wastewater systems and geographical areas across the Commonwealth.  </w:t>
      </w:r>
    </w:p>
    <w:p w14:paraId="2FB49EED" w14:textId="2ABA1104" w:rsidR="008C39FA" w:rsidRDefault="008C39FA" w:rsidP="008C39FA">
      <w:pPr>
        <w:pStyle w:val="p7"/>
        <w:widowControl/>
        <w:tabs>
          <w:tab w:val="clear" w:pos="782"/>
          <w:tab w:val="clear" w:pos="1133"/>
        </w:tabs>
        <w:spacing w:line="360" w:lineRule="auto"/>
        <w:ind w:left="0" w:firstLine="0"/>
        <w:rPr>
          <w:sz w:val="26"/>
          <w:szCs w:val="26"/>
        </w:rPr>
      </w:pPr>
    </w:p>
    <w:p w14:paraId="3F2B7DAD" w14:textId="36DCF7DD" w:rsidR="00DA68D2" w:rsidRDefault="00DA68D2" w:rsidP="008C39FA">
      <w:pPr>
        <w:pStyle w:val="p7"/>
        <w:widowControl/>
        <w:tabs>
          <w:tab w:val="clear" w:pos="782"/>
          <w:tab w:val="clear" w:pos="1133"/>
        </w:tabs>
        <w:spacing w:line="360" w:lineRule="auto"/>
        <w:ind w:left="0" w:firstLine="0"/>
        <w:rPr>
          <w:sz w:val="26"/>
          <w:szCs w:val="26"/>
        </w:rPr>
      </w:pPr>
      <w:r>
        <w:rPr>
          <w:sz w:val="26"/>
          <w:szCs w:val="26"/>
        </w:rPr>
        <w:tab/>
      </w:r>
      <w:r w:rsidR="004E7BD6" w:rsidRPr="004E7BD6">
        <w:rPr>
          <w:sz w:val="26"/>
          <w:szCs w:val="26"/>
        </w:rPr>
        <w:t xml:space="preserve">In </w:t>
      </w:r>
      <w:r w:rsidR="00836DE2">
        <w:rPr>
          <w:sz w:val="26"/>
          <w:szCs w:val="26"/>
        </w:rPr>
        <w:t>supplemental</w:t>
      </w:r>
      <w:r w:rsidR="004E7BD6" w:rsidRPr="004E7BD6">
        <w:rPr>
          <w:sz w:val="26"/>
          <w:szCs w:val="26"/>
        </w:rPr>
        <w:t xml:space="preserve"> information filed with the Commission, </w:t>
      </w:r>
      <w:r w:rsidR="00384FA9">
        <w:rPr>
          <w:sz w:val="26"/>
          <w:szCs w:val="26"/>
        </w:rPr>
        <w:t>PAWC-WD</w:t>
      </w:r>
      <w:r>
        <w:rPr>
          <w:sz w:val="26"/>
          <w:szCs w:val="26"/>
        </w:rPr>
        <w:t xml:space="preserve"> </w:t>
      </w:r>
      <w:r w:rsidR="00135136">
        <w:rPr>
          <w:sz w:val="26"/>
          <w:szCs w:val="26"/>
        </w:rPr>
        <w:t>outlined</w:t>
      </w:r>
      <w:r w:rsidRPr="00DA68D2">
        <w:rPr>
          <w:sz w:val="26"/>
          <w:szCs w:val="26"/>
        </w:rPr>
        <w:t xml:space="preserve"> the projected schedule for completion of the Company’s risk-based condition assessment for </w:t>
      </w:r>
      <w:r w:rsidRPr="00DA68D2">
        <w:rPr>
          <w:sz w:val="26"/>
          <w:szCs w:val="26"/>
        </w:rPr>
        <w:lastRenderedPageBreak/>
        <w:t xml:space="preserve">each wastewater system covered by the LTIIP.   </w:t>
      </w:r>
      <w:r w:rsidR="00C246C5">
        <w:rPr>
          <w:sz w:val="26"/>
          <w:szCs w:val="26"/>
        </w:rPr>
        <w:t>Table 3</w:t>
      </w:r>
      <w:r w:rsidR="00232527">
        <w:rPr>
          <w:sz w:val="26"/>
          <w:szCs w:val="26"/>
        </w:rPr>
        <w:t>,</w:t>
      </w:r>
      <w:r w:rsidR="00C246C5">
        <w:rPr>
          <w:sz w:val="26"/>
          <w:szCs w:val="26"/>
        </w:rPr>
        <w:t xml:space="preserve"> below</w:t>
      </w:r>
      <w:r w:rsidR="00232527">
        <w:rPr>
          <w:sz w:val="26"/>
          <w:szCs w:val="26"/>
        </w:rPr>
        <w:t>,</w:t>
      </w:r>
      <w:r w:rsidR="00C246C5">
        <w:rPr>
          <w:sz w:val="26"/>
          <w:szCs w:val="26"/>
        </w:rPr>
        <w:t xml:space="preserve"> </w:t>
      </w:r>
      <w:r w:rsidR="00C246C5" w:rsidRPr="00C246C5">
        <w:rPr>
          <w:sz w:val="26"/>
          <w:szCs w:val="26"/>
        </w:rPr>
        <w:t xml:space="preserve">is organized by </w:t>
      </w:r>
      <w:r w:rsidR="00232527">
        <w:rPr>
          <w:sz w:val="26"/>
          <w:szCs w:val="26"/>
        </w:rPr>
        <w:t>3</w:t>
      </w:r>
      <w:r w:rsidR="00C246C5" w:rsidRPr="00C246C5">
        <w:rPr>
          <w:sz w:val="26"/>
          <w:szCs w:val="26"/>
        </w:rPr>
        <w:t xml:space="preserve"> categories of systems: (1) newly acquired systems; (2) systems subject to a </w:t>
      </w:r>
      <w:r w:rsidR="00991179">
        <w:rPr>
          <w:sz w:val="26"/>
          <w:szCs w:val="26"/>
        </w:rPr>
        <w:t>DEP</w:t>
      </w:r>
      <w:r w:rsidR="00727DE3">
        <w:rPr>
          <w:sz w:val="26"/>
          <w:szCs w:val="26"/>
        </w:rPr>
        <w:t xml:space="preserve"> </w:t>
      </w:r>
      <w:r w:rsidR="00C246C5" w:rsidRPr="00C246C5">
        <w:rPr>
          <w:sz w:val="26"/>
          <w:szCs w:val="26"/>
        </w:rPr>
        <w:t xml:space="preserve">or United States Environmental Protection Agency </w:t>
      </w:r>
      <w:r w:rsidR="00727DE3">
        <w:rPr>
          <w:sz w:val="26"/>
          <w:szCs w:val="26"/>
        </w:rPr>
        <w:t xml:space="preserve">(EPA) </w:t>
      </w:r>
      <w:r w:rsidR="00C246C5" w:rsidRPr="00C246C5">
        <w:rPr>
          <w:sz w:val="26"/>
          <w:szCs w:val="26"/>
        </w:rPr>
        <w:t xml:space="preserve">Consent Order; and (3) all other “routine” systems that do not fall under the other two categories.  </w:t>
      </w:r>
    </w:p>
    <w:p w14:paraId="2C7495E2" w14:textId="4938D2D3" w:rsidR="00C246C5" w:rsidRPr="00831F20" w:rsidRDefault="00C246C5" w:rsidP="00C246C5">
      <w:pPr>
        <w:spacing w:before="654" w:line="350" w:lineRule="exact"/>
        <w:textAlignment w:val="baseline"/>
        <w:rPr>
          <w:b/>
          <w:bCs/>
          <w:color w:val="000000"/>
          <w:spacing w:val="3"/>
          <w:sz w:val="26"/>
          <w:szCs w:val="26"/>
        </w:rPr>
      </w:pPr>
      <w:r w:rsidRPr="00831F20">
        <w:rPr>
          <w:b/>
          <w:bCs/>
          <w:color w:val="000000"/>
          <w:spacing w:val="3"/>
          <w:sz w:val="26"/>
          <w:szCs w:val="26"/>
        </w:rPr>
        <w:t>Table 3</w:t>
      </w:r>
      <w:r w:rsidR="00565019">
        <w:rPr>
          <w:b/>
          <w:bCs/>
          <w:color w:val="000000"/>
          <w:spacing w:val="3"/>
          <w:sz w:val="26"/>
          <w:szCs w:val="26"/>
        </w:rPr>
        <w:t xml:space="preserve"> – Condition </w:t>
      </w:r>
      <w:r w:rsidRPr="00831F20">
        <w:rPr>
          <w:b/>
          <w:bCs/>
          <w:color w:val="000000"/>
          <w:spacing w:val="3"/>
          <w:sz w:val="26"/>
          <w:szCs w:val="26"/>
        </w:rPr>
        <w:t>Assessment Schedule</w:t>
      </w:r>
    </w:p>
    <w:tbl>
      <w:tblPr>
        <w:tblW w:w="0" w:type="auto"/>
        <w:tblInd w:w="34" w:type="dxa"/>
        <w:tblLayout w:type="fixed"/>
        <w:tblCellMar>
          <w:left w:w="0" w:type="dxa"/>
          <w:right w:w="0" w:type="dxa"/>
        </w:tblCellMar>
        <w:tblLook w:val="04A0" w:firstRow="1" w:lastRow="0" w:firstColumn="1" w:lastColumn="0" w:noHBand="0" w:noVBand="1"/>
      </w:tblPr>
      <w:tblGrid>
        <w:gridCol w:w="1994"/>
        <w:gridCol w:w="925"/>
        <w:gridCol w:w="932"/>
        <w:gridCol w:w="973"/>
        <w:gridCol w:w="997"/>
        <w:gridCol w:w="895"/>
        <w:gridCol w:w="903"/>
        <w:gridCol w:w="1045"/>
      </w:tblGrid>
      <w:tr w:rsidR="00C246C5" w:rsidRPr="00C246C5" w14:paraId="04DFDA3C" w14:textId="77777777" w:rsidTr="00C246C5">
        <w:trPr>
          <w:trHeight w:hRule="exact" w:val="640"/>
        </w:trPr>
        <w:tc>
          <w:tcPr>
            <w:tcW w:w="1994" w:type="dxa"/>
            <w:tcBorders>
              <w:top w:val="single" w:sz="13" w:space="0" w:color="000000"/>
              <w:left w:val="single" w:sz="13" w:space="0" w:color="000000"/>
              <w:bottom w:val="single" w:sz="13" w:space="0" w:color="000000"/>
              <w:right w:val="single" w:sz="13" w:space="0" w:color="000000"/>
            </w:tcBorders>
            <w:vAlign w:val="bottom"/>
          </w:tcPr>
          <w:p w14:paraId="0FA6C743" w14:textId="77777777" w:rsidR="00C246C5" w:rsidRPr="00831F20" w:rsidRDefault="00C246C5" w:rsidP="00F80885">
            <w:pPr>
              <w:spacing w:before="439" w:after="26" w:line="173" w:lineRule="exact"/>
              <w:ind w:left="53"/>
              <w:textAlignment w:val="baseline"/>
              <w:rPr>
                <w:rFonts w:eastAsia="Arial"/>
                <w:b/>
                <w:color w:val="000000"/>
                <w:sz w:val="16"/>
                <w:szCs w:val="16"/>
              </w:rPr>
            </w:pPr>
            <w:r w:rsidRPr="00831F20">
              <w:rPr>
                <w:rFonts w:eastAsia="Arial"/>
                <w:b/>
                <w:color w:val="000000"/>
                <w:sz w:val="16"/>
                <w:szCs w:val="16"/>
              </w:rPr>
              <w:t>District</w:t>
            </w:r>
          </w:p>
        </w:tc>
        <w:tc>
          <w:tcPr>
            <w:tcW w:w="925" w:type="dxa"/>
            <w:tcBorders>
              <w:top w:val="single" w:sz="13" w:space="0" w:color="000000"/>
              <w:left w:val="single" w:sz="13" w:space="0" w:color="000000"/>
              <w:bottom w:val="single" w:sz="13" w:space="0" w:color="000000"/>
              <w:right w:val="single" w:sz="13" w:space="0" w:color="000000"/>
            </w:tcBorders>
          </w:tcPr>
          <w:p w14:paraId="0C3705BF" w14:textId="77777777" w:rsidR="00C246C5" w:rsidRPr="00831F20" w:rsidRDefault="00C246C5" w:rsidP="00F80885">
            <w:pPr>
              <w:spacing w:after="48" w:line="196" w:lineRule="exact"/>
              <w:jc w:val="center"/>
              <w:textAlignment w:val="baseline"/>
              <w:rPr>
                <w:rFonts w:eastAsia="Arial"/>
                <w:b/>
                <w:color w:val="000000"/>
                <w:sz w:val="16"/>
                <w:szCs w:val="16"/>
              </w:rPr>
            </w:pPr>
            <w:r w:rsidRPr="00831F20">
              <w:rPr>
                <w:rFonts w:eastAsia="Arial"/>
                <w:b/>
                <w:color w:val="000000"/>
                <w:sz w:val="16"/>
                <w:szCs w:val="16"/>
              </w:rPr>
              <w:t xml:space="preserve">Total </w:t>
            </w:r>
            <w:r w:rsidRPr="00831F20">
              <w:rPr>
                <w:rFonts w:eastAsia="Arial"/>
                <w:b/>
                <w:color w:val="000000"/>
                <w:sz w:val="16"/>
                <w:szCs w:val="16"/>
              </w:rPr>
              <w:br/>
              <w:t xml:space="preserve">Gravity </w:t>
            </w:r>
            <w:r w:rsidRPr="00831F20">
              <w:rPr>
                <w:rFonts w:eastAsia="Arial"/>
                <w:b/>
                <w:color w:val="000000"/>
                <w:sz w:val="16"/>
                <w:szCs w:val="16"/>
              </w:rPr>
              <w:br/>
              <w:t>LF</w:t>
            </w:r>
          </w:p>
        </w:tc>
        <w:tc>
          <w:tcPr>
            <w:tcW w:w="932" w:type="dxa"/>
            <w:tcBorders>
              <w:top w:val="single" w:sz="13" w:space="0" w:color="000000"/>
              <w:left w:val="single" w:sz="13" w:space="0" w:color="000000"/>
              <w:bottom w:val="single" w:sz="13" w:space="0" w:color="000000"/>
              <w:right w:val="single" w:sz="13" w:space="0" w:color="000000"/>
            </w:tcBorders>
            <w:vAlign w:val="bottom"/>
          </w:tcPr>
          <w:p w14:paraId="35E430E7" w14:textId="77777777" w:rsidR="00C246C5" w:rsidRPr="00831F20" w:rsidRDefault="00C246C5" w:rsidP="00F80885">
            <w:pPr>
              <w:spacing w:before="443" w:after="22" w:line="173" w:lineRule="exact"/>
              <w:ind w:right="28"/>
              <w:jc w:val="right"/>
              <w:textAlignment w:val="baseline"/>
              <w:rPr>
                <w:rFonts w:eastAsia="Arial"/>
                <w:b/>
                <w:color w:val="000000"/>
                <w:sz w:val="16"/>
                <w:szCs w:val="16"/>
              </w:rPr>
            </w:pPr>
            <w:r w:rsidRPr="00831F20">
              <w:rPr>
                <w:rFonts w:eastAsia="Arial"/>
                <w:b/>
                <w:color w:val="000000"/>
                <w:sz w:val="16"/>
                <w:szCs w:val="16"/>
              </w:rPr>
              <w:t>2018</w:t>
            </w:r>
          </w:p>
        </w:tc>
        <w:tc>
          <w:tcPr>
            <w:tcW w:w="973" w:type="dxa"/>
            <w:tcBorders>
              <w:top w:val="single" w:sz="13" w:space="0" w:color="000000"/>
              <w:left w:val="single" w:sz="13" w:space="0" w:color="000000"/>
              <w:bottom w:val="single" w:sz="13" w:space="0" w:color="000000"/>
              <w:right w:val="single" w:sz="13" w:space="0" w:color="000000"/>
            </w:tcBorders>
            <w:vAlign w:val="bottom"/>
          </w:tcPr>
          <w:p w14:paraId="0E34D075" w14:textId="77777777" w:rsidR="00C246C5" w:rsidRPr="00831F20" w:rsidRDefault="00C246C5" w:rsidP="00F80885">
            <w:pPr>
              <w:spacing w:before="443" w:after="22" w:line="173" w:lineRule="exact"/>
              <w:ind w:right="23"/>
              <w:jc w:val="right"/>
              <w:textAlignment w:val="baseline"/>
              <w:rPr>
                <w:rFonts w:eastAsia="Arial"/>
                <w:b/>
                <w:color w:val="000000"/>
                <w:sz w:val="16"/>
                <w:szCs w:val="16"/>
              </w:rPr>
            </w:pPr>
            <w:r w:rsidRPr="00831F20">
              <w:rPr>
                <w:rFonts w:eastAsia="Arial"/>
                <w:b/>
                <w:color w:val="000000"/>
                <w:sz w:val="16"/>
                <w:szCs w:val="16"/>
              </w:rPr>
              <w:t>2019</w:t>
            </w:r>
          </w:p>
        </w:tc>
        <w:tc>
          <w:tcPr>
            <w:tcW w:w="997" w:type="dxa"/>
            <w:tcBorders>
              <w:top w:val="single" w:sz="13" w:space="0" w:color="000000"/>
              <w:left w:val="single" w:sz="13" w:space="0" w:color="000000"/>
              <w:bottom w:val="single" w:sz="13" w:space="0" w:color="000000"/>
              <w:right w:val="single" w:sz="13" w:space="0" w:color="000000"/>
            </w:tcBorders>
            <w:vAlign w:val="bottom"/>
          </w:tcPr>
          <w:p w14:paraId="1B2DD75F" w14:textId="77777777" w:rsidR="00C246C5" w:rsidRPr="00831F20" w:rsidRDefault="00C246C5" w:rsidP="00F80885">
            <w:pPr>
              <w:spacing w:before="443" w:after="22" w:line="173" w:lineRule="exact"/>
              <w:ind w:right="24"/>
              <w:jc w:val="right"/>
              <w:textAlignment w:val="baseline"/>
              <w:rPr>
                <w:rFonts w:eastAsia="Arial"/>
                <w:b/>
                <w:color w:val="000000"/>
                <w:sz w:val="16"/>
                <w:szCs w:val="16"/>
              </w:rPr>
            </w:pPr>
            <w:r w:rsidRPr="00831F20">
              <w:rPr>
                <w:rFonts w:eastAsia="Arial"/>
                <w:b/>
                <w:color w:val="000000"/>
                <w:sz w:val="16"/>
                <w:szCs w:val="16"/>
              </w:rPr>
              <w:t>2020</w:t>
            </w:r>
          </w:p>
        </w:tc>
        <w:tc>
          <w:tcPr>
            <w:tcW w:w="895" w:type="dxa"/>
            <w:tcBorders>
              <w:top w:val="single" w:sz="13" w:space="0" w:color="000000"/>
              <w:left w:val="single" w:sz="13" w:space="0" w:color="000000"/>
              <w:bottom w:val="single" w:sz="13" w:space="0" w:color="000000"/>
              <w:right w:val="single" w:sz="13" w:space="0" w:color="000000"/>
            </w:tcBorders>
            <w:vAlign w:val="bottom"/>
          </w:tcPr>
          <w:p w14:paraId="48AC1A33" w14:textId="77777777" w:rsidR="00C246C5" w:rsidRPr="00831F20" w:rsidRDefault="00C246C5" w:rsidP="00F80885">
            <w:pPr>
              <w:spacing w:before="443" w:after="22" w:line="173" w:lineRule="exact"/>
              <w:ind w:right="24"/>
              <w:jc w:val="right"/>
              <w:textAlignment w:val="baseline"/>
              <w:rPr>
                <w:rFonts w:eastAsia="Arial"/>
                <w:b/>
                <w:color w:val="000000"/>
                <w:sz w:val="16"/>
                <w:szCs w:val="16"/>
              </w:rPr>
            </w:pPr>
            <w:r w:rsidRPr="00831F20">
              <w:rPr>
                <w:rFonts w:eastAsia="Arial"/>
                <w:b/>
                <w:color w:val="000000"/>
                <w:sz w:val="16"/>
                <w:szCs w:val="16"/>
              </w:rPr>
              <w:t>2021</w:t>
            </w:r>
          </w:p>
        </w:tc>
        <w:tc>
          <w:tcPr>
            <w:tcW w:w="902" w:type="dxa"/>
            <w:tcBorders>
              <w:top w:val="single" w:sz="13" w:space="0" w:color="000000"/>
              <w:left w:val="single" w:sz="13" w:space="0" w:color="000000"/>
              <w:bottom w:val="single" w:sz="13" w:space="0" w:color="000000"/>
              <w:right w:val="single" w:sz="13" w:space="0" w:color="000000"/>
            </w:tcBorders>
            <w:vAlign w:val="bottom"/>
          </w:tcPr>
          <w:p w14:paraId="0D75E355" w14:textId="77777777" w:rsidR="00C246C5" w:rsidRPr="00831F20" w:rsidRDefault="00C246C5" w:rsidP="00F80885">
            <w:pPr>
              <w:spacing w:before="446" w:after="19" w:line="173" w:lineRule="exact"/>
              <w:ind w:right="33"/>
              <w:jc w:val="right"/>
              <w:textAlignment w:val="baseline"/>
              <w:rPr>
                <w:rFonts w:eastAsia="Arial"/>
                <w:b/>
                <w:color w:val="000000"/>
                <w:sz w:val="16"/>
                <w:szCs w:val="16"/>
              </w:rPr>
            </w:pPr>
            <w:r w:rsidRPr="00831F20">
              <w:rPr>
                <w:rFonts w:eastAsia="Arial"/>
                <w:b/>
                <w:color w:val="000000"/>
                <w:sz w:val="16"/>
                <w:szCs w:val="16"/>
              </w:rPr>
              <w:t>2022</w:t>
            </w:r>
          </w:p>
        </w:tc>
        <w:tc>
          <w:tcPr>
            <w:tcW w:w="1045" w:type="dxa"/>
            <w:tcBorders>
              <w:top w:val="single" w:sz="13" w:space="0" w:color="000000"/>
              <w:left w:val="single" w:sz="13" w:space="0" w:color="000000"/>
              <w:bottom w:val="single" w:sz="13" w:space="0" w:color="000000"/>
              <w:right w:val="single" w:sz="13" w:space="0" w:color="000000"/>
            </w:tcBorders>
            <w:vAlign w:val="bottom"/>
          </w:tcPr>
          <w:p w14:paraId="7E9EEE52" w14:textId="77777777" w:rsidR="00C246C5" w:rsidRPr="00831F20" w:rsidRDefault="00C246C5" w:rsidP="00F80885">
            <w:pPr>
              <w:spacing w:before="218" w:line="173" w:lineRule="exact"/>
              <w:ind w:right="281"/>
              <w:jc w:val="right"/>
              <w:textAlignment w:val="baseline"/>
              <w:rPr>
                <w:rFonts w:eastAsia="Arial"/>
                <w:b/>
                <w:color w:val="000000"/>
                <w:sz w:val="16"/>
                <w:szCs w:val="16"/>
              </w:rPr>
            </w:pPr>
            <w:r w:rsidRPr="00831F20">
              <w:rPr>
                <w:rFonts w:eastAsia="Arial"/>
                <w:b/>
                <w:color w:val="000000"/>
                <w:sz w:val="16"/>
                <w:szCs w:val="16"/>
              </w:rPr>
              <w:t>#</w:t>
            </w:r>
          </w:p>
          <w:p w14:paraId="3229B3B4" w14:textId="77777777" w:rsidR="00C246C5" w:rsidRPr="00831F20" w:rsidRDefault="00C246C5" w:rsidP="00F80885">
            <w:pPr>
              <w:spacing w:before="27" w:after="47" w:line="173" w:lineRule="exact"/>
              <w:jc w:val="center"/>
              <w:textAlignment w:val="baseline"/>
              <w:rPr>
                <w:rFonts w:eastAsia="Arial"/>
                <w:b/>
                <w:color w:val="000000"/>
                <w:sz w:val="16"/>
                <w:szCs w:val="16"/>
              </w:rPr>
            </w:pPr>
            <w:r w:rsidRPr="00831F20">
              <w:rPr>
                <w:rFonts w:eastAsia="Arial"/>
                <w:b/>
                <w:color w:val="000000"/>
                <w:sz w:val="16"/>
                <w:szCs w:val="16"/>
              </w:rPr>
              <w:t>Manholes</w:t>
            </w:r>
          </w:p>
        </w:tc>
      </w:tr>
      <w:tr w:rsidR="00C246C5" w:rsidRPr="00C246C5" w14:paraId="65C41BCE" w14:textId="77777777" w:rsidTr="00C246C5">
        <w:trPr>
          <w:trHeight w:hRule="exact" w:val="207"/>
        </w:trPr>
        <w:tc>
          <w:tcPr>
            <w:tcW w:w="1994" w:type="dxa"/>
            <w:tcBorders>
              <w:top w:val="single" w:sz="13" w:space="0" w:color="000000"/>
              <w:left w:val="single" w:sz="13" w:space="0" w:color="000000"/>
              <w:bottom w:val="none" w:sz="0" w:space="0" w:color="020000"/>
              <w:right w:val="single" w:sz="13" w:space="0" w:color="000000"/>
            </w:tcBorders>
            <w:shd w:val="clear" w:color="EAE8EC" w:fill="EAE8EC"/>
            <w:vAlign w:val="center"/>
          </w:tcPr>
          <w:p w14:paraId="1AC3DB1C" w14:textId="3BD3C651" w:rsidR="00C246C5" w:rsidRPr="00AB66AE" w:rsidRDefault="00C246C5" w:rsidP="00F80885">
            <w:pPr>
              <w:spacing w:line="175" w:lineRule="exact"/>
              <w:ind w:left="53"/>
              <w:textAlignment w:val="baseline"/>
              <w:rPr>
                <w:rFonts w:eastAsia="Arial"/>
                <w:b/>
                <w:bCs/>
                <w:iCs/>
                <w:color w:val="000000"/>
                <w:sz w:val="20"/>
                <w:szCs w:val="20"/>
              </w:rPr>
            </w:pPr>
            <w:r w:rsidRPr="00AB66AE">
              <w:rPr>
                <w:rFonts w:eastAsia="Arial"/>
                <w:b/>
                <w:bCs/>
                <w:iCs/>
                <w:color w:val="000000"/>
                <w:sz w:val="20"/>
                <w:szCs w:val="20"/>
              </w:rPr>
              <w:t xml:space="preserve">New </w:t>
            </w:r>
            <w:r w:rsidR="00AB66AE" w:rsidRPr="00AB66AE">
              <w:rPr>
                <w:rFonts w:eastAsia="Arial"/>
                <w:b/>
                <w:bCs/>
                <w:iCs/>
                <w:color w:val="000000"/>
                <w:sz w:val="20"/>
                <w:szCs w:val="20"/>
              </w:rPr>
              <w:t>Acquisitions</w:t>
            </w:r>
          </w:p>
        </w:tc>
        <w:tc>
          <w:tcPr>
            <w:tcW w:w="925" w:type="dxa"/>
            <w:tcBorders>
              <w:top w:val="single" w:sz="13" w:space="0" w:color="000000"/>
              <w:left w:val="single" w:sz="13" w:space="0" w:color="000000"/>
              <w:bottom w:val="none" w:sz="0" w:space="0" w:color="020000"/>
              <w:right w:val="none" w:sz="0" w:space="0" w:color="020000"/>
            </w:tcBorders>
            <w:shd w:val="clear" w:color="EAE8EC" w:fill="EAE8EC"/>
          </w:tcPr>
          <w:p w14:paraId="66B97432"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32" w:type="dxa"/>
            <w:tcBorders>
              <w:top w:val="single" w:sz="13" w:space="0" w:color="000000"/>
              <w:left w:val="none" w:sz="0" w:space="0" w:color="020000"/>
              <w:bottom w:val="none" w:sz="0" w:space="0" w:color="020000"/>
              <w:right w:val="none" w:sz="0" w:space="0" w:color="020000"/>
            </w:tcBorders>
            <w:shd w:val="clear" w:color="EAE8EC" w:fill="EAE8EC"/>
          </w:tcPr>
          <w:p w14:paraId="73AB96C0"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single" w:sz="13" w:space="0" w:color="000000"/>
              <w:left w:val="none" w:sz="0" w:space="0" w:color="020000"/>
              <w:bottom w:val="none" w:sz="0" w:space="0" w:color="020000"/>
              <w:right w:val="none" w:sz="0" w:space="0" w:color="020000"/>
            </w:tcBorders>
            <w:shd w:val="clear" w:color="EAE8EC" w:fill="EAE8EC"/>
          </w:tcPr>
          <w:p w14:paraId="18C335DE"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single" w:sz="13" w:space="0" w:color="000000"/>
              <w:left w:val="none" w:sz="0" w:space="0" w:color="020000"/>
              <w:bottom w:val="none" w:sz="0" w:space="0" w:color="020000"/>
              <w:right w:val="none" w:sz="0" w:space="0" w:color="020000"/>
            </w:tcBorders>
            <w:shd w:val="clear" w:color="EAE8EC" w:fill="EAE8EC"/>
          </w:tcPr>
          <w:p w14:paraId="13F651B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single" w:sz="13" w:space="0" w:color="000000"/>
              <w:left w:val="none" w:sz="0" w:space="0" w:color="020000"/>
              <w:bottom w:val="none" w:sz="0" w:space="0" w:color="020000"/>
              <w:right w:val="none" w:sz="0" w:space="0" w:color="020000"/>
            </w:tcBorders>
            <w:shd w:val="clear" w:color="EAE8EC" w:fill="EAE8EC"/>
          </w:tcPr>
          <w:p w14:paraId="6BA927E0"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single" w:sz="13" w:space="0" w:color="000000"/>
              <w:left w:val="none" w:sz="0" w:space="0" w:color="020000"/>
              <w:bottom w:val="none" w:sz="0" w:space="0" w:color="020000"/>
              <w:right w:val="single" w:sz="13" w:space="0" w:color="000000"/>
            </w:tcBorders>
            <w:shd w:val="clear" w:color="EAE8EC" w:fill="EAE8EC"/>
          </w:tcPr>
          <w:p w14:paraId="536BB323"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r>
      <w:tr w:rsidR="00C246C5" w:rsidRPr="00C246C5" w14:paraId="513E6AC8" w14:textId="77777777" w:rsidTr="00C246C5">
        <w:trPr>
          <w:trHeight w:hRule="exact" w:val="217"/>
        </w:trPr>
        <w:tc>
          <w:tcPr>
            <w:tcW w:w="1994" w:type="dxa"/>
            <w:tcBorders>
              <w:top w:val="none" w:sz="0" w:space="0" w:color="020000"/>
              <w:left w:val="single" w:sz="13" w:space="0" w:color="000000"/>
              <w:bottom w:val="none" w:sz="0" w:space="0" w:color="020000"/>
              <w:right w:val="single" w:sz="13" w:space="0" w:color="000000"/>
            </w:tcBorders>
            <w:vAlign w:val="center"/>
          </w:tcPr>
          <w:p w14:paraId="2F6BA2BA" w14:textId="77777777" w:rsidR="00C246C5" w:rsidRPr="00C246C5" w:rsidRDefault="00C246C5" w:rsidP="00F80885">
            <w:pPr>
              <w:spacing w:after="12" w:line="174" w:lineRule="exact"/>
              <w:ind w:left="53"/>
              <w:textAlignment w:val="baseline"/>
              <w:rPr>
                <w:color w:val="000000"/>
                <w:sz w:val="20"/>
                <w:szCs w:val="20"/>
              </w:rPr>
            </w:pPr>
            <w:r w:rsidRPr="00C246C5">
              <w:rPr>
                <w:color w:val="000000"/>
                <w:sz w:val="20"/>
                <w:szCs w:val="20"/>
              </w:rPr>
              <w:t>Franklin</w:t>
            </w:r>
          </w:p>
        </w:tc>
        <w:tc>
          <w:tcPr>
            <w:tcW w:w="925" w:type="dxa"/>
            <w:tcBorders>
              <w:top w:val="none" w:sz="0" w:space="0" w:color="020000"/>
              <w:left w:val="single" w:sz="13" w:space="0" w:color="000000"/>
              <w:bottom w:val="none" w:sz="0" w:space="0" w:color="020000"/>
              <w:right w:val="none" w:sz="0" w:space="0" w:color="020000"/>
            </w:tcBorders>
            <w:vAlign w:val="center"/>
          </w:tcPr>
          <w:p w14:paraId="4F4E7AD5" w14:textId="77777777" w:rsidR="00C246C5" w:rsidRPr="00C246C5" w:rsidRDefault="00C246C5" w:rsidP="00F80885">
            <w:pPr>
              <w:spacing w:after="10" w:line="174" w:lineRule="exact"/>
              <w:ind w:right="28"/>
              <w:jc w:val="right"/>
              <w:textAlignment w:val="baseline"/>
              <w:rPr>
                <w:color w:val="000000"/>
                <w:sz w:val="20"/>
                <w:szCs w:val="20"/>
              </w:rPr>
            </w:pPr>
            <w:r w:rsidRPr="00C246C5">
              <w:rPr>
                <w:color w:val="000000"/>
                <w:sz w:val="20"/>
                <w:szCs w:val="20"/>
              </w:rPr>
              <w:t>55,239</w:t>
            </w:r>
          </w:p>
        </w:tc>
        <w:tc>
          <w:tcPr>
            <w:tcW w:w="932" w:type="dxa"/>
            <w:tcBorders>
              <w:top w:val="none" w:sz="0" w:space="0" w:color="020000"/>
              <w:left w:val="none" w:sz="0" w:space="0" w:color="020000"/>
              <w:bottom w:val="none" w:sz="0" w:space="0" w:color="020000"/>
              <w:right w:val="none" w:sz="0" w:space="0" w:color="020000"/>
            </w:tcBorders>
          </w:tcPr>
          <w:p w14:paraId="10CB1F3D"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5B7A232D" w14:textId="77777777" w:rsidR="00C246C5" w:rsidRPr="00C246C5" w:rsidRDefault="00C246C5" w:rsidP="00F80885">
            <w:pPr>
              <w:spacing w:after="9" w:line="174" w:lineRule="exact"/>
              <w:ind w:right="23"/>
              <w:jc w:val="right"/>
              <w:textAlignment w:val="baseline"/>
              <w:rPr>
                <w:color w:val="000000"/>
                <w:sz w:val="20"/>
                <w:szCs w:val="20"/>
              </w:rPr>
            </w:pPr>
            <w:r w:rsidRPr="00C246C5">
              <w:rPr>
                <w:color w:val="000000"/>
                <w:sz w:val="20"/>
                <w:szCs w:val="20"/>
              </w:rPr>
              <w:t>55,239</w:t>
            </w:r>
          </w:p>
        </w:tc>
        <w:tc>
          <w:tcPr>
            <w:tcW w:w="997" w:type="dxa"/>
            <w:tcBorders>
              <w:top w:val="none" w:sz="0" w:space="0" w:color="020000"/>
              <w:left w:val="none" w:sz="0" w:space="0" w:color="020000"/>
              <w:bottom w:val="none" w:sz="0" w:space="0" w:color="020000"/>
              <w:right w:val="none" w:sz="0" w:space="0" w:color="020000"/>
            </w:tcBorders>
          </w:tcPr>
          <w:p w14:paraId="77A4622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7855F563"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14B3CFFA" w14:textId="77777777" w:rsidR="00C246C5" w:rsidRPr="00C246C5" w:rsidRDefault="00C246C5" w:rsidP="00F80885">
            <w:pPr>
              <w:spacing w:after="7" w:line="174" w:lineRule="exact"/>
              <w:ind w:right="281"/>
              <w:jc w:val="right"/>
              <w:textAlignment w:val="baseline"/>
              <w:rPr>
                <w:color w:val="000000"/>
                <w:sz w:val="20"/>
                <w:szCs w:val="20"/>
              </w:rPr>
            </w:pPr>
            <w:r w:rsidRPr="00C246C5">
              <w:rPr>
                <w:color w:val="000000"/>
                <w:sz w:val="20"/>
                <w:szCs w:val="20"/>
              </w:rPr>
              <w:t>198</w:t>
            </w:r>
          </w:p>
        </w:tc>
      </w:tr>
      <w:tr w:rsidR="00C246C5" w:rsidRPr="00C246C5" w14:paraId="6D0B34C6"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62936700" w14:textId="77777777" w:rsidR="00C246C5" w:rsidRPr="00C246C5" w:rsidRDefault="00C246C5" w:rsidP="00F80885">
            <w:pPr>
              <w:spacing w:after="17" w:line="174" w:lineRule="exact"/>
              <w:ind w:left="53"/>
              <w:textAlignment w:val="baseline"/>
              <w:rPr>
                <w:color w:val="000000"/>
                <w:sz w:val="20"/>
                <w:szCs w:val="20"/>
              </w:rPr>
            </w:pPr>
            <w:r w:rsidRPr="00C246C5">
              <w:rPr>
                <w:color w:val="000000"/>
                <w:sz w:val="20"/>
                <w:szCs w:val="20"/>
              </w:rPr>
              <w:t>McEwensville</w:t>
            </w:r>
          </w:p>
        </w:tc>
        <w:tc>
          <w:tcPr>
            <w:tcW w:w="925" w:type="dxa"/>
            <w:tcBorders>
              <w:top w:val="none" w:sz="0" w:space="0" w:color="020000"/>
              <w:left w:val="single" w:sz="13" w:space="0" w:color="000000"/>
              <w:bottom w:val="none" w:sz="0" w:space="0" w:color="020000"/>
              <w:right w:val="none" w:sz="0" w:space="0" w:color="020000"/>
            </w:tcBorders>
            <w:vAlign w:val="center"/>
          </w:tcPr>
          <w:p w14:paraId="4BE35DDD" w14:textId="77777777" w:rsidR="00C246C5" w:rsidRPr="00C246C5" w:rsidRDefault="00C246C5" w:rsidP="00F80885">
            <w:pPr>
              <w:spacing w:after="14" w:line="174" w:lineRule="exact"/>
              <w:ind w:right="28"/>
              <w:jc w:val="right"/>
              <w:textAlignment w:val="baseline"/>
              <w:rPr>
                <w:color w:val="000000"/>
                <w:sz w:val="20"/>
                <w:szCs w:val="20"/>
              </w:rPr>
            </w:pPr>
            <w:r w:rsidRPr="00C246C5">
              <w:rPr>
                <w:color w:val="000000"/>
                <w:sz w:val="20"/>
                <w:szCs w:val="20"/>
              </w:rPr>
              <w:t>12,669</w:t>
            </w:r>
          </w:p>
        </w:tc>
        <w:tc>
          <w:tcPr>
            <w:tcW w:w="932" w:type="dxa"/>
            <w:tcBorders>
              <w:top w:val="none" w:sz="0" w:space="0" w:color="020000"/>
              <w:left w:val="none" w:sz="0" w:space="0" w:color="020000"/>
              <w:bottom w:val="none" w:sz="0" w:space="0" w:color="020000"/>
              <w:right w:val="none" w:sz="0" w:space="0" w:color="020000"/>
            </w:tcBorders>
          </w:tcPr>
          <w:p w14:paraId="6C94D29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245F7C2A" w14:textId="77777777" w:rsidR="00C246C5" w:rsidRPr="00C246C5" w:rsidRDefault="00C246C5" w:rsidP="00F80885">
            <w:pPr>
              <w:spacing w:after="12" w:line="174" w:lineRule="exact"/>
              <w:ind w:right="23"/>
              <w:jc w:val="right"/>
              <w:textAlignment w:val="baseline"/>
              <w:rPr>
                <w:color w:val="000000"/>
                <w:sz w:val="20"/>
                <w:szCs w:val="20"/>
              </w:rPr>
            </w:pPr>
            <w:r w:rsidRPr="00C246C5">
              <w:rPr>
                <w:color w:val="000000"/>
                <w:sz w:val="20"/>
                <w:szCs w:val="20"/>
              </w:rPr>
              <w:t>12,669</w:t>
            </w:r>
          </w:p>
        </w:tc>
        <w:tc>
          <w:tcPr>
            <w:tcW w:w="997" w:type="dxa"/>
            <w:tcBorders>
              <w:top w:val="none" w:sz="0" w:space="0" w:color="020000"/>
              <w:left w:val="none" w:sz="0" w:space="0" w:color="020000"/>
              <w:bottom w:val="none" w:sz="0" w:space="0" w:color="020000"/>
              <w:right w:val="none" w:sz="0" w:space="0" w:color="020000"/>
            </w:tcBorders>
          </w:tcPr>
          <w:p w14:paraId="7E2B2F9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59CDE05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4A2448D7" w14:textId="77777777" w:rsidR="00C246C5" w:rsidRPr="00C246C5" w:rsidRDefault="00C246C5" w:rsidP="00F80885">
            <w:pPr>
              <w:spacing w:after="16" w:line="174" w:lineRule="exact"/>
              <w:ind w:right="281"/>
              <w:jc w:val="right"/>
              <w:textAlignment w:val="baseline"/>
              <w:rPr>
                <w:color w:val="000000"/>
                <w:sz w:val="20"/>
                <w:szCs w:val="20"/>
              </w:rPr>
            </w:pPr>
            <w:r w:rsidRPr="00C246C5">
              <w:rPr>
                <w:color w:val="000000"/>
                <w:sz w:val="20"/>
                <w:szCs w:val="20"/>
              </w:rPr>
              <w:t>57</w:t>
            </w:r>
          </w:p>
        </w:tc>
      </w:tr>
      <w:tr w:rsidR="00C246C5" w:rsidRPr="00C246C5" w14:paraId="5B7785ED" w14:textId="77777777" w:rsidTr="00C246C5">
        <w:trPr>
          <w:trHeight w:hRule="exact" w:val="217"/>
        </w:trPr>
        <w:tc>
          <w:tcPr>
            <w:tcW w:w="1994" w:type="dxa"/>
            <w:tcBorders>
              <w:top w:val="none" w:sz="0" w:space="0" w:color="020000"/>
              <w:left w:val="single" w:sz="13" w:space="0" w:color="000000"/>
              <w:bottom w:val="none" w:sz="0" w:space="0" w:color="020000"/>
              <w:right w:val="single" w:sz="13" w:space="0" w:color="000000"/>
            </w:tcBorders>
            <w:vAlign w:val="center"/>
          </w:tcPr>
          <w:p w14:paraId="61F47382" w14:textId="77777777" w:rsidR="00C246C5" w:rsidRPr="00C246C5" w:rsidRDefault="00C246C5" w:rsidP="00F80885">
            <w:pPr>
              <w:spacing w:after="18" w:line="174" w:lineRule="exact"/>
              <w:ind w:left="53"/>
              <w:textAlignment w:val="baseline"/>
              <w:rPr>
                <w:color w:val="000000"/>
                <w:sz w:val="20"/>
                <w:szCs w:val="20"/>
              </w:rPr>
            </w:pPr>
            <w:r w:rsidRPr="00C246C5">
              <w:rPr>
                <w:color w:val="000000"/>
                <w:sz w:val="20"/>
                <w:szCs w:val="20"/>
              </w:rPr>
              <w:t>New Cumberland</w:t>
            </w:r>
          </w:p>
        </w:tc>
        <w:tc>
          <w:tcPr>
            <w:tcW w:w="925" w:type="dxa"/>
            <w:tcBorders>
              <w:top w:val="none" w:sz="0" w:space="0" w:color="020000"/>
              <w:left w:val="single" w:sz="13" w:space="0" w:color="000000"/>
              <w:bottom w:val="none" w:sz="0" w:space="0" w:color="020000"/>
              <w:right w:val="none" w:sz="0" w:space="0" w:color="020000"/>
            </w:tcBorders>
            <w:vAlign w:val="center"/>
          </w:tcPr>
          <w:p w14:paraId="7A002B7F" w14:textId="77777777" w:rsidR="00C246C5" w:rsidRPr="00C246C5" w:rsidRDefault="00C246C5" w:rsidP="00F80885">
            <w:pPr>
              <w:spacing w:after="16" w:line="174" w:lineRule="exact"/>
              <w:ind w:right="28"/>
              <w:jc w:val="right"/>
              <w:textAlignment w:val="baseline"/>
              <w:rPr>
                <w:color w:val="000000"/>
                <w:sz w:val="20"/>
                <w:szCs w:val="20"/>
              </w:rPr>
            </w:pPr>
            <w:r w:rsidRPr="00C246C5">
              <w:rPr>
                <w:color w:val="000000"/>
                <w:sz w:val="20"/>
                <w:szCs w:val="20"/>
              </w:rPr>
              <w:t>144,692</w:t>
            </w:r>
          </w:p>
        </w:tc>
        <w:tc>
          <w:tcPr>
            <w:tcW w:w="932" w:type="dxa"/>
            <w:tcBorders>
              <w:top w:val="none" w:sz="0" w:space="0" w:color="020000"/>
              <w:left w:val="none" w:sz="0" w:space="0" w:color="020000"/>
              <w:bottom w:val="none" w:sz="0" w:space="0" w:color="020000"/>
              <w:right w:val="none" w:sz="0" w:space="0" w:color="020000"/>
            </w:tcBorders>
          </w:tcPr>
          <w:p w14:paraId="7391AF3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36FB58B3" w14:textId="77777777" w:rsidR="00C246C5" w:rsidRPr="00C246C5" w:rsidRDefault="00C246C5" w:rsidP="00F80885">
            <w:pPr>
              <w:spacing w:after="12" w:line="174" w:lineRule="exact"/>
              <w:ind w:right="23"/>
              <w:jc w:val="right"/>
              <w:textAlignment w:val="baseline"/>
              <w:rPr>
                <w:color w:val="000000"/>
                <w:sz w:val="20"/>
                <w:szCs w:val="20"/>
              </w:rPr>
            </w:pPr>
            <w:r w:rsidRPr="00C246C5">
              <w:rPr>
                <w:color w:val="000000"/>
                <w:sz w:val="20"/>
                <w:szCs w:val="20"/>
              </w:rPr>
              <w:t>56,900</w:t>
            </w:r>
          </w:p>
        </w:tc>
        <w:tc>
          <w:tcPr>
            <w:tcW w:w="997" w:type="dxa"/>
            <w:tcBorders>
              <w:top w:val="none" w:sz="0" w:space="0" w:color="020000"/>
              <w:left w:val="none" w:sz="0" w:space="0" w:color="020000"/>
              <w:bottom w:val="none" w:sz="0" w:space="0" w:color="020000"/>
              <w:right w:val="none" w:sz="0" w:space="0" w:color="020000"/>
            </w:tcBorders>
            <w:vAlign w:val="center"/>
          </w:tcPr>
          <w:p w14:paraId="638699C6" w14:textId="77777777" w:rsidR="00C246C5" w:rsidRPr="00C246C5" w:rsidRDefault="00C246C5" w:rsidP="00F80885">
            <w:pPr>
              <w:spacing w:after="12" w:line="174" w:lineRule="exact"/>
              <w:ind w:right="24"/>
              <w:jc w:val="right"/>
              <w:textAlignment w:val="baseline"/>
              <w:rPr>
                <w:color w:val="000000"/>
                <w:sz w:val="20"/>
                <w:szCs w:val="20"/>
              </w:rPr>
            </w:pPr>
            <w:r w:rsidRPr="00C246C5">
              <w:rPr>
                <w:color w:val="000000"/>
                <w:sz w:val="20"/>
                <w:szCs w:val="20"/>
              </w:rPr>
              <w:t>87,792</w:t>
            </w:r>
          </w:p>
        </w:tc>
        <w:tc>
          <w:tcPr>
            <w:tcW w:w="1798" w:type="dxa"/>
            <w:gridSpan w:val="2"/>
            <w:tcBorders>
              <w:top w:val="none" w:sz="0" w:space="0" w:color="020000"/>
              <w:left w:val="none" w:sz="0" w:space="0" w:color="020000"/>
              <w:bottom w:val="none" w:sz="0" w:space="0" w:color="020000"/>
              <w:right w:val="none" w:sz="0" w:space="0" w:color="020000"/>
            </w:tcBorders>
          </w:tcPr>
          <w:p w14:paraId="3DC63D76"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7930AD5B" w14:textId="77777777" w:rsidR="00C246C5" w:rsidRPr="00C246C5" w:rsidRDefault="00C246C5" w:rsidP="00F80885">
            <w:pPr>
              <w:spacing w:after="12" w:line="174" w:lineRule="exact"/>
              <w:ind w:right="281"/>
              <w:jc w:val="right"/>
              <w:textAlignment w:val="baseline"/>
              <w:rPr>
                <w:color w:val="000000"/>
                <w:sz w:val="20"/>
                <w:szCs w:val="20"/>
              </w:rPr>
            </w:pPr>
            <w:r w:rsidRPr="00C246C5">
              <w:rPr>
                <w:color w:val="000000"/>
                <w:sz w:val="20"/>
                <w:szCs w:val="20"/>
              </w:rPr>
              <w:t>608</w:t>
            </w:r>
          </w:p>
        </w:tc>
      </w:tr>
      <w:tr w:rsidR="00C246C5" w:rsidRPr="00C246C5" w14:paraId="62C415D9"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1359B755" w14:textId="77777777" w:rsidR="00C246C5" w:rsidRPr="00C246C5" w:rsidRDefault="00C246C5" w:rsidP="00F80885">
            <w:pPr>
              <w:spacing w:after="7" w:line="174" w:lineRule="exact"/>
              <w:ind w:left="53"/>
              <w:textAlignment w:val="baseline"/>
              <w:rPr>
                <w:color w:val="000000"/>
                <w:sz w:val="20"/>
                <w:szCs w:val="20"/>
              </w:rPr>
            </w:pPr>
            <w:r w:rsidRPr="00C246C5">
              <w:rPr>
                <w:color w:val="000000"/>
                <w:sz w:val="20"/>
                <w:szCs w:val="20"/>
              </w:rPr>
              <w:t>Fairview North</w:t>
            </w:r>
          </w:p>
        </w:tc>
        <w:tc>
          <w:tcPr>
            <w:tcW w:w="925" w:type="dxa"/>
            <w:tcBorders>
              <w:top w:val="none" w:sz="0" w:space="0" w:color="020000"/>
              <w:left w:val="single" w:sz="13" w:space="0" w:color="000000"/>
              <w:bottom w:val="none" w:sz="0" w:space="0" w:color="020000"/>
              <w:right w:val="none" w:sz="0" w:space="0" w:color="020000"/>
            </w:tcBorders>
            <w:vAlign w:val="center"/>
          </w:tcPr>
          <w:p w14:paraId="73DAF05F" w14:textId="77777777" w:rsidR="00C246C5" w:rsidRPr="00C246C5" w:rsidRDefault="00C246C5" w:rsidP="00F80885">
            <w:pPr>
              <w:spacing w:after="7" w:line="174" w:lineRule="exact"/>
              <w:ind w:right="28"/>
              <w:jc w:val="right"/>
              <w:textAlignment w:val="baseline"/>
              <w:rPr>
                <w:color w:val="000000"/>
                <w:sz w:val="20"/>
                <w:szCs w:val="20"/>
              </w:rPr>
            </w:pPr>
            <w:r w:rsidRPr="00C246C5">
              <w:rPr>
                <w:color w:val="000000"/>
                <w:sz w:val="20"/>
                <w:szCs w:val="20"/>
              </w:rPr>
              <w:t>165,600</w:t>
            </w:r>
          </w:p>
        </w:tc>
        <w:tc>
          <w:tcPr>
            <w:tcW w:w="932" w:type="dxa"/>
            <w:tcBorders>
              <w:top w:val="none" w:sz="0" w:space="0" w:color="020000"/>
              <w:left w:val="none" w:sz="0" w:space="0" w:color="020000"/>
              <w:bottom w:val="none" w:sz="0" w:space="0" w:color="020000"/>
              <w:right w:val="none" w:sz="0" w:space="0" w:color="020000"/>
            </w:tcBorders>
            <w:vAlign w:val="center"/>
          </w:tcPr>
          <w:p w14:paraId="31446B11" w14:textId="77777777" w:rsidR="00C246C5" w:rsidRPr="00C246C5" w:rsidRDefault="00C246C5" w:rsidP="00F80885">
            <w:pPr>
              <w:spacing w:after="7" w:line="174" w:lineRule="exact"/>
              <w:ind w:right="28"/>
              <w:jc w:val="right"/>
              <w:textAlignment w:val="baseline"/>
              <w:rPr>
                <w:color w:val="000000"/>
                <w:sz w:val="20"/>
                <w:szCs w:val="20"/>
              </w:rPr>
            </w:pPr>
            <w:r w:rsidRPr="00C246C5">
              <w:rPr>
                <w:color w:val="000000"/>
                <w:sz w:val="20"/>
                <w:szCs w:val="20"/>
              </w:rPr>
              <w:t>159,505</w:t>
            </w:r>
          </w:p>
        </w:tc>
        <w:tc>
          <w:tcPr>
            <w:tcW w:w="973" w:type="dxa"/>
            <w:tcBorders>
              <w:top w:val="none" w:sz="0" w:space="0" w:color="020000"/>
              <w:left w:val="none" w:sz="0" w:space="0" w:color="020000"/>
              <w:bottom w:val="none" w:sz="0" w:space="0" w:color="020000"/>
              <w:right w:val="none" w:sz="0" w:space="0" w:color="020000"/>
            </w:tcBorders>
            <w:vAlign w:val="center"/>
          </w:tcPr>
          <w:p w14:paraId="28CC3D13" w14:textId="77777777" w:rsidR="00C246C5" w:rsidRPr="00C246C5" w:rsidRDefault="00C246C5" w:rsidP="00F80885">
            <w:pPr>
              <w:spacing w:after="7" w:line="174" w:lineRule="exact"/>
              <w:ind w:right="23"/>
              <w:jc w:val="right"/>
              <w:textAlignment w:val="baseline"/>
              <w:rPr>
                <w:color w:val="000000"/>
                <w:sz w:val="20"/>
                <w:szCs w:val="20"/>
              </w:rPr>
            </w:pPr>
            <w:r w:rsidRPr="00C246C5">
              <w:rPr>
                <w:color w:val="000000"/>
                <w:sz w:val="20"/>
                <w:szCs w:val="20"/>
              </w:rPr>
              <w:t>6,095</w:t>
            </w:r>
          </w:p>
        </w:tc>
        <w:tc>
          <w:tcPr>
            <w:tcW w:w="997" w:type="dxa"/>
            <w:tcBorders>
              <w:top w:val="none" w:sz="0" w:space="0" w:color="020000"/>
              <w:left w:val="none" w:sz="0" w:space="0" w:color="020000"/>
              <w:bottom w:val="none" w:sz="0" w:space="0" w:color="020000"/>
              <w:right w:val="none" w:sz="0" w:space="0" w:color="020000"/>
            </w:tcBorders>
          </w:tcPr>
          <w:p w14:paraId="3E4FC9D5"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15FED89B"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6CC87F2F" w14:textId="77777777" w:rsidR="00C246C5" w:rsidRPr="00C246C5" w:rsidRDefault="00C246C5" w:rsidP="00F80885">
            <w:pPr>
              <w:spacing w:after="2" w:line="174" w:lineRule="exact"/>
              <w:ind w:right="281"/>
              <w:jc w:val="right"/>
              <w:textAlignment w:val="baseline"/>
              <w:rPr>
                <w:color w:val="000000"/>
                <w:sz w:val="20"/>
                <w:szCs w:val="20"/>
              </w:rPr>
            </w:pPr>
            <w:r w:rsidRPr="00C246C5">
              <w:rPr>
                <w:color w:val="000000"/>
                <w:sz w:val="20"/>
                <w:szCs w:val="20"/>
              </w:rPr>
              <w:t>869</w:t>
            </w:r>
          </w:p>
        </w:tc>
      </w:tr>
      <w:tr w:rsidR="00C246C5" w:rsidRPr="00C246C5" w14:paraId="06E9D1E9"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178715B4" w14:textId="77777777" w:rsidR="00C246C5" w:rsidRPr="00C246C5" w:rsidRDefault="00C246C5" w:rsidP="00F80885">
            <w:pPr>
              <w:spacing w:after="12" w:line="174" w:lineRule="exact"/>
              <w:ind w:left="53"/>
              <w:textAlignment w:val="baseline"/>
              <w:rPr>
                <w:color w:val="000000"/>
                <w:sz w:val="20"/>
                <w:szCs w:val="20"/>
              </w:rPr>
            </w:pPr>
            <w:r w:rsidRPr="00C246C5">
              <w:rPr>
                <w:color w:val="000000"/>
                <w:sz w:val="20"/>
                <w:szCs w:val="20"/>
              </w:rPr>
              <w:t>Fairview South</w:t>
            </w:r>
          </w:p>
        </w:tc>
        <w:tc>
          <w:tcPr>
            <w:tcW w:w="925" w:type="dxa"/>
            <w:tcBorders>
              <w:top w:val="none" w:sz="0" w:space="0" w:color="020000"/>
              <w:left w:val="single" w:sz="13" w:space="0" w:color="000000"/>
              <w:bottom w:val="none" w:sz="0" w:space="0" w:color="020000"/>
              <w:right w:val="none" w:sz="0" w:space="0" w:color="020000"/>
            </w:tcBorders>
            <w:vAlign w:val="center"/>
          </w:tcPr>
          <w:p w14:paraId="34585523" w14:textId="77777777" w:rsidR="00C246C5" w:rsidRPr="00C246C5" w:rsidRDefault="00C246C5" w:rsidP="00F80885">
            <w:pPr>
              <w:spacing w:after="11" w:line="174" w:lineRule="exact"/>
              <w:ind w:right="28"/>
              <w:jc w:val="right"/>
              <w:textAlignment w:val="baseline"/>
              <w:rPr>
                <w:color w:val="000000"/>
                <w:sz w:val="20"/>
                <w:szCs w:val="20"/>
              </w:rPr>
            </w:pPr>
            <w:r w:rsidRPr="00C246C5">
              <w:rPr>
                <w:color w:val="000000"/>
                <w:sz w:val="20"/>
                <w:szCs w:val="20"/>
              </w:rPr>
              <w:t>198,722</w:t>
            </w:r>
          </w:p>
        </w:tc>
        <w:tc>
          <w:tcPr>
            <w:tcW w:w="932" w:type="dxa"/>
            <w:tcBorders>
              <w:top w:val="none" w:sz="0" w:space="0" w:color="020000"/>
              <w:left w:val="none" w:sz="0" w:space="0" w:color="020000"/>
              <w:bottom w:val="none" w:sz="0" w:space="0" w:color="020000"/>
              <w:right w:val="none" w:sz="0" w:space="0" w:color="020000"/>
            </w:tcBorders>
          </w:tcPr>
          <w:p w14:paraId="3BC6E2C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57F6B592" w14:textId="77777777" w:rsidR="00C246C5" w:rsidRPr="00C246C5" w:rsidRDefault="00C246C5" w:rsidP="00F80885">
            <w:pPr>
              <w:spacing w:after="12" w:line="174" w:lineRule="exact"/>
              <w:ind w:right="23"/>
              <w:jc w:val="right"/>
              <w:textAlignment w:val="baseline"/>
              <w:rPr>
                <w:color w:val="000000"/>
                <w:sz w:val="20"/>
                <w:szCs w:val="20"/>
              </w:rPr>
            </w:pPr>
            <w:r w:rsidRPr="00C246C5">
              <w:rPr>
                <w:color w:val="000000"/>
                <w:sz w:val="20"/>
                <w:szCs w:val="20"/>
              </w:rPr>
              <w:t>45,940</w:t>
            </w:r>
          </w:p>
        </w:tc>
        <w:tc>
          <w:tcPr>
            <w:tcW w:w="997" w:type="dxa"/>
            <w:tcBorders>
              <w:top w:val="none" w:sz="0" w:space="0" w:color="020000"/>
              <w:left w:val="none" w:sz="0" w:space="0" w:color="020000"/>
              <w:bottom w:val="none" w:sz="0" w:space="0" w:color="020000"/>
              <w:right w:val="none" w:sz="0" w:space="0" w:color="020000"/>
            </w:tcBorders>
            <w:vAlign w:val="center"/>
          </w:tcPr>
          <w:p w14:paraId="2EA0949B" w14:textId="77777777" w:rsidR="00C246C5" w:rsidRPr="00C246C5" w:rsidRDefault="00C246C5" w:rsidP="00F80885">
            <w:pPr>
              <w:spacing w:after="7" w:line="174" w:lineRule="exact"/>
              <w:ind w:right="24"/>
              <w:jc w:val="right"/>
              <w:textAlignment w:val="baseline"/>
              <w:rPr>
                <w:color w:val="000000"/>
                <w:sz w:val="20"/>
                <w:szCs w:val="20"/>
              </w:rPr>
            </w:pPr>
            <w:r w:rsidRPr="00C246C5">
              <w:rPr>
                <w:color w:val="000000"/>
                <w:sz w:val="20"/>
                <w:szCs w:val="20"/>
              </w:rPr>
              <w:t>152,782</w:t>
            </w:r>
          </w:p>
        </w:tc>
        <w:tc>
          <w:tcPr>
            <w:tcW w:w="1798" w:type="dxa"/>
            <w:gridSpan w:val="2"/>
            <w:tcBorders>
              <w:top w:val="none" w:sz="0" w:space="0" w:color="020000"/>
              <w:left w:val="none" w:sz="0" w:space="0" w:color="020000"/>
              <w:bottom w:val="none" w:sz="0" w:space="0" w:color="020000"/>
              <w:right w:val="none" w:sz="0" w:space="0" w:color="020000"/>
            </w:tcBorders>
          </w:tcPr>
          <w:p w14:paraId="6171CDBB"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65EE6D73" w14:textId="77777777" w:rsidR="00C246C5" w:rsidRPr="00C246C5" w:rsidRDefault="00C246C5" w:rsidP="00F80885">
            <w:pPr>
              <w:spacing w:after="7" w:line="174" w:lineRule="exact"/>
              <w:ind w:right="191"/>
              <w:jc w:val="right"/>
              <w:textAlignment w:val="baseline"/>
              <w:rPr>
                <w:color w:val="000000"/>
                <w:sz w:val="20"/>
                <w:szCs w:val="20"/>
              </w:rPr>
            </w:pPr>
            <w:r w:rsidRPr="00C246C5">
              <w:rPr>
                <w:color w:val="000000"/>
                <w:sz w:val="20"/>
                <w:szCs w:val="20"/>
              </w:rPr>
              <w:t>1,050</w:t>
            </w:r>
          </w:p>
        </w:tc>
      </w:tr>
      <w:tr w:rsidR="00C246C5" w:rsidRPr="00C246C5" w14:paraId="110EBADE" w14:textId="77777777" w:rsidTr="00C246C5">
        <w:trPr>
          <w:trHeight w:hRule="exact" w:val="212"/>
        </w:trPr>
        <w:tc>
          <w:tcPr>
            <w:tcW w:w="1994" w:type="dxa"/>
            <w:tcBorders>
              <w:top w:val="none" w:sz="0" w:space="0" w:color="020000"/>
              <w:left w:val="single" w:sz="13" w:space="0" w:color="000000"/>
              <w:bottom w:val="none" w:sz="0" w:space="0" w:color="020000"/>
              <w:right w:val="single" w:sz="13" w:space="0" w:color="000000"/>
            </w:tcBorders>
            <w:vAlign w:val="center"/>
          </w:tcPr>
          <w:p w14:paraId="53269828" w14:textId="77777777" w:rsidR="00C246C5" w:rsidRPr="00C246C5" w:rsidRDefault="00C246C5" w:rsidP="00F80885">
            <w:pPr>
              <w:spacing w:after="19" w:line="174" w:lineRule="exact"/>
              <w:ind w:left="53"/>
              <w:textAlignment w:val="baseline"/>
              <w:rPr>
                <w:color w:val="000000"/>
                <w:sz w:val="20"/>
                <w:szCs w:val="20"/>
              </w:rPr>
            </w:pPr>
            <w:r w:rsidRPr="00C246C5">
              <w:rPr>
                <w:color w:val="000000"/>
                <w:sz w:val="20"/>
                <w:szCs w:val="20"/>
              </w:rPr>
              <w:t>Paint Elk</w:t>
            </w:r>
          </w:p>
        </w:tc>
        <w:tc>
          <w:tcPr>
            <w:tcW w:w="925" w:type="dxa"/>
            <w:tcBorders>
              <w:top w:val="none" w:sz="0" w:space="0" w:color="020000"/>
              <w:left w:val="single" w:sz="13" w:space="0" w:color="000000"/>
              <w:bottom w:val="none" w:sz="0" w:space="0" w:color="020000"/>
              <w:right w:val="none" w:sz="0" w:space="0" w:color="020000"/>
            </w:tcBorders>
            <w:vAlign w:val="center"/>
          </w:tcPr>
          <w:p w14:paraId="0AA81F6F" w14:textId="77777777" w:rsidR="00C246C5" w:rsidRPr="00C246C5" w:rsidRDefault="00C246C5" w:rsidP="00F80885">
            <w:pPr>
              <w:spacing w:after="15" w:line="174" w:lineRule="exact"/>
              <w:ind w:right="28"/>
              <w:jc w:val="right"/>
              <w:textAlignment w:val="baseline"/>
              <w:rPr>
                <w:color w:val="000000"/>
                <w:sz w:val="20"/>
                <w:szCs w:val="20"/>
              </w:rPr>
            </w:pPr>
            <w:r w:rsidRPr="00C246C5">
              <w:rPr>
                <w:color w:val="000000"/>
                <w:sz w:val="20"/>
                <w:szCs w:val="20"/>
              </w:rPr>
              <w:t>89,425</w:t>
            </w:r>
          </w:p>
        </w:tc>
        <w:tc>
          <w:tcPr>
            <w:tcW w:w="932" w:type="dxa"/>
            <w:tcBorders>
              <w:top w:val="none" w:sz="0" w:space="0" w:color="020000"/>
              <w:left w:val="none" w:sz="0" w:space="0" w:color="020000"/>
              <w:bottom w:val="none" w:sz="0" w:space="0" w:color="020000"/>
              <w:right w:val="none" w:sz="0" w:space="0" w:color="020000"/>
            </w:tcBorders>
          </w:tcPr>
          <w:p w14:paraId="6ECAA430"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6F09AE7C" w14:textId="77777777" w:rsidR="00C246C5" w:rsidRPr="00C246C5" w:rsidRDefault="00C246C5" w:rsidP="00F80885">
            <w:pPr>
              <w:spacing w:after="12" w:line="174" w:lineRule="exact"/>
              <w:ind w:right="23"/>
              <w:jc w:val="right"/>
              <w:textAlignment w:val="baseline"/>
              <w:rPr>
                <w:color w:val="000000"/>
                <w:sz w:val="20"/>
                <w:szCs w:val="20"/>
              </w:rPr>
            </w:pPr>
            <w:r w:rsidRPr="00C246C5">
              <w:rPr>
                <w:color w:val="000000"/>
                <w:sz w:val="20"/>
                <w:szCs w:val="20"/>
              </w:rPr>
              <w:t>5,000</w:t>
            </w:r>
          </w:p>
        </w:tc>
        <w:tc>
          <w:tcPr>
            <w:tcW w:w="997" w:type="dxa"/>
            <w:tcBorders>
              <w:top w:val="none" w:sz="0" w:space="0" w:color="020000"/>
              <w:left w:val="none" w:sz="0" w:space="0" w:color="020000"/>
              <w:bottom w:val="none" w:sz="0" w:space="0" w:color="020000"/>
              <w:right w:val="none" w:sz="0" w:space="0" w:color="020000"/>
            </w:tcBorders>
            <w:vAlign w:val="center"/>
          </w:tcPr>
          <w:p w14:paraId="6177BE5C" w14:textId="77777777" w:rsidR="00C246C5" w:rsidRPr="00C246C5" w:rsidRDefault="00C246C5" w:rsidP="00F80885">
            <w:pPr>
              <w:spacing w:after="12" w:line="174" w:lineRule="exact"/>
              <w:ind w:right="24"/>
              <w:jc w:val="right"/>
              <w:textAlignment w:val="baseline"/>
              <w:rPr>
                <w:color w:val="000000"/>
                <w:sz w:val="20"/>
                <w:szCs w:val="20"/>
              </w:rPr>
            </w:pPr>
            <w:r w:rsidRPr="00C246C5">
              <w:rPr>
                <w:color w:val="000000"/>
                <w:sz w:val="20"/>
                <w:szCs w:val="20"/>
              </w:rPr>
              <w:t>0</w:t>
            </w:r>
          </w:p>
        </w:tc>
        <w:tc>
          <w:tcPr>
            <w:tcW w:w="1798" w:type="dxa"/>
            <w:gridSpan w:val="2"/>
            <w:tcBorders>
              <w:top w:val="none" w:sz="0" w:space="0" w:color="020000"/>
              <w:left w:val="none" w:sz="0" w:space="0" w:color="020000"/>
              <w:bottom w:val="none" w:sz="0" w:space="0" w:color="020000"/>
              <w:right w:val="none" w:sz="0" w:space="0" w:color="020000"/>
            </w:tcBorders>
            <w:vAlign w:val="center"/>
          </w:tcPr>
          <w:p w14:paraId="49CEBE3E" w14:textId="77777777" w:rsidR="00C246C5" w:rsidRPr="00C246C5" w:rsidRDefault="00C246C5" w:rsidP="00F80885">
            <w:pPr>
              <w:spacing w:after="12" w:line="174" w:lineRule="exact"/>
              <w:ind w:left="539"/>
              <w:textAlignment w:val="baseline"/>
              <w:rPr>
                <w:color w:val="000000"/>
                <w:sz w:val="20"/>
                <w:szCs w:val="20"/>
              </w:rPr>
            </w:pPr>
            <w:r w:rsidRPr="00C246C5">
              <w:rPr>
                <w:color w:val="000000"/>
                <w:sz w:val="20"/>
                <w:szCs w:val="20"/>
              </w:rPr>
              <w:t>0</w:t>
            </w:r>
          </w:p>
        </w:tc>
        <w:tc>
          <w:tcPr>
            <w:tcW w:w="1045" w:type="dxa"/>
            <w:tcBorders>
              <w:top w:val="none" w:sz="0" w:space="0" w:color="020000"/>
              <w:left w:val="none" w:sz="0" w:space="0" w:color="020000"/>
              <w:bottom w:val="none" w:sz="0" w:space="0" w:color="020000"/>
              <w:right w:val="single" w:sz="13" w:space="0" w:color="000000"/>
            </w:tcBorders>
            <w:vAlign w:val="center"/>
          </w:tcPr>
          <w:p w14:paraId="1B651CCE" w14:textId="77777777" w:rsidR="00C246C5" w:rsidRPr="00C246C5" w:rsidRDefault="00C246C5" w:rsidP="00F80885">
            <w:pPr>
              <w:spacing w:after="12" w:line="174" w:lineRule="exact"/>
              <w:ind w:right="281"/>
              <w:jc w:val="right"/>
              <w:textAlignment w:val="baseline"/>
              <w:rPr>
                <w:color w:val="000000"/>
                <w:sz w:val="20"/>
                <w:szCs w:val="20"/>
              </w:rPr>
            </w:pPr>
            <w:r w:rsidRPr="00C246C5">
              <w:rPr>
                <w:color w:val="000000"/>
                <w:sz w:val="20"/>
                <w:szCs w:val="20"/>
              </w:rPr>
              <w:t>432</w:t>
            </w:r>
          </w:p>
        </w:tc>
      </w:tr>
      <w:tr w:rsidR="00C246C5" w:rsidRPr="00C246C5" w14:paraId="5A68ECF1"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7D239AAE" w14:textId="77777777" w:rsidR="00C246C5" w:rsidRPr="00C246C5" w:rsidRDefault="00C246C5" w:rsidP="00F80885">
            <w:pPr>
              <w:spacing w:after="7" w:line="174" w:lineRule="exact"/>
              <w:ind w:left="53"/>
              <w:textAlignment w:val="baseline"/>
              <w:rPr>
                <w:color w:val="000000"/>
                <w:sz w:val="20"/>
                <w:szCs w:val="20"/>
              </w:rPr>
            </w:pPr>
            <w:r w:rsidRPr="00C246C5">
              <w:rPr>
                <w:color w:val="000000"/>
                <w:sz w:val="20"/>
                <w:szCs w:val="20"/>
              </w:rPr>
              <w:t>Marcel Lakes</w:t>
            </w:r>
          </w:p>
        </w:tc>
        <w:tc>
          <w:tcPr>
            <w:tcW w:w="925" w:type="dxa"/>
            <w:tcBorders>
              <w:top w:val="none" w:sz="0" w:space="0" w:color="020000"/>
              <w:left w:val="single" w:sz="13" w:space="0" w:color="000000"/>
              <w:bottom w:val="none" w:sz="0" w:space="0" w:color="020000"/>
              <w:right w:val="none" w:sz="0" w:space="0" w:color="020000"/>
            </w:tcBorders>
            <w:vAlign w:val="center"/>
          </w:tcPr>
          <w:p w14:paraId="59F202B7" w14:textId="77777777" w:rsidR="00C246C5" w:rsidRPr="00C246C5" w:rsidRDefault="00C246C5" w:rsidP="00F80885">
            <w:pPr>
              <w:spacing w:after="7" w:line="174" w:lineRule="exact"/>
              <w:ind w:right="28"/>
              <w:jc w:val="right"/>
              <w:textAlignment w:val="baseline"/>
              <w:rPr>
                <w:color w:val="000000"/>
                <w:sz w:val="20"/>
                <w:szCs w:val="20"/>
              </w:rPr>
            </w:pPr>
            <w:r w:rsidRPr="00C246C5">
              <w:rPr>
                <w:color w:val="000000"/>
                <w:sz w:val="20"/>
                <w:szCs w:val="20"/>
              </w:rPr>
              <w:t>N/A</w:t>
            </w:r>
          </w:p>
        </w:tc>
        <w:tc>
          <w:tcPr>
            <w:tcW w:w="932" w:type="dxa"/>
            <w:tcBorders>
              <w:top w:val="none" w:sz="0" w:space="0" w:color="020000"/>
              <w:left w:val="none" w:sz="0" w:space="0" w:color="020000"/>
              <w:bottom w:val="none" w:sz="0" w:space="0" w:color="020000"/>
              <w:right w:val="none" w:sz="0" w:space="0" w:color="020000"/>
            </w:tcBorders>
          </w:tcPr>
          <w:p w14:paraId="345F09E9"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tcPr>
          <w:p w14:paraId="3D0C0AE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none" w:sz="0" w:space="0" w:color="020000"/>
              <w:left w:val="none" w:sz="0" w:space="0" w:color="020000"/>
              <w:bottom w:val="none" w:sz="0" w:space="0" w:color="020000"/>
              <w:right w:val="none" w:sz="0" w:space="0" w:color="020000"/>
            </w:tcBorders>
          </w:tcPr>
          <w:p w14:paraId="120B494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5606672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4EB03EE0" w14:textId="77777777" w:rsidR="00C246C5" w:rsidRPr="00C246C5" w:rsidRDefault="00C246C5" w:rsidP="00F80885">
            <w:pPr>
              <w:spacing w:line="170" w:lineRule="exact"/>
              <w:ind w:right="281"/>
              <w:jc w:val="right"/>
              <w:textAlignment w:val="baseline"/>
              <w:rPr>
                <w:rFonts w:eastAsia="Arial"/>
                <w:b/>
                <w:color w:val="000000"/>
                <w:sz w:val="20"/>
                <w:szCs w:val="20"/>
              </w:rPr>
            </w:pPr>
            <w:r w:rsidRPr="00C246C5">
              <w:rPr>
                <w:rFonts w:eastAsia="Arial"/>
                <w:b/>
                <w:color w:val="000000"/>
                <w:sz w:val="20"/>
                <w:szCs w:val="20"/>
              </w:rPr>
              <w:t>N/A</w:t>
            </w:r>
          </w:p>
        </w:tc>
      </w:tr>
      <w:tr w:rsidR="00C246C5" w:rsidRPr="00C246C5" w14:paraId="6E00B58A" w14:textId="77777777" w:rsidTr="00C246C5">
        <w:trPr>
          <w:trHeight w:hRule="exact" w:val="231"/>
        </w:trPr>
        <w:tc>
          <w:tcPr>
            <w:tcW w:w="1994" w:type="dxa"/>
            <w:tcBorders>
              <w:top w:val="none" w:sz="0" w:space="0" w:color="020000"/>
              <w:left w:val="single" w:sz="13" w:space="0" w:color="000000"/>
              <w:bottom w:val="none" w:sz="0" w:space="0" w:color="020000"/>
              <w:right w:val="single" w:sz="13" w:space="0" w:color="000000"/>
            </w:tcBorders>
            <w:shd w:val="clear" w:color="EAE8EC" w:fill="EAE8EC"/>
            <w:vAlign w:val="center"/>
          </w:tcPr>
          <w:p w14:paraId="0656C407" w14:textId="77777777" w:rsidR="00C246C5" w:rsidRPr="00AB66AE" w:rsidRDefault="00C246C5" w:rsidP="00F80885">
            <w:pPr>
              <w:spacing w:after="18" w:line="176" w:lineRule="exact"/>
              <w:ind w:left="53"/>
              <w:textAlignment w:val="baseline"/>
              <w:rPr>
                <w:rFonts w:eastAsia="Arial"/>
                <w:b/>
                <w:bCs/>
                <w:iCs/>
                <w:color w:val="000000"/>
                <w:sz w:val="20"/>
                <w:szCs w:val="20"/>
              </w:rPr>
            </w:pPr>
            <w:r w:rsidRPr="00AB66AE">
              <w:rPr>
                <w:rFonts w:eastAsia="Arial"/>
                <w:b/>
                <w:bCs/>
                <w:iCs/>
                <w:color w:val="000000"/>
                <w:sz w:val="20"/>
                <w:szCs w:val="20"/>
              </w:rPr>
              <w:t>Consent Order</w:t>
            </w:r>
          </w:p>
        </w:tc>
        <w:tc>
          <w:tcPr>
            <w:tcW w:w="925" w:type="dxa"/>
            <w:tcBorders>
              <w:top w:val="none" w:sz="0" w:space="0" w:color="020000"/>
              <w:left w:val="single" w:sz="13" w:space="0" w:color="000000"/>
              <w:bottom w:val="none" w:sz="0" w:space="0" w:color="020000"/>
              <w:right w:val="none" w:sz="0" w:space="0" w:color="020000"/>
            </w:tcBorders>
            <w:shd w:val="clear" w:color="EAE8EC" w:fill="EAE8EC"/>
          </w:tcPr>
          <w:p w14:paraId="49AAF84A"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32" w:type="dxa"/>
            <w:tcBorders>
              <w:top w:val="none" w:sz="0" w:space="0" w:color="020000"/>
              <w:left w:val="none" w:sz="0" w:space="0" w:color="020000"/>
              <w:bottom w:val="none" w:sz="0" w:space="0" w:color="020000"/>
              <w:right w:val="none" w:sz="0" w:space="0" w:color="020000"/>
            </w:tcBorders>
            <w:shd w:val="clear" w:color="EAE8EC" w:fill="EAE8EC"/>
          </w:tcPr>
          <w:p w14:paraId="3F040E1E"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shd w:val="clear" w:color="EAE8EC" w:fill="EAE8EC"/>
          </w:tcPr>
          <w:p w14:paraId="199E6992"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none" w:sz="0" w:space="0" w:color="020000"/>
              <w:left w:val="none" w:sz="0" w:space="0" w:color="020000"/>
              <w:bottom w:val="none" w:sz="0" w:space="0" w:color="020000"/>
              <w:right w:val="none" w:sz="0" w:space="0" w:color="020000"/>
            </w:tcBorders>
            <w:shd w:val="clear" w:color="EAE8EC" w:fill="EAE8EC"/>
          </w:tcPr>
          <w:p w14:paraId="6D44C341"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shd w:val="clear" w:color="EAE8EC" w:fill="EAE8EC"/>
          </w:tcPr>
          <w:p w14:paraId="02037DD1"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shd w:val="clear" w:color="EAE8EC" w:fill="EAE8EC"/>
          </w:tcPr>
          <w:p w14:paraId="5AFE6F4D"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r>
      <w:tr w:rsidR="00C246C5" w:rsidRPr="00C246C5" w14:paraId="4C43F408" w14:textId="77777777" w:rsidTr="00C246C5">
        <w:trPr>
          <w:trHeight w:hRule="exact" w:val="192"/>
        </w:trPr>
        <w:tc>
          <w:tcPr>
            <w:tcW w:w="1994" w:type="dxa"/>
            <w:tcBorders>
              <w:top w:val="none" w:sz="0" w:space="0" w:color="020000"/>
              <w:left w:val="single" w:sz="13" w:space="0" w:color="000000"/>
              <w:bottom w:val="none" w:sz="0" w:space="0" w:color="020000"/>
              <w:right w:val="single" w:sz="13" w:space="0" w:color="000000"/>
            </w:tcBorders>
            <w:vAlign w:val="center"/>
          </w:tcPr>
          <w:p w14:paraId="2C415470" w14:textId="77777777" w:rsidR="00C246C5" w:rsidRPr="00C246C5" w:rsidRDefault="00C246C5" w:rsidP="00F80885">
            <w:pPr>
              <w:spacing w:after="18" w:line="173" w:lineRule="exact"/>
              <w:ind w:left="53"/>
              <w:textAlignment w:val="baseline"/>
              <w:rPr>
                <w:color w:val="000000"/>
                <w:sz w:val="20"/>
                <w:szCs w:val="20"/>
              </w:rPr>
            </w:pPr>
            <w:r w:rsidRPr="00C246C5">
              <w:rPr>
                <w:color w:val="000000"/>
                <w:sz w:val="20"/>
                <w:szCs w:val="20"/>
              </w:rPr>
              <w:t>Scranton</w:t>
            </w:r>
          </w:p>
        </w:tc>
        <w:tc>
          <w:tcPr>
            <w:tcW w:w="925" w:type="dxa"/>
            <w:tcBorders>
              <w:top w:val="none" w:sz="0" w:space="0" w:color="020000"/>
              <w:left w:val="single" w:sz="13" w:space="0" w:color="000000"/>
              <w:bottom w:val="none" w:sz="0" w:space="0" w:color="020000"/>
              <w:right w:val="none" w:sz="0" w:space="0" w:color="020000"/>
            </w:tcBorders>
            <w:vAlign w:val="center"/>
          </w:tcPr>
          <w:p w14:paraId="61511657" w14:textId="77777777" w:rsidR="00C246C5" w:rsidRPr="00C246C5" w:rsidRDefault="00C246C5" w:rsidP="00F80885">
            <w:pPr>
              <w:spacing w:after="16" w:line="174" w:lineRule="exact"/>
              <w:ind w:right="28"/>
              <w:jc w:val="right"/>
              <w:textAlignment w:val="baseline"/>
              <w:rPr>
                <w:color w:val="000000"/>
                <w:sz w:val="20"/>
                <w:szCs w:val="20"/>
              </w:rPr>
            </w:pPr>
            <w:r w:rsidRPr="00C246C5">
              <w:rPr>
                <w:color w:val="000000"/>
                <w:sz w:val="20"/>
                <w:szCs w:val="20"/>
              </w:rPr>
              <w:t>1,739,568</w:t>
            </w:r>
          </w:p>
        </w:tc>
        <w:tc>
          <w:tcPr>
            <w:tcW w:w="932" w:type="dxa"/>
            <w:tcBorders>
              <w:top w:val="none" w:sz="0" w:space="0" w:color="020000"/>
              <w:left w:val="none" w:sz="0" w:space="0" w:color="020000"/>
              <w:bottom w:val="none" w:sz="0" w:space="0" w:color="020000"/>
              <w:right w:val="none" w:sz="0" w:space="0" w:color="020000"/>
            </w:tcBorders>
            <w:vAlign w:val="center"/>
          </w:tcPr>
          <w:p w14:paraId="7ED2F6A5" w14:textId="77777777" w:rsidR="00C246C5" w:rsidRPr="00C246C5" w:rsidRDefault="00C246C5" w:rsidP="00F80885">
            <w:pPr>
              <w:spacing w:after="15" w:line="174" w:lineRule="exact"/>
              <w:ind w:right="28"/>
              <w:jc w:val="right"/>
              <w:textAlignment w:val="baseline"/>
              <w:rPr>
                <w:color w:val="000000"/>
                <w:sz w:val="20"/>
                <w:szCs w:val="20"/>
              </w:rPr>
            </w:pPr>
            <w:r w:rsidRPr="00C246C5">
              <w:rPr>
                <w:color w:val="000000"/>
                <w:sz w:val="20"/>
                <w:szCs w:val="20"/>
              </w:rPr>
              <w:t>363,000</w:t>
            </w:r>
          </w:p>
        </w:tc>
        <w:tc>
          <w:tcPr>
            <w:tcW w:w="973" w:type="dxa"/>
            <w:tcBorders>
              <w:top w:val="none" w:sz="0" w:space="0" w:color="020000"/>
              <w:left w:val="none" w:sz="0" w:space="0" w:color="020000"/>
              <w:bottom w:val="none" w:sz="0" w:space="0" w:color="020000"/>
              <w:right w:val="none" w:sz="0" w:space="0" w:color="020000"/>
            </w:tcBorders>
            <w:vAlign w:val="center"/>
          </w:tcPr>
          <w:p w14:paraId="7E4D1F7C" w14:textId="77777777" w:rsidR="00C246C5" w:rsidRPr="00C246C5" w:rsidRDefault="00C246C5" w:rsidP="00F80885">
            <w:pPr>
              <w:spacing w:after="11" w:line="174" w:lineRule="exact"/>
              <w:ind w:right="23"/>
              <w:jc w:val="right"/>
              <w:textAlignment w:val="baseline"/>
              <w:rPr>
                <w:color w:val="000000"/>
                <w:sz w:val="20"/>
                <w:szCs w:val="20"/>
              </w:rPr>
            </w:pPr>
            <w:r w:rsidRPr="00C246C5">
              <w:rPr>
                <w:color w:val="000000"/>
                <w:sz w:val="20"/>
                <w:szCs w:val="20"/>
              </w:rPr>
              <w:t>609,000</w:t>
            </w:r>
          </w:p>
        </w:tc>
        <w:tc>
          <w:tcPr>
            <w:tcW w:w="997" w:type="dxa"/>
            <w:tcBorders>
              <w:top w:val="none" w:sz="0" w:space="0" w:color="020000"/>
              <w:left w:val="none" w:sz="0" w:space="0" w:color="020000"/>
              <w:bottom w:val="none" w:sz="0" w:space="0" w:color="020000"/>
              <w:right w:val="none" w:sz="0" w:space="0" w:color="020000"/>
            </w:tcBorders>
            <w:vAlign w:val="center"/>
          </w:tcPr>
          <w:p w14:paraId="6FBDC883" w14:textId="77777777" w:rsidR="00C246C5" w:rsidRPr="00C246C5" w:rsidRDefault="00C246C5" w:rsidP="00F80885">
            <w:pPr>
              <w:spacing w:after="11" w:line="174" w:lineRule="exact"/>
              <w:ind w:right="24"/>
              <w:jc w:val="right"/>
              <w:textAlignment w:val="baseline"/>
              <w:rPr>
                <w:color w:val="000000"/>
                <w:sz w:val="20"/>
                <w:szCs w:val="20"/>
              </w:rPr>
            </w:pPr>
            <w:r w:rsidRPr="00C246C5">
              <w:rPr>
                <w:color w:val="000000"/>
                <w:sz w:val="20"/>
                <w:szCs w:val="20"/>
              </w:rPr>
              <w:t>767,568</w:t>
            </w:r>
          </w:p>
        </w:tc>
        <w:tc>
          <w:tcPr>
            <w:tcW w:w="1798" w:type="dxa"/>
            <w:gridSpan w:val="2"/>
            <w:tcBorders>
              <w:top w:val="none" w:sz="0" w:space="0" w:color="020000"/>
              <w:left w:val="none" w:sz="0" w:space="0" w:color="020000"/>
              <w:bottom w:val="none" w:sz="0" w:space="0" w:color="020000"/>
              <w:right w:val="none" w:sz="0" w:space="0" w:color="020000"/>
            </w:tcBorders>
            <w:vAlign w:val="center"/>
          </w:tcPr>
          <w:p w14:paraId="5EC23C27" w14:textId="77777777" w:rsidR="00C246C5" w:rsidRPr="00C246C5" w:rsidRDefault="00C246C5" w:rsidP="00F80885">
            <w:pPr>
              <w:spacing w:after="11" w:line="174" w:lineRule="exact"/>
              <w:ind w:left="539"/>
              <w:textAlignment w:val="baseline"/>
              <w:rPr>
                <w:color w:val="000000"/>
                <w:sz w:val="20"/>
                <w:szCs w:val="20"/>
              </w:rPr>
            </w:pPr>
            <w:r w:rsidRPr="00C246C5">
              <w:rPr>
                <w:color w:val="000000"/>
                <w:sz w:val="20"/>
                <w:szCs w:val="20"/>
              </w:rPr>
              <w:t>0</w:t>
            </w:r>
          </w:p>
        </w:tc>
        <w:tc>
          <w:tcPr>
            <w:tcW w:w="1045" w:type="dxa"/>
            <w:tcBorders>
              <w:top w:val="none" w:sz="0" w:space="0" w:color="020000"/>
              <w:left w:val="none" w:sz="0" w:space="0" w:color="020000"/>
              <w:bottom w:val="none" w:sz="0" w:space="0" w:color="020000"/>
              <w:right w:val="single" w:sz="13" w:space="0" w:color="000000"/>
            </w:tcBorders>
            <w:vAlign w:val="center"/>
          </w:tcPr>
          <w:p w14:paraId="5C8A9A07" w14:textId="77777777" w:rsidR="00C246C5" w:rsidRPr="00C246C5" w:rsidRDefault="00C246C5" w:rsidP="00F80885">
            <w:pPr>
              <w:spacing w:after="11" w:line="174" w:lineRule="exact"/>
              <w:ind w:right="191"/>
              <w:jc w:val="right"/>
              <w:textAlignment w:val="baseline"/>
              <w:rPr>
                <w:color w:val="000000"/>
                <w:sz w:val="20"/>
                <w:szCs w:val="20"/>
              </w:rPr>
            </w:pPr>
            <w:r w:rsidRPr="00C246C5">
              <w:rPr>
                <w:color w:val="000000"/>
                <w:sz w:val="20"/>
                <w:szCs w:val="20"/>
              </w:rPr>
              <w:t>9,055</w:t>
            </w:r>
          </w:p>
        </w:tc>
      </w:tr>
      <w:tr w:rsidR="00C246C5" w:rsidRPr="00C246C5" w14:paraId="5941C574"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65F5A98D" w14:textId="77777777" w:rsidR="00C246C5" w:rsidRPr="00C246C5" w:rsidRDefault="00C246C5" w:rsidP="00F80885">
            <w:pPr>
              <w:spacing w:after="7" w:line="174" w:lineRule="exact"/>
              <w:ind w:left="53"/>
              <w:textAlignment w:val="baseline"/>
              <w:rPr>
                <w:color w:val="000000"/>
                <w:sz w:val="20"/>
                <w:szCs w:val="20"/>
              </w:rPr>
            </w:pPr>
            <w:r w:rsidRPr="00C246C5">
              <w:rPr>
                <w:color w:val="000000"/>
                <w:sz w:val="20"/>
                <w:szCs w:val="20"/>
              </w:rPr>
              <w:t>McKeesport</w:t>
            </w:r>
          </w:p>
        </w:tc>
        <w:tc>
          <w:tcPr>
            <w:tcW w:w="925" w:type="dxa"/>
            <w:tcBorders>
              <w:top w:val="none" w:sz="0" w:space="0" w:color="020000"/>
              <w:left w:val="single" w:sz="13" w:space="0" w:color="000000"/>
              <w:bottom w:val="none" w:sz="0" w:space="0" w:color="020000"/>
              <w:right w:val="none" w:sz="0" w:space="0" w:color="020000"/>
            </w:tcBorders>
            <w:vAlign w:val="center"/>
          </w:tcPr>
          <w:p w14:paraId="1C766D7A" w14:textId="77777777" w:rsidR="00C246C5" w:rsidRPr="00C246C5" w:rsidRDefault="00C246C5" w:rsidP="00F80885">
            <w:pPr>
              <w:spacing w:after="5" w:line="174" w:lineRule="exact"/>
              <w:ind w:right="28"/>
              <w:jc w:val="right"/>
              <w:textAlignment w:val="baseline"/>
              <w:rPr>
                <w:color w:val="000000"/>
                <w:sz w:val="20"/>
                <w:szCs w:val="20"/>
              </w:rPr>
            </w:pPr>
            <w:r w:rsidRPr="00C246C5">
              <w:rPr>
                <w:color w:val="000000"/>
                <w:sz w:val="20"/>
                <w:szCs w:val="20"/>
              </w:rPr>
              <w:t>690,280</w:t>
            </w:r>
          </w:p>
        </w:tc>
        <w:tc>
          <w:tcPr>
            <w:tcW w:w="932" w:type="dxa"/>
            <w:tcBorders>
              <w:top w:val="none" w:sz="0" w:space="0" w:color="020000"/>
              <w:left w:val="none" w:sz="0" w:space="0" w:color="020000"/>
              <w:bottom w:val="none" w:sz="0" w:space="0" w:color="020000"/>
              <w:right w:val="none" w:sz="0" w:space="0" w:color="020000"/>
            </w:tcBorders>
          </w:tcPr>
          <w:p w14:paraId="0652A05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2ADDD3DE" w14:textId="77777777" w:rsidR="00C246C5" w:rsidRPr="00C246C5" w:rsidRDefault="00C246C5" w:rsidP="00F80885">
            <w:pPr>
              <w:spacing w:after="4" w:line="174" w:lineRule="exact"/>
              <w:ind w:right="23"/>
              <w:jc w:val="right"/>
              <w:textAlignment w:val="baseline"/>
              <w:rPr>
                <w:color w:val="000000"/>
                <w:sz w:val="20"/>
                <w:szCs w:val="20"/>
              </w:rPr>
            </w:pPr>
            <w:r w:rsidRPr="00C246C5">
              <w:rPr>
                <w:color w:val="000000"/>
                <w:sz w:val="20"/>
                <w:szCs w:val="20"/>
              </w:rPr>
              <w:t>552,224</w:t>
            </w:r>
          </w:p>
        </w:tc>
        <w:tc>
          <w:tcPr>
            <w:tcW w:w="997" w:type="dxa"/>
            <w:tcBorders>
              <w:top w:val="none" w:sz="0" w:space="0" w:color="020000"/>
              <w:left w:val="none" w:sz="0" w:space="0" w:color="020000"/>
              <w:bottom w:val="none" w:sz="0" w:space="0" w:color="020000"/>
              <w:right w:val="none" w:sz="0" w:space="0" w:color="020000"/>
            </w:tcBorders>
          </w:tcPr>
          <w:p w14:paraId="1B15B036"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2A15C2D0"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1FDF6C13" w14:textId="77777777" w:rsidR="00C246C5" w:rsidRPr="00C246C5" w:rsidRDefault="00C246C5" w:rsidP="00F80885">
            <w:pPr>
              <w:spacing w:after="2" w:line="174" w:lineRule="exact"/>
              <w:ind w:right="191"/>
              <w:jc w:val="right"/>
              <w:textAlignment w:val="baseline"/>
              <w:rPr>
                <w:color w:val="000000"/>
                <w:sz w:val="20"/>
                <w:szCs w:val="20"/>
              </w:rPr>
            </w:pPr>
            <w:r w:rsidRPr="00C246C5">
              <w:rPr>
                <w:color w:val="000000"/>
                <w:sz w:val="20"/>
                <w:szCs w:val="20"/>
              </w:rPr>
              <w:t>3,236</w:t>
            </w:r>
          </w:p>
        </w:tc>
      </w:tr>
      <w:tr w:rsidR="00C246C5" w:rsidRPr="00C246C5" w14:paraId="440D9F63" w14:textId="77777777" w:rsidTr="00C246C5">
        <w:trPr>
          <w:trHeight w:hRule="exact" w:val="217"/>
        </w:trPr>
        <w:tc>
          <w:tcPr>
            <w:tcW w:w="1994" w:type="dxa"/>
            <w:tcBorders>
              <w:top w:val="none" w:sz="0" w:space="0" w:color="020000"/>
              <w:left w:val="single" w:sz="13" w:space="0" w:color="000000"/>
              <w:bottom w:val="none" w:sz="0" w:space="0" w:color="020000"/>
              <w:right w:val="single" w:sz="13" w:space="0" w:color="000000"/>
            </w:tcBorders>
            <w:vAlign w:val="center"/>
          </w:tcPr>
          <w:p w14:paraId="4B40E7F4" w14:textId="77777777" w:rsidR="00C246C5" w:rsidRPr="00C246C5" w:rsidRDefault="00C246C5" w:rsidP="00F80885">
            <w:pPr>
              <w:spacing w:after="9" w:line="175" w:lineRule="exact"/>
              <w:ind w:left="53"/>
              <w:textAlignment w:val="baseline"/>
              <w:rPr>
                <w:color w:val="000000"/>
                <w:sz w:val="20"/>
                <w:szCs w:val="20"/>
              </w:rPr>
            </w:pPr>
            <w:r w:rsidRPr="00C246C5">
              <w:rPr>
                <w:color w:val="000000"/>
                <w:sz w:val="20"/>
                <w:szCs w:val="20"/>
              </w:rPr>
              <w:t>Dravosburg</w:t>
            </w:r>
          </w:p>
        </w:tc>
        <w:tc>
          <w:tcPr>
            <w:tcW w:w="925" w:type="dxa"/>
            <w:tcBorders>
              <w:top w:val="none" w:sz="0" w:space="0" w:color="020000"/>
              <w:left w:val="single" w:sz="13" w:space="0" w:color="000000"/>
              <w:bottom w:val="none" w:sz="0" w:space="0" w:color="020000"/>
              <w:right w:val="none" w:sz="0" w:space="0" w:color="020000"/>
            </w:tcBorders>
            <w:vAlign w:val="center"/>
          </w:tcPr>
          <w:p w14:paraId="140F5C4D" w14:textId="77777777" w:rsidR="00C246C5" w:rsidRPr="00C246C5" w:rsidRDefault="00C246C5" w:rsidP="00F80885">
            <w:pPr>
              <w:spacing w:after="8" w:line="174" w:lineRule="exact"/>
              <w:ind w:right="28"/>
              <w:jc w:val="right"/>
              <w:textAlignment w:val="baseline"/>
              <w:rPr>
                <w:color w:val="000000"/>
                <w:sz w:val="20"/>
                <w:szCs w:val="20"/>
              </w:rPr>
            </w:pPr>
            <w:r w:rsidRPr="00C246C5">
              <w:rPr>
                <w:color w:val="000000"/>
                <w:sz w:val="20"/>
                <w:szCs w:val="20"/>
              </w:rPr>
              <w:t>52,148</w:t>
            </w:r>
          </w:p>
        </w:tc>
        <w:tc>
          <w:tcPr>
            <w:tcW w:w="932" w:type="dxa"/>
            <w:tcBorders>
              <w:top w:val="none" w:sz="0" w:space="0" w:color="020000"/>
              <w:left w:val="none" w:sz="0" w:space="0" w:color="020000"/>
              <w:bottom w:val="none" w:sz="0" w:space="0" w:color="020000"/>
              <w:right w:val="none" w:sz="0" w:space="0" w:color="020000"/>
            </w:tcBorders>
          </w:tcPr>
          <w:p w14:paraId="2C54B59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48C71D80" w14:textId="77777777" w:rsidR="00C246C5" w:rsidRPr="00C246C5" w:rsidRDefault="00C246C5" w:rsidP="00F80885">
            <w:pPr>
              <w:spacing w:after="6" w:line="174" w:lineRule="exact"/>
              <w:ind w:right="23"/>
              <w:jc w:val="right"/>
              <w:textAlignment w:val="baseline"/>
              <w:rPr>
                <w:color w:val="000000"/>
                <w:sz w:val="20"/>
                <w:szCs w:val="20"/>
              </w:rPr>
            </w:pPr>
            <w:r w:rsidRPr="00C246C5">
              <w:rPr>
                <w:color w:val="000000"/>
                <w:sz w:val="20"/>
                <w:szCs w:val="20"/>
              </w:rPr>
              <w:t>52,148</w:t>
            </w:r>
          </w:p>
        </w:tc>
        <w:tc>
          <w:tcPr>
            <w:tcW w:w="997" w:type="dxa"/>
            <w:tcBorders>
              <w:top w:val="none" w:sz="0" w:space="0" w:color="020000"/>
              <w:left w:val="none" w:sz="0" w:space="0" w:color="020000"/>
              <w:bottom w:val="none" w:sz="0" w:space="0" w:color="020000"/>
              <w:right w:val="none" w:sz="0" w:space="0" w:color="020000"/>
            </w:tcBorders>
          </w:tcPr>
          <w:p w14:paraId="19C38175"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7C4A23B1"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4348345D" w14:textId="77777777" w:rsidR="00C246C5" w:rsidRPr="00C246C5" w:rsidRDefault="00C246C5" w:rsidP="00F80885">
            <w:pPr>
              <w:spacing w:after="12" w:line="174" w:lineRule="exact"/>
              <w:ind w:right="281"/>
              <w:jc w:val="right"/>
              <w:textAlignment w:val="baseline"/>
              <w:rPr>
                <w:color w:val="000000"/>
                <w:sz w:val="20"/>
                <w:szCs w:val="20"/>
              </w:rPr>
            </w:pPr>
            <w:r w:rsidRPr="00C246C5">
              <w:rPr>
                <w:color w:val="000000"/>
                <w:sz w:val="20"/>
                <w:szCs w:val="20"/>
              </w:rPr>
              <w:t>308</w:t>
            </w:r>
          </w:p>
        </w:tc>
      </w:tr>
      <w:tr w:rsidR="00C246C5" w:rsidRPr="00C246C5" w14:paraId="2B4264E6" w14:textId="77777777" w:rsidTr="00C246C5">
        <w:trPr>
          <w:trHeight w:hRule="exact" w:val="212"/>
        </w:trPr>
        <w:tc>
          <w:tcPr>
            <w:tcW w:w="1994" w:type="dxa"/>
            <w:tcBorders>
              <w:top w:val="none" w:sz="0" w:space="0" w:color="020000"/>
              <w:left w:val="single" w:sz="13" w:space="0" w:color="000000"/>
              <w:bottom w:val="none" w:sz="0" w:space="0" w:color="020000"/>
              <w:right w:val="single" w:sz="13" w:space="0" w:color="000000"/>
            </w:tcBorders>
            <w:vAlign w:val="center"/>
          </w:tcPr>
          <w:p w14:paraId="59A87D5E" w14:textId="77777777" w:rsidR="00C246C5" w:rsidRPr="00C246C5" w:rsidRDefault="00C246C5" w:rsidP="00F80885">
            <w:pPr>
              <w:spacing w:after="9" w:line="179" w:lineRule="exact"/>
              <w:ind w:left="53"/>
              <w:textAlignment w:val="baseline"/>
              <w:rPr>
                <w:color w:val="000000"/>
                <w:sz w:val="20"/>
                <w:szCs w:val="20"/>
              </w:rPr>
            </w:pPr>
            <w:r w:rsidRPr="00C246C5">
              <w:rPr>
                <w:color w:val="000000"/>
                <w:sz w:val="20"/>
                <w:szCs w:val="20"/>
              </w:rPr>
              <w:t>Duquesne</w:t>
            </w:r>
          </w:p>
        </w:tc>
        <w:tc>
          <w:tcPr>
            <w:tcW w:w="925" w:type="dxa"/>
            <w:tcBorders>
              <w:top w:val="none" w:sz="0" w:space="0" w:color="020000"/>
              <w:left w:val="single" w:sz="13" w:space="0" w:color="000000"/>
              <w:bottom w:val="none" w:sz="0" w:space="0" w:color="020000"/>
              <w:right w:val="none" w:sz="0" w:space="0" w:color="020000"/>
            </w:tcBorders>
            <w:vAlign w:val="center"/>
          </w:tcPr>
          <w:p w14:paraId="2FDE6846" w14:textId="77777777" w:rsidR="00C246C5" w:rsidRPr="00C246C5" w:rsidRDefault="00C246C5" w:rsidP="00F80885">
            <w:pPr>
              <w:spacing w:after="12" w:line="174" w:lineRule="exact"/>
              <w:ind w:right="28"/>
              <w:jc w:val="right"/>
              <w:textAlignment w:val="baseline"/>
              <w:rPr>
                <w:color w:val="000000"/>
                <w:sz w:val="20"/>
                <w:szCs w:val="20"/>
              </w:rPr>
            </w:pPr>
            <w:r w:rsidRPr="00C246C5">
              <w:rPr>
                <w:color w:val="000000"/>
                <w:sz w:val="20"/>
                <w:szCs w:val="20"/>
              </w:rPr>
              <w:t>184,559</w:t>
            </w:r>
          </w:p>
        </w:tc>
        <w:tc>
          <w:tcPr>
            <w:tcW w:w="932" w:type="dxa"/>
            <w:tcBorders>
              <w:top w:val="none" w:sz="0" w:space="0" w:color="020000"/>
              <w:left w:val="none" w:sz="0" w:space="0" w:color="020000"/>
              <w:bottom w:val="none" w:sz="0" w:space="0" w:color="020000"/>
              <w:right w:val="none" w:sz="0" w:space="0" w:color="020000"/>
            </w:tcBorders>
          </w:tcPr>
          <w:p w14:paraId="0253193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48FA9637" w14:textId="77777777" w:rsidR="00C246C5" w:rsidRPr="00C246C5" w:rsidRDefault="00C246C5" w:rsidP="00F80885">
            <w:pPr>
              <w:spacing w:after="10" w:line="174" w:lineRule="exact"/>
              <w:ind w:right="23"/>
              <w:jc w:val="right"/>
              <w:textAlignment w:val="baseline"/>
              <w:rPr>
                <w:color w:val="000000"/>
                <w:sz w:val="20"/>
                <w:szCs w:val="20"/>
              </w:rPr>
            </w:pPr>
            <w:r w:rsidRPr="00C246C5">
              <w:rPr>
                <w:color w:val="000000"/>
                <w:sz w:val="20"/>
                <w:szCs w:val="20"/>
              </w:rPr>
              <w:t>184,559</w:t>
            </w:r>
          </w:p>
        </w:tc>
        <w:tc>
          <w:tcPr>
            <w:tcW w:w="997" w:type="dxa"/>
            <w:tcBorders>
              <w:top w:val="none" w:sz="0" w:space="0" w:color="020000"/>
              <w:left w:val="none" w:sz="0" w:space="0" w:color="020000"/>
              <w:bottom w:val="none" w:sz="0" w:space="0" w:color="020000"/>
              <w:right w:val="none" w:sz="0" w:space="0" w:color="020000"/>
            </w:tcBorders>
          </w:tcPr>
          <w:p w14:paraId="506189E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48F4768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6573EC70" w14:textId="77777777" w:rsidR="00C246C5" w:rsidRPr="00C246C5" w:rsidRDefault="00C246C5" w:rsidP="00F80885">
            <w:pPr>
              <w:spacing w:after="7" w:line="174" w:lineRule="exact"/>
              <w:ind w:right="191"/>
              <w:jc w:val="right"/>
              <w:textAlignment w:val="baseline"/>
              <w:rPr>
                <w:color w:val="000000"/>
                <w:sz w:val="20"/>
                <w:szCs w:val="20"/>
              </w:rPr>
            </w:pPr>
            <w:r w:rsidRPr="00C246C5">
              <w:rPr>
                <w:color w:val="000000"/>
                <w:sz w:val="20"/>
                <w:szCs w:val="20"/>
              </w:rPr>
              <w:t>1,125</w:t>
            </w:r>
          </w:p>
        </w:tc>
      </w:tr>
      <w:tr w:rsidR="00C246C5" w:rsidRPr="00C246C5" w14:paraId="6F516C24" w14:textId="77777777" w:rsidTr="00C246C5">
        <w:trPr>
          <w:trHeight w:hRule="exact" w:val="206"/>
        </w:trPr>
        <w:tc>
          <w:tcPr>
            <w:tcW w:w="1994" w:type="dxa"/>
            <w:tcBorders>
              <w:top w:val="none" w:sz="0" w:space="0" w:color="020000"/>
              <w:left w:val="single" w:sz="13" w:space="0" w:color="000000"/>
              <w:bottom w:val="none" w:sz="0" w:space="0" w:color="020000"/>
              <w:right w:val="single" w:sz="13" w:space="0" w:color="000000"/>
            </w:tcBorders>
            <w:shd w:val="clear" w:color="EAE8EC" w:fill="EAE8EC"/>
            <w:vAlign w:val="center"/>
          </w:tcPr>
          <w:p w14:paraId="2D2587B9" w14:textId="77777777" w:rsidR="00C246C5" w:rsidRPr="00AB66AE" w:rsidRDefault="00C246C5" w:rsidP="00F80885">
            <w:pPr>
              <w:spacing w:line="171" w:lineRule="exact"/>
              <w:ind w:left="53"/>
              <w:textAlignment w:val="baseline"/>
              <w:rPr>
                <w:rFonts w:eastAsia="Arial"/>
                <w:b/>
                <w:bCs/>
                <w:iCs/>
                <w:color w:val="000000"/>
                <w:sz w:val="20"/>
                <w:szCs w:val="20"/>
              </w:rPr>
            </w:pPr>
            <w:r w:rsidRPr="00AB66AE">
              <w:rPr>
                <w:rFonts w:eastAsia="Arial"/>
                <w:b/>
                <w:bCs/>
                <w:iCs/>
                <w:color w:val="000000"/>
                <w:sz w:val="20"/>
                <w:szCs w:val="20"/>
              </w:rPr>
              <w:t>Routine</w:t>
            </w:r>
          </w:p>
        </w:tc>
        <w:tc>
          <w:tcPr>
            <w:tcW w:w="925" w:type="dxa"/>
            <w:tcBorders>
              <w:top w:val="none" w:sz="0" w:space="0" w:color="020000"/>
              <w:left w:val="single" w:sz="13" w:space="0" w:color="000000"/>
              <w:bottom w:val="none" w:sz="0" w:space="0" w:color="020000"/>
              <w:right w:val="none" w:sz="0" w:space="0" w:color="020000"/>
            </w:tcBorders>
            <w:shd w:val="clear" w:color="EAE8EC" w:fill="EAE8EC"/>
          </w:tcPr>
          <w:p w14:paraId="13D4989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32" w:type="dxa"/>
            <w:tcBorders>
              <w:top w:val="none" w:sz="0" w:space="0" w:color="020000"/>
              <w:left w:val="none" w:sz="0" w:space="0" w:color="020000"/>
              <w:bottom w:val="none" w:sz="0" w:space="0" w:color="020000"/>
              <w:right w:val="none" w:sz="0" w:space="0" w:color="020000"/>
            </w:tcBorders>
            <w:shd w:val="clear" w:color="EAE8EC" w:fill="EAE8EC"/>
          </w:tcPr>
          <w:p w14:paraId="5DEE2D7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shd w:val="clear" w:color="EAE8EC" w:fill="EAE8EC"/>
          </w:tcPr>
          <w:p w14:paraId="15534E48"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none" w:sz="0" w:space="0" w:color="020000"/>
              <w:left w:val="none" w:sz="0" w:space="0" w:color="020000"/>
              <w:bottom w:val="none" w:sz="0" w:space="0" w:color="020000"/>
              <w:right w:val="none" w:sz="0" w:space="0" w:color="020000"/>
            </w:tcBorders>
            <w:shd w:val="clear" w:color="EAE8EC" w:fill="EAE8EC"/>
          </w:tcPr>
          <w:p w14:paraId="37EED309"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shd w:val="clear" w:color="EAE8EC" w:fill="EAE8EC"/>
          </w:tcPr>
          <w:p w14:paraId="6022C08E"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shd w:val="clear" w:color="EAE8EC" w:fill="EAE8EC"/>
          </w:tcPr>
          <w:p w14:paraId="304201F2"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r>
      <w:tr w:rsidR="00C246C5" w:rsidRPr="00C246C5" w14:paraId="28468562"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21AE8901" w14:textId="77777777" w:rsidR="00C246C5" w:rsidRPr="00C246C5" w:rsidRDefault="00C246C5" w:rsidP="00F80885">
            <w:pPr>
              <w:spacing w:after="7" w:line="174" w:lineRule="exact"/>
              <w:ind w:left="53"/>
              <w:textAlignment w:val="baseline"/>
              <w:rPr>
                <w:color w:val="000000"/>
                <w:sz w:val="20"/>
                <w:szCs w:val="20"/>
              </w:rPr>
            </w:pPr>
            <w:r w:rsidRPr="00C246C5">
              <w:rPr>
                <w:color w:val="000000"/>
                <w:sz w:val="20"/>
                <w:szCs w:val="20"/>
              </w:rPr>
              <w:t>Blue Mountain</w:t>
            </w:r>
          </w:p>
        </w:tc>
        <w:tc>
          <w:tcPr>
            <w:tcW w:w="925" w:type="dxa"/>
            <w:tcBorders>
              <w:top w:val="none" w:sz="0" w:space="0" w:color="020000"/>
              <w:left w:val="single" w:sz="13" w:space="0" w:color="000000"/>
              <w:bottom w:val="none" w:sz="0" w:space="0" w:color="020000"/>
              <w:right w:val="none" w:sz="0" w:space="0" w:color="020000"/>
            </w:tcBorders>
            <w:vAlign w:val="center"/>
          </w:tcPr>
          <w:p w14:paraId="3FCAC2CE" w14:textId="77777777" w:rsidR="00C246C5" w:rsidRPr="00C246C5" w:rsidRDefault="00C246C5" w:rsidP="00F80885">
            <w:pPr>
              <w:spacing w:after="7" w:line="174" w:lineRule="exact"/>
              <w:ind w:right="28"/>
              <w:jc w:val="right"/>
              <w:textAlignment w:val="baseline"/>
              <w:rPr>
                <w:color w:val="000000"/>
                <w:sz w:val="20"/>
                <w:szCs w:val="20"/>
              </w:rPr>
            </w:pPr>
            <w:r w:rsidRPr="00C246C5">
              <w:rPr>
                <w:color w:val="000000"/>
                <w:sz w:val="20"/>
                <w:szCs w:val="20"/>
              </w:rPr>
              <w:t>0</w:t>
            </w:r>
          </w:p>
        </w:tc>
        <w:tc>
          <w:tcPr>
            <w:tcW w:w="932" w:type="dxa"/>
            <w:tcBorders>
              <w:top w:val="none" w:sz="0" w:space="0" w:color="020000"/>
              <w:left w:val="none" w:sz="0" w:space="0" w:color="020000"/>
              <w:bottom w:val="none" w:sz="0" w:space="0" w:color="020000"/>
              <w:right w:val="none" w:sz="0" w:space="0" w:color="020000"/>
            </w:tcBorders>
          </w:tcPr>
          <w:p w14:paraId="60A031B3"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tcPr>
          <w:p w14:paraId="7C9F8A33"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none" w:sz="0" w:space="0" w:color="020000"/>
              <w:left w:val="none" w:sz="0" w:space="0" w:color="020000"/>
              <w:bottom w:val="none" w:sz="0" w:space="0" w:color="020000"/>
              <w:right w:val="none" w:sz="0" w:space="0" w:color="020000"/>
            </w:tcBorders>
          </w:tcPr>
          <w:p w14:paraId="0F85AF21"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169C4E59"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05765925" w14:textId="77777777" w:rsidR="00C246C5" w:rsidRPr="00C246C5" w:rsidRDefault="00C246C5" w:rsidP="00F80885">
            <w:pPr>
              <w:spacing w:after="3" w:line="174" w:lineRule="exact"/>
              <w:ind w:right="281"/>
              <w:jc w:val="right"/>
              <w:textAlignment w:val="baseline"/>
              <w:rPr>
                <w:color w:val="000000"/>
                <w:sz w:val="20"/>
                <w:szCs w:val="20"/>
              </w:rPr>
            </w:pPr>
            <w:r w:rsidRPr="00C246C5">
              <w:rPr>
                <w:color w:val="000000"/>
                <w:sz w:val="20"/>
                <w:szCs w:val="20"/>
              </w:rPr>
              <w:t>0</w:t>
            </w:r>
          </w:p>
        </w:tc>
      </w:tr>
      <w:tr w:rsidR="00C246C5" w:rsidRPr="00C246C5" w14:paraId="47CA9D2D" w14:textId="77777777" w:rsidTr="00C246C5">
        <w:trPr>
          <w:trHeight w:hRule="exact" w:val="217"/>
        </w:trPr>
        <w:tc>
          <w:tcPr>
            <w:tcW w:w="1994" w:type="dxa"/>
            <w:tcBorders>
              <w:top w:val="none" w:sz="0" w:space="0" w:color="020000"/>
              <w:left w:val="single" w:sz="13" w:space="0" w:color="000000"/>
              <w:bottom w:val="none" w:sz="0" w:space="0" w:color="020000"/>
              <w:right w:val="single" w:sz="13" w:space="0" w:color="000000"/>
            </w:tcBorders>
            <w:vAlign w:val="center"/>
          </w:tcPr>
          <w:p w14:paraId="3477C922" w14:textId="77777777" w:rsidR="00C246C5" w:rsidRPr="00C246C5" w:rsidRDefault="00C246C5" w:rsidP="00F80885">
            <w:pPr>
              <w:spacing w:after="14" w:line="175" w:lineRule="exact"/>
              <w:ind w:left="53"/>
              <w:textAlignment w:val="baseline"/>
              <w:rPr>
                <w:color w:val="000000"/>
                <w:sz w:val="20"/>
                <w:szCs w:val="20"/>
              </w:rPr>
            </w:pPr>
            <w:r w:rsidRPr="00C246C5">
              <w:rPr>
                <w:color w:val="000000"/>
                <w:sz w:val="20"/>
                <w:szCs w:val="20"/>
              </w:rPr>
              <w:t>Claysville</w:t>
            </w:r>
          </w:p>
        </w:tc>
        <w:tc>
          <w:tcPr>
            <w:tcW w:w="925" w:type="dxa"/>
            <w:tcBorders>
              <w:top w:val="none" w:sz="0" w:space="0" w:color="020000"/>
              <w:left w:val="single" w:sz="13" w:space="0" w:color="000000"/>
              <w:bottom w:val="none" w:sz="0" w:space="0" w:color="020000"/>
              <w:right w:val="none" w:sz="0" w:space="0" w:color="020000"/>
            </w:tcBorders>
            <w:vAlign w:val="center"/>
          </w:tcPr>
          <w:p w14:paraId="726BF098" w14:textId="77777777" w:rsidR="00C246C5" w:rsidRPr="00C246C5" w:rsidRDefault="00C246C5" w:rsidP="00F80885">
            <w:pPr>
              <w:spacing w:after="11" w:line="174" w:lineRule="exact"/>
              <w:ind w:right="28"/>
              <w:jc w:val="right"/>
              <w:textAlignment w:val="baseline"/>
              <w:rPr>
                <w:color w:val="000000"/>
                <w:sz w:val="20"/>
                <w:szCs w:val="20"/>
              </w:rPr>
            </w:pPr>
            <w:r w:rsidRPr="00C246C5">
              <w:rPr>
                <w:color w:val="000000"/>
                <w:sz w:val="20"/>
                <w:szCs w:val="20"/>
              </w:rPr>
              <w:t>62,082</w:t>
            </w:r>
          </w:p>
        </w:tc>
        <w:tc>
          <w:tcPr>
            <w:tcW w:w="932" w:type="dxa"/>
            <w:tcBorders>
              <w:top w:val="none" w:sz="0" w:space="0" w:color="020000"/>
              <w:left w:val="none" w:sz="0" w:space="0" w:color="020000"/>
              <w:bottom w:val="none" w:sz="0" w:space="0" w:color="020000"/>
              <w:right w:val="none" w:sz="0" w:space="0" w:color="020000"/>
            </w:tcBorders>
          </w:tcPr>
          <w:p w14:paraId="31F9EFDB"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5C73691E" w14:textId="77777777" w:rsidR="00C246C5" w:rsidRPr="00C246C5" w:rsidRDefault="00C246C5" w:rsidP="00F80885">
            <w:pPr>
              <w:spacing w:after="9" w:line="174" w:lineRule="exact"/>
              <w:ind w:right="23"/>
              <w:jc w:val="right"/>
              <w:textAlignment w:val="baseline"/>
              <w:rPr>
                <w:color w:val="000000"/>
                <w:sz w:val="20"/>
                <w:szCs w:val="20"/>
              </w:rPr>
            </w:pPr>
            <w:r w:rsidRPr="00C246C5">
              <w:rPr>
                <w:color w:val="000000"/>
                <w:sz w:val="20"/>
                <w:szCs w:val="20"/>
              </w:rPr>
              <w:t>62,082</w:t>
            </w:r>
          </w:p>
        </w:tc>
        <w:tc>
          <w:tcPr>
            <w:tcW w:w="997" w:type="dxa"/>
            <w:tcBorders>
              <w:top w:val="none" w:sz="0" w:space="0" w:color="020000"/>
              <w:left w:val="none" w:sz="0" w:space="0" w:color="020000"/>
              <w:bottom w:val="none" w:sz="0" w:space="0" w:color="020000"/>
              <w:right w:val="none" w:sz="0" w:space="0" w:color="020000"/>
            </w:tcBorders>
          </w:tcPr>
          <w:p w14:paraId="5294857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26D0A003"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2C976A02" w14:textId="77777777" w:rsidR="00C246C5" w:rsidRPr="00C246C5" w:rsidRDefault="00C246C5" w:rsidP="00F80885">
            <w:pPr>
              <w:spacing w:after="7" w:line="174" w:lineRule="exact"/>
              <w:ind w:right="281"/>
              <w:jc w:val="right"/>
              <w:textAlignment w:val="baseline"/>
              <w:rPr>
                <w:color w:val="000000"/>
                <w:sz w:val="20"/>
                <w:szCs w:val="20"/>
              </w:rPr>
            </w:pPr>
            <w:r w:rsidRPr="00C246C5">
              <w:rPr>
                <w:color w:val="000000"/>
                <w:sz w:val="20"/>
                <w:szCs w:val="20"/>
              </w:rPr>
              <w:t>342</w:t>
            </w:r>
          </w:p>
        </w:tc>
      </w:tr>
      <w:tr w:rsidR="00C246C5" w:rsidRPr="00C246C5" w14:paraId="44F9AE59"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42FCA801" w14:textId="77777777" w:rsidR="00C246C5" w:rsidRPr="00C246C5" w:rsidRDefault="00C246C5" w:rsidP="00F80885">
            <w:pPr>
              <w:spacing w:after="17" w:line="174" w:lineRule="exact"/>
              <w:ind w:left="53"/>
              <w:textAlignment w:val="baseline"/>
              <w:rPr>
                <w:color w:val="000000"/>
                <w:sz w:val="20"/>
                <w:szCs w:val="20"/>
              </w:rPr>
            </w:pPr>
            <w:r w:rsidRPr="00C246C5">
              <w:rPr>
                <w:color w:val="000000"/>
                <w:sz w:val="20"/>
                <w:szCs w:val="20"/>
              </w:rPr>
              <w:t>Clarion</w:t>
            </w:r>
          </w:p>
        </w:tc>
        <w:tc>
          <w:tcPr>
            <w:tcW w:w="925" w:type="dxa"/>
            <w:tcBorders>
              <w:top w:val="none" w:sz="0" w:space="0" w:color="020000"/>
              <w:left w:val="single" w:sz="13" w:space="0" w:color="000000"/>
              <w:bottom w:val="none" w:sz="0" w:space="0" w:color="020000"/>
              <w:right w:val="none" w:sz="0" w:space="0" w:color="020000"/>
            </w:tcBorders>
            <w:vAlign w:val="center"/>
          </w:tcPr>
          <w:p w14:paraId="71C61457" w14:textId="77777777" w:rsidR="00C246C5" w:rsidRPr="00C246C5" w:rsidRDefault="00C246C5" w:rsidP="00F80885">
            <w:pPr>
              <w:spacing w:after="16" w:line="174" w:lineRule="exact"/>
              <w:ind w:right="28"/>
              <w:jc w:val="right"/>
              <w:textAlignment w:val="baseline"/>
              <w:rPr>
                <w:color w:val="000000"/>
                <w:sz w:val="20"/>
                <w:szCs w:val="20"/>
              </w:rPr>
            </w:pPr>
            <w:r w:rsidRPr="00C246C5">
              <w:rPr>
                <w:color w:val="000000"/>
                <w:sz w:val="20"/>
                <w:szCs w:val="20"/>
              </w:rPr>
              <w:t>200,860</w:t>
            </w:r>
          </w:p>
        </w:tc>
        <w:tc>
          <w:tcPr>
            <w:tcW w:w="932" w:type="dxa"/>
            <w:tcBorders>
              <w:top w:val="none" w:sz="0" w:space="0" w:color="020000"/>
              <w:left w:val="none" w:sz="0" w:space="0" w:color="020000"/>
              <w:bottom w:val="none" w:sz="0" w:space="0" w:color="020000"/>
              <w:right w:val="none" w:sz="0" w:space="0" w:color="020000"/>
            </w:tcBorders>
          </w:tcPr>
          <w:p w14:paraId="57072F9C"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49BA63FD" w14:textId="77777777" w:rsidR="00C246C5" w:rsidRPr="00C246C5" w:rsidRDefault="00C246C5" w:rsidP="00F80885">
            <w:pPr>
              <w:spacing w:after="14" w:line="174" w:lineRule="exact"/>
              <w:ind w:right="23"/>
              <w:jc w:val="right"/>
              <w:textAlignment w:val="baseline"/>
              <w:rPr>
                <w:color w:val="000000"/>
                <w:sz w:val="20"/>
                <w:szCs w:val="20"/>
              </w:rPr>
            </w:pPr>
            <w:r w:rsidRPr="00C246C5">
              <w:rPr>
                <w:color w:val="000000"/>
                <w:sz w:val="20"/>
                <w:szCs w:val="20"/>
              </w:rPr>
              <w:t>111,300</w:t>
            </w:r>
          </w:p>
        </w:tc>
        <w:tc>
          <w:tcPr>
            <w:tcW w:w="997" w:type="dxa"/>
            <w:tcBorders>
              <w:top w:val="none" w:sz="0" w:space="0" w:color="020000"/>
              <w:left w:val="none" w:sz="0" w:space="0" w:color="020000"/>
              <w:bottom w:val="none" w:sz="0" w:space="0" w:color="020000"/>
              <w:right w:val="none" w:sz="0" w:space="0" w:color="020000"/>
            </w:tcBorders>
            <w:vAlign w:val="center"/>
          </w:tcPr>
          <w:p w14:paraId="0E9AC578" w14:textId="77777777" w:rsidR="00C246C5" w:rsidRPr="00C246C5" w:rsidRDefault="00C246C5" w:rsidP="00F80885">
            <w:pPr>
              <w:spacing w:after="12" w:line="174" w:lineRule="exact"/>
              <w:ind w:right="24"/>
              <w:jc w:val="right"/>
              <w:textAlignment w:val="baseline"/>
              <w:rPr>
                <w:color w:val="000000"/>
                <w:sz w:val="20"/>
                <w:szCs w:val="20"/>
              </w:rPr>
            </w:pPr>
            <w:r w:rsidRPr="00C246C5">
              <w:rPr>
                <w:color w:val="000000"/>
                <w:sz w:val="20"/>
                <w:szCs w:val="20"/>
              </w:rPr>
              <w:t>89,560</w:t>
            </w:r>
          </w:p>
        </w:tc>
        <w:tc>
          <w:tcPr>
            <w:tcW w:w="1798" w:type="dxa"/>
            <w:gridSpan w:val="2"/>
            <w:tcBorders>
              <w:top w:val="none" w:sz="0" w:space="0" w:color="020000"/>
              <w:left w:val="none" w:sz="0" w:space="0" w:color="020000"/>
              <w:bottom w:val="none" w:sz="0" w:space="0" w:color="020000"/>
              <w:right w:val="none" w:sz="0" w:space="0" w:color="020000"/>
            </w:tcBorders>
          </w:tcPr>
          <w:p w14:paraId="629636ED"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37C613FD" w14:textId="77777777" w:rsidR="00C246C5" w:rsidRPr="00C246C5" w:rsidRDefault="00C246C5" w:rsidP="00F80885">
            <w:pPr>
              <w:spacing w:after="12" w:line="174" w:lineRule="exact"/>
              <w:ind w:right="281"/>
              <w:jc w:val="right"/>
              <w:textAlignment w:val="baseline"/>
              <w:rPr>
                <w:color w:val="000000"/>
                <w:sz w:val="20"/>
                <w:szCs w:val="20"/>
              </w:rPr>
            </w:pPr>
            <w:r w:rsidRPr="00C246C5">
              <w:rPr>
                <w:color w:val="000000"/>
                <w:sz w:val="20"/>
                <w:szCs w:val="20"/>
              </w:rPr>
              <w:t>930</w:t>
            </w:r>
          </w:p>
        </w:tc>
      </w:tr>
      <w:tr w:rsidR="00C246C5" w:rsidRPr="00C246C5" w14:paraId="254F1D58" w14:textId="77777777" w:rsidTr="00C246C5">
        <w:trPr>
          <w:trHeight w:hRule="exact" w:val="212"/>
        </w:trPr>
        <w:tc>
          <w:tcPr>
            <w:tcW w:w="1994" w:type="dxa"/>
            <w:tcBorders>
              <w:top w:val="none" w:sz="0" w:space="0" w:color="020000"/>
              <w:left w:val="single" w:sz="13" w:space="0" w:color="000000"/>
              <w:bottom w:val="none" w:sz="0" w:space="0" w:color="020000"/>
              <w:right w:val="single" w:sz="13" w:space="0" w:color="000000"/>
            </w:tcBorders>
            <w:vAlign w:val="center"/>
          </w:tcPr>
          <w:p w14:paraId="39A25337" w14:textId="77777777" w:rsidR="00C246C5" w:rsidRPr="00C246C5" w:rsidRDefault="00C246C5" w:rsidP="00F80885">
            <w:pPr>
              <w:spacing w:after="9" w:line="174" w:lineRule="exact"/>
              <w:ind w:left="53"/>
              <w:textAlignment w:val="baseline"/>
              <w:rPr>
                <w:color w:val="000000"/>
                <w:sz w:val="20"/>
                <w:szCs w:val="20"/>
              </w:rPr>
            </w:pPr>
            <w:r w:rsidRPr="00C246C5">
              <w:rPr>
                <w:color w:val="000000"/>
                <w:sz w:val="20"/>
                <w:szCs w:val="20"/>
              </w:rPr>
              <w:t>Coatesville</w:t>
            </w:r>
          </w:p>
        </w:tc>
        <w:tc>
          <w:tcPr>
            <w:tcW w:w="925" w:type="dxa"/>
            <w:tcBorders>
              <w:top w:val="none" w:sz="0" w:space="0" w:color="020000"/>
              <w:left w:val="single" w:sz="13" w:space="0" w:color="000000"/>
              <w:bottom w:val="none" w:sz="0" w:space="0" w:color="020000"/>
              <w:right w:val="none" w:sz="0" w:space="0" w:color="020000"/>
            </w:tcBorders>
            <w:vAlign w:val="center"/>
          </w:tcPr>
          <w:p w14:paraId="235F3861" w14:textId="77777777" w:rsidR="00C246C5" w:rsidRPr="00C246C5" w:rsidRDefault="00C246C5" w:rsidP="00F80885">
            <w:pPr>
              <w:spacing w:after="5" w:line="174" w:lineRule="exact"/>
              <w:ind w:right="28"/>
              <w:jc w:val="right"/>
              <w:textAlignment w:val="baseline"/>
              <w:rPr>
                <w:color w:val="000000"/>
                <w:sz w:val="20"/>
                <w:szCs w:val="20"/>
              </w:rPr>
            </w:pPr>
            <w:r w:rsidRPr="00C246C5">
              <w:rPr>
                <w:color w:val="000000"/>
                <w:sz w:val="20"/>
                <w:szCs w:val="20"/>
              </w:rPr>
              <w:t>352,945</w:t>
            </w:r>
          </w:p>
        </w:tc>
        <w:tc>
          <w:tcPr>
            <w:tcW w:w="932" w:type="dxa"/>
            <w:tcBorders>
              <w:top w:val="none" w:sz="0" w:space="0" w:color="020000"/>
              <w:left w:val="none" w:sz="0" w:space="0" w:color="020000"/>
              <w:bottom w:val="none" w:sz="0" w:space="0" w:color="020000"/>
              <w:right w:val="none" w:sz="0" w:space="0" w:color="020000"/>
            </w:tcBorders>
          </w:tcPr>
          <w:p w14:paraId="17029B16"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5A045729" w14:textId="77777777" w:rsidR="00C246C5" w:rsidRPr="00C246C5" w:rsidRDefault="00C246C5" w:rsidP="00F80885">
            <w:pPr>
              <w:spacing w:after="2" w:line="174" w:lineRule="exact"/>
              <w:ind w:right="23"/>
              <w:jc w:val="right"/>
              <w:textAlignment w:val="baseline"/>
              <w:rPr>
                <w:color w:val="000000"/>
                <w:sz w:val="20"/>
                <w:szCs w:val="20"/>
              </w:rPr>
            </w:pPr>
            <w:r w:rsidRPr="00C246C5">
              <w:rPr>
                <w:color w:val="000000"/>
                <w:sz w:val="20"/>
                <w:szCs w:val="20"/>
              </w:rPr>
              <w:t>30,000</w:t>
            </w:r>
          </w:p>
        </w:tc>
        <w:tc>
          <w:tcPr>
            <w:tcW w:w="997" w:type="dxa"/>
            <w:tcBorders>
              <w:top w:val="none" w:sz="0" w:space="0" w:color="020000"/>
              <w:left w:val="none" w:sz="0" w:space="0" w:color="020000"/>
              <w:bottom w:val="none" w:sz="0" w:space="0" w:color="020000"/>
              <w:right w:val="none" w:sz="0" w:space="0" w:color="020000"/>
            </w:tcBorders>
            <w:vAlign w:val="center"/>
          </w:tcPr>
          <w:p w14:paraId="73909443" w14:textId="77777777" w:rsidR="00C246C5" w:rsidRPr="00C246C5" w:rsidRDefault="00C246C5" w:rsidP="00F80885">
            <w:pPr>
              <w:spacing w:after="2" w:line="174" w:lineRule="exact"/>
              <w:ind w:right="24"/>
              <w:jc w:val="right"/>
              <w:textAlignment w:val="baseline"/>
              <w:rPr>
                <w:color w:val="000000"/>
                <w:sz w:val="20"/>
                <w:szCs w:val="20"/>
              </w:rPr>
            </w:pPr>
            <w:r w:rsidRPr="00C246C5">
              <w:rPr>
                <w:color w:val="000000"/>
                <w:sz w:val="20"/>
                <w:szCs w:val="20"/>
              </w:rPr>
              <w:t>30,000</w:t>
            </w:r>
          </w:p>
        </w:tc>
        <w:tc>
          <w:tcPr>
            <w:tcW w:w="1798" w:type="dxa"/>
            <w:gridSpan w:val="2"/>
            <w:tcBorders>
              <w:top w:val="none" w:sz="0" w:space="0" w:color="020000"/>
              <w:left w:val="none" w:sz="0" w:space="0" w:color="020000"/>
              <w:bottom w:val="none" w:sz="0" w:space="0" w:color="020000"/>
              <w:right w:val="none" w:sz="0" w:space="0" w:color="020000"/>
            </w:tcBorders>
            <w:vAlign w:val="center"/>
          </w:tcPr>
          <w:p w14:paraId="0C94BC6A" w14:textId="77777777" w:rsidR="00C246C5" w:rsidRPr="00C246C5" w:rsidRDefault="00C246C5" w:rsidP="00F80885">
            <w:pPr>
              <w:tabs>
                <w:tab w:val="right" w:pos="1440"/>
              </w:tabs>
              <w:spacing w:after="2" w:line="174" w:lineRule="exact"/>
              <w:ind w:right="24"/>
              <w:jc w:val="right"/>
              <w:textAlignment w:val="baseline"/>
              <w:rPr>
                <w:color w:val="000000"/>
                <w:sz w:val="20"/>
                <w:szCs w:val="20"/>
              </w:rPr>
            </w:pPr>
            <w:r w:rsidRPr="00C246C5">
              <w:rPr>
                <w:color w:val="000000"/>
                <w:sz w:val="20"/>
                <w:szCs w:val="20"/>
              </w:rPr>
              <w:t>30,000</w:t>
            </w:r>
            <w:r w:rsidRPr="00C246C5">
              <w:rPr>
                <w:color w:val="000000"/>
                <w:sz w:val="20"/>
                <w:szCs w:val="20"/>
              </w:rPr>
              <w:tab/>
              <w:t>30,000</w:t>
            </w:r>
          </w:p>
        </w:tc>
        <w:tc>
          <w:tcPr>
            <w:tcW w:w="1045" w:type="dxa"/>
            <w:tcBorders>
              <w:top w:val="none" w:sz="0" w:space="0" w:color="020000"/>
              <w:left w:val="none" w:sz="0" w:space="0" w:color="020000"/>
              <w:bottom w:val="none" w:sz="0" w:space="0" w:color="020000"/>
              <w:right w:val="single" w:sz="13" w:space="0" w:color="000000"/>
            </w:tcBorders>
            <w:vAlign w:val="center"/>
          </w:tcPr>
          <w:p w14:paraId="410CDB8A" w14:textId="77777777" w:rsidR="00C246C5" w:rsidRPr="00C246C5" w:rsidRDefault="00C246C5" w:rsidP="00F80885">
            <w:pPr>
              <w:spacing w:after="2" w:line="174" w:lineRule="exact"/>
              <w:ind w:right="191"/>
              <w:jc w:val="right"/>
              <w:textAlignment w:val="baseline"/>
              <w:rPr>
                <w:color w:val="000000"/>
                <w:sz w:val="20"/>
                <w:szCs w:val="20"/>
              </w:rPr>
            </w:pPr>
            <w:r w:rsidRPr="00C246C5">
              <w:rPr>
                <w:color w:val="000000"/>
                <w:sz w:val="20"/>
                <w:szCs w:val="20"/>
              </w:rPr>
              <w:t>1,670</w:t>
            </w:r>
          </w:p>
        </w:tc>
      </w:tr>
      <w:tr w:rsidR="00C246C5" w:rsidRPr="00C246C5" w14:paraId="5A939BD6"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67257522" w14:textId="77777777" w:rsidR="00C246C5" w:rsidRPr="00C246C5" w:rsidRDefault="00C246C5" w:rsidP="00F80885">
            <w:pPr>
              <w:spacing w:after="9" w:line="177" w:lineRule="exact"/>
              <w:ind w:left="53"/>
              <w:textAlignment w:val="baseline"/>
              <w:rPr>
                <w:color w:val="000000"/>
                <w:sz w:val="20"/>
                <w:szCs w:val="20"/>
              </w:rPr>
            </w:pPr>
            <w:r w:rsidRPr="00C246C5">
              <w:rPr>
                <w:color w:val="000000"/>
                <w:sz w:val="20"/>
                <w:szCs w:val="20"/>
              </w:rPr>
              <w:t>Koppel</w:t>
            </w:r>
          </w:p>
        </w:tc>
        <w:tc>
          <w:tcPr>
            <w:tcW w:w="925" w:type="dxa"/>
            <w:tcBorders>
              <w:top w:val="none" w:sz="0" w:space="0" w:color="020000"/>
              <w:left w:val="single" w:sz="13" w:space="0" w:color="000000"/>
              <w:bottom w:val="none" w:sz="0" w:space="0" w:color="020000"/>
              <w:right w:val="none" w:sz="0" w:space="0" w:color="020000"/>
            </w:tcBorders>
            <w:vAlign w:val="center"/>
          </w:tcPr>
          <w:p w14:paraId="230B9416" w14:textId="77777777" w:rsidR="00C246C5" w:rsidRPr="00C246C5" w:rsidRDefault="00C246C5" w:rsidP="00F80885">
            <w:pPr>
              <w:spacing w:after="8" w:line="174" w:lineRule="exact"/>
              <w:ind w:right="28"/>
              <w:jc w:val="right"/>
              <w:textAlignment w:val="baseline"/>
              <w:rPr>
                <w:color w:val="000000"/>
                <w:sz w:val="20"/>
                <w:szCs w:val="20"/>
              </w:rPr>
            </w:pPr>
            <w:r w:rsidRPr="00C246C5">
              <w:rPr>
                <w:color w:val="000000"/>
                <w:sz w:val="20"/>
                <w:szCs w:val="20"/>
              </w:rPr>
              <w:t>25,909</w:t>
            </w:r>
          </w:p>
        </w:tc>
        <w:tc>
          <w:tcPr>
            <w:tcW w:w="932" w:type="dxa"/>
            <w:tcBorders>
              <w:top w:val="none" w:sz="0" w:space="0" w:color="020000"/>
              <w:left w:val="none" w:sz="0" w:space="0" w:color="020000"/>
              <w:bottom w:val="none" w:sz="0" w:space="0" w:color="020000"/>
              <w:right w:val="none" w:sz="0" w:space="0" w:color="020000"/>
            </w:tcBorders>
          </w:tcPr>
          <w:p w14:paraId="0E3CD7B4"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vAlign w:val="center"/>
          </w:tcPr>
          <w:p w14:paraId="4F2BC159" w14:textId="77777777" w:rsidR="00C246C5" w:rsidRPr="00C246C5" w:rsidRDefault="00C246C5" w:rsidP="00F80885">
            <w:pPr>
              <w:spacing w:after="7" w:line="174" w:lineRule="exact"/>
              <w:ind w:right="23"/>
              <w:jc w:val="right"/>
              <w:textAlignment w:val="baseline"/>
              <w:rPr>
                <w:color w:val="000000"/>
                <w:sz w:val="20"/>
                <w:szCs w:val="20"/>
              </w:rPr>
            </w:pPr>
            <w:r w:rsidRPr="00C246C5">
              <w:rPr>
                <w:color w:val="000000"/>
                <w:sz w:val="20"/>
                <w:szCs w:val="20"/>
              </w:rPr>
              <w:t>25,909</w:t>
            </w:r>
          </w:p>
        </w:tc>
        <w:tc>
          <w:tcPr>
            <w:tcW w:w="997" w:type="dxa"/>
            <w:tcBorders>
              <w:top w:val="none" w:sz="0" w:space="0" w:color="020000"/>
              <w:left w:val="none" w:sz="0" w:space="0" w:color="020000"/>
              <w:bottom w:val="none" w:sz="0" w:space="0" w:color="020000"/>
              <w:right w:val="none" w:sz="0" w:space="0" w:color="020000"/>
            </w:tcBorders>
          </w:tcPr>
          <w:p w14:paraId="5CA54C92"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4C7763B1"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1B38514C" w14:textId="77777777" w:rsidR="00C246C5" w:rsidRPr="00C246C5" w:rsidRDefault="00C246C5" w:rsidP="00F80885">
            <w:pPr>
              <w:spacing w:after="12" w:line="174" w:lineRule="exact"/>
              <w:ind w:right="281"/>
              <w:jc w:val="right"/>
              <w:textAlignment w:val="baseline"/>
              <w:rPr>
                <w:color w:val="000000"/>
                <w:sz w:val="20"/>
                <w:szCs w:val="20"/>
              </w:rPr>
            </w:pPr>
            <w:r w:rsidRPr="00C246C5">
              <w:rPr>
                <w:color w:val="000000"/>
                <w:sz w:val="20"/>
                <w:szCs w:val="20"/>
              </w:rPr>
              <w:t>87</w:t>
            </w:r>
          </w:p>
        </w:tc>
      </w:tr>
      <w:tr w:rsidR="00C246C5" w:rsidRPr="00C246C5" w14:paraId="2DBE7A10" w14:textId="77777777" w:rsidTr="00C246C5">
        <w:trPr>
          <w:trHeight w:hRule="exact" w:val="211"/>
        </w:trPr>
        <w:tc>
          <w:tcPr>
            <w:tcW w:w="1994" w:type="dxa"/>
            <w:tcBorders>
              <w:top w:val="none" w:sz="0" w:space="0" w:color="020000"/>
              <w:left w:val="single" w:sz="13" w:space="0" w:color="000000"/>
              <w:bottom w:val="none" w:sz="0" w:space="0" w:color="020000"/>
              <w:right w:val="single" w:sz="13" w:space="0" w:color="000000"/>
            </w:tcBorders>
            <w:vAlign w:val="center"/>
          </w:tcPr>
          <w:p w14:paraId="6BCE48AA" w14:textId="77777777" w:rsidR="00C246C5" w:rsidRPr="00C246C5" w:rsidRDefault="00C246C5" w:rsidP="00F80885">
            <w:pPr>
              <w:spacing w:after="14" w:line="174" w:lineRule="exact"/>
              <w:ind w:left="53"/>
              <w:textAlignment w:val="baseline"/>
              <w:rPr>
                <w:color w:val="000000"/>
                <w:sz w:val="20"/>
                <w:szCs w:val="20"/>
              </w:rPr>
            </w:pPr>
            <w:r w:rsidRPr="00C246C5">
              <w:rPr>
                <w:color w:val="000000"/>
                <w:sz w:val="20"/>
                <w:szCs w:val="20"/>
              </w:rPr>
              <w:t>Lehman Pike</w:t>
            </w:r>
          </w:p>
        </w:tc>
        <w:tc>
          <w:tcPr>
            <w:tcW w:w="925" w:type="dxa"/>
            <w:tcBorders>
              <w:top w:val="none" w:sz="0" w:space="0" w:color="020000"/>
              <w:left w:val="single" w:sz="13" w:space="0" w:color="000000"/>
              <w:bottom w:val="none" w:sz="0" w:space="0" w:color="020000"/>
              <w:right w:val="none" w:sz="0" w:space="0" w:color="020000"/>
            </w:tcBorders>
            <w:vAlign w:val="center"/>
          </w:tcPr>
          <w:p w14:paraId="63C69F7C" w14:textId="77777777" w:rsidR="00C246C5" w:rsidRPr="00C246C5" w:rsidRDefault="00C246C5" w:rsidP="00F80885">
            <w:pPr>
              <w:spacing w:after="12" w:line="174" w:lineRule="exact"/>
              <w:ind w:right="28"/>
              <w:jc w:val="right"/>
              <w:textAlignment w:val="baseline"/>
              <w:rPr>
                <w:color w:val="000000"/>
                <w:sz w:val="20"/>
                <w:szCs w:val="20"/>
              </w:rPr>
            </w:pPr>
            <w:r w:rsidRPr="00C246C5">
              <w:rPr>
                <w:color w:val="000000"/>
                <w:sz w:val="20"/>
                <w:szCs w:val="20"/>
              </w:rPr>
              <w:t>0</w:t>
            </w:r>
          </w:p>
        </w:tc>
        <w:tc>
          <w:tcPr>
            <w:tcW w:w="932" w:type="dxa"/>
            <w:tcBorders>
              <w:top w:val="none" w:sz="0" w:space="0" w:color="020000"/>
              <w:left w:val="none" w:sz="0" w:space="0" w:color="020000"/>
              <w:bottom w:val="none" w:sz="0" w:space="0" w:color="020000"/>
              <w:right w:val="none" w:sz="0" w:space="0" w:color="020000"/>
            </w:tcBorders>
          </w:tcPr>
          <w:p w14:paraId="55E15075"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none" w:sz="0" w:space="0" w:color="020000"/>
              <w:right w:val="none" w:sz="0" w:space="0" w:color="020000"/>
            </w:tcBorders>
          </w:tcPr>
          <w:p w14:paraId="3FD86E5F"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97" w:type="dxa"/>
            <w:tcBorders>
              <w:top w:val="none" w:sz="0" w:space="0" w:color="020000"/>
              <w:left w:val="none" w:sz="0" w:space="0" w:color="020000"/>
              <w:bottom w:val="none" w:sz="0" w:space="0" w:color="020000"/>
              <w:right w:val="none" w:sz="0" w:space="0" w:color="020000"/>
            </w:tcBorders>
          </w:tcPr>
          <w:p w14:paraId="6D0F127E"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798" w:type="dxa"/>
            <w:gridSpan w:val="2"/>
            <w:tcBorders>
              <w:top w:val="none" w:sz="0" w:space="0" w:color="020000"/>
              <w:left w:val="none" w:sz="0" w:space="0" w:color="020000"/>
              <w:bottom w:val="none" w:sz="0" w:space="0" w:color="020000"/>
              <w:right w:val="none" w:sz="0" w:space="0" w:color="020000"/>
            </w:tcBorders>
          </w:tcPr>
          <w:p w14:paraId="76455FC2"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none" w:sz="0" w:space="0" w:color="020000"/>
              <w:right w:val="single" w:sz="13" w:space="0" w:color="000000"/>
            </w:tcBorders>
            <w:vAlign w:val="center"/>
          </w:tcPr>
          <w:p w14:paraId="5E779C92" w14:textId="77777777" w:rsidR="00C246C5" w:rsidRPr="00C246C5" w:rsidRDefault="00C246C5" w:rsidP="00F80885">
            <w:pPr>
              <w:spacing w:after="7" w:line="174" w:lineRule="exact"/>
              <w:ind w:right="281"/>
              <w:jc w:val="right"/>
              <w:textAlignment w:val="baseline"/>
              <w:rPr>
                <w:color w:val="000000"/>
                <w:sz w:val="20"/>
                <w:szCs w:val="20"/>
              </w:rPr>
            </w:pPr>
            <w:r w:rsidRPr="00C246C5">
              <w:rPr>
                <w:color w:val="000000"/>
                <w:sz w:val="20"/>
                <w:szCs w:val="20"/>
              </w:rPr>
              <w:t>0</w:t>
            </w:r>
          </w:p>
        </w:tc>
      </w:tr>
      <w:tr w:rsidR="00C246C5" w:rsidRPr="00C246C5" w14:paraId="02221ED3" w14:textId="77777777" w:rsidTr="00C246C5">
        <w:trPr>
          <w:trHeight w:hRule="exact" w:val="231"/>
        </w:trPr>
        <w:tc>
          <w:tcPr>
            <w:tcW w:w="1994" w:type="dxa"/>
            <w:tcBorders>
              <w:top w:val="none" w:sz="0" w:space="0" w:color="020000"/>
              <w:left w:val="single" w:sz="13" w:space="0" w:color="000000"/>
              <w:bottom w:val="single" w:sz="13" w:space="0" w:color="000000"/>
              <w:right w:val="single" w:sz="13" w:space="0" w:color="000000"/>
            </w:tcBorders>
            <w:vAlign w:val="center"/>
          </w:tcPr>
          <w:p w14:paraId="7F5D764D" w14:textId="77777777" w:rsidR="00C246C5" w:rsidRPr="00C246C5" w:rsidRDefault="00C246C5" w:rsidP="00F80885">
            <w:pPr>
              <w:spacing w:after="31" w:line="174" w:lineRule="exact"/>
              <w:ind w:left="53"/>
              <w:textAlignment w:val="baseline"/>
              <w:rPr>
                <w:color w:val="000000"/>
                <w:sz w:val="20"/>
                <w:szCs w:val="20"/>
              </w:rPr>
            </w:pPr>
            <w:r w:rsidRPr="00C246C5">
              <w:rPr>
                <w:color w:val="000000"/>
                <w:sz w:val="20"/>
                <w:szCs w:val="20"/>
              </w:rPr>
              <w:t>Pocono</w:t>
            </w:r>
          </w:p>
        </w:tc>
        <w:tc>
          <w:tcPr>
            <w:tcW w:w="925" w:type="dxa"/>
            <w:tcBorders>
              <w:top w:val="none" w:sz="0" w:space="0" w:color="020000"/>
              <w:left w:val="single" w:sz="13" w:space="0" w:color="000000"/>
              <w:bottom w:val="single" w:sz="13" w:space="0" w:color="000000"/>
              <w:right w:val="none" w:sz="0" w:space="0" w:color="020000"/>
            </w:tcBorders>
            <w:vAlign w:val="center"/>
          </w:tcPr>
          <w:p w14:paraId="3F90548B" w14:textId="77777777" w:rsidR="00C246C5" w:rsidRPr="00C246C5" w:rsidRDefault="00C246C5" w:rsidP="00F80885">
            <w:pPr>
              <w:spacing w:after="30" w:line="174" w:lineRule="exact"/>
              <w:ind w:right="28"/>
              <w:jc w:val="right"/>
              <w:textAlignment w:val="baseline"/>
              <w:rPr>
                <w:color w:val="000000"/>
                <w:sz w:val="20"/>
                <w:szCs w:val="20"/>
              </w:rPr>
            </w:pPr>
            <w:r w:rsidRPr="00C246C5">
              <w:rPr>
                <w:color w:val="000000"/>
                <w:sz w:val="20"/>
                <w:szCs w:val="20"/>
              </w:rPr>
              <w:t>150,648</w:t>
            </w:r>
          </w:p>
        </w:tc>
        <w:tc>
          <w:tcPr>
            <w:tcW w:w="932" w:type="dxa"/>
            <w:tcBorders>
              <w:top w:val="none" w:sz="0" w:space="0" w:color="020000"/>
              <w:left w:val="none" w:sz="0" w:space="0" w:color="020000"/>
              <w:bottom w:val="single" w:sz="13" w:space="0" w:color="000000"/>
              <w:right w:val="none" w:sz="0" w:space="0" w:color="020000"/>
            </w:tcBorders>
          </w:tcPr>
          <w:p w14:paraId="1F0839FB"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973" w:type="dxa"/>
            <w:tcBorders>
              <w:top w:val="none" w:sz="0" w:space="0" w:color="020000"/>
              <w:left w:val="none" w:sz="0" w:space="0" w:color="020000"/>
              <w:bottom w:val="single" w:sz="13" w:space="0" w:color="000000"/>
              <w:right w:val="none" w:sz="0" w:space="0" w:color="020000"/>
            </w:tcBorders>
            <w:vAlign w:val="center"/>
          </w:tcPr>
          <w:p w14:paraId="19A511BA" w14:textId="77777777" w:rsidR="00C246C5" w:rsidRPr="00C246C5" w:rsidRDefault="00C246C5" w:rsidP="00F80885">
            <w:pPr>
              <w:spacing w:after="27" w:line="174" w:lineRule="exact"/>
              <w:ind w:right="23"/>
              <w:jc w:val="right"/>
              <w:textAlignment w:val="baseline"/>
              <w:rPr>
                <w:color w:val="000000"/>
                <w:sz w:val="20"/>
                <w:szCs w:val="20"/>
              </w:rPr>
            </w:pPr>
            <w:r w:rsidRPr="00C246C5">
              <w:rPr>
                <w:color w:val="000000"/>
                <w:sz w:val="20"/>
                <w:szCs w:val="20"/>
              </w:rPr>
              <w:t>75,000</w:t>
            </w:r>
          </w:p>
        </w:tc>
        <w:tc>
          <w:tcPr>
            <w:tcW w:w="997" w:type="dxa"/>
            <w:tcBorders>
              <w:top w:val="none" w:sz="0" w:space="0" w:color="020000"/>
              <w:left w:val="none" w:sz="0" w:space="0" w:color="020000"/>
              <w:bottom w:val="single" w:sz="13" w:space="0" w:color="000000"/>
              <w:right w:val="none" w:sz="0" w:space="0" w:color="020000"/>
            </w:tcBorders>
            <w:vAlign w:val="center"/>
          </w:tcPr>
          <w:p w14:paraId="6CA5C13E" w14:textId="77777777" w:rsidR="00C246C5" w:rsidRPr="00C246C5" w:rsidRDefault="00C246C5" w:rsidP="00F80885">
            <w:pPr>
              <w:spacing w:after="27" w:line="174" w:lineRule="exact"/>
              <w:ind w:right="24"/>
              <w:jc w:val="right"/>
              <w:textAlignment w:val="baseline"/>
              <w:rPr>
                <w:color w:val="000000"/>
                <w:sz w:val="20"/>
                <w:szCs w:val="20"/>
              </w:rPr>
            </w:pPr>
            <w:r w:rsidRPr="00C246C5">
              <w:rPr>
                <w:color w:val="000000"/>
                <w:sz w:val="20"/>
                <w:szCs w:val="20"/>
              </w:rPr>
              <w:t>75,648</w:t>
            </w:r>
          </w:p>
        </w:tc>
        <w:tc>
          <w:tcPr>
            <w:tcW w:w="1798" w:type="dxa"/>
            <w:gridSpan w:val="2"/>
            <w:tcBorders>
              <w:top w:val="none" w:sz="0" w:space="0" w:color="020000"/>
              <w:left w:val="none" w:sz="0" w:space="0" w:color="020000"/>
              <w:bottom w:val="single" w:sz="13" w:space="0" w:color="000000"/>
              <w:right w:val="none" w:sz="0" w:space="0" w:color="020000"/>
            </w:tcBorders>
          </w:tcPr>
          <w:p w14:paraId="2DF35BF7" w14:textId="77777777" w:rsidR="00C246C5" w:rsidRPr="00C246C5" w:rsidRDefault="00C246C5" w:rsidP="00F80885">
            <w:pPr>
              <w:textAlignment w:val="baseline"/>
              <w:rPr>
                <w:rFonts w:eastAsia="Arial"/>
                <w:color w:val="000000"/>
                <w:sz w:val="20"/>
                <w:szCs w:val="20"/>
              </w:rPr>
            </w:pPr>
            <w:r w:rsidRPr="00C246C5">
              <w:rPr>
                <w:rFonts w:eastAsia="Arial"/>
                <w:color w:val="000000"/>
                <w:sz w:val="20"/>
                <w:szCs w:val="20"/>
              </w:rPr>
              <w:t xml:space="preserve"> </w:t>
            </w:r>
          </w:p>
        </w:tc>
        <w:tc>
          <w:tcPr>
            <w:tcW w:w="1045" w:type="dxa"/>
            <w:tcBorders>
              <w:top w:val="none" w:sz="0" w:space="0" w:color="020000"/>
              <w:left w:val="none" w:sz="0" w:space="0" w:color="020000"/>
              <w:bottom w:val="single" w:sz="13" w:space="0" w:color="000000"/>
              <w:right w:val="single" w:sz="13" w:space="0" w:color="000000"/>
            </w:tcBorders>
            <w:vAlign w:val="center"/>
          </w:tcPr>
          <w:p w14:paraId="6C1BD0B2" w14:textId="77777777" w:rsidR="00C246C5" w:rsidRPr="00C246C5" w:rsidRDefault="00C246C5" w:rsidP="00F80885">
            <w:pPr>
              <w:spacing w:after="27" w:line="174" w:lineRule="exact"/>
              <w:ind w:right="281"/>
              <w:jc w:val="right"/>
              <w:textAlignment w:val="baseline"/>
              <w:rPr>
                <w:color w:val="000000"/>
                <w:sz w:val="20"/>
                <w:szCs w:val="20"/>
              </w:rPr>
            </w:pPr>
            <w:r w:rsidRPr="00C246C5">
              <w:rPr>
                <w:color w:val="000000"/>
                <w:sz w:val="20"/>
                <w:szCs w:val="20"/>
              </w:rPr>
              <w:t>777</w:t>
            </w:r>
          </w:p>
        </w:tc>
      </w:tr>
    </w:tbl>
    <w:p w14:paraId="4E40D474" w14:textId="466BEDE3" w:rsidR="00C246C5" w:rsidRPr="00C246C5" w:rsidRDefault="00C246C5" w:rsidP="002E2D2F">
      <w:pPr>
        <w:pStyle w:val="p7"/>
        <w:widowControl/>
        <w:spacing w:line="360" w:lineRule="auto"/>
        <w:ind w:left="0" w:firstLine="0"/>
        <w:rPr>
          <w:sz w:val="26"/>
          <w:szCs w:val="26"/>
        </w:rPr>
      </w:pPr>
    </w:p>
    <w:p w14:paraId="11B95D9B" w14:textId="01DEA760" w:rsidR="00190883" w:rsidRPr="00135501" w:rsidRDefault="00C246C5" w:rsidP="00C246C5">
      <w:pPr>
        <w:pStyle w:val="p7"/>
        <w:widowControl/>
        <w:tabs>
          <w:tab w:val="clear" w:pos="782"/>
          <w:tab w:val="clear" w:pos="1133"/>
        </w:tabs>
        <w:spacing w:line="360" w:lineRule="auto"/>
        <w:ind w:left="0" w:firstLine="0"/>
        <w:rPr>
          <w:sz w:val="26"/>
          <w:szCs w:val="26"/>
        </w:rPr>
      </w:pPr>
      <w:r w:rsidRPr="00C246C5">
        <w:rPr>
          <w:sz w:val="26"/>
          <w:szCs w:val="26"/>
        </w:rPr>
        <w:tab/>
      </w:r>
      <w:r w:rsidR="00384FA9">
        <w:rPr>
          <w:sz w:val="26"/>
          <w:szCs w:val="26"/>
        </w:rPr>
        <w:t>PAWC-WD</w:t>
      </w:r>
      <w:r w:rsidR="004E7BD6">
        <w:rPr>
          <w:sz w:val="26"/>
          <w:szCs w:val="26"/>
        </w:rPr>
        <w:t xml:space="preserve"> also</w:t>
      </w:r>
      <w:r w:rsidRPr="00C246C5">
        <w:rPr>
          <w:sz w:val="26"/>
          <w:szCs w:val="26"/>
        </w:rPr>
        <w:t xml:space="preserve"> provided </w:t>
      </w:r>
      <w:r w:rsidR="00836DE2">
        <w:rPr>
          <w:sz w:val="26"/>
          <w:szCs w:val="26"/>
        </w:rPr>
        <w:t xml:space="preserve">supplemental </w:t>
      </w:r>
      <w:r w:rsidRPr="00C246C5">
        <w:rPr>
          <w:sz w:val="26"/>
          <w:szCs w:val="26"/>
        </w:rPr>
        <w:t>information</w:t>
      </w:r>
      <w:r>
        <w:rPr>
          <w:sz w:val="26"/>
          <w:szCs w:val="26"/>
        </w:rPr>
        <w:t xml:space="preserve"> to the Commission</w:t>
      </w:r>
      <w:r w:rsidRPr="00C246C5">
        <w:rPr>
          <w:sz w:val="26"/>
          <w:szCs w:val="26"/>
        </w:rPr>
        <w:t xml:space="preserve"> that</w:t>
      </w:r>
      <w:r>
        <w:rPr>
          <w:sz w:val="26"/>
          <w:szCs w:val="26"/>
        </w:rPr>
        <w:t xml:space="preserve"> </w:t>
      </w:r>
      <w:r w:rsidR="0061359F">
        <w:rPr>
          <w:sz w:val="26"/>
          <w:szCs w:val="26"/>
        </w:rPr>
        <w:t>detailed</w:t>
      </w:r>
      <w:r>
        <w:rPr>
          <w:sz w:val="26"/>
          <w:szCs w:val="26"/>
        </w:rPr>
        <w:t xml:space="preserve"> its</w:t>
      </w:r>
      <w:r w:rsidRPr="00C246C5">
        <w:rPr>
          <w:sz w:val="26"/>
          <w:szCs w:val="26"/>
        </w:rPr>
        <w:t xml:space="preserve"> projected schedule for replacement and rehabilitation of DSIC-eligible property for each wastewater system based on the preliminary results of </w:t>
      </w:r>
      <w:r>
        <w:rPr>
          <w:sz w:val="26"/>
          <w:szCs w:val="26"/>
        </w:rPr>
        <w:t>its</w:t>
      </w:r>
      <w:r w:rsidRPr="00C246C5">
        <w:rPr>
          <w:sz w:val="26"/>
          <w:szCs w:val="26"/>
        </w:rPr>
        <w:t xml:space="preserve"> condition assessment.</w:t>
      </w:r>
      <w:r>
        <w:rPr>
          <w:sz w:val="26"/>
          <w:szCs w:val="26"/>
        </w:rPr>
        <w:t xml:space="preserve">  </w:t>
      </w:r>
      <w:r w:rsidR="00384FA9">
        <w:rPr>
          <w:sz w:val="26"/>
          <w:szCs w:val="26"/>
        </w:rPr>
        <w:t>PAWC-WD</w:t>
      </w:r>
      <w:r>
        <w:rPr>
          <w:sz w:val="26"/>
          <w:szCs w:val="26"/>
        </w:rPr>
        <w:t xml:space="preserve"> also included a </w:t>
      </w:r>
      <w:r w:rsidRPr="00C246C5">
        <w:rPr>
          <w:sz w:val="26"/>
          <w:szCs w:val="26"/>
        </w:rPr>
        <w:t>breakdown of expenditures for each type of eligible property by year and by wastewater system (district), with expenditures for combined and sanitary systems displayed separately.</w:t>
      </w:r>
      <w:r>
        <w:rPr>
          <w:sz w:val="26"/>
          <w:szCs w:val="26"/>
        </w:rPr>
        <w:t xml:space="preserve"> </w:t>
      </w:r>
      <w:r w:rsidR="002E2D2F">
        <w:rPr>
          <w:sz w:val="26"/>
          <w:szCs w:val="26"/>
        </w:rPr>
        <w:t xml:space="preserve"> </w:t>
      </w:r>
      <w:r w:rsidR="00384FA9">
        <w:rPr>
          <w:sz w:val="26"/>
          <w:szCs w:val="26"/>
        </w:rPr>
        <w:t>PAWC-WD</w:t>
      </w:r>
      <w:r w:rsidR="002E2D2F">
        <w:rPr>
          <w:sz w:val="26"/>
          <w:szCs w:val="26"/>
        </w:rPr>
        <w:t xml:space="preserve"> notes that it </w:t>
      </w:r>
      <w:r w:rsidR="002E2D2F" w:rsidRPr="002E2D2F">
        <w:rPr>
          <w:sz w:val="26"/>
          <w:szCs w:val="26"/>
        </w:rPr>
        <w:t xml:space="preserve">will include an annual update of </w:t>
      </w:r>
      <w:r w:rsidR="00831F20">
        <w:rPr>
          <w:sz w:val="26"/>
          <w:szCs w:val="26"/>
        </w:rPr>
        <w:t>its</w:t>
      </w:r>
      <w:r w:rsidR="002E2D2F" w:rsidRPr="002E2D2F">
        <w:rPr>
          <w:sz w:val="26"/>
          <w:szCs w:val="26"/>
        </w:rPr>
        <w:t xml:space="preserve"> Condition Assessment Schedule with its </w:t>
      </w:r>
      <w:r w:rsidR="00243C4B">
        <w:rPr>
          <w:sz w:val="26"/>
          <w:szCs w:val="26"/>
        </w:rPr>
        <w:t>subsequent AAOP filings</w:t>
      </w:r>
      <w:r w:rsidR="002E2D2F" w:rsidRPr="002E2D2F">
        <w:rPr>
          <w:sz w:val="26"/>
          <w:szCs w:val="26"/>
        </w:rPr>
        <w:t>.</w:t>
      </w:r>
    </w:p>
    <w:p w14:paraId="66CF6401" w14:textId="77777777" w:rsidR="00135501" w:rsidRPr="00B3603D" w:rsidRDefault="00135501" w:rsidP="00E816C8">
      <w:pPr>
        <w:pStyle w:val="p7"/>
        <w:widowControl/>
        <w:tabs>
          <w:tab w:val="clear" w:pos="782"/>
          <w:tab w:val="clear" w:pos="1133"/>
        </w:tabs>
        <w:spacing w:line="360" w:lineRule="auto"/>
        <w:ind w:left="0" w:firstLine="0"/>
        <w:rPr>
          <w:sz w:val="26"/>
          <w:szCs w:val="26"/>
          <w:highlight w:val="green"/>
        </w:rPr>
      </w:pPr>
    </w:p>
    <w:p w14:paraId="4DAAF813" w14:textId="77777777" w:rsidR="0077455C" w:rsidRPr="00F54DF8"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lastRenderedPageBreak/>
        <w:t>Comments</w:t>
      </w:r>
    </w:p>
    <w:p w14:paraId="32FBD8FB" w14:textId="77777777" w:rsidR="0077455C" w:rsidRPr="00F54DF8" w:rsidRDefault="0077455C" w:rsidP="00773D87">
      <w:pPr>
        <w:pStyle w:val="p7"/>
        <w:keepNext/>
        <w:widowControl/>
        <w:tabs>
          <w:tab w:val="clear" w:pos="1133"/>
          <w:tab w:val="left" w:pos="720"/>
          <w:tab w:val="left" w:pos="1350"/>
          <w:tab w:val="left" w:pos="1440"/>
        </w:tabs>
        <w:spacing w:line="360" w:lineRule="auto"/>
        <w:jc w:val="both"/>
        <w:rPr>
          <w:sz w:val="26"/>
          <w:szCs w:val="26"/>
        </w:rPr>
      </w:pPr>
    </w:p>
    <w:p w14:paraId="02BFD421" w14:textId="3E65A8FC" w:rsidR="0077455C" w:rsidRPr="00A95E1D" w:rsidRDefault="00B3603D" w:rsidP="00A11039">
      <w:pPr>
        <w:pStyle w:val="p7"/>
        <w:widowControl/>
        <w:tabs>
          <w:tab w:val="clear" w:pos="1133"/>
          <w:tab w:val="left" w:pos="720"/>
          <w:tab w:val="left" w:pos="1350"/>
          <w:tab w:val="left" w:pos="1440"/>
        </w:tabs>
        <w:spacing w:line="360" w:lineRule="auto"/>
        <w:ind w:left="0" w:firstLine="720"/>
        <w:rPr>
          <w:iCs/>
          <w:sz w:val="26"/>
          <w:szCs w:val="26"/>
        </w:rPr>
      </w:pPr>
      <w:r w:rsidRPr="00A95E1D">
        <w:rPr>
          <w:sz w:val="26"/>
          <w:szCs w:val="26"/>
        </w:rPr>
        <w:t xml:space="preserve"> </w:t>
      </w:r>
      <w:r w:rsidR="0077455C" w:rsidRPr="00A95E1D">
        <w:rPr>
          <w:iCs/>
          <w:sz w:val="26"/>
          <w:szCs w:val="26"/>
        </w:rPr>
        <w:t>No comments were received regarding the schedule for planned repair and replacement of eligible property.</w:t>
      </w:r>
    </w:p>
    <w:p w14:paraId="6764F8DE" w14:textId="27AC3943" w:rsidR="005A0820" w:rsidRDefault="005A0820" w:rsidP="00DE5C83">
      <w:pPr>
        <w:widowControl/>
        <w:autoSpaceDE/>
        <w:autoSpaceDN/>
        <w:adjustRightInd/>
        <w:rPr>
          <w:sz w:val="26"/>
          <w:szCs w:val="26"/>
        </w:rPr>
      </w:pPr>
    </w:p>
    <w:p w14:paraId="151D864D" w14:textId="28B5EBFA" w:rsidR="005A0820" w:rsidRDefault="005A0820" w:rsidP="00DE5C83">
      <w:pPr>
        <w:widowControl/>
        <w:autoSpaceDE/>
        <w:autoSpaceDN/>
        <w:adjustRightInd/>
        <w:rPr>
          <w:sz w:val="26"/>
          <w:szCs w:val="26"/>
        </w:rPr>
      </w:pPr>
    </w:p>
    <w:p w14:paraId="00BA27D8" w14:textId="0C912397" w:rsidR="0077455C" w:rsidRPr="00F54DF8" w:rsidRDefault="2315FA41" w:rsidP="2315FA41">
      <w:pPr>
        <w:widowControl/>
        <w:autoSpaceDE/>
        <w:autoSpaceDN/>
        <w:adjustRightInd/>
        <w:rPr>
          <w:b/>
          <w:bCs/>
          <w:sz w:val="26"/>
          <w:szCs w:val="26"/>
        </w:rPr>
      </w:pPr>
      <w:r w:rsidRPr="2315FA41">
        <w:rPr>
          <w:b/>
          <w:bCs/>
          <w:sz w:val="26"/>
          <w:szCs w:val="26"/>
        </w:rPr>
        <w:t>Resolution</w:t>
      </w:r>
    </w:p>
    <w:p w14:paraId="695BA159" w14:textId="59EB673C" w:rsidR="2315FA41" w:rsidRDefault="2315FA41" w:rsidP="2315FA41">
      <w:pPr>
        <w:rPr>
          <w:b/>
          <w:bCs/>
          <w:sz w:val="26"/>
          <w:szCs w:val="26"/>
        </w:rPr>
      </w:pPr>
    </w:p>
    <w:p w14:paraId="6A35CEC4" w14:textId="08D03667" w:rsidR="2315FA41" w:rsidRDefault="00243C4B" w:rsidP="00243C4B">
      <w:pPr>
        <w:pStyle w:val="p2"/>
        <w:tabs>
          <w:tab w:val="clear" w:pos="1445"/>
          <w:tab w:val="left" w:pos="720"/>
        </w:tabs>
        <w:spacing w:line="360" w:lineRule="auto"/>
        <w:ind w:firstLine="0"/>
        <w:rPr>
          <w:sz w:val="26"/>
          <w:szCs w:val="26"/>
        </w:rPr>
      </w:pPr>
      <w:r>
        <w:rPr>
          <w:sz w:val="26"/>
          <w:szCs w:val="26"/>
        </w:rPr>
        <w:tab/>
        <w:t>PAWC-WD notes that for work on sewer mains, it may entirely replace</w:t>
      </w:r>
      <w:r w:rsidR="001602E3">
        <w:rPr>
          <w:sz w:val="26"/>
          <w:szCs w:val="26"/>
        </w:rPr>
        <w:t>,</w:t>
      </w:r>
      <w:r>
        <w:rPr>
          <w:sz w:val="26"/>
          <w:szCs w:val="26"/>
        </w:rPr>
        <w:t xml:space="preserve"> or rehabilitate mains with slip lining and other methods.  Replacement is typically more expensive than rehabilitation.  I</w:t>
      </w:r>
      <w:r w:rsidR="0077315B">
        <w:rPr>
          <w:sz w:val="26"/>
          <w:szCs w:val="26"/>
        </w:rPr>
        <w:t xml:space="preserve">t is important </w:t>
      </w:r>
      <w:r>
        <w:rPr>
          <w:sz w:val="26"/>
          <w:szCs w:val="26"/>
        </w:rPr>
        <w:t xml:space="preserve">for Commission staff and other interested parties to understand </w:t>
      </w:r>
      <w:r w:rsidR="0077315B">
        <w:rPr>
          <w:sz w:val="26"/>
          <w:szCs w:val="26"/>
        </w:rPr>
        <w:t xml:space="preserve">PAWC-WD’s expenditures on sewer main work.  Therefore, PAWC-WD, </w:t>
      </w:r>
      <w:r w:rsidR="2315FA41" w:rsidRPr="20EA62E2">
        <w:rPr>
          <w:sz w:val="26"/>
          <w:szCs w:val="26"/>
        </w:rPr>
        <w:t xml:space="preserve">beginning with its </w:t>
      </w:r>
      <w:r w:rsidR="0077315B">
        <w:rPr>
          <w:sz w:val="26"/>
          <w:szCs w:val="26"/>
        </w:rPr>
        <w:t>AAOP</w:t>
      </w:r>
      <w:r w:rsidR="2315FA41" w:rsidRPr="20EA62E2">
        <w:rPr>
          <w:sz w:val="26"/>
          <w:szCs w:val="26"/>
        </w:rPr>
        <w:t xml:space="preserve"> for calendar year 2020,</w:t>
      </w:r>
      <w:r w:rsidR="24B5EC76" w:rsidRPr="20EA62E2">
        <w:rPr>
          <w:sz w:val="26"/>
          <w:szCs w:val="26"/>
        </w:rPr>
        <w:t xml:space="preserve"> shall</w:t>
      </w:r>
      <w:r w:rsidR="2315FA41" w:rsidRPr="20EA62E2">
        <w:rPr>
          <w:sz w:val="26"/>
          <w:szCs w:val="26"/>
        </w:rPr>
        <w:t xml:space="preserve"> include in its </w:t>
      </w:r>
      <w:r w:rsidR="0077315B">
        <w:rPr>
          <w:sz w:val="26"/>
          <w:szCs w:val="26"/>
        </w:rPr>
        <w:t>AAOP</w:t>
      </w:r>
      <w:r w:rsidR="2315FA41" w:rsidRPr="20EA62E2">
        <w:rPr>
          <w:sz w:val="26"/>
          <w:szCs w:val="26"/>
        </w:rPr>
        <w:t xml:space="preserve"> </w:t>
      </w:r>
      <w:r w:rsidR="0077315B">
        <w:rPr>
          <w:sz w:val="26"/>
          <w:szCs w:val="26"/>
        </w:rPr>
        <w:t>detailed</w:t>
      </w:r>
      <w:r w:rsidR="2315FA41" w:rsidRPr="20EA62E2">
        <w:rPr>
          <w:sz w:val="26"/>
          <w:szCs w:val="26"/>
        </w:rPr>
        <w:t xml:space="preserve"> information on the amount of sewer pipe that is replaced or </w:t>
      </w:r>
      <w:r w:rsidR="0077315B">
        <w:rPr>
          <w:sz w:val="26"/>
          <w:szCs w:val="26"/>
        </w:rPr>
        <w:t xml:space="preserve">rehabilitated </w:t>
      </w:r>
      <w:r w:rsidR="2315FA41" w:rsidRPr="20EA62E2">
        <w:rPr>
          <w:sz w:val="26"/>
          <w:szCs w:val="26"/>
        </w:rPr>
        <w:t>each year.</w:t>
      </w:r>
      <w:r w:rsidR="0077315B">
        <w:rPr>
          <w:rStyle w:val="FootnoteReference"/>
          <w:sz w:val="26"/>
          <w:szCs w:val="26"/>
        </w:rPr>
        <w:footnoteReference w:id="5"/>
      </w:r>
    </w:p>
    <w:p w14:paraId="6F08A641" w14:textId="77777777" w:rsidR="00DE5C83" w:rsidRDefault="00DE5C83" w:rsidP="00A11039">
      <w:pPr>
        <w:pStyle w:val="p2"/>
        <w:widowControl/>
        <w:tabs>
          <w:tab w:val="clear" w:pos="1445"/>
          <w:tab w:val="left" w:pos="720"/>
        </w:tabs>
        <w:spacing w:line="360" w:lineRule="auto"/>
        <w:ind w:firstLine="720"/>
        <w:rPr>
          <w:sz w:val="26"/>
          <w:szCs w:val="26"/>
        </w:rPr>
      </w:pPr>
    </w:p>
    <w:p w14:paraId="43D64F6D" w14:textId="3532BEDA" w:rsidR="0077455C" w:rsidRPr="00F54DF8" w:rsidRDefault="2315FA41" w:rsidP="00A11039">
      <w:pPr>
        <w:pStyle w:val="p2"/>
        <w:widowControl/>
        <w:tabs>
          <w:tab w:val="clear" w:pos="1445"/>
          <w:tab w:val="left" w:pos="720"/>
        </w:tabs>
        <w:spacing w:line="360" w:lineRule="auto"/>
        <w:ind w:firstLine="720"/>
        <w:rPr>
          <w:sz w:val="26"/>
          <w:szCs w:val="26"/>
        </w:rPr>
      </w:pPr>
      <w:r w:rsidRPr="2315FA41">
        <w:rPr>
          <w:sz w:val="26"/>
          <w:szCs w:val="26"/>
        </w:rPr>
        <w:t xml:space="preserve">Upon review of PAWC-WD’s Modified LTIIP, as amended, and any supplemental information filed, the Commission finds that PAWC-WD’s Modified LTIIP fulfills the requirements of 52 Pa. Code § 121.3(a)(2) by providing a schedule for planned repair and replacement of eligible property.    </w:t>
      </w:r>
    </w:p>
    <w:p w14:paraId="0FB1DA15" w14:textId="77777777" w:rsidR="0077455C" w:rsidRPr="00F54DF8" w:rsidRDefault="0077455C" w:rsidP="00773D87">
      <w:pPr>
        <w:pStyle w:val="p7"/>
        <w:widowControl/>
        <w:tabs>
          <w:tab w:val="clear" w:pos="1133"/>
          <w:tab w:val="left" w:pos="720"/>
          <w:tab w:val="left" w:pos="1350"/>
          <w:tab w:val="left" w:pos="1440"/>
        </w:tabs>
        <w:spacing w:line="360" w:lineRule="auto"/>
        <w:ind w:left="0" w:firstLine="0"/>
        <w:jc w:val="both"/>
        <w:rPr>
          <w:sz w:val="26"/>
          <w:szCs w:val="26"/>
        </w:rPr>
      </w:pPr>
    </w:p>
    <w:p w14:paraId="35081BD1" w14:textId="77777777" w:rsidR="0077455C" w:rsidRPr="00F54DF8" w:rsidRDefault="00135912" w:rsidP="00F939FA">
      <w:pPr>
        <w:pStyle w:val="p7"/>
        <w:keepNext/>
        <w:widowControl/>
        <w:tabs>
          <w:tab w:val="clear" w:pos="1133"/>
          <w:tab w:val="left" w:pos="720"/>
          <w:tab w:val="left" w:pos="1350"/>
          <w:tab w:val="left" w:pos="1440"/>
          <w:tab w:val="left" w:pos="1530"/>
        </w:tabs>
        <w:spacing w:line="360" w:lineRule="auto"/>
        <w:ind w:left="720" w:firstLine="0"/>
        <w:rPr>
          <w:b/>
          <w:sz w:val="26"/>
          <w:szCs w:val="26"/>
        </w:rPr>
      </w:pPr>
      <w:r w:rsidRPr="00F54DF8">
        <w:rPr>
          <w:b/>
          <w:sz w:val="26"/>
          <w:szCs w:val="26"/>
        </w:rPr>
        <w:t xml:space="preserve">(3) </w:t>
      </w:r>
      <w:r w:rsidR="0077455C" w:rsidRPr="00F54DF8">
        <w:rPr>
          <w:b/>
          <w:sz w:val="26"/>
          <w:szCs w:val="26"/>
        </w:rPr>
        <w:t>LOCATION OF THE ELIGIBLE PROPERTY</w:t>
      </w:r>
    </w:p>
    <w:p w14:paraId="131FDFA5"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jc w:val="both"/>
        <w:rPr>
          <w:sz w:val="26"/>
          <w:szCs w:val="26"/>
        </w:rPr>
      </w:pPr>
    </w:p>
    <w:p w14:paraId="48D371B1" w14:textId="63A15B8F" w:rsidR="0077455C" w:rsidRPr="00F54DF8" w:rsidRDefault="2315FA41" w:rsidP="2315FA41">
      <w:pPr>
        <w:pStyle w:val="p7"/>
        <w:keepNext/>
        <w:widowControl/>
        <w:tabs>
          <w:tab w:val="clear" w:pos="1133"/>
          <w:tab w:val="left" w:pos="720"/>
          <w:tab w:val="left" w:pos="1350"/>
          <w:tab w:val="left" w:pos="1440"/>
          <w:tab w:val="left" w:pos="1530"/>
        </w:tabs>
        <w:spacing w:line="360" w:lineRule="auto"/>
        <w:ind w:left="0" w:firstLine="0"/>
        <w:rPr>
          <w:b/>
          <w:bCs/>
          <w:sz w:val="26"/>
          <w:szCs w:val="26"/>
        </w:rPr>
      </w:pPr>
      <w:r w:rsidRPr="2315FA41">
        <w:rPr>
          <w:b/>
          <w:bCs/>
          <w:sz w:val="26"/>
          <w:szCs w:val="26"/>
        </w:rPr>
        <w:t>PAWC-WD’s Position</w:t>
      </w:r>
    </w:p>
    <w:p w14:paraId="72BD6857"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p>
    <w:p w14:paraId="6D85AA09" w14:textId="046E3404" w:rsidR="00792635" w:rsidRDefault="00A11039" w:rsidP="00DE5C83">
      <w:pPr>
        <w:pStyle w:val="p7"/>
        <w:widowControl/>
        <w:tabs>
          <w:tab w:val="clear" w:pos="1133"/>
          <w:tab w:val="left" w:pos="720"/>
          <w:tab w:val="left" w:pos="1350"/>
          <w:tab w:val="left" w:pos="1440"/>
          <w:tab w:val="left" w:pos="1530"/>
        </w:tabs>
        <w:spacing w:line="360" w:lineRule="auto"/>
        <w:ind w:left="0" w:firstLine="0"/>
        <w:rPr>
          <w:sz w:val="26"/>
          <w:szCs w:val="26"/>
        </w:rPr>
      </w:pPr>
      <w:r>
        <w:rPr>
          <w:sz w:val="26"/>
          <w:szCs w:val="26"/>
        </w:rPr>
        <w:tab/>
      </w:r>
      <w:r w:rsidR="00384FA9">
        <w:rPr>
          <w:sz w:val="26"/>
          <w:szCs w:val="26"/>
        </w:rPr>
        <w:t>PAWC-WD</w:t>
      </w:r>
      <w:r w:rsidR="005806C9" w:rsidRPr="005806C9">
        <w:rPr>
          <w:sz w:val="26"/>
          <w:szCs w:val="26"/>
        </w:rPr>
        <w:t xml:space="preserve"> </w:t>
      </w:r>
      <w:r w:rsidR="00792635">
        <w:rPr>
          <w:sz w:val="26"/>
          <w:szCs w:val="26"/>
        </w:rPr>
        <w:t xml:space="preserve">reports that it </w:t>
      </w:r>
      <w:r w:rsidR="005806C9" w:rsidRPr="005806C9">
        <w:rPr>
          <w:sz w:val="26"/>
          <w:szCs w:val="26"/>
        </w:rPr>
        <w:t xml:space="preserve">has eligible property located across the state in </w:t>
      </w:r>
      <w:r w:rsidR="007513CE">
        <w:rPr>
          <w:sz w:val="26"/>
          <w:szCs w:val="26"/>
        </w:rPr>
        <w:t>3</w:t>
      </w:r>
      <w:r w:rsidR="005806C9" w:rsidRPr="005806C9">
        <w:rPr>
          <w:sz w:val="26"/>
          <w:szCs w:val="26"/>
        </w:rPr>
        <w:t xml:space="preserve"> region</w:t>
      </w:r>
      <w:r w:rsidR="00F469C3">
        <w:rPr>
          <w:sz w:val="26"/>
          <w:szCs w:val="26"/>
        </w:rPr>
        <w:t>al locations</w:t>
      </w:r>
      <w:r w:rsidR="005806C9" w:rsidRPr="005806C9">
        <w:rPr>
          <w:sz w:val="26"/>
          <w:szCs w:val="26"/>
        </w:rPr>
        <w:t>.</w:t>
      </w:r>
      <w:r w:rsidR="00F469C3">
        <w:rPr>
          <w:sz w:val="26"/>
          <w:szCs w:val="26"/>
        </w:rPr>
        <w:t xml:space="preserve">  </w:t>
      </w:r>
      <w:r w:rsidR="00384FA9">
        <w:rPr>
          <w:sz w:val="26"/>
          <w:szCs w:val="26"/>
        </w:rPr>
        <w:t>PAWC-WD</w:t>
      </w:r>
      <w:r w:rsidR="00792635">
        <w:rPr>
          <w:sz w:val="26"/>
          <w:szCs w:val="26"/>
        </w:rPr>
        <w:t>’s</w:t>
      </w:r>
      <w:r w:rsidR="00F469C3">
        <w:rPr>
          <w:sz w:val="26"/>
          <w:szCs w:val="26"/>
        </w:rPr>
        <w:t xml:space="preserve"> regions </w:t>
      </w:r>
      <w:r w:rsidR="00F469C3" w:rsidRPr="005806C9">
        <w:rPr>
          <w:sz w:val="26"/>
          <w:szCs w:val="26"/>
        </w:rPr>
        <w:t>consist</w:t>
      </w:r>
      <w:r w:rsidR="005806C9" w:rsidRPr="005806C9">
        <w:rPr>
          <w:sz w:val="26"/>
          <w:szCs w:val="26"/>
        </w:rPr>
        <w:t xml:space="preserve"> of the Central Pennsylvania region, the Northeastern Pennsylvania region and the Southeastern Pennsylvania region.</w:t>
      </w:r>
      <w:r w:rsidR="005806C9">
        <w:rPr>
          <w:sz w:val="26"/>
          <w:szCs w:val="26"/>
        </w:rPr>
        <w:t xml:space="preserve">  </w:t>
      </w:r>
      <w:r w:rsidR="00384FA9">
        <w:rPr>
          <w:sz w:val="26"/>
          <w:szCs w:val="26"/>
        </w:rPr>
        <w:t>PAWC-WD</w:t>
      </w:r>
      <w:r w:rsidR="00566450">
        <w:rPr>
          <w:sz w:val="26"/>
          <w:szCs w:val="26"/>
        </w:rPr>
        <w:t xml:space="preserve"> provided </w:t>
      </w:r>
      <w:r w:rsidR="00566450" w:rsidRPr="00566450">
        <w:rPr>
          <w:sz w:val="26"/>
          <w:szCs w:val="26"/>
        </w:rPr>
        <w:t>brief summaries of each wastewater system</w:t>
      </w:r>
      <w:r w:rsidR="00F469C3">
        <w:rPr>
          <w:sz w:val="26"/>
          <w:szCs w:val="26"/>
        </w:rPr>
        <w:t xml:space="preserve"> in the regions</w:t>
      </w:r>
      <w:r w:rsidR="00566450" w:rsidRPr="00566450">
        <w:rPr>
          <w:sz w:val="26"/>
          <w:szCs w:val="26"/>
        </w:rPr>
        <w:t xml:space="preserve"> including the </w:t>
      </w:r>
      <w:r w:rsidR="00566450" w:rsidRPr="00566450">
        <w:rPr>
          <w:sz w:val="26"/>
          <w:szCs w:val="26"/>
        </w:rPr>
        <w:lastRenderedPageBreak/>
        <w:t xml:space="preserve">types of eligible property and strategies for accelerated rehabilitation and replacement in each system.  </w:t>
      </w:r>
    </w:p>
    <w:p w14:paraId="02F00D1B" w14:textId="4C5BA7E4" w:rsidR="00313D90" w:rsidRDefault="2315FA41" w:rsidP="00DE5C83">
      <w:pPr>
        <w:pStyle w:val="p7"/>
        <w:widowControl/>
        <w:tabs>
          <w:tab w:val="clear" w:pos="1133"/>
          <w:tab w:val="left" w:pos="720"/>
          <w:tab w:val="left" w:pos="1350"/>
          <w:tab w:val="left" w:pos="1440"/>
          <w:tab w:val="left" w:pos="1530"/>
        </w:tabs>
        <w:spacing w:line="360" w:lineRule="auto"/>
        <w:ind w:left="0" w:firstLine="0"/>
        <w:rPr>
          <w:sz w:val="26"/>
          <w:szCs w:val="26"/>
        </w:rPr>
      </w:pPr>
      <w:r w:rsidRPr="2315FA41">
        <w:rPr>
          <w:sz w:val="26"/>
          <w:szCs w:val="26"/>
        </w:rPr>
        <w:t xml:space="preserve"> </w:t>
      </w:r>
    </w:p>
    <w:p w14:paraId="6758D806" w14:textId="53591D19" w:rsidR="00DE5C83" w:rsidRDefault="00313D90" w:rsidP="00DE5C83">
      <w:pPr>
        <w:pStyle w:val="p7"/>
        <w:widowControl/>
        <w:tabs>
          <w:tab w:val="clear" w:pos="1133"/>
          <w:tab w:val="left" w:pos="720"/>
          <w:tab w:val="left" w:pos="1350"/>
          <w:tab w:val="left" w:pos="1440"/>
          <w:tab w:val="left" w:pos="1530"/>
        </w:tabs>
        <w:spacing w:line="360" w:lineRule="auto"/>
        <w:ind w:left="0" w:firstLine="0"/>
        <w:rPr>
          <w:sz w:val="26"/>
          <w:szCs w:val="26"/>
        </w:rPr>
      </w:pPr>
      <w:r>
        <w:rPr>
          <w:sz w:val="26"/>
          <w:szCs w:val="26"/>
        </w:rPr>
        <w:tab/>
      </w:r>
      <w:r w:rsidR="00384FA9">
        <w:rPr>
          <w:sz w:val="26"/>
          <w:szCs w:val="26"/>
        </w:rPr>
        <w:t>PAWC-WD</w:t>
      </w:r>
      <w:r w:rsidR="00792635">
        <w:rPr>
          <w:sz w:val="26"/>
          <w:szCs w:val="26"/>
        </w:rPr>
        <w:t>’s</w:t>
      </w:r>
      <w:r w:rsidR="000D648D" w:rsidRPr="000D648D">
        <w:rPr>
          <w:sz w:val="26"/>
          <w:szCs w:val="26"/>
        </w:rPr>
        <w:t xml:space="preserve"> regions are broken down below by geographical location</w:t>
      </w:r>
      <w:r w:rsidR="00792635">
        <w:rPr>
          <w:sz w:val="26"/>
          <w:szCs w:val="26"/>
        </w:rPr>
        <w:t xml:space="preserve"> below</w:t>
      </w:r>
      <w:r w:rsidR="000D648D" w:rsidRPr="000D648D">
        <w:rPr>
          <w:sz w:val="26"/>
          <w:szCs w:val="26"/>
        </w:rPr>
        <w:t xml:space="preserve">.  </w:t>
      </w:r>
    </w:p>
    <w:p w14:paraId="45447E08" w14:textId="77777777" w:rsidR="005806C9" w:rsidRDefault="005806C9" w:rsidP="00DE5C83">
      <w:pPr>
        <w:pStyle w:val="p7"/>
        <w:widowControl/>
        <w:tabs>
          <w:tab w:val="clear" w:pos="1133"/>
          <w:tab w:val="left" w:pos="720"/>
          <w:tab w:val="left" w:pos="1350"/>
          <w:tab w:val="left" w:pos="1440"/>
          <w:tab w:val="left" w:pos="1530"/>
        </w:tabs>
        <w:spacing w:line="360" w:lineRule="auto"/>
        <w:ind w:left="0" w:firstLine="0"/>
        <w:rPr>
          <w:sz w:val="26"/>
          <w:szCs w:val="26"/>
        </w:rPr>
      </w:pPr>
    </w:p>
    <w:p w14:paraId="14374BDF" w14:textId="26EA0997" w:rsidR="005806C9" w:rsidRPr="005806C9" w:rsidRDefault="2315FA41" w:rsidP="2315FA41">
      <w:pPr>
        <w:widowControl/>
        <w:autoSpaceDE/>
        <w:autoSpaceDN/>
        <w:adjustRightInd/>
        <w:spacing w:after="160" w:line="360" w:lineRule="auto"/>
        <w:ind w:firstLine="360"/>
        <w:jc w:val="both"/>
        <w:rPr>
          <w:rFonts w:eastAsia="Calibri"/>
          <w:sz w:val="26"/>
          <w:szCs w:val="26"/>
        </w:rPr>
      </w:pPr>
      <w:r w:rsidRPr="2315FA41">
        <w:rPr>
          <w:rFonts w:eastAsia="Calibri"/>
          <w:sz w:val="26"/>
          <w:szCs w:val="26"/>
        </w:rPr>
        <w:t>The Central Pennsylvania region consists of:</w:t>
      </w:r>
    </w:p>
    <w:p w14:paraId="2866540C" w14:textId="77777777" w:rsidR="005806C9" w:rsidRPr="005806C9" w:rsidRDefault="005806C9" w:rsidP="005806C9">
      <w:pPr>
        <w:widowControl/>
        <w:numPr>
          <w:ilvl w:val="0"/>
          <w:numId w:val="40"/>
        </w:numPr>
        <w:autoSpaceDE/>
        <w:autoSpaceDN/>
        <w:adjustRightInd/>
        <w:spacing w:after="160" w:line="360" w:lineRule="auto"/>
        <w:contextualSpacing/>
        <w:jc w:val="both"/>
        <w:rPr>
          <w:rFonts w:eastAsia="Calibri"/>
          <w:sz w:val="26"/>
          <w:szCs w:val="26"/>
        </w:rPr>
      </w:pPr>
      <w:r w:rsidRPr="005806C9">
        <w:rPr>
          <w:rFonts w:eastAsia="Calibri"/>
          <w:sz w:val="26"/>
          <w:szCs w:val="26"/>
        </w:rPr>
        <w:t xml:space="preserve">The Fairview North wastewater system in York County. </w:t>
      </w:r>
    </w:p>
    <w:p w14:paraId="78B32660" w14:textId="77777777" w:rsidR="005806C9" w:rsidRPr="005806C9" w:rsidRDefault="005806C9" w:rsidP="005806C9">
      <w:pPr>
        <w:widowControl/>
        <w:numPr>
          <w:ilvl w:val="0"/>
          <w:numId w:val="40"/>
        </w:numPr>
        <w:autoSpaceDE/>
        <w:autoSpaceDN/>
        <w:adjustRightInd/>
        <w:spacing w:after="160" w:line="360" w:lineRule="auto"/>
        <w:contextualSpacing/>
        <w:jc w:val="both"/>
        <w:rPr>
          <w:rFonts w:eastAsia="Calibri"/>
          <w:sz w:val="26"/>
          <w:szCs w:val="26"/>
        </w:rPr>
      </w:pPr>
      <w:r w:rsidRPr="005806C9">
        <w:rPr>
          <w:rFonts w:eastAsia="Calibri"/>
          <w:sz w:val="26"/>
          <w:szCs w:val="26"/>
        </w:rPr>
        <w:t>The Fairview South wastewater system in York County.</w:t>
      </w:r>
    </w:p>
    <w:p w14:paraId="0BD41ECC" w14:textId="77777777" w:rsidR="005806C9" w:rsidRPr="005806C9" w:rsidRDefault="005806C9" w:rsidP="005806C9">
      <w:pPr>
        <w:widowControl/>
        <w:numPr>
          <w:ilvl w:val="0"/>
          <w:numId w:val="40"/>
        </w:numPr>
        <w:autoSpaceDE/>
        <w:autoSpaceDN/>
        <w:adjustRightInd/>
        <w:spacing w:after="160" w:line="360" w:lineRule="auto"/>
        <w:contextualSpacing/>
        <w:jc w:val="both"/>
        <w:rPr>
          <w:rFonts w:eastAsia="Calibri"/>
          <w:sz w:val="26"/>
          <w:szCs w:val="26"/>
        </w:rPr>
      </w:pPr>
      <w:r w:rsidRPr="005806C9">
        <w:rPr>
          <w:rFonts w:eastAsia="Calibri"/>
          <w:sz w:val="26"/>
          <w:szCs w:val="26"/>
        </w:rPr>
        <w:t xml:space="preserve">The Franklin wastewater system in Adams County. </w:t>
      </w:r>
    </w:p>
    <w:p w14:paraId="63AE3D91" w14:textId="77777777" w:rsidR="005806C9" w:rsidRPr="005806C9" w:rsidRDefault="005806C9" w:rsidP="005806C9">
      <w:pPr>
        <w:widowControl/>
        <w:numPr>
          <w:ilvl w:val="0"/>
          <w:numId w:val="40"/>
        </w:numPr>
        <w:autoSpaceDE/>
        <w:autoSpaceDN/>
        <w:adjustRightInd/>
        <w:spacing w:after="160" w:line="360" w:lineRule="auto"/>
        <w:contextualSpacing/>
        <w:jc w:val="both"/>
        <w:rPr>
          <w:rFonts w:eastAsia="Calibri"/>
          <w:sz w:val="26"/>
          <w:szCs w:val="26"/>
        </w:rPr>
      </w:pPr>
      <w:r w:rsidRPr="005806C9">
        <w:rPr>
          <w:rFonts w:eastAsia="Calibri"/>
          <w:sz w:val="26"/>
          <w:szCs w:val="26"/>
        </w:rPr>
        <w:t>The McEwensville wastewater system in Northumberland County.</w:t>
      </w:r>
    </w:p>
    <w:p w14:paraId="04AFC969" w14:textId="4928AEE4" w:rsidR="005806C9" w:rsidRDefault="005806C9" w:rsidP="005806C9">
      <w:pPr>
        <w:widowControl/>
        <w:numPr>
          <w:ilvl w:val="0"/>
          <w:numId w:val="40"/>
        </w:numPr>
        <w:autoSpaceDE/>
        <w:autoSpaceDN/>
        <w:adjustRightInd/>
        <w:spacing w:after="160" w:line="360" w:lineRule="auto"/>
        <w:contextualSpacing/>
        <w:jc w:val="both"/>
        <w:rPr>
          <w:rFonts w:eastAsia="Calibri"/>
          <w:sz w:val="26"/>
          <w:szCs w:val="26"/>
        </w:rPr>
      </w:pPr>
      <w:r w:rsidRPr="005806C9">
        <w:rPr>
          <w:rFonts w:eastAsia="Calibri"/>
          <w:sz w:val="26"/>
          <w:szCs w:val="26"/>
        </w:rPr>
        <w:t xml:space="preserve">The New Cumberland wastewater system in Cumberland County. </w:t>
      </w:r>
    </w:p>
    <w:p w14:paraId="38CA3054" w14:textId="77777777" w:rsidR="005806C9" w:rsidRPr="005806C9" w:rsidRDefault="005806C9" w:rsidP="005806C9">
      <w:pPr>
        <w:widowControl/>
        <w:autoSpaceDE/>
        <w:autoSpaceDN/>
        <w:adjustRightInd/>
        <w:spacing w:after="160" w:line="360" w:lineRule="auto"/>
        <w:ind w:left="720"/>
        <w:contextualSpacing/>
        <w:jc w:val="both"/>
        <w:rPr>
          <w:rFonts w:eastAsia="Calibri"/>
          <w:sz w:val="26"/>
          <w:szCs w:val="26"/>
        </w:rPr>
      </w:pPr>
    </w:p>
    <w:p w14:paraId="66CE7631" w14:textId="3282888C" w:rsidR="005806C9" w:rsidRPr="005806C9" w:rsidRDefault="2315FA41" w:rsidP="2315FA41">
      <w:pPr>
        <w:widowControl/>
        <w:autoSpaceDE/>
        <w:autoSpaceDN/>
        <w:adjustRightInd/>
        <w:spacing w:after="160" w:line="360" w:lineRule="auto"/>
        <w:ind w:firstLine="360"/>
        <w:jc w:val="both"/>
        <w:rPr>
          <w:rFonts w:eastAsia="Calibri"/>
          <w:sz w:val="26"/>
          <w:szCs w:val="26"/>
        </w:rPr>
      </w:pPr>
      <w:r w:rsidRPr="2315FA41">
        <w:rPr>
          <w:rFonts w:eastAsia="Calibri"/>
          <w:sz w:val="26"/>
          <w:szCs w:val="26"/>
        </w:rPr>
        <w:t>The Northeastern Pennsylvania region consists of:</w:t>
      </w:r>
    </w:p>
    <w:p w14:paraId="199926B8"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Blue Mountain Lake (BML) wastewater system located in Monroe County.</w:t>
      </w:r>
    </w:p>
    <w:p w14:paraId="236F306B"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Lehman Pike (LP) wastewater system serves portions of Middle Smithfield Township in Monroe County, and portions of Lehman Township in Pike County.</w:t>
      </w:r>
    </w:p>
    <w:p w14:paraId="7BA14EF6"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Marcel Lake (ML) wastewater system located in Pike County.</w:t>
      </w:r>
    </w:p>
    <w:p w14:paraId="765F2841"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Pocono wastewater system in Monroe County.</w:t>
      </w:r>
    </w:p>
    <w:p w14:paraId="580C5F17" w14:textId="5C7A429E" w:rsidR="005806C9" w:rsidRDefault="2315FA41" w:rsidP="008979CB">
      <w:pPr>
        <w:widowControl/>
        <w:numPr>
          <w:ilvl w:val="0"/>
          <w:numId w:val="41"/>
        </w:numPr>
        <w:autoSpaceDE/>
        <w:autoSpaceDN/>
        <w:adjustRightInd/>
        <w:spacing w:after="160" w:line="360" w:lineRule="auto"/>
        <w:contextualSpacing/>
        <w:jc w:val="both"/>
        <w:rPr>
          <w:rFonts w:eastAsia="Calibri"/>
          <w:sz w:val="26"/>
          <w:szCs w:val="26"/>
        </w:rPr>
      </w:pPr>
      <w:r w:rsidRPr="2315FA41">
        <w:rPr>
          <w:rFonts w:eastAsia="Calibri"/>
          <w:sz w:val="26"/>
          <w:szCs w:val="26"/>
        </w:rPr>
        <w:t>The Scranton combined sewer system.  (Formerly Scranton Sewer Authority) located in Lackawanna County.</w:t>
      </w:r>
    </w:p>
    <w:p w14:paraId="4C8BDE44" w14:textId="77777777" w:rsidR="005A0820" w:rsidRPr="008979CB" w:rsidRDefault="005A0820" w:rsidP="005A0820">
      <w:pPr>
        <w:widowControl/>
        <w:autoSpaceDE/>
        <w:autoSpaceDN/>
        <w:adjustRightInd/>
        <w:spacing w:after="160" w:line="360" w:lineRule="auto"/>
        <w:ind w:left="720"/>
        <w:contextualSpacing/>
        <w:jc w:val="both"/>
        <w:rPr>
          <w:rFonts w:eastAsia="Calibri"/>
          <w:sz w:val="26"/>
          <w:szCs w:val="26"/>
        </w:rPr>
      </w:pPr>
    </w:p>
    <w:p w14:paraId="6DA8DEB4" w14:textId="54BD332E" w:rsidR="005806C9" w:rsidRPr="005806C9" w:rsidRDefault="2315FA41" w:rsidP="2315FA41">
      <w:pPr>
        <w:widowControl/>
        <w:autoSpaceDE/>
        <w:autoSpaceDN/>
        <w:adjustRightInd/>
        <w:spacing w:after="160" w:line="259" w:lineRule="auto"/>
        <w:ind w:left="720" w:hanging="360"/>
        <w:contextualSpacing/>
        <w:rPr>
          <w:rFonts w:eastAsia="Calibri"/>
          <w:sz w:val="26"/>
          <w:szCs w:val="26"/>
        </w:rPr>
      </w:pPr>
      <w:r w:rsidRPr="2315FA41">
        <w:rPr>
          <w:rFonts w:eastAsia="Calibri"/>
          <w:sz w:val="26"/>
          <w:szCs w:val="26"/>
        </w:rPr>
        <w:t>The Southeastern Pennsylvania region consists of:</w:t>
      </w:r>
    </w:p>
    <w:p w14:paraId="02748812" w14:textId="77777777" w:rsidR="005806C9" w:rsidRPr="005806C9" w:rsidRDefault="005806C9" w:rsidP="005806C9">
      <w:pPr>
        <w:widowControl/>
        <w:autoSpaceDE/>
        <w:autoSpaceDN/>
        <w:adjustRightInd/>
        <w:spacing w:after="160" w:line="259" w:lineRule="auto"/>
        <w:ind w:left="720" w:hanging="720"/>
        <w:contextualSpacing/>
        <w:rPr>
          <w:rFonts w:eastAsia="Calibri"/>
          <w:sz w:val="26"/>
          <w:szCs w:val="26"/>
        </w:rPr>
      </w:pPr>
    </w:p>
    <w:p w14:paraId="4B94C493"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Coatesville wastewater system in Chester County.</w:t>
      </w:r>
    </w:p>
    <w:p w14:paraId="2546116D"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Clarion wastewater system in Clarion County.</w:t>
      </w:r>
    </w:p>
    <w:p w14:paraId="0C173ACC"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Claysville wastewater system in Washington County.</w:t>
      </w:r>
    </w:p>
    <w:p w14:paraId="7237606D"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Koppel wastewater system in Beaver County.</w:t>
      </w:r>
    </w:p>
    <w:p w14:paraId="517B17E7"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McKeesport combined sewer system in Allegheny County.</w:t>
      </w:r>
    </w:p>
    <w:p w14:paraId="7A50DEBE"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lastRenderedPageBreak/>
        <w:t>The Dravosburg combined sewer system in Allegheny County.</w:t>
      </w:r>
    </w:p>
    <w:p w14:paraId="0B7E1976" w14:textId="77777777" w:rsidR="005806C9" w:rsidRPr="005806C9" w:rsidRDefault="005806C9" w:rsidP="005806C9">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Duquesne combined sewer system in Allegheny County.</w:t>
      </w:r>
    </w:p>
    <w:p w14:paraId="27BB1D38" w14:textId="5580C29F" w:rsidR="00566450" w:rsidRDefault="005806C9" w:rsidP="00F469C3">
      <w:pPr>
        <w:widowControl/>
        <w:numPr>
          <w:ilvl w:val="0"/>
          <w:numId w:val="41"/>
        </w:numPr>
        <w:autoSpaceDE/>
        <w:autoSpaceDN/>
        <w:adjustRightInd/>
        <w:spacing w:after="160" w:line="360" w:lineRule="auto"/>
        <w:contextualSpacing/>
        <w:jc w:val="both"/>
        <w:rPr>
          <w:rFonts w:eastAsia="Calibri"/>
          <w:sz w:val="26"/>
          <w:szCs w:val="26"/>
        </w:rPr>
      </w:pPr>
      <w:r w:rsidRPr="005806C9">
        <w:rPr>
          <w:rFonts w:eastAsia="Calibri"/>
          <w:sz w:val="26"/>
          <w:szCs w:val="26"/>
        </w:rPr>
        <w:t>The Paint-Elk wastewater system in Clarion County.</w:t>
      </w:r>
    </w:p>
    <w:p w14:paraId="31B2EE64" w14:textId="77777777" w:rsidR="00190883" w:rsidRPr="00F469C3" w:rsidRDefault="00190883" w:rsidP="00903561">
      <w:pPr>
        <w:widowControl/>
        <w:autoSpaceDE/>
        <w:autoSpaceDN/>
        <w:adjustRightInd/>
        <w:spacing w:after="160" w:line="360" w:lineRule="auto"/>
        <w:contextualSpacing/>
        <w:jc w:val="both"/>
        <w:rPr>
          <w:rFonts w:eastAsia="Calibri"/>
          <w:sz w:val="26"/>
          <w:szCs w:val="26"/>
        </w:rPr>
      </w:pPr>
    </w:p>
    <w:p w14:paraId="5B09882B"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4A6B846F" w14:textId="67360054" w:rsidR="0077455C" w:rsidRPr="00A95E1D" w:rsidRDefault="0077455C" w:rsidP="00A11039">
      <w:pPr>
        <w:pStyle w:val="p7"/>
        <w:widowControl/>
        <w:tabs>
          <w:tab w:val="clear" w:pos="1133"/>
          <w:tab w:val="left" w:pos="720"/>
          <w:tab w:val="left" w:pos="1350"/>
          <w:tab w:val="left" w:pos="1440"/>
          <w:tab w:val="left" w:pos="1530"/>
        </w:tabs>
        <w:spacing w:line="360" w:lineRule="auto"/>
        <w:ind w:left="0" w:firstLine="720"/>
        <w:rPr>
          <w:iCs/>
          <w:sz w:val="26"/>
          <w:szCs w:val="26"/>
        </w:rPr>
      </w:pPr>
      <w:r w:rsidRPr="00A95E1D">
        <w:rPr>
          <w:iCs/>
          <w:sz w:val="26"/>
          <w:szCs w:val="26"/>
        </w:rPr>
        <w:t>No comments were received regarding the location of eligible property.</w:t>
      </w:r>
    </w:p>
    <w:p w14:paraId="19C47FE7" w14:textId="5448104D" w:rsidR="0077455C"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14:paraId="226B71C6"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5BFE0B90" w14:textId="77777777" w:rsidR="00A95E1D" w:rsidRDefault="00A95E1D" w:rsidP="004344EC">
      <w:pPr>
        <w:pStyle w:val="p2"/>
        <w:widowControl/>
        <w:spacing w:line="360" w:lineRule="auto"/>
        <w:ind w:firstLine="720"/>
        <w:rPr>
          <w:sz w:val="26"/>
          <w:szCs w:val="26"/>
        </w:rPr>
      </w:pPr>
    </w:p>
    <w:p w14:paraId="662F3C62" w14:textId="5E351547" w:rsidR="00F42567" w:rsidRDefault="2315FA41" w:rsidP="004344EC">
      <w:pPr>
        <w:pStyle w:val="p2"/>
        <w:widowControl/>
        <w:spacing w:line="360" w:lineRule="auto"/>
        <w:ind w:firstLine="720"/>
        <w:rPr>
          <w:sz w:val="26"/>
          <w:szCs w:val="26"/>
        </w:rPr>
      </w:pPr>
      <w:r w:rsidRPr="2315FA41">
        <w:rPr>
          <w:sz w:val="26"/>
          <w:szCs w:val="26"/>
        </w:rPr>
        <w:t xml:space="preserve">Upon review of PAWC-WD’s Modified LTIIP, as amended, and any supplemental information filed, the Commission finds that PAWC-WD’s Modified LTIIP fulfills the requirements of 52 Pa. Code § 121.3(a)(3) by providing a general description of the location of eligible property. </w:t>
      </w:r>
    </w:p>
    <w:p w14:paraId="6DDC0700" w14:textId="7547EDF8" w:rsidR="0077455C" w:rsidRDefault="0077455C" w:rsidP="004344EC">
      <w:pPr>
        <w:pStyle w:val="p2"/>
        <w:widowControl/>
        <w:spacing w:line="360" w:lineRule="auto"/>
        <w:ind w:firstLine="720"/>
        <w:rPr>
          <w:sz w:val="26"/>
          <w:szCs w:val="26"/>
        </w:rPr>
      </w:pPr>
      <w:r w:rsidRPr="00F54DF8">
        <w:rPr>
          <w:sz w:val="26"/>
          <w:szCs w:val="26"/>
        </w:rPr>
        <w:t xml:space="preserve">  </w:t>
      </w:r>
    </w:p>
    <w:p w14:paraId="63812C24" w14:textId="77777777" w:rsidR="00661A09" w:rsidRPr="00F54DF8" w:rsidRDefault="00661A09" w:rsidP="004344EC">
      <w:pPr>
        <w:pStyle w:val="p2"/>
        <w:widowControl/>
        <w:spacing w:line="360" w:lineRule="auto"/>
        <w:ind w:firstLine="720"/>
        <w:rPr>
          <w:sz w:val="26"/>
          <w:szCs w:val="26"/>
        </w:rPr>
      </w:pPr>
    </w:p>
    <w:p w14:paraId="7FFE9CA6" w14:textId="7E879AE6" w:rsidR="0077455C" w:rsidRDefault="00135912" w:rsidP="00135912">
      <w:pPr>
        <w:pStyle w:val="p2"/>
        <w:widowControl/>
        <w:ind w:left="720" w:firstLine="0"/>
        <w:rPr>
          <w:b/>
          <w:sz w:val="26"/>
          <w:szCs w:val="26"/>
        </w:rPr>
      </w:pPr>
      <w:r w:rsidRPr="00F54DF8">
        <w:rPr>
          <w:b/>
          <w:sz w:val="26"/>
          <w:szCs w:val="26"/>
        </w:rPr>
        <w:t xml:space="preserve">(4) </w:t>
      </w:r>
      <w:r w:rsidR="0077455C" w:rsidRPr="00F54DF8">
        <w:rPr>
          <w:b/>
          <w:sz w:val="26"/>
          <w:szCs w:val="26"/>
        </w:rPr>
        <w:t>REASONABLE ESTIMATES OF THE QUAN</w:t>
      </w:r>
      <w:r w:rsidR="00992684">
        <w:rPr>
          <w:b/>
          <w:sz w:val="26"/>
          <w:szCs w:val="26"/>
        </w:rPr>
        <w:t>TITY OF PROPERTY TO BE IMPROVED and</w:t>
      </w:r>
    </w:p>
    <w:p w14:paraId="334E5899" w14:textId="77777777" w:rsidR="00992684" w:rsidRDefault="00992684" w:rsidP="00135912">
      <w:pPr>
        <w:pStyle w:val="p2"/>
        <w:widowControl/>
        <w:ind w:left="720" w:firstLine="0"/>
        <w:rPr>
          <w:b/>
          <w:sz w:val="26"/>
          <w:szCs w:val="26"/>
        </w:rPr>
      </w:pPr>
    </w:p>
    <w:p w14:paraId="66783C83" w14:textId="1A2E86F6" w:rsidR="00992684" w:rsidRPr="00F54DF8" w:rsidRDefault="00992684" w:rsidP="00992684">
      <w:pPr>
        <w:pStyle w:val="p2"/>
        <w:widowControl/>
        <w:ind w:left="720" w:firstLine="0"/>
        <w:rPr>
          <w:b/>
          <w:sz w:val="26"/>
          <w:szCs w:val="26"/>
        </w:rPr>
      </w:pPr>
      <w:r w:rsidRPr="00F54DF8">
        <w:rPr>
          <w:b/>
          <w:sz w:val="26"/>
          <w:szCs w:val="26"/>
        </w:rPr>
        <w:t>(5) PROJECTED ANNUAL EXPENDITURES AND MEASURES TO ENSURE THAT THE PLAN IS COST EFFECTIVE</w:t>
      </w:r>
    </w:p>
    <w:p w14:paraId="6EB3DF22" w14:textId="05841198" w:rsidR="008979CB" w:rsidRDefault="008979CB" w:rsidP="006D1529">
      <w:pPr>
        <w:pStyle w:val="p2"/>
        <w:widowControl/>
        <w:tabs>
          <w:tab w:val="clear" w:pos="1445"/>
          <w:tab w:val="left" w:pos="720"/>
        </w:tabs>
        <w:spacing w:line="360" w:lineRule="auto"/>
        <w:ind w:firstLine="0"/>
        <w:rPr>
          <w:b/>
          <w:sz w:val="26"/>
          <w:szCs w:val="26"/>
        </w:rPr>
      </w:pPr>
    </w:p>
    <w:p w14:paraId="36A3999C" w14:textId="77777777" w:rsidR="008979CB" w:rsidRPr="00F54DF8" w:rsidRDefault="008979CB" w:rsidP="006D1529">
      <w:pPr>
        <w:pStyle w:val="p2"/>
        <w:widowControl/>
        <w:tabs>
          <w:tab w:val="clear" w:pos="1445"/>
          <w:tab w:val="left" w:pos="720"/>
        </w:tabs>
        <w:spacing w:line="360" w:lineRule="auto"/>
        <w:ind w:firstLine="0"/>
        <w:rPr>
          <w:b/>
          <w:sz w:val="26"/>
          <w:szCs w:val="26"/>
        </w:rPr>
      </w:pPr>
    </w:p>
    <w:p w14:paraId="18BC615E" w14:textId="5AC2EA55" w:rsidR="0077455C" w:rsidRPr="00F54DF8" w:rsidRDefault="2315FA41" w:rsidP="2315FA41">
      <w:pPr>
        <w:pStyle w:val="p7"/>
        <w:widowControl/>
        <w:tabs>
          <w:tab w:val="clear" w:pos="1133"/>
          <w:tab w:val="left" w:pos="720"/>
          <w:tab w:val="left" w:pos="1350"/>
          <w:tab w:val="left" w:pos="1440"/>
          <w:tab w:val="left" w:pos="1530"/>
        </w:tabs>
        <w:spacing w:line="360" w:lineRule="auto"/>
        <w:ind w:left="0" w:firstLine="0"/>
        <w:rPr>
          <w:b/>
          <w:bCs/>
          <w:sz w:val="26"/>
          <w:szCs w:val="26"/>
        </w:rPr>
      </w:pPr>
      <w:r w:rsidRPr="2315FA41">
        <w:rPr>
          <w:b/>
          <w:bCs/>
          <w:sz w:val="26"/>
          <w:szCs w:val="26"/>
        </w:rPr>
        <w:t>PAWC-WD’s Position</w:t>
      </w:r>
    </w:p>
    <w:p w14:paraId="0DF01E61"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14:paraId="13C4758A" w14:textId="41A3A2E5" w:rsidR="00313D90" w:rsidRDefault="006D1529" w:rsidP="00B12117">
      <w:pPr>
        <w:pStyle w:val="p2"/>
        <w:widowControl/>
        <w:tabs>
          <w:tab w:val="clear" w:pos="1445"/>
          <w:tab w:val="left" w:pos="720"/>
        </w:tabs>
        <w:spacing w:line="360" w:lineRule="auto"/>
        <w:ind w:firstLine="0"/>
        <w:rPr>
          <w:sz w:val="26"/>
          <w:szCs w:val="26"/>
        </w:rPr>
      </w:pPr>
      <w:r>
        <w:rPr>
          <w:sz w:val="26"/>
          <w:szCs w:val="26"/>
        </w:rPr>
        <w:tab/>
      </w:r>
      <w:r w:rsidR="00384FA9">
        <w:rPr>
          <w:sz w:val="26"/>
          <w:szCs w:val="26"/>
        </w:rPr>
        <w:t>PAWC-WD</w:t>
      </w:r>
      <w:r w:rsidR="005825B3">
        <w:rPr>
          <w:sz w:val="26"/>
          <w:szCs w:val="26"/>
        </w:rPr>
        <w:t>’s</w:t>
      </w:r>
      <w:r w:rsidR="00B12117" w:rsidRPr="00B12117">
        <w:rPr>
          <w:sz w:val="26"/>
          <w:szCs w:val="26"/>
        </w:rPr>
        <w:t xml:space="preserve"> estimated quantities of property</w:t>
      </w:r>
      <w:r w:rsidR="0067162B">
        <w:rPr>
          <w:sz w:val="26"/>
          <w:szCs w:val="26"/>
        </w:rPr>
        <w:t xml:space="preserve"> by year and category</w:t>
      </w:r>
      <w:r w:rsidR="005825B3">
        <w:rPr>
          <w:sz w:val="26"/>
          <w:szCs w:val="26"/>
        </w:rPr>
        <w:t xml:space="preserve"> that are</w:t>
      </w:r>
      <w:r w:rsidR="00B12117" w:rsidRPr="00B12117">
        <w:rPr>
          <w:sz w:val="26"/>
          <w:szCs w:val="26"/>
        </w:rPr>
        <w:t xml:space="preserve"> to be </w:t>
      </w:r>
      <w:r w:rsidR="0067162B">
        <w:rPr>
          <w:sz w:val="26"/>
          <w:szCs w:val="26"/>
        </w:rPr>
        <w:t>replaced or rehabilitated</w:t>
      </w:r>
      <w:r w:rsidR="00B12117" w:rsidRPr="00B12117">
        <w:rPr>
          <w:sz w:val="26"/>
          <w:szCs w:val="26"/>
        </w:rPr>
        <w:t xml:space="preserve"> are listed in Table </w:t>
      </w:r>
      <w:r w:rsidR="00790C4E">
        <w:rPr>
          <w:sz w:val="26"/>
          <w:szCs w:val="26"/>
        </w:rPr>
        <w:t>4</w:t>
      </w:r>
      <w:r w:rsidR="00E012FA">
        <w:rPr>
          <w:sz w:val="26"/>
          <w:szCs w:val="26"/>
        </w:rPr>
        <w:t>,</w:t>
      </w:r>
      <w:r w:rsidR="00B12117" w:rsidRPr="00B12117">
        <w:rPr>
          <w:sz w:val="26"/>
          <w:szCs w:val="26"/>
        </w:rPr>
        <w:t xml:space="preserve"> below</w:t>
      </w:r>
      <w:r w:rsidR="00FD4CEE" w:rsidRPr="00B12117">
        <w:rPr>
          <w:sz w:val="26"/>
          <w:szCs w:val="26"/>
        </w:rPr>
        <w:t xml:space="preserve">.  </w:t>
      </w:r>
      <w:r w:rsidR="00384FA9">
        <w:rPr>
          <w:sz w:val="26"/>
          <w:szCs w:val="26"/>
        </w:rPr>
        <w:t>PAWC-WD</w:t>
      </w:r>
      <w:r w:rsidR="002E5469">
        <w:rPr>
          <w:sz w:val="26"/>
          <w:szCs w:val="26"/>
        </w:rPr>
        <w:t xml:space="preserve"> in its filing,</w:t>
      </w:r>
      <w:r w:rsidR="00790C4E" w:rsidRPr="00790C4E">
        <w:rPr>
          <w:sz w:val="26"/>
          <w:szCs w:val="26"/>
        </w:rPr>
        <w:t xml:space="preserve"> included a schedule broken down by year and system, indicating that it will replace </w:t>
      </w:r>
      <w:r w:rsidR="00E012FA">
        <w:rPr>
          <w:sz w:val="26"/>
          <w:szCs w:val="26"/>
        </w:rPr>
        <w:t>or</w:t>
      </w:r>
      <w:r w:rsidR="00790C4E" w:rsidRPr="00790C4E">
        <w:rPr>
          <w:sz w:val="26"/>
          <w:szCs w:val="26"/>
        </w:rPr>
        <w:t xml:space="preserve"> rehabilitate</w:t>
      </w:r>
      <w:r w:rsidR="002E5469">
        <w:rPr>
          <w:sz w:val="26"/>
          <w:szCs w:val="26"/>
        </w:rPr>
        <w:t xml:space="preserve"> a total of</w:t>
      </w:r>
      <w:r w:rsidR="00790C4E" w:rsidRPr="00790C4E">
        <w:rPr>
          <w:sz w:val="26"/>
          <w:szCs w:val="26"/>
        </w:rPr>
        <w:t xml:space="preserve"> 1</w:t>
      </w:r>
      <w:r w:rsidR="00E012FA">
        <w:rPr>
          <w:sz w:val="26"/>
          <w:szCs w:val="26"/>
        </w:rPr>
        <w:t>,</w:t>
      </w:r>
      <w:r w:rsidR="00790C4E" w:rsidRPr="00790C4E">
        <w:rPr>
          <w:sz w:val="26"/>
          <w:szCs w:val="26"/>
        </w:rPr>
        <w:t>212 manholes, 3</w:t>
      </w:r>
      <w:r w:rsidR="00E012FA">
        <w:rPr>
          <w:sz w:val="26"/>
          <w:szCs w:val="26"/>
        </w:rPr>
        <w:t>,</w:t>
      </w:r>
      <w:r w:rsidR="00790C4E" w:rsidRPr="00790C4E">
        <w:rPr>
          <w:sz w:val="26"/>
          <w:szCs w:val="26"/>
        </w:rPr>
        <w:t xml:space="preserve">451 service laterals and 15 lift stations during the remaining time period of 2020 through 2023.  </w:t>
      </w:r>
      <w:r w:rsidR="00384FA9">
        <w:rPr>
          <w:sz w:val="26"/>
          <w:szCs w:val="26"/>
        </w:rPr>
        <w:t>PAWC-WD</w:t>
      </w:r>
      <w:r w:rsidR="00B12117">
        <w:rPr>
          <w:sz w:val="26"/>
          <w:szCs w:val="26"/>
        </w:rPr>
        <w:t xml:space="preserve"> states that </w:t>
      </w:r>
      <w:r w:rsidR="00BF182A" w:rsidRPr="00BF182A">
        <w:rPr>
          <w:sz w:val="26"/>
          <w:szCs w:val="26"/>
        </w:rPr>
        <w:t xml:space="preserve">the best available information was used regarding the infrastructure needs for each wastewater system </w:t>
      </w:r>
      <w:r w:rsidR="00BF182A">
        <w:rPr>
          <w:sz w:val="26"/>
          <w:szCs w:val="26"/>
        </w:rPr>
        <w:t xml:space="preserve">in order </w:t>
      </w:r>
      <w:r w:rsidR="00B12117">
        <w:rPr>
          <w:sz w:val="26"/>
          <w:szCs w:val="26"/>
        </w:rPr>
        <w:t>t</w:t>
      </w:r>
      <w:r w:rsidR="00B12117" w:rsidRPr="00B12117">
        <w:rPr>
          <w:sz w:val="26"/>
          <w:szCs w:val="26"/>
        </w:rPr>
        <w:t xml:space="preserve">o </w:t>
      </w:r>
      <w:r w:rsidR="00B12117" w:rsidRPr="00B12117">
        <w:rPr>
          <w:sz w:val="26"/>
          <w:szCs w:val="26"/>
        </w:rPr>
        <w:lastRenderedPageBreak/>
        <w:t xml:space="preserve">compile these estimates. </w:t>
      </w:r>
      <w:r w:rsidR="00B12117">
        <w:rPr>
          <w:sz w:val="26"/>
          <w:szCs w:val="26"/>
        </w:rPr>
        <w:t xml:space="preserve"> </w:t>
      </w:r>
      <w:r w:rsidR="00BF182A">
        <w:rPr>
          <w:sz w:val="26"/>
          <w:szCs w:val="26"/>
        </w:rPr>
        <w:t xml:space="preserve">However, </w:t>
      </w:r>
      <w:r w:rsidR="00384FA9">
        <w:rPr>
          <w:sz w:val="26"/>
          <w:szCs w:val="26"/>
        </w:rPr>
        <w:t>PAWC-WD</w:t>
      </w:r>
      <w:r w:rsidR="00B12117">
        <w:rPr>
          <w:sz w:val="26"/>
          <w:szCs w:val="26"/>
        </w:rPr>
        <w:t xml:space="preserve"> notes that</w:t>
      </w:r>
      <w:r w:rsidR="00B12117" w:rsidRPr="00B12117">
        <w:rPr>
          <w:sz w:val="26"/>
          <w:szCs w:val="26"/>
        </w:rPr>
        <w:t xml:space="preserve"> </w:t>
      </w:r>
      <w:r w:rsidR="00B12117">
        <w:rPr>
          <w:sz w:val="26"/>
          <w:szCs w:val="26"/>
        </w:rPr>
        <w:t>a</w:t>
      </w:r>
      <w:r w:rsidR="00B12117" w:rsidRPr="00B12117">
        <w:rPr>
          <w:sz w:val="26"/>
          <w:szCs w:val="26"/>
        </w:rPr>
        <w:t>ctual quantities and scheduling may change depending on the outcome of sewer system evaluation</w:t>
      </w:r>
      <w:r w:rsidR="00B12117">
        <w:rPr>
          <w:sz w:val="26"/>
          <w:szCs w:val="26"/>
        </w:rPr>
        <w:t>s</w:t>
      </w:r>
      <w:r w:rsidR="00B12117" w:rsidRPr="00B12117">
        <w:rPr>
          <w:sz w:val="26"/>
          <w:szCs w:val="26"/>
        </w:rPr>
        <w:t xml:space="preserve"> or other planning studies</w:t>
      </w:r>
      <w:r w:rsidR="00B12117">
        <w:rPr>
          <w:sz w:val="26"/>
          <w:szCs w:val="26"/>
        </w:rPr>
        <w:t xml:space="preserve">. </w:t>
      </w:r>
      <w:r w:rsidR="00B12117" w:rsidRPr="00B12117">
        <w:rPr>
          <w:sz w:val="26"/>
          <w:szCs w:val="26"/>
        </w:rPr>
        <w:t xml:space="preserve"> </w:t>
      </w:r>
    </w:p>
    <w:p w14:paraId="6AF736D2" w14:textId="23B14E35" w:rsidR="00B12117" w:rsidRPr="00790C4E" w:rsidRDefault="00313D90" w:rsidP="00B12117">
      <w:pPr>
        <w:pStyle w:val="p2"/>
        <w:widowControl/>
        <w:tabs>
          <w:tab w:val="clear" w:pos="1445"/>
          <w:tab w:val="left" w:pos="720"/>
        </w:tabs>
        <w:spacing w:line="360" w:lineRule="auto"/>
        <w:ind w:firstLine="0"/>
        <w:rPr>
          <w:sz w:val="26"/>
          <w:szCs w:val="26"/>
        </w:rPr>
      </w:pPr>
      <w:r>
        <w:rPr>
          <w:sz w:val="26"/>
          <w:szCs w:val="26"/>
        </w:rPr>
        <w:tab/>
      </w:r>
      <w:r w:rsidRPr="00313D90">
        <w:rPr>
          <w:sz w:val="26"/>
          <w:szCs w:val="26"/>
        </w:rPr>
        <w:t xml:space="preserve"> </w:t>
      </w:r>
    </w:p>
    <w:p w14:paraId="6C3C5678" w14:textId="7F69FD14" w:rsidR="00B12117" w:rsidRPr="00B12117" w:rsidRDefault="00B12117" w:rsidP="00B12117">
      <w:pPr>
        <w:pStyle w:val="Caption"/>
        <w:keepNext/>
        <w:rPr>
          <w:rFonts w:ascii="Times New Roman" w:hAnsi="Times New Roman" w:cs="Times New Roman"/>
          <w:b/>
          <w:bCs/>
          <w:i w:val="0"/>
          <w:iCs w:val="0"/>
          <w:sz w:val="26"/>
          <w:szCs w:val="26"/>
        </w:rPr>
      </w:pPr>
      <w:bookmarkStart w:id="6" w:name="_Ref526770064"/>
      <w:r w:rsidRPr="00B12117">
        <w:rPr>
          <w:rFonts w:ascii="Times New Roman" w:hAnsi="Times New Roman" w:cs="Times New Roman"/>
          <w:b/>
          <w:bCs/>
          <w:i w:val="0"/>
          <w:iCs w:val="0"/>
          <w:color w:val="auto"/>
          <w:sz w:val="26"/>
          <w:szCs w:val="26"/>
        </w:rPr>
        <w:t xml:space="preserve">Table </w:t>
      </w:r>
      <w:bookmarkEnd w:id="6"/>
      <w:r w:rsidR="002E2D2F">
        <w:rPr>
          <w:rFonts w:ascii="Times New Roman" w:hAnsi="Times New Roman" w:cs="Times New Roman"/>
          <w:b/>
          <w:bCs/>
          <w:i w:val="0"/>
          <w:iCs w:val="0"/>
          <w:noProof/>
          <w:color w:val="auto"/>
          <w:sz w:val="26"/>
          <w:szCs w:val="26"/>
        </w:rPr>
        <w:t xml:space="preserve">4 </w:t>
      </w:r>
      <w:r w:rsidRPr="00B12117">
        <w:rPr>
          <w:rFonts w:ascii="Times New Roman" w:hAnsi="Times New Roman" w:cs="Times New Roman"/>
          <w:b/>
          <w:bCs/>
          <w:i w:val="0"/>
          <w:iCs w:val="0"/>
          <w:color w:val="auto"/>
          <w:sz w:val="26"/>
          <w:szCs w:val="26"/>
        </w:rPr>
        <w:t>– Projected Wastewater DSIC Eligible Properties to Be Replaced / Rehabilitated for 2019 to 2023</w:t>
      </w:r>
    </w:p>
    <w:tbl>
      <w:tblPr>
        <w:tblStyle w:val="TableGrid"/>
        <w:tblW w:w="5000" w:type="pct"/>
        <w:jc w:val="center"/>
        <w:tblLook w:val="04A0" w:firstRow="1" w:lastRow="0" w:firstColumn="1" w:lastColumn="0" w:noHBand="0" w:noVBand="1"/>
      </w:tblPr>
      <w:tblGrid>
        <w:gridCol w:w="1787"/>
        <w:gridCol w:w="1735"/>
        <w:gridCol w:w="1934"/>
        <w:gridCol w:w="1934"/>
        <w:gridCol w:w="1960"/>
      </w:tblGrid>
      <w:tr w:rsidR="00B12117" w:rsidRPr="00B12117" w14:paraId="7F36CDC8" w14:textId="77777777" w:rsidTr="00CE6B5A">
        <w:trPr>
          <w:trHeight w:val="701"/>
          <w:jc w:val="center"/>
        </w:trPr>
        <w:tc>
          <w:tcPr>
            <w:tcW w:w="956" w:type="pct"/>
            <w:vAlign w:val="center"/>
          </w:tcPr>
          <w:p w14:paraId="61CE1D52" w14:textId="77777777" w:rsidR="00B12117" w:rsidRPr="00B12117" w:rsidRDefault="00B12117" w:rsidP="00CE6B5A">
            <w:pPr>
              <w:jc w:val="center"/>
              <w:rPr>
                <w:b/>
              </w:rPr>
            </w:pPr>
            <w:r w:rsidRPr="00B12117">
              <w:rPr>
                <w:b/>
              </w:rPr>
              <w:t>Year</w:t>
            </w:r>
          </w:p>
        </w:tc>
        <w:tc>
          <w:tcPr>
            <w:tcW w:w="928" w:type="pct"/>
            <w:vAlign w:val="center"/>
          </w:tcPr>
          <w:p w14:paraId="3B47CA00" w14:textId="77777777" w:rsidR="00B12117" w:rsidRPr="00B12117" w:rsidRDefault="00B12117" w:rsidP="00CE6B5A">
            <w:pPr>
              <w:jc w:val="center"/>
              <w:rPr>
                <w:b/>
              </w:rPr>
            </w:pPr>
            <w:r w:rsidRPr="00B12117">
              <w:rPr>
                <w:b/>
              </w:rPr>
              <w:t>Gravity Pipe (LF)</w:t>
            </w:r>
          </w:p>
        </w:tc>
        <w:tc>
          <w:tcPr>
            <w:tcW w:w="1034" w:type="pct"/>
            <w:vAlign w:val="center"/>
          </w:tcPr>
          <w:p w14:paraId="4C1D3B77" w14:textId="77777777" w:rsidR="00B12117" w:rsidRPr="00B12117" w:rsidRDefault="00B12117" w:rsidP="00CE6B5A">
            <w:pPr>
              <w:jc w:val="center"/>
              <w:rPr>
                <w:b/>
              </w:rPr>
            </w:pPr>
            <w:r w:rsidRPr="00B12117">
              <w:rPr>
                <w:b/>
              </w:rPr>
              <w:t>Manholes (ea)</w:t>
            </w:r>
          </w:p>
        </w:tc>
        <w:tc>
          <w:tcPr>
            <w:tcW w:w="1034" w:type="pct"/>
            <w:vAlign w:val="center"/>
          </w:tcPr>
          <w:p w14:paraId="187F196D" w14:textId="77777777" w:rsidR="00B12117" w:rsidRPr="00B12117" w:rsidRDefault="00B12117" w:rsidP="00CE6B5A">
            <w:pPr>
              <w:jc w:val="center"/>
              <w:rPr>
                <w:b/>
              </w:rPr>
            </w:pPr>
            <w:r w:rsidRPr="00B12117">
              <w:rPr>
                <w:b/>
              </w:rPr>
              <w:t>Service Laterals (ea)</w:t>
            </w:r>
          </w:p>
        </w:tc>
        <w:tc>
          <w:tcPr>
            <w:tcW w:w="1048" w:type="pct"/>
            <w:vAlign w:val="center"/>
          </w:tcPr>
          <w:p w14:paraId="5EFF323A" w14:textId="77777777" w:rsidR="00B12117" w:rsidRPr="00B12117" w:rsidRDefault="00B12117" w:rsidP="00CE6B5A">
            <w:pPr>
              <w:jc w:val="center"/>
              <w:rPr>
                <w:b/>
              </w:rPr>
            </w:pPr>
            <w:r w:rsidRPr="00B12117">
              <w:rPr>
                <w:b/>
              </w:rPr>
              <w:t>Lift Stations (ea)</w:t>
            </w:r>
          </w:p>
        </w:tc>
      </w:tr>
      <w:tr w:rsidR="00B12117" w:rsidRPr="00B12117" w14:paraId="63AC3538" w14:textId="77777777" w:rsidTr="00CE6B5A">
        <w:trPr>
          <w:jc w:val="center"/>
        </w:trPr>
        <w:tc>
          <w:tcPr>
            <w:tcW w:w="956" w:type="pct"/>
            <w:vAlign w:val="center"/>
          </w:tcPr>
          <w:p w14:paraId="74817561" w14:textId="77777777" w:rsidR="00B12117" w:rsidRPr="00B12117" w:rsidRDefault="00B12117" w:rsidP="00CE6B5A">
            <w:pPr>
              <w:jc w:val="center"/>
            </w:pPr>
            <w:r w:rsidRPr="00B12117">
              <w:t>2019</w:t>
            </w:r>
          </w:p>
        </w:tc>
        <w:tc>
          <w:tcPr>
            <w:tcW w:w="928" w:type="pct"/>
            <w:vAlign w:val="center"/>
          </w:tcPr>
          <w:p w14:paraId="2580F0AB" w14:textId="77777777" w:rsidR="00B12117" w:rsidRPr="00B12117" w:rsidRDefault="00B12117" w:rsidP="00CE6B5A">
            <w:pPr>
              <w:jc w:val="center"/>
            </w:pPr>
            <w:r w:rsidRPr="00B12117">
              <w:t>35,298</w:t>
            </w:r>
          </w:p>
        </w:tc>
        <w:tc>
          <w:tcPr>
            <w:tcW w:w="1034" w:type="pct"/>
            <w:vAlign w:val="center"/>
          </w:tcPr>
          <w:p w14:paraId="5E9D8F49" w14:textId="77777777" w:rsidR="00B12117" w:rsidRPr="00B12117" w:rsidRDefault="00B12117" w:rsidP="00CE6B5A">
            <w:pPr>
              <w:jc w:val="center"/>
            </w:pPr>
            <w:r w:rsidRPr="00B12117">
              <w:t>197</w:t>
            </w:r>
          </w:p>
        </w:tc>
        <w:tc>
          <w:tcPr>
            <w:tcW w:w="1034" w:type="pct"/>
            <w:vAlign w:val="center"/>
          </w:tcPr>
          <w:p w14:paraId="5D8EC214" w14:textId="77777777" w:rsidR="00B12117" w:rsidRPr="00B12117" w:rsidRDefault="00B12117" w:rsidP="00CE6B5A">
            <w:pPr>
              <w:jc w:val="center"/>
            </w:pPr>
            <w:r w:rsidRPr="00B12117">
              <w:t>453</w:t>
            </w:r>
          </w:p>
        </w:tc>
        <w:tc>
          <w:tcPr>
            <w:tcW w:w="1048" w:type="pct"/>
            <w:vAlign w:val="center"/>
          </w:tcPr>
          <w:p w14:paraId="48B85BF2" w14:textId="77777777" w:rsidR="00B12117" w:rsidRPr="00B12117" w:rsidRDefault="00B12117" w:rsidP="00CE6B5A">
            <w:pPr>
              <w:jc w:val="center"/>
            </w:pPr>
            <w:r w:rsidRPr="00B12117">
              <w:t>6</w:t>
            </w:r>
          </w:p>
        </w:tc>
      </w:tr>
      <w:tr w:rsidR="00B12117" w:rsidRPr="00B12117" w14:paraId="2C6E088C" w14:textId="77777777" w:rsidTr="00CE6B5A">
        <w:trPr>
          <w:jc w:val="center"/>
        </w:trPr>
        <w:tc>
          <w:tcPr>
            <w:tcW w:w="956" w:type="pct"/>
            <w:vAlign w:val="center"/>
          </w:tcPr>
          <w:p w14:paraId="60828B2B" w14:textId="77777777" w:rsidR="00B12117" w:rsidRPr="00B12117" w:rsidRDefault="00B12117" w:rsidP="00CE6B5A">
            <w:pPr>
              <w:jc w:val="center"/>
            </w:pPr>
            <w:r w:rsidRPr="00B12117">
              <w:t>2020</w:t>
            </w:r>
          </w:p>
        </w:tc>
        <w:tc>
          <w:tcPr>
            <w:tcW w:w="928" w:type="pct"/>
            <w:vAlign w:val="center"/>
          </w:tcPr>
          <w:p w14:paraId="0B21EB0F" w14:textId="77777777" w:rsidR="00B12117" w:rsidRPr="00B12117" w:rsidRDefault="00B12117" w:rsidP="00CE6B5A">
            <w:pPr>
              <w:jc w:val="center"/>
            </w:pPr>
            <w:r w:rsidRPr="00B12117">
              <w:t>62,531</w:t>
            </w:r>
          </w:p>
        </w:tc>
        <w:tc>
          <w:tcPr>
            <w:tcW w:w="1034" w:type="pct"/>
            <w:vAlign w:val="center"/>
          </w:tcPr>
          <w:p w14:paraId="2F434A49" w14:textId="77777777" w:rsidR="00B12117" w:rsidRPr="00B12117" w:rsidRDefault="00B12117" w:rsidP="00CE6B5A">
            <w:pPr>
              <w:jc w:val="center"/>
            </w:pPr>
            <w:r w:rsidRPr="00B12117">
              <w:t>172</w:t>
            </w:r>
          </w:p>
        </w:tc>
        <w:tc>
          <w:tcPr>
            <w:tcW w:w="1034" w:type="pct"/>
            <w:vAlign w:val="center"/>
          </w:tcPr>
          <w:p w14:paraId="43858FF6" w14:textId="77777777" w:rsidR="00B12117" w:rsidRPr="00B12117" w:rsidRDefault="00B12117" w:rsidP="00CE6B5A">
            <w:pPr>
              <w:jc w:val="center"/>
            </w:pPr>
            <w:r w:rsidRPr="00B12117">
              <w:t>632</w:t>
            </w:r>
          </w:p>
        </w:tc>
        <w:tc>
          <w:tcPr>
            <w:tcW w:w="1048" w:type="pct"/>
            <w:vAlign w:val="center"/>
          </w:tcPr>
          <w:p w14:paraId="75F0A81B" w14:textId="77777777" w:rsidR="00B12117" w:rsidRPr="00B12117" w:rsidRDefault="00B12117" w:rsidP="00CE6B5A">
            <w:pPr>
              <w:jc w:val="center"/>
            </w:pPr>
            <w:r w:rsidRPr="00B12117">
              <w:t>7</w:t>
            </w:r>
          </w:p>
        </w:tc>
      </w:tr>
      <w:tr w:rsidR="00B12117" w:rsidRPr="00B12117" w14:paraId="3DCA1AB8" w14:textId="77777777" w:rsidTr="00CE6B5A">
        <w:trPr>
          <w:jc w:val="center"/>
        </w:trPr>
        <w:tc>
          <w:tcPr>
            <w:tcW w:w="956" w:type="pct"/>
            <w:vAlign w:val="center"/>
          </w:tcPr>
          <w:p w14:paraId="144ABCB4" w14:textId="77777777" w:rsidR="00B12117" w:rsidRPr="00B12117" w:rsidRDefault="00B12117" w:rsidP="00CE6B5A">
            <w:pPr>
              <w:jc w:val="center"/>
            </w:pPr>
            <w:r w:rsidRPr="00B12117">
              <w:t>2021</w:t>
            </w:r>
          </w:p>
        </w:tc>
        <w:tc>
          <w:tcPr>
            <w:tcW w:w="928" w:type="pct"/>
            <w:vAlign w:val="center"/>
          </w:tcPr>
          <w:p w14:paraId="1235F0B4" w14:textId="77777777" w:rsidR="00B12117" w:rsidRPr="00B12117" w:rsidRDefault="00B12117" w:rsidP="00CE6B5A">
            <w:pPr>
              <w:jc w:val="center"/>
            </w:pPr>
            <w:r w:rsidRPr="00B12117">
              <w:t>83,786</w:t>
            </w:r>
          </w:p>
        </w:tc>
        <w:tc>
          <w:tcPr>
            <w:tcW w:w="1034" w:type="pct"/>
            <w:vAlign w:val="center"/>
          </w:tcPr>
          <w:p w14:paraId="3A5FDC6B" w14:textId="77777777" w:rsidR="00B12117" w:rsidRPr="00B12117" w:rsidRDefault="00B12117" w:rsidP="00CE6B5A">
            <w:pPr>
              <w:jc w:val="center"/>
            </w:pPr>
            <w:r w:rsidRPr="00B12117">
              <w:t>240</w:t>
            </w:r>
          </w:p>
        </w:tc>
        <w:tc>
          <w:tcPr>
            <w:tcW w:w="1034" w:type="pct"/>
            <w:vAlign w:val="center"/>
          </w:tcPr>
          <w:p w14:paraId="0A97C31A" w14:textId="77777777" w:rsidR="00B12117" w:rsidRPr="00B12117" w:rsidRDefault="00B12117" w:rsidP="00CE6B5A">
            <w:pPr>
              <w:jc w:val="center"/>
            </w:pPr>
            <w:r w:rsidRPr="00B12117">
              <w:t>747</w:t>
            </w:r>
          </w:p>
        </w:tc>
        <w:tc>
          <w:tcPr>
            <w:tcW w:w="1048" w:type="pct"/>
            <w:vAlign w:val="center"/>
          </w:tcPr>
          <w:p w14:paraId="7B2461D5" w14:textId="77777777" w:rsidR="00B12117" w:rsidRPr="00B12117" w:rsidRDefault="00B12117" w:rsidP="00CE6B5A">
            <w:pPr>
              <w:jc w:val="center"/>
            </w:pPr>
            <w:r w:rsidRPr="00B12117">
              <w:t>3</w:t>
            </w:r>
          </w:p>
        </w:tc>
      </w:tr>
      <w:tr w:rsidR="00B12117" w:rsidRPr="00B12117" w14:paraId="65C0B81C" w14:textId="77777777" w:rsidTr="00CE6B5A">
        <w:trPr>
          <w:jc w:val="center"/>
        </w:trPr>
        <w:tc>
          <w:tcPr>
            <w:tcW w:w="956" w:type="pct"/>
            <w:vAlign w:val="center"/>
          </w:tcPr>
          <w:p w14:paraId="0D6FE5E1" w14:textId="77777777" w:rsidR="00B12117" w:rsidRPr="00B12117" w:rsidRDefault="00B12117" w:rsidP="00CE6B5A">
            <w:pPr>
              <w:jc w:val="center"/>
            </w:pPr>
            <w:r w:rsidRPr="00B12117">
              <w:t>2022</w:t>
            </w:r>
          </w:p>
        </w:tc>
        <w:tc>
          <w:tcPr>
            <w:tcW w:w="928" w:type="pct"/>
            <w:vAlign w:val="center"/>
          </w:tcPr>
          <w:p w14:paraId="18D2A4D5" w14:textId="77777777" w:rsidR="00B12117" w:rsidRPr="00B12117" w:rsidRDefault="00B12117" w:rsidP="00CE6B5A">
            <w:pPr>
              <w:jc w:val="center"/>
            </w:pPr>
            <w:r w:rsidRPr="00B12117">
              <w:t>91,038</w:t>
            </w:r>
          </w:p>
        </w:tc>
        <w:tc>
          <w:tcPr>
            <w:tcW w:w="1034" w:type="pct"/>
            <w:vAlign w:val="center"/>
          </w:tcPr>
          <w:p w14:paraId="640A4CC7" w14:textId="77777777" w:rsidR="00B12117" w:rsidRPr="00B12117" w:rsidRDefault="00B12117" w:rsidP="00CE6B5A">
            <w:pPr>
              <w:jc w:val="center"/>
            </w:pPr>
            <w:r w:rsidRPr="00B12117">
              <w:t>303</w:t>
            </w:r>
          </w:p>
        </w:tc>
        <w:tc>
          <w:tcPr>
            <w:tcW w:w="1034" w:type="pct"/>
            <w:vAlign w:val="center"/>
          </w:tcPr>
          <w:p w14:paraId="7A30607B" w14:textId="77777777" w:rsidR="00B12117" w:rsidRPr="00B12117" w:rsidRDefault="00B12117" w:rsidP="00CE6B5A">
            <w:pPr>
              <w:jc w:val="center"/>
            </w:pPr>
            <w:r w:rsidRPr="00B12117">
              <w:t>888</w:t>
            </w:r>
          </w:p>
        </w:tc>
        <w:tc>
          <w:tcPr>
            <w:tcW w:w="1048" w:type="pct"/>
            <w:vAlign w:val="center"/>
          </w:tcPr>
          <w:p w14:paraId="2CF247FE" w14:textId="77777777" w:rsidR="00B12117" w:rsidRPr="00B12117" w:rsidRDefault="00B12117" w:rsidP="00CE6B5A">
            <w:pPr>
              <w:jc w:val="center"/>
            </w:pPr>
            <w:r w:rsidRPr="00B12117">
              <w:t>2</w:t>
            </w:r>
          </w:p>
        </w:tc>
      </w:tr>
      <w:tr w:rsidR="00B12117" w:rsidRPr="00B12117" w14:paraId="1E1B4E42" w14:textId="77777777" w:rsidTr="00CE6B5A">
        <w:trPr>
          <w:jc w:val="center"/>
        </w:trPr>
        <w:tc>
          <w:tcPr>
            <w:tcW w:w="956" w:type="pct"/>
            <w:tcBorders>
              <w:bottom w:val="single" w:sz="4" w:space="0" w:color="auto"/>
            </w:tcBorders>
            <w:vAlign w:val="center"/>
          </w:tcPr>
          <w:p w14:paraId="2D63E609" w14:textId="77777777" w:rsidR="00B12117" w:rsidRPr="00B12117" w:rsidRDefault="00B12117" w:rsidP="00CE6B5A">
            <w:pPr>
              <w:jc w:val="center"/>
            </w:pPr>
            <w:r w:rsidRPr="00B12117">
              <w:t>2023</w:t>
            </w:r>
          </w:p>
        </w:tc>
        <w:tc>
          <w:tcPr>
            <w:tcW w:w="928" w:type="pct"/>
            <w:tcBorders>
              <w:bottom w:val="single" w:sz="4" w:space="0" w:color="auto"/>
            </w:tcBorders>
            <w:vAlign w:val="center"/>
          </w:tcPr>
          <w:p w14:paraId="6C7CB544" w14:textId="77777777" w:rsidR="00B12117" w:rsidRPr="00B12117" w:rsidRDefault="00B12117" w:rsidP="00CE6B5A">
            <w:pPr>
              <w:jc w:val="center"/>
            </w:pPr>
            <w:r w:rsidRPr="00B12117">
              <w:t>104,701</w:t>
            </w:r>
          </w:p>
        </w:tc>
        <w:tc>
          <w:tcPr>
            <w:tcW w:w="1034" w:type="pct"/>
            <w:tcBorders>
              <w:bottom w:val="single" w:sz="4" w:space="0" w:color="auto"/>
            </w:tcBorders>
            <w:vAlign w:val="center"/>
          </w:tcPr>
          <w:p w14:paraId="0742F548" w14:textId="77777777" w:rsidR="00B12117" w:rsidRPr="00B12117" w:rsidRDefault="00B12117" w:rsidP="00CE6B5A">
            <w:pPr>
              <w:jc w:val="center"/>
            </w:pPr>
            <w:r w:rsidRPr="00B12117">
              <w:t>392</w:t>
            </w:r>
          </w:p>
        </w:tc>
        <w:tc>
          <w:tcPr>
            <w:tcW w:w="1034" w:type="pct"/>
            <w:tcBorders>
              <w:bottom w:val="single" w:sz="4" w:space="0" w:color="auto"/>
            </w:tcBorders>
            <w:vAlign w:val="center"/>
          </w:tcPr>
          <w:p w14:paraId="2EC87D23" w14:textId="77777777" w:rsidR="00B12117" w:rsidRPr="00B12117" w:rsidRDefault="00B12117" w:rsidP="00CE6B5A">
            <w:pPr>
              <w:jc w:val="center"/>
            </w:pPr>
            <w:r w:rsidRPr="00B12117">
              <w:t>1,071</w:t>
            </w:r>
          </w:p>
        </w:tc>
        <w:tc>
          <w:tcPr>
            <w:tcW w:w="1048" w:type="pct"/>
            <w:tcBorders>
              <w:bottom w:val="single" w:sz="4" w:space="0" w:color="auto"/>
            </w:tcBorders>
            <w:vAlign w:val="center"/>
          </w:tcPr>
          <w:p w14:paraId="5C75611C" w14:textId="77777777" w:rsidR="00B12117" w:rsidRPr="00B12117" w:rsidRDefault="00B12117" w:rsidP="00CE6B5A">
            <w:pPr>
              <w:jc w:val="center"/>
            </w:pPr>
            <w:r w:rsidRPr="00B12117">
              <w:t>2</w:t>
            </w:r>
          </w:p>
        </w:tc>
      </w:tr>
      <w:tr w:rsidR="00B12117" w:rsidRPr="00B12117" w14:paraId="4DA60B93" w14:textId="77777777" w:rsidTr="00CE6B5A">
        <w:trPr>
          <w:trHeight w:val="476"/>
          <w:jc w:val="center"/>
        </w:trPr>
        <w:tc>
          <w:tcPr>
            <w:tcW w:w="5000" w:type="pct"/>
            <w:gridSpan w:val="5"/>
            <w:vAlign w:val="center"/>
          </w:tcPr>
          <w:p w14:paraId="189600B6" w14:textId="77777777" w:rsidR="00B12117" w:rsidRPr="00B12117" w:rsidRDefault="00B12117" w:rsidP="00CE6B5A">
            <w:r w:rsidRPr="00B12117">
              <w:t>McKeesport CO &amp; Coatesville CMP</w:t>
            </w:r>
          </w:p>
        </w:tc>
      </w:tr>
      <w:tr w:rsidR="00B12117" w:rsidRPr="00B12117" w14:paraId="4E8C5D5C" w14:textId="77777777" w:rsidTr="00CE6B5A">
        <w:trPr>
          <w:trHeight w:val="197"/>
          <w:jc w:val="center"/>
        </w:trPr>
        <w:tc>
          <w:tcPr>
            <w:tcW w:w="956" w:type="pct"/>
            <w:vAlign w:val="center"/>
          </w:tcPr>
          <w:p w14:paraId="7616EED9" w14:textId="77777777" w:rsidR="00B12117" w:rsidRPr="00B12117" w:rsidRDefault="00B12117" w:rsidP="00CE6B5A">
            <w:pPr>
              <w:jc w:val="center"/>
            </w:pPr>
            <w:r w:rsidRPr="00B12117">
              <w:t>McKeesport</w:t>
            </w:r>
          </w:p>
        </w:tc>
        <w:tc>
          <w:tcPr>
            <w:tcW w:w="928" w:type="pct"/>
            <w:vAlign w:val="center"/>
          </w:tcPr>
          <w:p w14:paraId="68D602F9" w14:textId="77777777" w:rsidR="00B12117" w:rsidRPr="00B12117" w:rsidRDefault="00B12117" w:rsidP="00CE6B5A">
            <w:pPr>
              <w:jc w:val="center"/>
            </w:pPr>
            <w:r w:rsidRPr="00B12117">
              <w:t>24,044</w:t>
            </w:r>
          </w:p>
        </w:tc>
        <w:tc>
          <w:tcPr>
            <w:tcW w:w="1034" w:type="pct"/>
            <w:vAlign w:val="center"/>
          </w:tcPr>
          <w:p w14:paraId="753D0C4E" w14:textId="77777777" w:rsidR="00B12117" w:rsidRPr="00B12117" w:rsidRDefault="00B12117" w:rsidP="00CE6B5A">
            <w:pPr>
              <w:jc w:val="center"/>
            </w:pPr>
            <w:r w:rsidRPr="00B12117">
              <w:t>55</w:t>
            </w:r>
          </w:p>
        </w:tc>
        <w:tc>
          <w:tcPr>
            <w:tcW w:w="1034" w:type="pct"/>
            <w:vAlign w:val="center"/>
          </w:tcPr>
          <w:p w14:paraId="420E0439" w14:textId="77777777" w:rsidR="00B12117" w:rsidRPr="00B12117" w:rsidRDefault="00B12117" w:rsidP="00CE6B5A">
            <w:pPr>
              <w:jc w:val="center"/>
            </w:pPr>
            <w:r w:rsidRPr="00B12117">
              <w:t>100</w:t>
            </w:r>
          </w:p>
        </w:tc>
        <w:tc>
          <w:tcPr>
            <w:tcW w:w="1048" w:type="pct"/>
            <w:vAlign w:val="center"/>
          </w:tcPr>
          <w:p w14:paraId="2EC4CA29" w14:textId="77777777" w:rsidR="00B12117" w:rsidRPr="00B12117" w:rsidRDefault="00B12117" w:rsidP="00CE6B5A">
            <w:pPr>
              <w:jc w:val="center"/>
            </w:pPr>
            <w:r w:rsidRPr="00B12117">
              <w:t>0</w:t>
            </w:r>
          </w:p>
        </w:tc>
      </w:tr>
      <w:tr w:rsidR="00B12117" w:rsidRPr="00B12117" w14:paraId="55277F28" w14:textId="77777777" w:rsidTr="00CE6B5A">
        <w:trPr>
          <w:trHeight w:val="197"/>
          <w:jc w:val="center"/>
        </w:trPr>
        <w:tc>
          <w:tcPr>
            <w:tcW w:w="956" w:type="pct"/>
            <w:tcBorders>
              <w:bottom w:val="single" w:sz="4" w:space="0" w:color="auto"/>
            </w:tcBorders>
            <w:vAlign w:val="center"/>
          </w:tcPr>
          <w:p w14:paraId="79E683C9" w14:textId="77777777" w:rsidR="00B12117" w:rsidRPr="00B12117" w:rsidRDefault="00B12117" w:rsidP="00CE6B5A">
            <w:pPr>
              <w:jc w:val="center"/>
            </w:pPr>
            <w:r w:rsidRPr="00B12117">
              <w:t>Coatesville</w:t>
            </w:r>
          </w:p>
        </w:tc>
        <w:tc>
          <w:tcPr>
            <w:tcW w:w="928" w:type="pct"/>
            <w:tcBorders>
              <w:bottom w:val="single" w:sz="4" w:space="0" w:color="auto"/>
            </w:tcBorders>
            <w:vAlign w:val="center"/>
          </w:tcPr>
          <w:p w14:paraId="1B5AAF68" w14:textId="77777777" w:rsidR="00B12117" w:rsidRPr="00B12117" w:rsidRDefault="00B12117" w:rsidP="00CE6B5A">
            <w:pPr>
              <w:jc w:val="center"/>
            </w:pPr>
            <w:r w:rsidRPr="00B12117">
              <w:t>14,955</w:t>
            </w:r>
          </w:p>
        </w:tc>
        <w:tc>
          <w:tcPr>
            <w:tcW w:w="1034" w:type="pct"/>
            <w:tcBorders>
              <w:bottom w:val="single" w:sz="4" w:space="0" w:color="auto"/>
            </w:tcBorders>
            <w:vAlign w:val="center"/>
          </w:tcPr>
          <w:p w14:paraId="0107E627" w14:textId="77777777" w:rsidR="00B12117" w:rsidRPr="00B12117" w:rsidRDefault="00B12117" w:rsidP="00CE6B5A">
            <w:pPr>
              <w:jc w:val="center"/>
            </w:pPr>
            <w:r w:rsidRPr="00B12117">
              <w:t>50</w:t>
            </w:r>
          </w:p>
        </w:tc>
        <w:tc>
          <w:tcPr>
            <w:tcW w:w="1034" w:type="pct"/>
            <w:tcBorders>
              <w:bottom w:val="single" w:sz="4" w:space="0" w:color="auto"/>
            </w:tcBorders>
            <w:vAlign w:val="center"/>
          </w:tcPr>
          <w:p w14:paraId="27151094" w14:textId="77777777" w:rsidR="00B12117" w:rsidRPr="00B12117" w:rsidRDefault="00B12117" w:rsidP="00CE6B5A">
            <w:pPr>
              <w:jc w:val="center"/>
            </w:pPr>
            <w:r w:rsidRPr="00B12117">
              <w:t>13</w:t>
            </w:r>
          </w:p>
        </w:tc>
        <w:tc>
          <w:tcPr>
            <w:tcW w:w="1048" w:type="pct"/>
            <w:tcBorders>
              <w:bottom w:val="single" w:sz="4" w:space="0" w:color="auto"/>
            </w:tcBorders>
            <w:vAlign w:val="center"/>
          </w:tcPr>
          <w:p w14:paraId="6E29D043" w14:textId="77777777" w:rsidR="00B12117" w:rsidRPr="00B12117" w:rsidRDefault="00B12117" w:rsidP="00CE6B5A">
            <w:pPr>
              <w:jc w:val="center"/>
            </w:pPr>
            <w:r w:rsidRPr="00B12117">
              <w:t>1</w:t>
            </w:r>
          </w:p>
        </w:tc>
      </w:tr>
    </w:tbl>
    <w:p w14:paraId="4B5CC349" w14:textId="7D4ABE5B" w:rsidR="006D1529" w:rsidRDefault="2315FA41" w:rsidP="005A0820">
      <w:pPr>
        <w:pStyle w:val="p7"/>
        <w:widowControl/>
        <w:tabs>
          <w:tab w:val="clear" w:pos="1133"/>
          <w:tab w:val="left" w:pos="720"/>
          <w:tab w:val="left" w:pos="1350"/>
          <w:tab w:val="left" w:pos="1440"/>
          <w:tab w:val="left" w:pos="1530"/>
        </w:tabs>
        <w:spacing w:line="360" w:lineRule="auto"/>
        <w:ind w:left="1170" w:hanging="1133"/>
        <w:rPr>
          <w:sz w:val="26"/>
          <w:szCs w:val="26"/>
        </w:rPr>
      </w:pPr>
      <w:r w:rsidRPr="2315FA41">
        <w:rPr>
          <w:sz w:val="26"/>
          <w:szCs w:val="26"/>
        </w:rPr>
        <w:t xml:space="preserve">*Service laterals listed in this table do not include any customer owned portions. </w:t>
      </w:r>
    </w:p>
    <w:p w14:paraId="377596FB" w14:textId="77777777" w:rsidR="00776048" w:rsidRPr="005A0820" w:rsidRDefault="00776048" w:rsidP="005A0820">
      <w:pPr>
        <w:pStyle w:val="p7"/>
        <w:widowControl/>
        <w:tabs>
          <w:tab w:val="clear" w:pos="1133"/>
          <w:tab w:val="left" w:pos="720"/>
          <w:tab w:val="left" w:pos="1350"/>
          <w:tab w:val="left" w:pos="1440"/>
          <w:tab w:val="left" w:pos="1530"/>
        </w:tabs>
        <w:spacing w:line="360" w:lineRule="auto"/>
        <w:ind w:left="1170" w:hanging="1133"/>
        <w:rPr>
          <w:sz w:val="26"/>
          <w:szCs w:val="26"/>
        </w:rPr>
      </w:pPr>
    </w:p>
    <w:p w14:paraId="53A80B01" w14:textId="3613617C" w:rsidR="00B12117" w:rsidRPr="00B12117" w:rsidRDefault="2315FA41"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r w:rsidRPr="2315FA41">
        <w:rPr>
          <w:sz w:val="26"/>
          <w:szCs w:val="26"/>
        </w:rPr>
        <w:t>In Table 5 below, PAWC-WD’s projected annual wastewater DSIC expenditures for 2019 through 2023 are listed.  PAWC-WD maintains that these estimates are based on the quantities listed in Table 4 and recent competitively-bid prices in Pennsylvania.  PAWC-WD notes that non-regulatory wastewater DSIC investments are expenditures that exclude regulatory driven costs such as projects associated with a consent order agreement (CO) or a connection management plan (CMP).  PAWC-WD states that in future AAOP’s and other LTIIP-related filings, it will continue to distinguish between non-regulatory and regulatory investments and will separately identify expenditures for combined and sanitary systems.</w:t>
      </w:r>
    </w:p>
    <w:p w14:paraId="21C28531" w14:textId="3A64031E" w:rsidR="00AB66AE" w:rsidRDefault="00AB66AE"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29D862B4" w14:textId="6D4F4DD5" w:rsidR="0077315B" w:rsidRDefault="0077315B"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1669D84C" w14:textId="4D2BBD1F" w:rsidR="0077315B" w:rsidRDefault="0077315B"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22032EB2" w14:textId="77777777" w:rsidR="004675A3" w:rsidRDefault="004675A3"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729BE973" w14:textId="6DE314A7" w:rsidR="00B12117" w:rsidRPr="00B12117" w:rsidRDefault="2315FA41" w:rsidP="2315FA41">
      <w:pPr>
        <w:pStyle w:val="Caption"/>
        <w:keepNext/>
        <w:rPr>
          <w:rFonts w:ascii="Times New Roman" w:hAnsi="Times New Roman" w:cs="Times New Roman"/>
          <w:b/>
          <w:bCs/>
          <w:i w:val="0"/>
          <w:iCs w:val="0"/>
          <w:color w:val="auto"/>
          <w:sz w:val="26"/>
          <w:szCs w:val="26"/>
        </w:rPr>
      </w:pPr>
      <w:bookmarkStart w:id="7" w:name="_Ref526770091"/>
      <w:r w:rsidRPr="2315FA41">
        <w:rPr>
          <w:rFonts w:ascii="Times New Roman" w:hAnsi="Times New Roman" w:cs="Times New Roman"/>
          <w:b/>
          <w:bCs/>
          <w:i w:val="0"/>
          <w:iCs w:val="0"/>
          <w:color w:val="auto"/>
          <w:sz w:val="26"/>
          <w:szCs w:val="26"/>
        </w:rPr>
        <w:lastRenderedPageBreak/>
        <w:t>Table 5 – Projected Annual Wastewater DSIC Expenditures 2019 to 2023 in millions</w:t>
      </w:r>
      <w:bookmarkEnd w:id="7"/>
    </w:p>
    <w:tbl>
      <w:tblPr>
        <w:tblW w:w="5000" w:type="pct"/>
        <w:jc w:val="center"/>
        <w:tblLook w:val="04A0" w:firstRow="1" w:lastRow="0" w:firstColumn="1" w:lastColumn="0" w:noHBand="0" w:noVBand="1"/>
      </w:tblPr>
      <w:tblGrid>
        <w:gridCol w:w="723"/>
        <w:gridCol w:w="3076"/>
        <w:gridCol w:w="1483"/>
        <w:gridCol w:w="1336"/>
        <w:gridCol w:w="2722"/>
      </w:tblGrid>
      <w:tr w:rsidR="00B12117" w:rsidRPr="00583C80" w14:paraId="73D05FC3" w14:textId="77777777" w:rsidTr="00CE6B5A">
        <w:trPr>
          <w:trHeight w:val="315"/>
          <w:jc w:val="center"/>
        </w:trPr>
        <w:tc>
          <w:tcPr>
            <w:tcW w:w="378" w:type="pct"/>
            <w:vMerge w:val="restart"/>
            <w:tcBorders>
              <w:top w:val="single" w:sz="8" w:space="0" w:color="auto"/>
              <w:left w:val="single" w:sz="8" w:space="0" w:color="auto"/>
              <w:right w:val="single" w:sz="8" w:space="0" w:color="auto"/>
            </w:tcBorders>
            <w:shd w:val="clear" w:color="auto" w:fill="auto"/>
            <w:noWrap/>
            <w:vAlign w:val="center"/>
          </w:tcPr>
          <w:p w14:paraId="6257C58E" w14:textId="77777777" w:rsidR="00B12117" w:rsidRPr="00770D34" w:rsidRDefault="00B12117" w:rsidP="00CE6B5A">
            <w:pPr>
              <w:jc w:val="center"/>
              <w:rPr>
                <w:rFonts w:cs="Arial"/>
                <w:b/>
                <w:color w:val="000000"/>
              </w:rPr>
            </w:pPr>
            <w:r w:rsidRPr="00770D34">
              <w:rPr>
                <w:rFonts w:cs="Arial"/>
                <w:b/>
                <w:color w:val="000000"/>
              </w:rPr>
              <w:t>Year</w:t>
            </w:r>
          </w:p>
        </w:tc>
        <w:tc>
          <w:tcPr>
            <w:tcW w:w="1448" w:type="pct"/>
            <w:vMerge w:val="restart"/>
            <w:tcBorders>
              <w:top w:val="single" w:sz="8" w:space="0" w:color="auto"/>
              <w:left w:val="nil"/>
              <w:right w:val="single" w:sz="8" w:space="0" w:color="auto"/>
            </w:tcBorders>
            <w:shd w:val="clear" w:color="auto" w:fill="auto"/>
            <w:noWrap/>
            <w:vAlign w:val="center"/>
          </w:tcPr>
          <w:p w14:paraId="5C42BE43" w14:textId="77777777" w:rsidR="00B12117" w:rsidRPr="00770D34" w:rsidRDefault="00B12117" w:rsidP="00CE6B5A">
            <w:pPr>
              <w:jc w:val="center"/>
              <w:rPr>
                <w:rFonts w:cs="Arial"/>
                <w:b/>
                <w:color w:val="000000"/>
              </w:rPr>
            </w:pPr>
            <w:r>
              <w:rPr>
                <w:rFonts w:cs="Arial"/>
                <w:b/>
                <w:color w:val="000000"/>
              </w:rPr>
              <w:t>Non-Regulatory</w:t>
            </w:r>
            <w:r w:rsidRPr="00770D34">
              <w:rPr>
                <w:rFonts w:cs="Arial"/>
                <w:b/>
                <w:color w:val="000000"/>
              </w:rPr>
              <w:t xml:space="preserve"> </w:t>
            </w:r>
            <w:r>
              <w:rPr>
                <w:rFonts w:cs="Arial"/>
                <w:b/>
                <w:color w:val="000000"/>
              </w:rPr>
              <w:t>Investment</w:t>
            </w:r>
          </w:p>
        </w:tc>
        <w:tc>
          <w:tcPr>
            <w:tcW w:w="1560" w:type="pct"/>
            <w:gridSpan w:val="2"/>
            <w:tcBorders>
              <w:top w:val="single" w:sz="8" w:space="0" w:color="auto"/>
              <w:left w:val="nil"/>
              <w:bottom w:val="single" w:sz="8" w:space="0" w:color="auto"/>
              <w:right w:val="single" w:sz="8" w:space="0" w:color="auto"/>
            </w:tcBorders>
            <w:vAlign w:val="center"/>
          </w:tcPr>
          <w:p w14:paraId="0789FCD7" w14:textId="77777777" w:rsidR="00B12117" w:rsidRPr="00770D34" w:rsidRDefault="00B12117" w:rsidP="00CE6B5A">
            <w:pPr>
              <w:jc w:val="center"/>
              <w:rPr>
                <w:rFonts w:cs="Arial"/>
                <w:b/>
                <w:color w:val="000000"/>
              </w:rPr>
            </w:pPr>
            <w:r w:rsidRPr="00770D34">
              <w:rPr>
                <w:rFonts w:cs="Arial"/>
                <w:b/>
                <w:color w:val="000000"/>
              </w:rPr>
              <w:t xml:space="preserve">Regulatory </w:t>
            </w:r>
          </w:p>
        </w:tc>
        <w:tc>
          <w:tcPr>
            <w:tcW w:w="1614" w:type="pct"/>
            <w:vMerge w:val="restart"/>
            <w:tcBorders>
              <w:top w:val="single" w:sz="8" w:space="0" w:color="auto"/>
              <w:left w:val="nil"/>
              <w:right w:val="single" w:sz="8" w:space="0" w:color="auto"/>
            </w:tcBorders>
            <w:vAlign w:val="center"/>
          </w:tcPr>
          <w:p w14:paraId="53B5782E" w14:textId="77777777" w:rsidR="00B12117" w:rsidRPr="00770D34" w:rsidRDefault="00B12117" w:rsidP="00CE6B5A">
            <w:pPr>
              <w:jc w:val="center"/>
              <w:rPr>
                <w:rFonts w:cs="Arial"/>
                <w:b/>
                <w:color w:val="000000"/>
              </w:rPr>
            </w:pPr>
            <w:r w:rsidRPr="00770D34">
              <w:rPr>
                <w:rFonts w:cs="Arial"/>
                <w:b/>
                <w:color w:val="000000"/>
              </w:rPr>
              <w:t>Total Investment</w:t>
            </w:r>
          </w:p>
        </w:tc>
      </w:tr>
      <w:tr w:rsidR="00B12117" w:rsidRPr="00583C80" w14:paraId="3E583688" w14:textId="77777777" w:rsidTr="00CE6B5A">
        <w:trPr>
          <w:trHeight w:val="315"/>
          <w:jc w:val="center"/>
        </w:trPr>
        <w:tc>
          <w:tcPr>
            <w:tcW w:w="378" w:type="pct"/>
            <w:vMerge/>
            <w:tcBorders>
              <w:left w:val="single" w:sz="8" w:space="0" w:color="auto"/>
              <w:bottom w:val="single" w:sz="8" w:space="0" w:color="auto"/>
              <w:right w:val="single" w:sz="8" w:space="0" w:color="auto"/>
            </w:tcBorders>
            <w:shd w:val="clear" w:color="auto" w:fill="auto"/>
            <w:noWrap/>
            <w:vAlign w:val="center"/>
          </w:tcPr>
          <w:p w14:paraId="1BF6C0FD" w14:textId="77777777" w:rsidR="00B12117" w:rsidRPr="00984EB9" w:rsidRDefault="00B12117" w:rsidP="00CE6B5A">
            <w:pPr>
              <w:jc w:val="center"/>
              <w:rPr>
                <w:rFonts w:cs="Arial"/>
                <w:color w:val="000000"/>
              </w:rPr>
            </w:pPr>
          </w:p>
        </w:tc>
        <w:tc>
          <w:tcPr>
            <w:tcW w:w="1448" w:type="pct"/>
            <w:vMerge/>
            <w:tcBorders>
              <w:left w:val="nil"/>
              <w:bottom w:val="single" w:sz="8" w:space="0" w:color="auto"/>
              <w:right w:val="single" w:sz="8" w:space="0" w:color="auto"/>
            </w:tcBorders>
            <w:shd w:val="clear" w:color="auto" w:fill="auto"/>
            <w:noWrap/>
            <w:vAlign w:val="center"/>
          </w:tcPr>
          <w:p w14:paraId="64567B35" w14:textId="77777777" w:rsidR="00B12117" w:rsidRPr="00984EB9" w:rsidRDefault="00B12117" w:rsidP="00CE6B5A">
            <w:pPr>
              <w:jc w:val="center"/>
              <w:rPr>
                <w:rFonts w:cs="Arial"/>
                <w:color w:val="000000"/>
              </w:rPr>
            </w:pPr>
          </w:p>
        </w:tc>
        <w:tc>
          <w:tcPr>
            <w:tcW w:w="790" w:type="pct"/>
            <w:tcBorders>
              <w:top w:val="single" w:sz="8" w:space="0" w:color="auto"/>
              <w:left w:val="nil"/>
              <w:bottom w:val="single" w:sz="8" w:space="0" w:color="auto"/>
              <w:right w:val="single" w:sz="8" w:space="0" w:color="auto"/>
            </w:tcBorders>
            <w:vAlign w:val="center"/>
          </w:tcPr>
          <w:p w14:paraId="64C17D2A" w14:textId="77777777" w:rsidR="00B12117" w:rsidRPr="00770D34" w:rsidRDefault="00B12117" w:rsidP="00CE6B5A">
            <w:pPr>
              <w:jc w:val="center"/>
              <w:rPr>
                <w:rFonts w:cs="Arial"/>
                <w:b/>
                <w:color w:val="000000"/>
              </w:rPr>
            </w:pPr>
            <w:r w:rsidRPr="00770D34">
              <w:rPr>
                <w:rFonts w:cs="Arial"/>
                <w:b/>
                <w:color w:val="000000"/>
              </w:rPr>
              <w:t>McKeesport CO</w:t>
            </w:r>
          </w:p>
        </w:tc>
        <w:tc>
          <w:tcPr>
            <w:tcW w:w="770" w:type="pct"/>
            <w:tcBorders>
              <w:top w:val="single" w:sz="8" w:space="0" w:color="auto"/>
              <w:left w:val="nil"/>
              <w:bottom w:val="single" w:sz="8" w:space="0" w:color="auto"/>
              <w:right w:val="single" w:sz="8" w:space="0" w:color="auto"/>
            </w:tcBorders>
            <w:vAlign w:val="center"/>
          </w:tcPr>
          <w:p w14:paraId="6DEB9716" w14:textId="77777777" w:rsidR="00B12117" w:rsidRPr="00770D34" w:rsidRDefault="00B12117" w:rsidP="00CE6B5A">
            <w:pPr>
              <w:jc w:val="center"/>
              <w:rPr>
                <w:rFonts w:cs="Arial"/>
                <w:b/>
                <w:color w:val="000000"/>
              </w:rPr>
            </w:pPr>
            <w:r w:rsidRPr="00770D34">
              <w:rPr>
                <w:rFonts w:cs="Arial"/>
                <w:b/>
                <w:color w:val="000000"/>
              </w:rPr>
              <w:t xml:space="preserve">Coatesville </w:t>
            </w:r>
            <w:r>
              <w:rPr>
                <w:rFonts w:cs="Arial"/>
                <w:b/>
                <w:color w:val="000000"/>
              </w:rPr>
              <w:t>CMP</w:t>
            </w:r>
          </w:p>
        </w:tc>
        <w:tc>
          <w:tcPr>
            <w:tcW w:w="1614" w:type="pct"/>
            <w:vMerge/>
            <w:tcBorders>
              <w:left w:val="nil"/>
              <w:bottom w:val="single" w:sz="8" w:space="0" w:color="auto"/>
              <w:right w:val="single" w:sz="8" w:space="0" w:color="auto"/>
            </w:tcBorders>
            <w:vAlign w:val="center"/>
          </w:tcPr>
          <w:p w14:paraId="0210173D" w14:textId="77777777" w:rsidR="00B12117" w:rsidRDefault="00B12117" w:rsidP="00CE6B5A">
            <w:pPr>
              <w:jc w:val="center"/>
              <w:rPr>
                <w:rFonts w:cs="Arial"/>
                <w:color w:val="000000"/>
              </w:rPr>
            </w:pPr>
          </w:p>
        </w:tc>
      </w:tr>
      <w:tr w:rsidR="00B12117" w:rsidRPr="00583C80" w14:paraId="115CB87B" w14:textId="77777777" w:rsidTr="00CE6B5A">
        <w:trPr>
          <w:trHeight w:val="349"/>
          <w:jc w:val="center"/>
        </w:trPr>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5930E22A" w14:textId="77777777" w:rsidR="00B12117" w:rsidRPr="00984EB9" w:rsidRDefault="00B12117" w:rsidP="00CE6B5A">
            <w:pPr>
              <w:jc w:val="center"/>
              <w:rPr>
                <w:rFonts w:cs="Arial"/>
                <w:color w:val="000000"/>
              </w:rPr>
            </w:pPr>
            <w:r w:rsidRPr="00984EB9">
              <w:rPr>
                <w:rFonts w:cs="Arial"/>
                <w:color w:val="000000"/>
              </w:rPr>
              <w:t>201</w:t>
            </w:r>
            <w:r>
              <w:rPr>
                <w:rFonts w:cs="Arial"/>
                <w:color w:val="000000"/>
              </w:rPr>
              <w:t>9</w:t>
            </w:r>
          </w:p>
        </w:tc>
        <w:tc>
          <w:tcPr>
            <w:tcW w:w="1448" w:type="pct"/>
            <w:tcBorders>
              <w:top w:val="single" w:sz="8" w:space="0" w:color="auto"/>
              <w:left w:val="nil"/>
              <w:bottom w:val="single" w:sz="8" w:space="0" w:color="auto"/>
              <w:right w:val="single" w:sz="8" w:space="0" w:color="auto"/>
            </w:tcBorders>
            <w:shd w:val="clear" w:color="auto" w:fill="auto"/>
            <w:noWrap/>
            <w:vAlign w:val="center"/>
          </w:tcPr>
          <w:p w14:paraId="43613F2C" w14:textId="77777777" w:rsidR="00B12117" w:rsidRPr="007F7690" w:rsidRDefault="00B12117" w:rsidP="00CE6B5A">
            <w:pPr>
              <w:jc w:val="center"/>
              <w:rPr>
                <w:rFonts w:cs="Arial"/>
                <w:color w:val="000000"/>
              </w:rPr>
            </w:pPr>
            <w:r>
              <w:rPr>
                <w:rFonts w:cs="Arial"/>
                <w:color w:val="000000"/>
              </w:rPr>
              <w:t>$11.69M</w:t>
            </w:r>
          </w:p>
        </w:tc>
        <w:tc>
          <w:tcPr>
            <w:tcW w:w="790" w:type="pct"/>
            <w:tcBorders>
              <w:top w:val="single" w:sz="8" w:space="0" w:color="auto"/>
              <w:left w:val="nil"/>
              <w:bottom w:val="single" w:sz="8" w:space="0" w:color="auto"/>
              <w:right w:val="single" w:sz="8" w:space="0" w:color="auto"/>
            </w:tcBorders>
            <w:vAlign w:val="center"/>
          </w:tcPr>
          <w:p w14:paraId="04C153A1" w14:textId="77777777" w:rsidR="00B12117" w:rsidRPr="007F7690" w:rsidRDefault="00B12117" w:rsidP="00CE6B5A">
            <w:pPr>
              <w:jc w:val="center"/>
              <w:rPr>
                <w:rFonts w:cs="Arial"/>
                <w:color w:val="000000"/>
              </w:rPr>
            </w:pPr>
            <w:r>
              <w:rPr>
                <w:rFonts w:cs="Arial"/>
                <w:color w:val="000000"/>
              </w:rPr>
              <w:t>$9.55M</w:t>
            </w:r>
          </w:p>
        </w:tc>
        <w:tc>
          <w:tcPr>
            <w:tcW w:w="770" w:type="pct"/>
            <w:tcBorders>
              <w:top w:val="single" w:sz="8" w:space="0" w:color="auto"/>
              <w:left w:val="nil"/>
              <w:bottom w:val="single" w:sz="8" w:space="0" w:color="auto"/>
              <w:right w:val="single" w:sz="8" w:space="0" w:color="auto"/>
            </w:tcBorders>
            <w:vAlign w:val="center"/>
          </w:tcPr>
          <w:p w14:paraId="07B1F666" w14:textId="77777777" w:rsidR="00B12117" w:rsidRPr="007F7690" w:rsidRDefault="00B12117" w:rsidP="00CE6B5A">
            <w:pPr>
              <w:jc w:val="center"/>
              <w:rPr>
                <w:rFonts w:cs="Arial"/>
                <w:color w:val="000000"/>
              </w:rPr>
            </w:pPr>
            <w:r>
              <w:rPr>
                <w:rFonts w:cs="Arial"/>
                <w:color w:val="000000"/>
              </w:rPr>
              <w:t>$9.26M</w:t>
            </w:r>
          </w:p>
        </w:tc>
        <w:tc>
          <w:tcPr>
            <w:tcW w:w="1614" w:type="pct"/>
            <w:tcBorders>
              <w:top w:val="single" w:sz="8" w:space="0" w:color="auto"/>
              <w:left w:val="nil"/>
              <w:bottom w:val="single" w:sz="8" w:space="0" w:color="auto"/>
              <w:right w:val="single" w:sz="8" w:space="0" w:color="auto"/>
            </w:tcBorders>
            <w:vAlign w:val="center"/>
          </w:tcPr>
          <w:p w14:paraId="51464F4A" w14:textId="77777777" w:rsidR="00B12117" w:rsidRPr="007F7690" w:rsidRDefault="00B12117" w:rsidP="00CE6B5A">
            <w:pPr>
              <w:jc w:val="center"/>
              <w:rPr>
                <w:rFonts w:cs="Arial"/>
                <w:color w:val="000000"/>
              </w:rPr>
            </w:pPr>
            <w:r>
              <w:rPr>
                <w:rFonts w:cs="Arial"/>
                <w:color w:val="000000"/>
              </w:rPr>
              <w:t>$30.50M</w:t>
            </w:r>
          </w:p>
        </w:tc>
      </w:tr>
      <w:tr w:rsidR="00B12117" w:rsidRPr="00583C80" w14:paraId="39BCA9FD" w14:textId="77777777" w:rsidTr="00CE6B5A">
        <w:trPr>
          <w:trHeight w:val="315"/>
          <w:jc w:val="center"/>
        </w:trPr>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2D1DFE0F" w14:textId="77777777" w:rsidR="00B12117" w:rsidRPr="00984EB9" w:rsidRDefault="00B12117" w:rsidP="00CE6B5A">
            <w:pPr>
              <w:jc w:val="center"/>
              <w:rPr>
                <w:rFonts w:cs="Arial"/>
                <w:color w:val="000000"/>
              </w:rPr>
            </w:pPr>
            <w:r>
              <w:rPr>
                <w:rFonts w:cs="Arial"/>
                <w:color w:val="000000"/>
              </w:rPr>
              <w:t>2020</w:t>
            </w:r>
          </w:p>
        </w:tc>
        <w:tc>
          <w:tcPr>
            <w:tcW w:w="1448" w:type="pct"/>
            <w:tcBorders>
              <w:top w:val="single" w:sz="8" w:space="0" w:color="auto"/>
              <w:left w:val="nil"/>
              <w:bottom w:val="single" w:sz="8" w:space="0" w:color="auto"/>
              <w:right w:val="single" w:sz="8" w:space="0" w:color="auto"/>
            </w:tcBorders>
            <w:shd w:val="clear" w:color="auto" w:fill="auto"/>
            <w:noWrap/>
            <w:vAlign w:val="center"/>
          </w:tcPr>
          <w:p w14:paraId="72A841D7" w14:textId="77777777" w:rsidR="00B12117" w:rsidRPr="007F7690" w:rsidRDefault="00B12117" w:rsidP="00CE6B5A">
            <w:pPr>
              <w:jc w:val="center"/>
              <w:rPr>
                <w:rFonts w:cs="Arial"/>
                <w:color w:val="000000"/>
              </w:rPr>
            </w:pPr>
            <w:r>
              <w:rPr>
                <w:rFonts w:cs="Arial"/>
                <w:color w:val="000000"/>
              </w:rPr>
              <w:t>$20.07M</w:t>
            </w:r>
          </w:p>
        </w:tc>
        <w:tc>
          <w:tcPr>
            <w:tcW w:w="790" w:type="pct"/>
            <w:tcBorders>
              <w:top w:val="single" w:sz="8" w:space="0" w:color="auto"/>
              <w:left w:val="nil"/>
              <w:bottom w:val="single" w:sz="8" w:space="0" w:color="auto"/>
              <w:right w:val="single" w:sz="8" w:space="0" w:color="auto"/>
            </w:tcBorders>
            <w:vAlign w:val="center"/>
          </w:tcPr>
          <w:p w14:paraId="3BF2BE61" w14:textId="77777777" w:rsidR="00B12117" w:rsidRPr="007F7690" w:rsidRDefault="00B12117" w:rsidP="00CE6B5A">
            <w:pPr>
              <w:jc w:val="center"/>
              <w:rPr>
                <w:rFonts w:cs="Arial"/>
                <w:color w:val="000000"/>
              </w:rPr>
            </w:pPr>
          </w:p>
        </w:tc>
        <w:tc>
          <w:tcPr>
            <w:tcW w:w="770" w:type="pct"/>
            <w:tcBorders>
              <w:top w:val="single" w:sz="8" w:space="0" w:color="auto"/>
              <w:left w:val="nil"/>
              <w:bottom w:val="single" w:sz="8" w:space="0" w:color="auto"/>
              <w:right w:val="single" w:sz="8" w:space="0" w:color="auto"/>
            </w:tcBorders>
            <w:vAlign w:val="center"/>
          </w:tcPr>
          <w:p w14:paraId="6A7E7104" w14:textId="77777777" w:rsidR="00B12117" w:rsidRPr="007F7690" w:rsidRDefault="00B12117" w:rsidP="00CE6B5A">
            <w:pPr>
              <w:jc w:val="center"/>
              <w:rPr>
                <w:rFonts w:cs="Arial"/>
                <w:color w:val="000000"/>
              </w:rPr>
            </w:pPr>
          </w:p>
        </w:tc>
        <w:tc>
          <w:tcPr>
            <w:tcW w:w="1614" w:type="pct"/>
            <w:tcBorders>
              <w:top w:val="single" w:sz="8" w:space="0" w:color="auto"/>
              <w:left w:val="nil"/>
              <w:bottom w:val="single" w:sz="8" w:space="0" w:color="auto"/>
              <w:right w:val="single" w:sz="8" w:space="0" w:color="auto"/>
            </w:tcBorders>
            <w:vAlign w:val="center"/>
          </w:tcPr>
          <w:p w14:paraId="0FC2A83B" w14:textId="77777777" w:rsidR="00B12117" w:rsidRPr="007F7690" w:rsidRDefault="00B12117" w:rsidP="00CE6B5A">
            <w:pPr>
              <w:jc w:val="center"/>
              <w:rPr>
                <w:rFonts w:cs="Arial"/>
                <w:color w:val="000000"/>
              </w:rPr>
            </w:pPr>
            <w:r>
              <w:rPr>
                <w:rFonts w:cs="Arial"/>
                <w:color w:val="000000"/>
              </w:rPr>
              <w:t>$20.07M</w:t>
            </w:r>
          </w:p>
        </w:tc>
      </w:tr>
      <w:tr w:rsidR="00B12117" w:rsidRPr="00583C80" w14:paraId="1A9EE093" w14:textId="77777777" w:rsidTr="00CE6B5A">
        <w:trPr>
          <w:trHeight w:val="315"/>
          <w:jc w:val="center"/>
        </w:trPr>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15D21E7D" w14:textId="77777777" w:rsidR="00B12117" w:rsidRPr="00984EB9" w:rsidRDefault="00B12117" w:rsidP="00CE6B5A">
            <w:pPr>
              <w:jc w:val="center"/>
              <w:rPr>
                <w:rFonts w:cs="Arial"/>
                <w:color w:val="000000"/>
              </w:rPr>
            </w:pPr>
            <w:r>
              <w:rPr>
                <w:rFonts w:cs="Arial"/>
                <w:color w:val="000000"/>
              </w:rPr>
              <w:t>2021</w:t>
            </w:r>
          </w:p>
        </w:tc>
        <w:tc>
          <w:tcPr>
            <w:tcW w:w="1448" w:type="pct"/>
            <w:tcBorders>
              <w:top w:val="single" w:sz="8" w:space="0" w:color="auto"/>
              <w:left w:val="nil"/>
              <w:bottom w:val="single" w:sz="8" w:space="0" w:color="auto"/>
              <w:right w:val="single" w:sz="8" w:space="0" w:color="auto"/>
            </w:tcBorders>
            <w:shd w:val="clear" w:color="auto" w:fill="auto"/>
            <w:noWrap/>
            <w:vAlign w:val="center"/>
          </w:tcPr>
          <w:p w14:paraId="38E85124" w14:textId="77777777" w:rsidR="00B12117" w:rsidRPr="007F7690" w:rsidRDefault="00B12117" w:rsidP="00CE6B5A">
            <w:pPr>
              <w:jc w:val="center"/>
              <w:rPr>
                <w:rFonts w:cs="Arial"/>
                <w:color w:val="000000"/>
              </w:rPr>
            </w:pPr>
            <w:r>
              <w:rPr>
                <w:rFonts w:cs="Arial"/>
                <w:color w:val="000000"/>
              </w:rPr>
              <w:t>$20.98M</w:t>
            </w:r>
          </w:p>
        </w:tc>
        <w:tc>
          <w:tcPr>
            <w:tcW w:w="790" w:type="pct"/>
            <w:tcBorders>
              <w:top w:val="single" w:sz="8" w:space="0" w:color="auto"/>
              <w:left w:val="nil"/>
              <w:bottom w:val="single" w:sz="8" w:space="0" w:color="auto"/>
              <w:right w:val="single" w:sz="8" w:space="0" w:color="auto"/>
            </w:tcBorders>
            <w:vAlign w:val="center"/>
          </w:tcPr>
          <w:p w14:paraId="437DA09A" w14:textId="77777777" w:rsidR="00B12117" w:rsidRPr="007F7690" w:rsidRDefault="00B12117" w:rsidP="00CE6B5A">
            <w:pPr>
              <w:jc w:val="center"/>
              <w:rPr>
                <w:rFonts w:cs="Arial"/>
                <w:color w:val="000000"/>
              </w:rPr>
            </w:pPr>
          </w:p>
        </w:tc>
        <w:tc>
          <w:tcPr>
            <w:tcW w:w="770" w:type="pct"/>
            <w:tcBorders>
              <w:top w:val="single" w:sz="8" w:space="0" w:color="auto"/>
              <w:left w:val="nil"/>
              <w:bottom w:val="single" w:sz="8" w:space="0" w:color="auto"/>
              <w:right w:val="single" w:sz="8" w:space="0" w:color="auto"/>
            </w:tcBorders>
            <w:vAlign w:val="center"/>
          </w:tcPr>
          <w:p w14:paraId="45871B92" w14:textId="77777777" w:rsidR="00B12117" w:rsidRPr="007F7690" w:rsidRDefault="00B12117" w:rsidP="00CE6B5A">
            <w:pPr>
              <w:jc w:val="center"/>
              <w:rPr>
                <w:rFonts w:cs="Arial"/>
                <w:color w:val="000000"/>
              </w:rPr>
            </w:pPr>
          </w:p>
        </w:tc>
        <w:tc>
          <w:tcPr>
            <w:tcW w:w="1614" w:type="pct"/>
            <w:tcBorders>
              <w:top w:val="single" w:sz="8" w:space="0" w:color="auto"/>
              <w:left w:val="nil"/>
              <w:bottom w:val="single" w:sz="8" w:space="0" w:color="auto"/>
              <w:right w:val="single" w:sz="8" w:space="0" w:color="auto"/>
            </w:tcBorders>
            <w:vAlign w:val="center"/>
          </w:tcPr>
          <w:p w14:paraId="6B3991E5" w14:textId="77777777" w:rsidR="00B12117" w:rsidRPr="007F7690" w:rsidRDefault="00B12117" w:rsidP="00CE6B5A">
            <w:pPr>
              <w:jc w:val="center"/>
              <w:rPr>
                <w:rFonts w:cs="Arial"/>
                <w:color w:val="000000"/>
              </w:rPr>
            </w:pPr>
            <w:r>
              <w:rPr>
                <w:rFonts w:cs="Arial"/>
                <w:color w:val="000000"/>
              </w:rPr>
              <w:t>$20.98M</w:t>
            </w:r>
          </w:p>
        </w:tc>
      </w:tr>
      <w:tr w:rsidR="00B12117" w:rsidRPr="00583C80" w14:paraId="76EEDF6E" w14:textId="77777777" w:rsidTr="00CE6B5A">
        <w:trPr>
          <w:trHeight w:val="315"/>
          <w:jc w:val="center"/>
        </w:trPr>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5C1A2DE9" w14:textId="77777777" w:rsidR="00B12117" w:rsidRPr="00984EB9" w:rsidRDefault="00B12117" w:rsidP="00CE6B5A">
            <w:pPr>
              <w:jc w:val="center"/>
              <w:rPr>
                <w:rFonts w:cs="Arial"/>
                <w:color w:val="000000"/>
              </w:rPr>
            </w:pPr>
            <w:r>
              <w:rPr>
                <w:rFonts w:cs="Arial"/>
                <w:color w:val="000000"/>
              </w:rPr>
              <w:t>2022</w:t>
            </w:r>
          </w:p>
        </w:tc>
        <w:tc>
          <w:tcPr>
            <w:tcW w:w="1448" w:type="pct"/>
            <w:tcBorders>
              <w:top w:val="single" w:sz="8" w:space="0" w:color="auto"/>
              <w:left w:val="nil"/>
              <w:bottom w:val="single" w:sz="8" w:space="0" w:color="auto"/>
              <w:right w:val="single" w:sz="8" w:space="0" w:color="auto"/>
            </w:tcBorders>
            <w:shd w:val="clear" w:color="auto" w:fill="auto"/>
            <w:noWrap/>
            <w:vAlign w:val="center"/>
          </w:tcPr>
          <w:p w14:paraId="73601A8F" w14:textId="77777777" w:rsidR="00B12117" w:rsidRPr="007F7690" w:rsidRDefault="00B12117" w:rsidP="00CE6B5A">
            <w:pPr>
              <w:jc w:val="center"/>
              <w:rPr>
                <w:rFonts w:cs="Arial"/>
                <w:color w:val="000000"/>
              </w:rPr>
            </w:pPr>
            <w:r>
              <w:rPr>
                <w:rFonts w:cs="Arial"/>
                <w:color w:val="000000"/>
              </w:rPr>
              <w:t>$20.36M</w:t>
            </w:r>
          </w:p>
        </w:tc>
        <w:tc>
          <w:tcPr>
            <w:tcW w:w="790" w:type="pct"/>
            <w:tcBorders>
              <w:top w:val="single" w:sz="8" w:space="0" w:color="auto"/>
              <w:left w:val="nil"/>
              <w:bottom w:val="single" w:sz="8" w:space="0" w:color="auto"/>
              <w:right w:val="single" w:sz="8" w:space="0" w:color="auto"/>
            </w:tcBorders>
            <w:vAlign w:val="center"/>
          </w:tcPr>
          <w:p w14:paraId="48E7D4C3" w14:textId="77777777" w:rsidR="00B12117" w:rsidRPr="007F7690" w:rsidRDefault="00B12117" w:rsidP="00CE6B5A">
            <w:pPr>
              <w:jc w:val="center"/>
              <w:rPr>
                <w:rFonts w:cs="Arial"/>
                <w:color w:val="000000"/>
              </w:rPr>
            </w:pPr>
          </w:p>
        </w:tc>
        <w:tc>
          <w:tcPr>
            <w:tcW w:w="770" w:type="pct"/>
            <w:tcBorders>
              <w:top w:val="single" w:sz="8" w:space="0" w:color="auto"/>
              <w:left w:val="nil"/>
              <w:bottom w:val="single" w:sz="8" w:space="0" w:color="auto"/>
              <w:right w:val="single" w:sz="8" w:space="0" w:color="auto"/>
            </w:tcBorders>
            <w:vAlign w:val="center"/>
          </w:tcPr>
          <w:p w14:paraId="00DA1D94" w14:textId="77777777" w:rsidR="00B12117" w:rsidRPr="007F7690" w:rsidRDefault="00B12117" w:rsidP="00CE6B5A">
            <w:pPr>
              <w:jc w:val="center"/>
              <w:rPr>
                <w:rFonts w:cs="Arial"/>
                <w:color w:val="000000"/>
              </w:rPr>
            </w:pPr>
          </w:p>
        </w:tc>
        <w:tc>
          <w:tcPr>
            <w:tcW w:w="1614" w:type="pct"/>
            <w:tcBorders>
              <w:top w:val="single" w:sz="8" w:space="0" w:color="auto"/>
              <w:left w:val="nil"/>
              <w:bottom w:val="single" w:sz="8" w:space="0" w:color="auto"/>
              <w:right w:val="single" w:sz="8" w:space="0" w:color="auto"/>
            </w:tcBorders>
            <w:vAlign w:val="center"/>
          </w:tcPr>
          <w:p w14:paraId="4AAD56FC" w14:textId="77777777" w:rsidR="00B12117" w:rsidRPr="007F7690" w:rsidRDefault="00B12117" w:rsidP="00CE6B5A">
            <w:pPr>
              <w:jc w:val="center"/>
              <w:rPr>
                <w:rFonts w:cs="Arial"/>
                <w:color w:val="000000"/>
              </w:rPr>
            </w:pPr>
            <w:r>
              <w:rPr>
                <w:rFonts w:cs="Arial"/>
                <w:color w:val="000000"/>
              </w:rPr>
              <w:t>$20.36M</w:t>
            </w:r>
          </w:p>
        </w:tc>
      </w:tr>
      <w:tr w:rsidR="00B12117" w:rsidRPr="00583C80" w14:paraId="7BF5414E" w14:textId="77777777" w:rsidTr="00CE6B5A">
        <w:trPr>
          <w:trHeight w:val="315"/>
          <w:jc w:val="center"/>
        </w:trPr>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44FE7B1E" w14:textId="77777777" w:rsidR="00B12117" w:rsidRPr="00984EB9" w:rsidRDefault="00B12117" w:rsidP="00CE6B5A">
            <w:pPr>
              <w:jc w:val="center"/>
              <w:rPr>
                <w:rFonts w:cs="Arial"/>
                <w:color w:val="000000"/>
              </w:rPr>
            </w:pPr>
            <w:r w:rsidRPr="00984EB9">
              <w:rPr>
                <w:rFonts w:cs="Arial"/>
                <w:color w:val="000000"/>
              </w:rPr>
              <w:t>2</w:t>
            </w:r>
            <w:r>
              <w:rPr>
                <w:rFonts w:cs="Arial"/>
                <w:color w:val="000000"/>
              </w:rPr>
              <w:t>023</w:t>
            </w:r>
          </w:p>
        </w:tc>
        <w:tc>
          <w:tcPr>
            <w:tcW w:w="1448" w:type="pct"/>
            <w:tcBorders>
              <w:top w:val="single" w:sz="8" w:space="0" w:color="auto"/>
              <w:left w:val="nil"/>
              <w:bottom w:val="single" w:sz="8" w:space="0" w:color="auto"/>
              <w:right w:val="single" w:sz="8" w:space="0" w:color="auto"/>
            </w:tcBorders>
            <w:shd w:val="clear" w:color="auto" w:fill="auto"/>
            <w:noWrap/>
            <w:vAlign w:val="center"/>
          </w:tcPr>
          <w:p w14:paraId="71C606FC" w14:textId="77777777" w:rsidR="00B12117" w:rsidRPr="007F7690" w:rsidRDefault="00B12117" w:rsidP="00CE6B5A">
            <w:pPr>
              <w:jc w:val="center"/>
              <w:rPr>
                <w:rFonts w:cs="Arial"/>
                <w:color w:val="000000"/>
              </w:rPr>
            </w:pPr>
            <w:r>
              <w:rPr>
                <w:rFonts w:cs="Arial"/>
                <w:color w:val="000000"/>
              </w:rPr>
              <w:t>$22.63M</w:t>
            </w:r>
          </w:p>
        </w:tc>
        <w:tc>
          <w:tcPr>
            <w:tcW w:w="790" w:type="pct"/>
            <w:tcBorders>
              <w:top w:val="single" w:sz="8" w:space="0" w:color="auto"/>
              <w:left w:val="nil"/>
              <w:bottom w:val="single" w:sz="8" w:space="0" w:color="auto"/>
              <w:right w:val="single" w:sz="8" w:space="0" w:color="auto"/>
            </w:tcBorders>
            <w:vAlign w:val="center"/>
          </w:tcPr>
          <w:p w14:paraId="5506F0A0" w14:textId="77777777" w:rsidR="00B12117" w:rsidRPr="007F7690" w:rsidRDefault="00B12117" w:rsidP="00CE6B5A">
            <w:pPr>
              <w:jc w:val="center"/>
              <w:rPr>
                <w:rFonts w:cs="Arial"/>
                <w:color w:val="000000"/>
              </w:rPr>
            </w:pPr>
            <w:r>
              <w:rPr>
                <w:rFonts w:cs="Arial"/>
                <w:color w:val="000000"/>
              </w:rPr>
              <w:t>$1.21M</w:t>
            </w:r>
          </w:p>
        </w:tc>
        <w:tc>
          <w:tcPr>
            <w:tcW w:w="770" w:type="pct"/>
            <w:tcBorders>
              <w:top w:val="single" w:sz="8" w:space="0" w:color="auto"/>
              <w:left w:val="nil"/>
              <w:bottom w:val="single" w:sz="8" w:space="0" w:color="auto"/>
              <w:right w:val="single" w:sz="8" w:space="0" w:color="auto"/>
            </w:tcBorders>
            <w:vAlign w:val="center"/>
          </w:tcPr>
          <w:p w14:paraId="064A065E" w14:textId="77777777" w:rsidR="00B12117" w:rsidRPr="007F7690" w:rsidRDefault="00B12117" w:rsidP="00CE6B5A">
            <w:pPr>
              <w:jc w:val="center"/>
              <w:rPr>
                <w:rFonts w:cs="Arial"/>
                <w:color w:val="000000"/>
              </w:rPr>
            </w:pPr>
          </w:p>
        </w:tc>
        <w:tc>
          <w:tcPr>
            <w:tcW w:w="1614" w:type="pct"/>
            <w:tcBorders>
              <w:top w:val="single" w:sz="8" w:space="0" w:color="auto"/>
              <w:left w:val="nil"/>
              <w:bottom w:val="single" w:sz="8" w:space="0" w:color="auto"/>
              <w:right w:val="single" w:sz="8" w:space="0" w:color="auto"/>
            </w:tcBorders>
            <w:vAlign w:val="center"/>
          </w:tcPr>
          <w:p w14:paraId="60E2E843" w14:textId="77777777" w:rsidR="00B12117" w:rsidRPr="007F7690" w:rsidRDefault="00B12117" w:rsidP="00CE6B5A">
            <w:pPr>
              <w:jc w:val="center"/>
              <w:rPr>
                <w:rFonts w:cs="Arial"/>
                <w:color w:val="000000"/>
              </w:rPr>
            </w:pPr>
            <w:r>
              <w:rPr>
                <w:rFonts w:cs="Arial"/>
                <w:color w:val="000000"/>
              </w:rPr>
              <w:t>$23.84M</w:t>
            </w:r>
          </w:p>
        </w:tc>
      </w:tr>
    </w:tbl>
    <w:p w14:paraId="5BB45E24" w14:textId="70C5759F" w:rsidR="00B12117" w:rsidRDefault="00B12117" w:rsidP="00636271">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6984D114" w14:textId="5C377E8C" w:rsidR="00B12117" w:rsidRDefault="2315FA41" w:rsidP="005A0820">
      <w:pPr>
        <w:pStyle w:val="p7"/>
        <w:widowControl/>
        <w:tabs>
          <w:tab w:val="clear" w:pos="1133"/>
          <w:tab w:val="left" w:pos="720"/>
          <w:tab w:val="left" w:pos="1350"/>
          <w:tab w:val="left" w:pos="1440"/>
          <w:tab w:val="left" w:pos="1530"/>
        </w:tabs>
        <w:spacing w:line="360" w:lineRule="auto"/>
        <w:ind w:left="0" w:firstLine="720"/>
        <w:rPr>
          <w:sz w:val="26"/>
          <w:szCs w:val="26"/>
        </w:rPr>
      </w:pPr>
      <w:r w:rsidRPr="2315FA41">
        <w:rPr>
          <w:sz w:val="26"/>
          <w:szCs w:val="26"/>
        </w:rPr>
        <w:t xml:space="preserve">PAWC-WD notes that some quantities may change depending on the results of the sewer system evaluations and engineering studies.  PAWC-WD maintains that costs may vary depending on whether a replacement or rehabilitation method was selected during the final design.  For example, PAWC-WD notes that competitive bid prices for gravity replacement varied with </w:t>
      </w:r>
      <w:r w:rsidR="0077315B">
        <w:rPr>
          <w:sz w:val="26"/>
          <w:szCs w:val="26"/>
        </w:rPr>
        <w:t xml:space="preserve">the </w:t>
      </w:r>
      <w:r w:rsidRPr="2315FA41">
        <w:rPr>
          <w:sz w:val="26"/>
          <w:szCs w:val="26"/>
        </w:rPr>
        <w:t>depth of pipe and diameter, so an average depth and diameter was assumed to generate a projected cos</w:t>
      </w:r>
      <w:r w:rsidR="0077315B">
        <w:rPr>
          <w:sz w:val="26"/>
          <w:szCs w:val="26"/>
        </w:rPr>
        <w:t>t.</w:t>
      </w:r>
      <w:r w:rsidRPr="2315FA41">
        <w:rPr>
          <w:sz w:val="26"/>
          <w:szCs w:val="26"/>
        </w:rPr>
        <w:t xml:space="preserve">  PAWC-WD states that its annual expenditures may be subject to periodic fluctuation due to larger wastewater upgrades associated with regulatory compliance</w:t>
      </w:r>
      <w:r w:rsidR="001602E3">
        <w:rPr>
          <w:sz w:val="26"/>
          <w:szCs w:val="26"/>
        </w:rPr>
        <w:t xml:space="preserve">, so those upgrades association with regulatory compliance have </w:t>
      </w:r>
      <w:r w:rsidRPr="2315FA41">
        <w:rPr>
          <w:sz w:val="26"/>
          <w:szCs w:val="26"/>
        </w:rPr>
        <w:t>been listed separately.  PAWC-WD maintains that for all projects, the most prudent and cost-effective method will be selected.  PAWC-WD states that it uses competitive bidding to ensure all major capital projects are completed in a cost-effective manner.</w:t>
      </w:r>
    </w:p>
    <w:p w14:paraId="28D8581E" w14:textId="77777777" w:rsidR="005A077A" w:rsidRDefault="005A077A" w:rsidP="005A0820">
      <w:pPr>
        <w:pStyle w:val="p7"/>
        <w:widowControl/>
        <w:tabs>
          <w:tab w:val="clear" w:pos="1133"/>
          <w:tab w:val="left" w:pos="720"/>
          <w:tab w:val="left" w:pos="1350"/>
          <w:tab w:val="left" w:pos="1440"/>
          <w:tab w:val="left" w:pos="1530"/>
        </w:tabs>
        <w:spacing w:line="360" w:lineRule="auto"/>
        <w:ind w:left="0" w:firstLine="720"/>
        <w:rPr>
          <w:sz w:val="26"/>
          <w:szCs w:val="26"/>
        </w:rPr>
      </w:pPr>
    </w:p>
    <w:p w14:paraId="010E12E3" w14:textId="1F264DBC" w:rsidR="00222E8A" w:rsidRDefault="001602E3" w:rsidP="005A077A">
      <w:pPr>
        <w:pStyle w:val="p7"/>
        <w:widowControl/>
        <w:tabs>
          <w:tab w:val="clear" w:pos="782"/>
          <w:tab w:val="clear" w:pos="1133"/>
          <w:tab w:val="left" w:pos="1350"/>
          <w:tab w:val="left" w:pos="1440"/>
          <w:tab w:val="left" w:pos="1530"/>
        </w:tabs>
        <w:spacing w:line="360" w:lineRule="auto"/>
        <w:ind w:left="0" w:firstLine="720"/>
        <w:rPr>
          <w:sz w:val="26"/>
          <w:szCs w:val="26"/>
        </w:rPr>
      </w:pPr>
      <w:r>
        <w:rPr>
          <w:sz w:val="26"/>
          <w:szCs w:val="26"/>
        </w:rPr>
        <w:t>PAWC-WD notes</w:t>
      </w:r>
      <w:r w:rsidR="005A077A">
        <w:rPr>
          <w:sz w:val="26"/>
          <w:szCs w:val="26"/>
        </w:rPr>
        <w:t xml:space="preserve"> that p</w:t>
      </w:r>
      <w:r w:rsidR="00B12117" w:rsidRPr="007A7F17">
        <w:rPr>
          <w:sz w:val="26"/>
          <w:szCs w:val="26"/>
        </w:rPr>
        <w:t>ursuant</w:t>
      </w:r>
      <w:r w:rsidR="00B12117" w:rsidRPr="00B12117">
        <w:rPr>
          <w:sz w:val="26"/>
          <w:szCs w:val="26"/>
        </w:rPr>
        <w:t xml:space="preserve"> to Ordering Paragraph 7 of the Commission’s October 26, 2017 Order </w:t>
      </w:r>
      <w:r w:rsidR="0077315B">
        <w:rPr>
          <w:sz w:val="26"/>
          <w:szCs w:val="26"/>
        </w:rPr>
        <w:t xml:space="preserve">at </w:t>
      </w:r>
      <w:r w:rsidR="00B12117" w:rsidRPr="00B12117">
        <w:rPr>
          <w:sz w:val="26"/>
          <w:szCs w:val="26"/>
        </w:rPr>
        <w:t>Docket No. A-2017-2606103</w:t>
      </w:r>
      <w:r w:rsidR="0077315B">
        <w:rPr>
          <w:sz w:val="26"/>
          <w:szCs w:val="26"/>
        </w:rPr>
        <w:t xml:space="preserve"> (2017 Order)</w:t>
      </w:r>
      <w:r w:rsidR="00B12117" w:rsidRPr="00B12117">
        <w:rPr>
          <w:sz w:val="26"/>
          <w:szCs w:val="26"/>
        </w:rPr>
        <w:t xml:space="preserve">, </w:t>
      </w:r>
      <w:r w:rsidR="00384FA9">
        <w:rPr>
          <w:sz w:val="26"/>
          <w:szCs w:val="26"/>
        </w:rPr>
        <w:t>PAWC-WD</w:t>
      </w:r>
      <w:r w:rsidR="00B12117" w:rsidRPr="00B12117">
        <w:rPr>
          <w:sz w:val="26"/>
          <w:szCs w:val="26"/>
        </w:rPr>
        <w:t xml:space="preserve"> may collect a DSIC related to the McKeesport system prior to the first base rate case in which the McKeesport system’s plant-in-service is incorporated into </w:t>
      </w:r>
      <w:r w:rsidR="00384FA9">
        <w:rPr>
          <w:sz w:val="26"/>
          <w:szCs w:val="26"/>
        </w:rPr>
        <w:t>PAWC-WD</w:t>
      </w:r>
      <w:r w:rsidR="00B12117" w:rsidRPr="00B12117">
        <w:rPr>
          <w:sz w:val="26"/>
          <w:szCs w:val="26"/>
        </w:rPr>
        <w:t xml:space="preserve">’s rate base, subject to </w:t>
      </w:r>
      <w:r>
        <w:rPr>
          <w:sz w:val="26"/>
          <w:szCs w:val="26"/>
        </w:rPr>
        <w:t>3</w:t>
      </w:r>
      <w:r w:rsidR="00B12117" w:rsidRPr="00B12117">
        <w:rPr>
          <w:sz w:val="26"/>
          <w:szCs w:val="26"/>
        </w:rPr>
        <w:t xml:space="preserve"> conditions.  </w:t>
      </w:r>
      <w:r w:rsidR="00034014">
        <w:rPr>
          <w:sz w:val="26"/>
          <w:szCs w:val="26"/>
        </w:rPr>
        <w:t>PAWC-WD notes that though the filing of the Modified LTIIP, t</w:t>
      </w:r>
      <w:r w:rsidR="00B12117" w:rsidRPr="00B12117">
        <w:rPr>
          <w:sz w:val="26"/>
          <w:szCs w:val="26"/>
        </w:rPr>
        <w:t>he first of those conditions (</w:t>
      </w:r>
      <w:r w:rsidR="0077315B">
        <w:rPr>
          <w:sz w:val="26"/>
          <w:szCs w:val="26"/>
        </w:rPr>
        <w:t>2017 O</w:t>
      </w:r>
      <w:r w:rsidR="00E77CFE">
        <w:rPr>
          <w:sz w:val="26"/>
          <w:szCs w:val="26"/>
        </w:rPr>
        <w:t>r</w:t>
      </w:r>
      <w:r w:rsidR="0077315B">
        <w:rPr>
          <w:sz w:val="26"/>
          <w:szCs w:val="26"/>
        </w:rPr>
        <w:t>der</w:t>
      </w:r>
      <w:r w:rsidR="00135AEE">
        <w:rPr>
          <w:sz w:val="26"/>
          <w:szCs w:val="26"/>
        </w:rPr>
        <w:t>,</w:t>
      </w:r>
      <w:r w:rsidR="0077315B">
        <w:rPr>
          <w:sz w:val="26"/>
          <w:szCs w:val="26"/>
        </w:rPr>
        <w:t xml:space="preserve"> </w:t>
      </w:r>
      <w:r w:rsidR="00B12117" w:rsidRPr="00B12117">
        <w:rPr>
          <w:sz w:val="26"/>
          <w:szCs w:val="26"/>
        </w:rPr>
        <w:t xml:space="preserve">Ordering Paragraph 7(a)) is </w:t>
      </w:r>
      <w:r w:rsidR="00034014">
        <w:rPr>
          <w:sz w:val="26"/>
          <w:szCs w:val="26"/>
        </w:rPr>
        <w:t>satisfied</w:t>
      </w:r>
      <w:r w:rsidR="00B12117" w:rsidRPr="00B12117">
        <w:rPr>
          <w:sz w:val="26"/>
          <w:szCs w:val="26"/>
        </w:rPr>
        <w:t xml:space="preserve"> because the</w:t>
      </w:r>
      <w:r w:rsidR="00600A36">
        <w:rPr>
          <w:sz w:val="26"/>
          <w:szCs w:val="26"/>
        </w:rPr>
        <w:t xml:space="preserve"> Modified</w:t>
      </w:r>
      <w:r w:rsidR="00B12117" w:rsidRPr="00B12117">
        <w:rPr>
          <w:sz w:val="26"/>
          <w:szCs w:val="26"/>
        </w:rPr>
        <w:t xml:space="preserve"> LTIIP does not re-prioritize other existing commitments in other service areas.   </w:t>
      </w:r>
      <w:r w:rsidR="00034014">
        <w:rPr>
          <w:sz w:val="26"/>
          <w:szCs w:val="26"/>
        </w:rPr>
        <w:t xml:space="preserve">The second condition (2017 Order, Ordering Paragraph 7(b)) would be met if the Modified LTIIP is approved.  The third condition (2017 Order, Ordering Paragraph 7(c)) </w:t>
      </w:r>
      <w:r w:rsidR="00034014">
        <w:rPr>
          <w:sz w:val="26"/>
          <w:szCs w:val="26"/>
        </w:rPr>
        <w:lastRenderedPageBreak/>
        <w:t xml:space="preserve">would be met if PAWC-WD </w:t>
      </w:r>
      <w:r w:rsidR="00034014" w:rsidRPr="00034014">
        <w:rPr>
          <w:sz w:val="26"/>
          <w:szCs w:val="26"/>
        </w:rPr>
        <w:t xml:space="preserve">files a compliance tariff supplement filing incorporating the McKeesport service territory into </w:t>
      </w:r>
      <w:r w:rsidR="00034014">
        <w:rPr>
          <w:sz w:val="26"/>
          <w:szCs w:val="26"/>
        </w:rPr>
        <w:t>PAWC-WD</w:t>
      </w:r>
      <w:r w:rsidR="00034014" w:rsidRPr="00034014">
        <w:rPr>
          <w:sz w:val="26"/>
          <w:szCs w:val="26"/>
        </w:rPr>
        <w:t>’s existing wastewater DSIC tariff provisions</w:t>
      </w:r>
      <w:r w:rsidR="00034014">
        <w:rPr>
          <w:sz w:val="26"/>
          <w:szCs w:val="26"/>
        </w:rPr>
        <w:t>.  PAWC-WD further notes that</w:t>
      </w:r>
      <w:r w:rsidR="00034014" w:rsidRPr="00034014">
        <w:rPr>
          <w:sz w:val="26"/>
          <w:szCs w:val="26"/>
        </w:rPr>
        <w:t xml:space="preserve"> </w:t>
      </w:r>
      <w:r w:rsidR="00034014">
        <w:rPr>
          <w:sz w:val="26"/>
          <w:szCs w:val="26"/>
        </w:rPr>
        <w:t>i</w:t>
      </w:r>
      <w:r w:rsidR="00B12117" w:rsidRPr="00B12117">
        <w:rPr>
          <w:sz w:val="26"/>
          <w:szCs w:val="26"/>
        </w:rPr>
        <w:t xml:space="preserve">n future LTIIP and AAOP filings, any changes in projected quantities or projected expenditures for the McKeesport system will be </w:t>
      </w:r>
      <w:r w:rsidR="00034014">
        <w:rPr>
          <w:sz w:val="26"/>
          <w:szCs w:val="26"/>
        </w:rPr>
        <w:t>based on an</w:t>
      </w:r>
      <w:r w:rsidR="00B12117" w:rsidRPr="00B12117">
        <w:rPr>
          <w:sz w:val="26"/>
          <w:szCs w:val="26"/>
        </w:rPr>
        <w:t xml:space="preserve"> </w:t>
      </w:r>
      <w:r w:rsidR="00034014">
        <w:rPr>
          <w:sz w:val="26"/>
          <w:szCs w:val="26"/>
        </w:rPr>
        <w:t xml:space="preserve">updated </w:t>
      </w:r>
      <w:r w:rsidR="00B12117" w:rsidRPr="00B12117">
        <w:rPr>
          <w:sz w:val="26"/>
          <w:szCs w:val="26"/>
        </w:rPr>
        <w:t>assessment</w:t>
      </w:r>
      <w:r w:rsidR="00034014">
        <w:rPr>
          <w:sz w:val="26"/>
          <w:szCs w:val="26"/>
        </w:rPr>
        <w:t xml:space="preserve"> of the condition of the McKeesport sy</w:t>
      </w:r>
      <w:r w:rsidR="004675A3">
        <w:rPr>
          <w:sz w:val="26"/>
          <w:szCs w:val="26"/>
        </w:rPr>
        <w:t>s</w:t>
      </w:r>
      <w:r w:rsidR="00034014">
        <w:rPr>
          <w:sz w:val="26"/>
          <w:szCs w:val="26"/>
        </w:rPr>
        <w:t>tem</w:t>
      </w:r>
      <w:r w:rsidR="00B12117" w:rsidRPr="00B12117">
        <w:rPr>
          <w:sz w:val="26"/>
          <w:szCs w:val="26"/>
        </w:rPr>
        <w:t xml:space="preserve"> and will not re-prioritize existing commitments in other service areas.</w:t>
      </w:r>
    </w:p>
    <w:p w14:paraId="0E82E97C" w14:textId="77777777" w:rsidR="00222E8A" w:rsidRDefault="00222E8A" w:rsidP="005A077A">
      <w:pPr>
        <w:pStyle w:val="p7"/>
        <w:widowControl/>
        <w:tabs>
          <w:tab w:val="clear" w:pos="782"/>
          <w:tab w:val="clear" w:pos="1133"/>
          <w:tab w:val="left" w:pos="1350"/>
          <w:tab w:val="left" w:pos="1440"/>
          <w:tab w:val="left" w:pos="1530"/>
        </w:tabs>
        <w:spacing w:line="360" w:lineRule="auto"/>
        <w:ind w:left="0" w:firstLine="720"/>
        <w:rPr>
          <w:sz w:val="26"/>
          <w:szCs w:val="26"/>
        </w:rPr>
      </w:pPr>
    </w:p>
    <w:p w14:paraId="403FDA2C" w14:textId="7A93EC37" w:rsidR="0077455C" w:rsidRDefault="00E13DC0" w:rsidP="005A077A">
      <w:pPr>
        <w:pStyle w:val="p7"/>
        <w:widowControl/>
        <w:tabs>
          <w:tab w:val="clear" w:pos="782"/>
          <w:tab w:val="clear" w:pos="1133"/>
          <w:tab w:val="left" w:pos="1350"/>
          <w:tab w:val="left" w:pos="1440"/>
          <w:tab w:val="left" w:pos="1530"/>
        </w:tabs>
        <w:spacing w:line="360" w:lineRule="auto"/>
        <w:ind w:left="0" w:firstLine="720"/>
        <w:rPr>
          <w:sz w:val="26"/>
          <w:szCs w:val="26"/>
        </w:rPr>
      </w:pPr>
      <w:r>
        <w:rPr>
          <w:sz w:val="26"/>
          <w:szCs w:val="26"/>
        </w:rPr>
        <w:t xml:space="preserve">  </w:t>
      </w:r>
      <w:r w:rsidR="2315FA41" w:rsidRPr="2315FA41">
        <w:rPr>
          <w:sz w:val="26"/>
          <w:szCs w:val="26"/>
        </w:rPr>
        <w:t xml:space="preserve"> </w:t>
      </w:r>
      <w:r w:rsidR="00600A36">
        <w:rPr>
          <w:sz w:val="26"/>
          <w:szCs w:val="26"/>
        </w:rPr>
        <w:t>PAWC-WD also notes that i</w:t>
      </w:r>
      <w:r w:rsidR="2315FA41" w:rsidRPr="2315FA41">
        <w:rPr>
          <w:sz w:val="26"/>
          <w:szCs w:val="26"/>
        </w:rPr>
        <w:t xml:space="preserve">f </w:t>
      </w:r>
      <w:r w:rsidR="0077315B">
        <w:rPr>
          <w:sz w:val="26"/>
          <w:szCs w:val="26"/>
        </w:rPr>
        <w:t xml:space="preserve">in future LTIIP and AAOP filings </w:t>
      </w:r>
      <w:r w:rsidR="2315FA41" w:rsidRPr="2315FA41">
        <w:rPr>
          <w:sz w:val="26"/>
          <w:szCs w:val="26"/>
        </w:rPr>
        <w:t>projected quantities or projected expenditures are higher for the McKeesport system and lower for other service areas than the projections in its approved LTIIP, PAWC-WD will include an explanation why the shift was appropriate and does not re-prioritize existing commitments in other service areas.  In addition, in future water and wastewater LTIIP and AAOP filings, if projected quantities or projected expenditures are higher for systems acquired under 66 Pa. C.S. §</w:t>
      </w:r>
      <w:r w:rsidR="0077315B">
        <w:rPr>
          <w:sz w:val="26"/>
          <w:szCs w:val="26"/>
        </w:rPr>
        <w:t> </w:t>
      </w:r>
      <w:r w:rsidR="2315FA41" w:rsidRPr="2315FA41">
        <w:rPr>
          <w:sz w:val="26"/>
          <w:szCs w:val="26"/>
        </w:rPr>
        <w:t xml:space="preserve">1329 and lower for other service areas – compared to its approved LTIIP – the Company will include an explanation why the shift was appropriate and does not re-prioritize existing commitments in other service areas.  </w:t>
      </w:r>
    </w:p>
    <w:p w14:paraId="4E9FF857" w14:textId="77777777" w:rsidR="0067162B" w:rsidRPr="00B96A25" w:rsidRDefault="0067162B" w:rsidP="00B96A25">
      <w:pPr>
        <w:pStyle w:val="p7"/>
        <w:widowControl/>
        <w:tabs>
          <w:tab w:val="clear" w:pos="1133"/>
          <w:tab w:val="left" w:pos="720"/>
          <w:tab w:val="left" w:pos="1350"/>
          <w:tab w:val="left" w:pos="1440"/>
          <w:tab w:val="left" w:pos="1530"/>
        </w:tabs>
        <w:spacing w:line="360" w:lineRule="auto"/>
        <w:ind w:left="0" w:firstLine="720"/>
        <w:rPr>
          <w:sz w:val="26"/>
          <w:szCs w:val="26"/>
          <w:highlight w:val="green"/>
        </w:rPr>
      </w:pPr>
    </w:p>
    <w:p w14:paraId="6CA1AE29"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11A3557B"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0"/>
        <w:rPr>
          <w:sz w:val="26"/>
          <w:szCs w:val="26"/>
        </w:rPr>
      </w:pPr>
    </w:p>
    <w:p w14:paraId="6F5E82B3" w14:textId="17E992B1" w:rsidR="0077455C" w:rsidRDefault="00E9692C" w:rsidP="00F51AE0">
      <w:pPr>
        <w:pStyle w:val="p7"/>
        <w:widowControl/>
        <w:tabs>
          <w:tab w:val="clear" w:pos="782"/>
          <w:tab w:val="clear" w:pos="1133"/>
          <w:tab w:val="left" w:pos="0"/>
          <w:tab w:val="left" w:pos="720"/>
        </w:tabs>
        <w:spacing w:line="360" w:lineRule="auto"/>
        <w:ind w:left="0" w:firstLine="720"/>
        <w:rPr>
          <w:iCs/>
          <w:sz w:val="26"/>
          <w:szCs w:val="26"/>
        </w:rPr>
      </w:pPr>
      <w:r w:rsidRPr="00A95E1D">
        <w:rPr>
          <w:iCs/>
          <w:sz w:val="26"/>
          <w:szCs w:val="26"/>
        </w:rPr>
        <w:t xml:space="preserve">No comments were received regarding the </w:t>
      </w:r>
      <w:r w:rsidR="00725BE4" w:rsidRPr="00A95E1D">
        <w:rPr>
          <w:iCs/>
          <w:sz w:val="26"/>
          <w:szCs w:val="26"/>
        </w:rPr>
        <w:t>reasonable estimates of the quantity</w:t>
      </w:r>
      <w:r w:rsidR="002A46AD" w:rsidRPr="00A95E1D">
        <w:rPr>
          <w:iCs/>
          <w:sz w:val="26"/>
          <w:szCs w:val="26"/>
        </w:rPr>
        <w:t xml:space="preserve"> or expenditures</w:t>
      </w:r>
      <w:r w:rsidR="00725BE4" w:rsidRPr="00A95E1D">
        <w:rPr>
          <w:iCs/>
          <w:sz w:val="26"/>
          <w:szCs w:val="26"/>
        </w:rPr>
        <w:t xml:space="preserve"> of property</w:t>
      </w:r>
      <w:r w:rsidR="00F96482" w:rsidRPr="00A95E1D">
        <w:rPr>
          <w:iCs/>
          <w:sz w:val="26"/>
          <w:szCs w:val="26"/>
        </w:rPr>
        <w:t xml:space="preserve"> to be improved</w:t>
      </w:r>
      <w:r w:rsidR="006D1529" w:rsidRPr="00A95E1D">
        <w:rPr>
          <w:iCs/>
          <w:sz w:val="26"/>
          <w:szCs w:val="26"/>
        </w:rPr>
        <w:t>, and</w:t>
      </w:r>
      <w:r w:rsidR="00F96482" w:rsidRPr="00A95E1D">
        <w:rPr>
          <w:iCs/>
          <w:sz w:val="26"/>
          <w:szCs w:val="26"/>
        </w:rPr>
        <w:t xml:space="preserve"> </w:t>
      </w:r>
      <w:r w:rsidR="006D1529" w:rsidRPr="00A95E1D">
        <w:rPr>
          <w:iCs/>
          <w:sz w:val="26"/>
          <w:szCs w:val="26"/>
        </w:rPr>
        <w:t>cost effectiveness of the plan</w:t>
      </w:r>
      <w:r w:rsidR="00F23616" w:rsidRPr="00A95E1D">
        <w:rPr>
          <w:iCs/>
          <w:sz w:val="26"/>
          <w:szCs w:val="26"/>
        </w:rPr>
        <w:t>.</w:t>
      </w:r>
    </w:p>
    <w:p w14:paraId="76AD4A25" w14:textId="77777777" w:rsidR="0077315B" w:rsidRPr="00F51AE0" w:rsidRDefault="0077315B" w:rsidP="00F51AE0">
      <w:pPr>
        <w:pStyle w:val="p7"/>
        <w:widowControl/>
        <w:tabs>
          <w:tab w:val="clear" w:pos="782"/>
          <w:tab w:val="clear" w:pos="1133"/>
          <w:tab w:val="left" w:pos="0"/>
          <w:tab w:val="left" w:pos="720"/>
        </w:tabs>
        <w:spacing w:line="360" w:lineRule="auto"/>
        <w:ind w:left="0" w:firstLine="720"/>
        <w:rPr>
          <w:iCs/>
          <w:sz w:val="26"/>
          <w:szCs w:val="26"/>
        </w:rPr>
      </w:pPr>
    </w:p>
    <w:p w14:paraId="17C90BE2" w14:textId="77777777" w:rsidR="0077455C" w:rsidRPr="00F54DF8" w:rsidRDefault="2315FA41"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2315FA41">
        <w:rPr>
          <w:b/>
          <w:bCs/>
          <w:sz w:val="26"/>
          <w:szCs w:val="26"/>
        </w:rPr>
        <w:t>Resolution</w:t>
      </w:r>
    </w:p>
    <w:p w14:paraId="1D5B3109" w14:textId="20AD2720" w:rsidR="2315FA41" w:rsidRDefault="2315FA41" w:rsidP="2315FA41">
      <w:pPr>
        <w:pStyle w:val="p7"/>
        <w:spacing w:line="360" w:lineRule="auto"/>
        <w:ind w:left="0" w:firstLine="0"/>
        <w:rPr>
          <w:sz w:val="26"/>
          <w:szCs w:val="26"/>
        </w:rPr>
      </w:pPr>
    </w:p>
    <w:p w14:paraId="358AABA6" w14:textId="394B1381" w:rsidR="008979CB" w:rsidRDefault="2315FA41" w:rsidP="00CA0C10">
      <w:pPr>
        <w:pStyle w:val="p2"/>
        <w:widowControl/>
        <w:spacing w:line="360" w:lineRule="auto"/>
        <w:ind w:firstLine="720"/>
        <w:rPr>
          <w:sz w:val="26"/>
          <w:szCs w:val="26"/>
        </w:rPr>
      </w:pPr>
      <w:r w:rsidRPr="2315FA41">
        <w:rPr>
          <w:sz w:val="26"/>
          <w:szCs w:val="26"/>
        </w:rPr>
        <w:t xml:space="preserve">Upon review of PAWC-WD’s Modified LTIIP, as amended, and any supplemental information filed, the Commission finds that PAWC-WD’s Modified LTIIP fulfills the requirements of 52 Pa. Code §§ 121.3(a)(4)-(5) by providing reasonable estimates of the quantity of property to be improved and the projected annual expenditures and means to finance the expenditures and ensure cost effectiveness.   </w:t>
      </w:r>
    </w:p>
    <w:p w14:paraId="15475F07" w14:textId="77777777" w:rsidR="0077315B" w:rsidRDefault="0077315B" w:rsidP="00CA0C10">
      <w:pPr>
        <w:pStyle w:val="p2"/>
        <w:widowControl/>
        <w:spacing w:line="360" w:lineRule="auto"/>
        <w:ind w:firstLine="720"/>
        <w:rPr>
          <w:sz w:val="26"/>
          <w:szCs w:val="26"/>
        </w:rPr>
      </w:pPr>
    </w:p>
    <w:p w14:paraId="48186F48" w14:textId="250D4BF2" w:rsidR="00992684" w:rsidRDefault="00992684" w:rsidP="00992684">
      <w:pPr>
        <w:pStyle w:val="p2"/>
        <w:spacing w:line="360" w:lineRule="auto"/>
        <w:ind w:firstLine="720"/>
        <w:rPr>
          <w:b/>
          <w:sz w:val="26"/>
          <w:szCs w:val="26"/>
        </w:rPr>
      </w:pPr>
      <w:r w:rsidRPr="00992684">
        <w:rPr>
          <w:b/>
          <w:sz w:val="26"/>
          <w:szCs w:val="26"/>
        </w:rPr>
        <w:t>(6</w:t>
      </w:r>
      <w:r w:rsidR="006D1529" w:rsidRPr="00992684">
        <w:rPr>
          <w:b/>
          <w:sz w:val="26"/>
          <w:szCs w:val="26"/>
        </w:rPr>
        <w:t>) ACCELERATED REPLACEMENT AND MAINTAINING ADEQUATE, EFFICIENT, SAFE, RELIABLE AND REASONABLE SERVICE TO CUSTOMERS</w:t>
      </w:r>
    </w:p>
    <w:p w14:paraId="2CD4DDC6" w14:textId="77777777" w:rsidR="00AB66AE" w:rsidRDefault="00AB66AE" w:rsidP="008979CB">
      <w:pPr>
        <w:pStyle w:val="p2"/>
        <w:spacing w:line="360" w:lineRule="auto"/>
        <w:ind w:firstLine="0"/>
        <w:rPr>
          <w:b/>
          <w:sz w:val="26"/>
          <w:szCs w:val="26"/>
        </w:rPr>
      </w:pPr>
    </w:p>
    <w:p w14:paraId="7015B9C1" w14:textId="493D4A24" w:rsidR="00844BEA" w:rsidRDefault="2315FA41" w:rsidP="2315FA41">
      <w:pPr>
        <w:pStyle w:val="p2"/>
        <w:spacing w:line="360" w:lineRule="auto"/>
        <w:ind w:firstLine="0"/>
        <w:rPr>
          <w:b/>
          <w:bCs/>
          <w:sz w:val="26"/>
          <w:szCs w:val="26"/>
        </w:rPr>
      </w:pPr>
      <w:r w:rsidRPr="2315FA41">
        <w:rPr>
          <w:b/>
          <w:bCs/>
          <w:sz w:val="26"/>
          <w:szCs w:val="26"/>
        </w:rPr>
        <w:t>PAWC-WD’s Position</w:t>
      </w:r>
    </w:p>
    <w:p w14:paraId="67DC8E80" w14:textId="320812FF" w:rsidR="00ED7DFF" w:rsidRDefault="00ED7DFF" w:rsidP="00992684">
      <w:pPr>
        <w:pStyle w:val="p2"/>
        <w:spacing w:line="360" w:lineRule="auto"/>
        <w:ind w:firstLine="720"/>
        <w:rPr>
          <w:b/>
          <w:sz w:val="26"/>
          <w:szCs w:val="26"/>
        </w:rPr>
      </w:pPr>
    </w:p>
    <w:p w14:paraId="7ACD7C47" w14:textId="4D595061" w:rsidR="00F954CE" w:rsidRDefault="2315FA41" w:rsidP="2315FA41">
      <w:pPr>
        <w:pStyle w:val="p2"/>
        <w:spacing w:line="360" w:lineRule="auto"/>
        <w:ind w:firstLine="720"/>
        <w:rPr>
          <w:sz w:val="26"/>
          <w:szCs w:val="26"/>
        </w:rPr>
      </w:pPr>
      <w:r w:rsidRPr="2315FA41">
        <w:rPr>
          <w:sz w:val="26"/>
          <w:szCs w:val="26"/>
        </w:rPr>
        <w:t>PAWC-WD maintains that it has continuously invested in its wastewater infrastructure to maintain safe, reliable service to its customers.  PAWC-WD proposes to increase non-regulatory wastewater DSIC eligible spending</w:t>
      </w:r>
      <w:r>
        <w:t xml:space="preserve"> </w:t>
      </w:r>
      <w:r w:rsidRPr="2315FA41">
        <w:rPr>
          <w:sz w:val="26"/>
          <w:szCs w:val="26"/>
        </w:rPr>
        <w:t xml:space="preserve">from 2019 </w:t>
      </w:r>
      <w:r w:rsidR="00D35276">
        <w:rPr>
          <w:sz w:val="26"/>
          <w:szCs w:val="26"/>
        </w:rPr>
        <w:t>through</w:t>
      </w:r>
      <w:r w:rsidRPr="2315FA41">
        <w:rPr>
          <w:sz w:val="26"/>
          <w:szCs w:val="26"/>
        </w:rPr>
        <w:t xml:space="preserve"> 2023, to over $20 million annually in order to continue making necessary improvements at an accelerated pace.  PAWC-WD notes that the proposed spending for 2019 to 2023 represents a 159</w:t>
      </w:r>
      <w:r w:rsidR="00D35276">
        <w:rPr>
          <w:sz w:val="26"/>
          <w:szCs w:val="26"/>
        </w:rPr>
        <w:t xml:space="preserve">% </w:t>
      </w:r>
      <w:r w:rsidRPr="2315FA41">
        <w:rPr>
          <w:sz w:val="26"/>
          <w:szCs w:val="26"/>
        </w:rPr>
        <w:t>increase in wastewater DSIC spending, excluding regulatory driven projects.</w:t>
      </w:r>
    </w:p>
    <w:p w14:paraId="1506C403" w14:textId="3F9A6EF2" w:rsidR="002C4797" w:rsidRDefault="002C4797" w:rsidP="2315FA41">
      <w:pPr>
        <w:pStyle w:val="p2"/>
        <w:spacing w:line="360" w:lineRule="auto"/>
        <w:ind w:firstLine="720"/>
        <w:rPr>
          <w:sz w:val="26"/>
          <w:szCs w:val="26"/>
        </w:rPr>
      </w:pPr>
    </w:p>
    <w:p w14:paraId="229F1B2C" w14:textId="25C36B21" w:rsidR="002C4797" w:rsidRDefault="2315FA41" w:rsidP="2315FA41">
      <w:pPr>
        <w:pStyle w:val="p2"/>
        <w:spacing w:line="360" w:lineRule="auto"/>
        <w:ind w:firstLine="720"/>
        <w:rPr>
          <w:sz w:val="26"/>
          <w:szCs w:val="26"/>
        </w:rPr>
      </w:pPr>
      <w:r w:rsidRPr="2315FA41">
        <w:rPr>
          <w:sz w:val="26"/>
          <w:szCs w:val="26"/>
        </w:rPr>
        <w:t xml:space="preserve">PAWC-WD notes that I&amp;I has been reduced in several areas since the Wastewater DSIC rate mechanism was implemented.  </w:t>
      </w:r>
      <w:r w:rsidR="00D35276">
        <w:rPr>
          <w:sz w:val="26"/>
          <w:szCs w:val="26"/>
        </w:rPr>
        <w:t xml:space="preserve">However, PAWC-WD did not provide detailed information on I&amp;I on a per system or system-wide basis.  </w:t>
      </w:r>
    </w:p>
    <w:p w14:paraId="464ED2A6" w14:textId="58F40245" w:rsidR="00BC1BCE" w:rsidRDefault="00BC1BCE" w:rsidP="00BC1BCE">
      <w:pPr>
        <w:pStyle w:val="p2"/>
        <w:spacing w:line="360" w:lineRule="auto"/>
        <w:ind w:firstLine="720"/>
        <w:rPr>
          <w:bCs/>
          <w:sz w:val="26"/>
          <w:szCs w:val="26"/>
        </w:rPr>
      </w:pPr>
    </w:p>
    <w:p w14:paraId="2407F459" w14:textId="7815B352" w:rsidR="00BC1BCE" w:rsidRDefault="00600A36" w:rsidP="2315FA41">
      <w:pPr>
        <w:pStyle w:val="p2"/>
        <w:spacing w:line="360" w:lineRule="auto"/>
        <w:ind w:firstLine="720"/>
        <w:rPr>
          <w:sz w:val="26"/>
          <w:szCs w:val="26"/>
        </w:rPr>
      </w:pPr>
      <w:r>
        <w:rPr>
          <w:sz w:val="26"/>
          <w:szCs w:val="26"/>
        </w:rPr>
        <w:t xml:space="preserve">In supplemental </w:t>
      </w:r>
      <w:r w:rsidR="00D35276">
        <w:rPr>
          <w:sz w:val="26"/>
          <w:szCs w:val="26"/>
        </w:rPr>
        <w:t>information filed</w:t>
      </w:r>
      <w:r w:rsidR="2315FA41" w:rsidRPr="2315FA41">
        <w:rPr>
          <w:sz w:val="26"/>
          <w:szCs w:val="26"/>
        </w:rPr>
        <w:t xml:space="preserve">, </w:t>
      </w:r>
      <w:r>
        <w:rPr>
          <w:sz w:val="26"/>
          <w:szCs w:val="26"/>
        </w:rPr>
        <w:t xml:space="preserve">PAWC-WD </w:t>
      </w:r>
      <w:r w:rsidR="2315FA41" w:rsidRPr="2315FA41">
        <w:rPr>
          <w:sz w:val="26"/>
          <w:szCs w:val="26"/>
        </w:rPr>
        <w:t xml:space="preserve">provided information </w:t>
      </w:r>
      <w:r w:rsidR="00D35276">
        <w:rPr>
          <w:sz w:val="26"/>
          <w:szCs w:val="26"/>
        </w:rPr>
        <w:t xml:space="preserve">in </w:t>
      </w:r>
      <w:r w:rsidR="2315FA41" w:rsidRPr="2315FA41">
        <w:rPr>
          <w:sz w:val="26"/>
          <w:szCs w:val="26"/>
        </w:rPr>
        <w:t xml:space="preserve">a table </w:t>
      </w:r>
      <w:r w:rsidR="00D35276">
        <w:rPr>
          <w:sz w:val="26"/>
          <w:szCs w:val="26"/>
        </w:rPr>
        <w:t xml:space="preserve">that details </w:t>
      </w:r>
      <w:r w:rsidR="2315FA41" w:rsidRPr="2315FA41">
        <w:rPr>
          <w:sz w:val="26"/>
          <w:szCs w:val="26"/>
        </w:rPr>
        <w:t>historic annual DSIC-eligible expenditures in each district, from 2015 through 2019</w:t>
      </w:r>
      <w:r w:rsidR="00D35276">
        <w:rPr>
          <w:sz w:val="26"/>
          <w:szCs w:val="26"/>
        </w:rPr>
        <w:t>,</w:t>
      </w:r>
      <w:r w:rsidR="2315FA41" w:rsidRPr="2315FA41">
        <w:rPr>
          <w:sz w:val="26"/>
          <w:szCs w:val="26"/>
        </w:rPr>
        <w:t xml:space="preserve"> and contains a summary of historic annual replacement for DSIC-eligible categories of plant for 2015 through 2018 by district.</w:t>
      </w:r>
      <w:r w:rsidR="00D35276">
        <w:rPr>
          <w:sz w:val="26"/>
          <w:szCs w:val="26"/>
        </w:rPr>
        <w:t xml:space="preserve">  Table 6, below, provides the overall historical </w:t>
      </w:r>
      <w:r w:rsidR="00D0134C">
        <w:rPr>
          <w:sz w:val="26"/>
          <w:szCs w:val="26"/>
        </w:rPr>
        <w:t>expenditures</w:t>
      </w:r>
      <w:r w:rsidR="00D35276">
        <w:rPr>
          <w:sz w:val="26"/>
          <w:szCs w:val="26"/>
        </w:rPr>
        <w:t>.</w:t>
      </w:r>
    </w:p>
    <w:p w14:paraId="1DEE6409" w14:textId="5D806FA8" w:rsidR="00D35276" w:rsidRDefault="00D35276" w:rsidP="2315FA41">
      <w:pPr>
        <w:pStyle w:val="p2"/>
        <w:spacing w:line="360" w:lineRule="auto"/>
        <w:ind w:firstLine="720"/>
        <w:rPr>
          <w:sz w:val="26"/>
          <w:szCs w:val="26"/>
        </w:rPr>
      </w:pPr>
    </w:p>
    <w:p w14:paraId="23485753" w14:textId="294AD615" w:rsidR="00D35276" w:rsidRDefault="00D35276" w:rsidP="2315FA41">
      <w:pPr>
        <w:pStyle w:val="p2"/>
        <w:spacing w:line="360" w:lineRule="auto"/>
        <w:ind w:firstLine="720"/>
        <w:rPr>
          <w:sz w:val="26"/>
          <w:szCs w:val="26"/>
        </w:rPr>
      </w:pPr>
    </w:p>
    <w:p w14:paraId="3703AFAF" w14:textId="23778E10" w:rsidR="00D35276" w:rsidRDefault="00D35276" w:rsidP="2315FA41">
      <w:pPr>
        <w:pStyle w:val="p2"/>
        <w:spacing w:line="360" w:lineRule="auto"/>
        <w:ind w:firstLine="720"/>
        <w:rPr>
          <w:sz w:val="26"/>
          <w:szCs w:val="26"/>
        </w:rPr>
      </w:pPr>
    </w:p>
    <w:p w14:paraId="38D93322" w14:textId="77777777" w:rsidR="004F77F1" w:rsidRDefault="004F77F1" w:rsidP="00B10556">
      <w:pPr>
        <w:pStyle w:val="Caption"/>
        <w:keepNext/>
        <w:rPr>
          <w:rFonts w:ascii="Times New Roman" w:hAnsi="Times New Roman" w:cs="Times New Roman"/>
          <w:b/>
          <w:bCs/>
          <w:i w:val="0"/>
          <w:iCs w:val="0"/>
          <w:color w:val="auto"/>
          <w:sz w:val="26"/>
          <w:szCs w:val="26"/>
        </w:rPr>
      </w:pPr>
      <w:bookmarkStart w:id="8" w:name="_Ref527385215"/>
      <w:bookmarkStart w:id="9" w:name="_Ref527446360"/>
    </w:p>
    <w:p w14:paraId="61754003" w14:textId="2E5CCAB4" w:rsidR="00661A09" w:rsidRPr="00B10556" w:rsidRDefault="00F954CE" w:rsidP="00B10556">
      <w:pPr>
        <w:pStyle w:val="Caption"/>
        <w:keepNext/>
        <w:rPr>
          <w:rFonts w:ascii="Times New Roman" w:hAnsi="Times New Roman" w:cs="Times New Roman"/>
          <w:b/>
          <w:bCs/>
          <w:i w:val="0"/>
          <w:iCs w:val="0"/>
          <w:color w:val="auto"/>
          <w:sz w:val="26"/>
          <w:szCs w:val="26"/>
        </w:rPr>
      </w:pPr>
      <w:r w:rsidRPr="00F954CE">
        <w:rPr>
          <w:rFonts w:ascii="Times New Roman" w:hAnsi="Times New Roman" w:cs="Times New Roman"/>
          <w:b/>
          <w:bCs/>
          <w:i w:val="0"/>
          <w:iCs w:val="0"/>
          <w:color w:val="auto"/>
          <w:sz w:val="26"/>
          <w:szCs w:val="26"/>
        </w:rPr>
        <w:t xml:space="preserve">Table </w:t>
      </w:r>
      <w:bookmarkEnd w:id="8"/>
      <w:bookmarkEnd w:id="9"/>
      <w:r w:rsidR="002E2D2F">
        <w:rPr>
          <w:rFonts w:ascii="Times New Roman" w:hAnsi="Times New Roman" w:cs="Times New Roman"/>
          <w:b/>
          <w:bCs/>
          <w:i w:val="0"/>
          <w:iCs w:val="0"/>
          <w:noProof/>
          <w:color w:val="auto"/>
          <w:sz w:val="26"/>
          <w:szCs w:val="26"/>
        </w:rPr>
        <w:t>6</w:t>
      </w:r>
      <w:r w:rsidRPr="00F954CE">
        <w:rPr>
          <w:rFonts w:ascii="Times New Roman" w:hAnsi="Times New Roman" w:cs="Times New Roman"/>
          <w:b/>
          <w:bCs/>
          <w:i w:val="0"/>
          <w:iCs w:val="0"/>
          <w:color w:val="auto"/>
          <w:sz w:val="26"/>
          <w:szCs w:val="26"/>
        </w:rPr>
        <w:t xml:space="preserve"> - Historic Annual Wastewater DSIC Expenditures in millions</w:t>
      </w:r>
    </w:p>
    <w:p w14:paraId="3ED2CA2A" w14:textId="77777777" w:rsidR="00661A09" w:rsidRPr="00661A09" w:rsidRDefault="00661A09" w:rsidP="00661A09"/>
    <w:p w14:paraId="623AE126" w14:textId="77777777" w:rsidR="00BC1BCE" w:rsidRDefault="00BC1BCE" w:rsidP="00BC1BCE">
      <w:pPr>
        <w:rPr>
          <w:rFonts w:ascii="Calibri" w:hAnsi="Calibri"/>
        </w:rPr>
      </w:pPr>
      <w:r>
        <w:t>* Existing WW DSIC Qualified Districts</w:t>
      </w:r>
    </w:p>
    <w:tbl>
      <w:tblPr>
        <w:tblW w:w="7290" w:type="dxa"/>
        <w:tblInd w:w="2" w:type="dxa"/>
        <w:tblCellMar>
          <w:left w:w="0" w:type="dxa"/>
          <w:right w:w="0" w:type="dxa"/>
        </w:tblCellMar>
        <w:tblLook w:val="04A0" w:firstRow="1" w:lastRow="0" w:firstColumn="1" w:lastColumn="0" w:noHBand="0" w:noVBand="1"/>
      </w:tblPr>
      <w:tblGrid>
        <w:gridCol w:w="3645"/>
        <w:gridCol w:w="3645"/>
      </w:tblGrid>
      <w:tr w:rsidR="00BC1BCE" w14:paraId="6B77A9AB" w14:textId="77777777" w:rsidTr="00BC1BCE">
        <w:trPr>
          <w:trHeight w:val="617"/>
        </w:trPr>
        <w:tc>
          <w:tcPr>
            <w:tcW w:w="3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C6126" w14:textId="77777777" w:rsidR="00BC1BCE" w:rsidRDefault="00BC1BCE" w:rsidP="00805DE9">
            <w:pPr>
              <w:jc w:val="center"/>
              <w:rPr>
                <w:rFonts w:cs="Arial"/>
                <w:b/>
                <w:bCs/>
                <w:color w:val="000000"/>
              </w:rPr>
            </w:pPr>
            <w:r>
              <w:rPr>
                <w:rFonts w:cs="Arial"/>
                <w:b/>
                <w:bCs/>
                <w:color w:val="000000"/>
              </w:rPr>
              <w:t>Year</w:t>
            </w:r>
          </w:p>
        </w:tc>
        <w:tc>
          <w:tcPr>
            <w:tcW w:w="3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7A953" w14:textId="77777777" w:rsidR="00BC1BCE" w:rsidRDefault="00BC1BCE" w:rsidP="00805DE9">
            <w:pPr>
              <w:jc w:val="center"/>
              <w:rPr>
                <w:rFonts w:cs="Arial"/>
                <w:b/>
                <w:bCs/>
                <w:color w:val="000000"/>
              </w:rPr>
            </w:pPr>
            <w:r>
              <w:rPr>
                <w:rFonts w:cs="Arial"/>
                <w:b/>
                <w:bCs/>
                <w:color w:val="000000"/>
              </w:rPr>
              <w:t>Annual DSIC Expenditures</w:t>
            </w:r>
          </w:p>
        </w:tc>
      </w:tr>
      <w:tr w:rsidR="00BC1BCE" w14:paraId="296CB809" w14:textId="77777777" w:rsidTr="00BC1BCE">
        <w:trPr>
          <w:trHeight w:val="393"/>
        </w:trPr>
        <w:tc>
          <w:tcPr>
            <w:tcW w:w="3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50120" w14:textId="77777777" w:rsidR="00BC1BCE" w:rsidRDefault="00BC1BCE" w:rsidP="00805DE9">
            <w:pPr>
              <w:jc w:val="center"/>
              <w:rPr>
                <w:rFonts w:cs="Arial"/>
                <w:color w:val="000000"/>
              </w:rPr>
            </w:pPr>
            <w:r>
              <w:rPr>
                <w:rFonts w:cs="Arial"/>
                <w:color w:val="000000"/>
              </w:rPr>
              <w:t>2015</w:t>
            </w:r>
          </w:p>
        </w:tc>
        <w:tc>
          <w:tcPr>
            <w:tcW w:w="36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91A25" w14:textId="77777777" w:rsidR="00BC1BCE" w:rsidRDefault="00BC1BCE" w:rsidP="00805DE9">
            <w:pPr>
              <w:jc w:val="center"/>
              <w:rPr>
                <w:rFonts w:cs="Arial"/>
                <w:color w:val="000000"/>
              </w:rPr>
            </w:pPr>
            <w:r>
              <w:rPr>
                <w:rFonts w:cs="Arial"/>
                <w:color w:val="000000"/>
              </w:rPr>
              <w:t>$8.92M</w:t>
            </w:r>
          </w:p>
        </w:tc>
      </w:tr>
      <w:tr w:rsidR="00BC1BCE" w14:paraId="21F983C0" w14:textId="77777777" w:rsidTr="00BC1BCE">
        <w:trPr>
          <w:trHeight w:val="486"/>
        </w:trPr>
        <w:tc>
          <w:tcPr>
            <w:tcW w:w="3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D0CC2" w14:textId="77777777" w:rsidR="00BC1BCE" w:rsidRDefault="00BC1BCE" w:rsidP="00805DE9">
            <w:pPr>
              <w:jc w:val="center"/>
              <w:rPr>
                <w:rFonts w:cs="Arial"/>
                <w:color w:val="000000"/>
              </w:rPr>
            </w:pPr>
            <w:r>
              <w:rPr>
                <w:rFonts w:cs="Arial"/>
                <w:color w:val="000000"/>
              </w:rPr>
              <w:t>2016</w:t>
            </w:r>
          </w:p>
        </w:tc>
        <w:tc>
          <w:tcPr>
            <w:tcW w:w="36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F5701" w14:textId="77777777" w:rsidR="00BC1BCE" w:rsidRDefault="00BC1BCE" w:rsidP="00805DE9">
            <w:pPr>
              <w:jc w:val="center"/>
              <w:rPr>
                <w:rFonts w:cs="Arial"/>
                <w:color w:val="000000"/>
              </w:rPr>
            </w:pPr>
            <w:r>
              <w:rPr>
                <w:rFonts w:cs="Arial"/>
                <w:color w:val="000000"/>
              </w:rPr>
              <w:t>$5.51M</w:t>
            </w:r>
          </w:p>
        </w:tc>
      </w:tr>
      <w:tr w:rsidR="00BC1BCE" w14:paraId="54DBD426" w14:textId="77777777" w:rsidTr="00BC1BCE">
        <w:trPr>
          <w:trHeight w:val="393"/>
        </w:trPr>
        <w:tc>
          <w:tcPr>
            <w:tcW w:w="3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40A" w14:textId="77777777" w:rsidR="00BC1BCE" w:rsidRDefault="00BC1BCE" w:rsidP="00805DE9">
            <w:pPr>
              <w:jc w:val="center"/>
              <w:rPr>
                <w:rFonts w:cs="Arial"/>
                <w:color w:val="000000"/>
              </w:rPr>
            </w:pPr>
            <w:r>
              <w:rPr>
                <w:rFonts w:cs="Arial"/>
                <w:color w:val="000000"/>
              </w:rPr>
              <w:t>2017</w:t>
            </w:r>
          </w:p>
        </w:tc>
        <w:tc>
          <w:tcPr>
            <w:tcW w:w="36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954ED" w14:textId="77777777" w:rsidR="00BC1BCE" w:rsidRDefault="00BC1BCE" w:rsidP="00805DE9">
            <w:pPr>
              <w:jc w:val="center"/>
              <w:rPr>
                <w:rFonts w:cs="Arial"/>
                <w:color w:val="000000"/>
              </w:rPr>
            </w:pPr>
            <w:r>
              <w:rPr>
                <w:rFonts w:cs="Arial"/>
                <w:color w:val="000000"/>
              </w:rPr>
              <w:t>$8.42M</w:t>
            </w:r>
          </w:p>
        </w:tc>
      </w:tr>
      <w:tr w:rsidR="00BC1BCE" w14:paraId="60F27FFA" w14:textId="77777777" w:rsidTr="00BC1BCE">
        <w:trPr>
          <w:trHeight w:val="486"/>
        </w:trPr>
        <w:tc>
          <w:tcPr>
            <w:tcW w:w="3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69DA9" w14:textId="77777777" w:rsidR="00BC1BCE" w:rsidRDefault="00BC1BCE" w:rsidP="00805DE9">
            <w:pPr>
              <w:jc w:val="center"/>
              <w:rPr>
                <w:rFonts w:cs="Arial"/>
                <w:color w:val="000000"/>
              </w:rPr>
            </w:pPr>
            <w:r>
              <w:rPr>
                <w:rFonts w:cs="Arial"/>
                <w:color w:val="000000"/>
              </w:rPr>
              <w:t>2018</w:t>
            </w:r>
          </w:p>
        </w:tc>
        <w:tc>
          <w:tcPr>
            <w:tcW w:w="36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B066E" w14:textId="77777777" w:rsidR="00BC1BCE" w:rsidRDefault="00BC1BCE" w:rsidP="00805DE9">
            <w:pPr>
              <w:jc w:val="center"/>
              <w:rPr>
                <w:rFonts w:cs="Arial"/>
                <w:color w:val="000000"/>
              </w:rPr>
            </w:pPr>
            <w:r>
              <w:rPr>
                <w:rFonts w:cs="Arial"/>
                <w:color w:val="000000"/>
              </w:rPr>
              <w:t>$3.86M</w:t>
            </w:r>
          </w:p>
        </w:tc>
      </w:tr>
      <w:tr w:rsidR="00BC1BCE" w14:paraId="47A4FC43" w14:textId="77777777" w:rsidTr="00BC1BCE">
        <w:trPr>
          <w:trHeight w:val="486"/>
        </w:trPr>
        <w:tc>
          <w:tcPr>
            <w:tcW w:w="3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487BD" w14:textId="77777777" w:rsidR="00BC1BCE" w:rsidRDefault="00BC1BCE" w:rsidP="00805DE9">
            <w:pPr>
              <w:jc w:val="center"/>
              <w:rPr>
                <w:rFonts w:cs="Arial"/>
                <w:color w:val="000000"/>
              </w:rPr>
            </w:pPr>
            <w:r>
              <w:rPr>
                <w:rFonts w:cs="Arial"/>
                <w:color w:val="000000"/>
              </w:rPr>
              <w:t>2019</w:t>
            </w:r>
          </w:p>
        </w:tc>
        <w:tc>
          <w:tcPr>
            <w:tcW w:w="36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84968" w14:textId="77777777" w:rsidR="00BC1BCE" w:rsidRDefault="00BC1BCE" w:rsidP="00805DE9">
            <w:pPr>
              <w:jc w:val="center"/>
              <w:rPr>
                <w:rFonts w:cs="Arial"/>
                <w:color w:val="000000"/>
              </w:rPr>
            </w:pPr>
            <w:r>
              <w:rPr>
                <w:rFonts w:cs="Arial"/>
                <w:color w:val="000000"/>
              </w:rPr>
              <w:t>$11.90M</w:t>
            </w:r>
          </w:p>
        </w:tc>
      </w:tr>
    </w:tbl>
    <w:p w14:paraId="1F6E7C3F" w14:textId="77777777" w:rsidR="00BC1BCE" w:rsidRDefault="00BC1BCE" w:rsidP="00BC1BCE">
      <w:pPr>
        <w:rPr>
          <w:rFonts w:ascii="Calibri" w:hAnsi="Calibri" w:cs="Calibri"/>
        </w:rPr>
      </w:pPr>
    </w:p>
    <w:p w14:paraId="6CA1318F" w14:textId="77777777" w:rsidR="00BC1BCE" w:rsidRDefault="00BC1BCE" w:rsidP="00BC1BCE">
      <w:r>
        <w:t>** Existing plus Future WW DSIC Qualified Districts under modified LTIIP</w:t>
      </w:r>
    </w:p>
    <w:tbl>
      <w:tblPr>
        <w:tblW w:w="7338" w:type="dxa"/>
        <w:tblInd w:w="2" w:type="dxa"/>
        <w:tblCellMar>
          <w:left w:w="0" w:type="dxa"/>
          <w:right w:w="0" w:type="dxa"/>
        </w:tblCellMar>
        <w:tblLook w:val="04A0" w:firstRow="1" w:lastRow="0" w:firstColumn="1" w:lastColumn="0" w:noHBand="0" w:noVBand="1"/>
      </w:tblPr>
      <w:tblGrid>
        <w:gridCol w:w="3669"/>
        <w:gridCol w:w="3669"/>
      </w:tblGrid>
      <w:tr w:rsidR="00BC1BCE" w14:paraId="508D987A" w14:textId="77777777" w:rsidTr="00BC1BCE">
        <w:trPr>
          <w:trHeight w:val="366"/>
        </w:trPr>
        <w:tc>
          <w:tcPr>
            <w:tcW w:w="3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72F62" w14:textId="77777777" w:rsidR="00BC1BCE" w:rsidRDefault="00BC1BCE" w:rsidP="00805DE9">
            <w:pPr>
              <w:jc w:val="center"/>
              <w:rPr>
                <w:rFonts w:cs="Arial"/>
                <w:b/>
                <w:bCs/>
                <w:color w:val="000000"/>
              </w:rPr>
            </w:pPr>
            <w:r>
              <w:rPr>
                <w:rFonts w:cs="Arial"/>
                <w:b/>
                <w:bCs/>
                <w:color w:val="000000"/>
              </w:rPr>
              <w:t>Year</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E1CD4B" w14:textId="77777777" w:rsidR="00BC1BCE" w:rsidRDefault="00BC1BCE" w:rsidP="00805DE9">
            <w:pPr>
              <w:jc w:val="center"/>
              <w:rPr>
                <w:rFonts w:cs="Arial"/>
                <w:b/>
                <w:bCs/>
                <w:color w:val="000000"/>
              </w:rPr>
            </w:pPr>
            <w:r>
              <w:rPr>
                <w:rFonts w:cs="Arial"/>
                <w:b/>
                <w:bCs/>
                <w:color w:val="000000"/>
              </w:rPr>
              <w:t>Annual DSIC Expenditures</w:t>
            </w:r>
          </w:p>
        </w:tc>
      </w:tr>
      <w:tr w:rsidR="00BC1BCE" w14:paraId="2B4DBCA2" w14:textId="77777777" w:rsidTr="00BC1BCE">
        <w:trPr>
          <w:trHeight w:val="366"/>
        </w:trPr>
        <w:tc>
          <w:tcPr>
            <w:tcW w:w="3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F5F41" w14:textId="77777777" w:rsidR="00BC1BCE" w:rsidRDefault="00BC1BCE" w:rsidP="00805DE9">
            <w:pPr>
              <w:jc w:val="center"/>
              <w:rPr>
                <w:rFonts w:cs="Arial"/>
                <w:color w:val="000000"/>
              </w:rPr>
            </w:pPr>
            <w:r>
              <w:rPr>
                <w:rFonts w:cs="Arial"/>
                <w:color w:val="000000"/>
              </w:rPr>
              <w:t>2015</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61FC6" w14:textId="77777777" w:rsidR="00BC1BCE" w:rsidRDefault="00BC1BCE" w:rsidP="00805DE9">
            <w:pPr>
              <w:jc w:val="center"/>
              <w:rPr>
                <w:rFonts w:cs="Arial"/>
                <w:color w:val="000000"/>
              </w:rPr>
            </w:pPr>
            <w:r>
              <w:rPr>
                <w:rFonts w:cs="Arial"/>
                <w:color w:val="000000"/>
              </w:rPr>
              <w:t>$8.92M</w:t>
            </w:r>
          </w:p>
        </w:tc>
      </w:tr>
      <w:tr w:rsidR="00BC1BCE" w14:paraId="13A04E9A" w14:textId="77777777" w:rsidTr="00BC1BCE">
        <w:trPr>
          <w:trHeight w:val="366"/>
        </w:trPr>
        <w:tc>
          <w:tcPr>
            <w:tcW w:w="3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A5430" w14:textId="77777777" w:rsidR="00BC1BCE" w:rsidRDefault="00BC1BCE" w:rsidP="00805DE9">
            <w:pPr>
              <w:jc w:val="center"/>
              <w:rPr>
                <w:rFonts w:cs="Arial"/>
                <w:color w:val="000000"/>
              </w:rPr>
            </w:pPr>
            <w:r>
              <w:rPr>
                <w:rFonts w:cs="Arial"/>
                <w:color w:val="000000"/>
              </w:rPr>
              <w:t>2016</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C9E44" w14:textId="77777777" w:rsidR="00BC1BCE" w:rsidRDefault="00BC1BCE" w:rsidP="00805DE9">
            <w:pPr>
              <w:jc w:val="center"/>
              <w:rPr>
                <w:rFonts w:cs="Arial"/>
                <w:color w:val="000000"/>
              </w:rPr>
            </w:pPr>
            <w:r>
              <w:rPr>
                <w:rFonts w:cs="Arial"/>
                <w:color w:val="000000"/>
              </w:rPr>
              <w:t>$5.51M</w:t>
            </w:r>
          </w:p>
        </w:tc>
      </w:tr>
      <w:tr w:rsidR="00BC1BCE" w14:paraId="00C31A77" w14:textId="77777777" w:rsidTr="00BC1BCE">
        <w:trPr>
          <w:trHeight w:val="366"/>
        </w:trPr>
        <w:tc>
          <w:tcPr>
            <w:tcW w:w="3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430C2" w14:textId="77777777" w:rsidR="00BC1BCE" w:rsidRDefault="00BC1BCE" w:rsidP="00805DE9">
            <w:pPr>
              <w:jc w:val="center"/>
              <w:rPr>
                <w:rFonts w:cs="Arial"/>
                <w:color w:val="000000"/>
              </w:rPr>
            </w:pPr>
            <w:r>
              <w:rPr>
                <w:rFonts w:cs="Arial"/>
                <w:color w:val="000000"/>
              </w:rPr>
              <w:t>2017</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F288A" w14:textId="77777777" w:rsidR="00BC1BCE" w:rsidRDefault="00BC1BCE" w:rsidP="00805DE9">
            <w:pPr>
              <w:jc w:val="center"/>
              <w:rPr>
                <w:rFonts w:cs="Arial"/>
                <w:color w:val="000000"/>
              </w:rPr>
            </w:pPr>
            <w:r>
              <w:rPr>
                <w:rFonts w:cs="Arial"/>
                <w:color w:val="000000"/>
              </w:rPr>
              <w:t>$8.42M</w:t>
            </w:r>
          </w:p>
        </w:tc>
      </w:tr>
      <w:tr w:rsidR="00BC1BCE" w14:paraId="626DFB50" w14:textId="77777777" w:rsidTr="00BC1BCE">
        <w:trPr>
          <w:trHeight w:val="366"/>
        </w:trPr>
        <w:tc>
          <w:tcPr>
            <w:tcW w:w="3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B0306" w14:textId="77777777" w:rsidR="00BC1BCE" w:rsidRDefault="00BC1BCE" w:rsidP="00805DE9">
            <w:pPr>
              <w:jc w:val="center"/>
              <w:rPr>
                <w:rFonts w:cs="Arial"/>
                <w:color w:val="000000"/>
              </w:rPr>
            </w:pPr>
            <w:r>
              <w:rPr>
                <w:rFonts w:cs="Arial"/>
                <w:color w:val="000000"/>
              </w:rPr>
              <w:t>2018</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FD513" w14:textId="77777777" w:rsidR="00BC1BCE" w:rsidRDefault="00BC1BCE" w:rsidP="00805DE9">
            <w:pPr>
              <w:jc w:val="center"/>
              <w:rPr>
                <w:rFonts w:cs="Arial"/>
                <w:color w:val="000000"/>
              </w:rPr>
            </w:pPr>
            <w:r>
              <w:rPr>
                <w:rFonts w:cs="Arial"/>
                <w:color w:val="000000"/>
              </w:rPr>
              <w:t>$6.18M</w:t>
            </w:r>
          </w:p>
        </w:tc>
      </w:tr>
      <w:tr w:rsidR="00BC1BCE" w14:paraId="3C2BEC36" w14:textId="77777777" w:rsidTr="00BC1BCE">
        <w:trPr>
          <w:trHeight w:val="366"/>
        </w:trPr>
        <w:tc>
          <w:tcPr>
            <w:tcW w:w="3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F1BDB" w14:textId="77777777" w:rsidR="00BC1BCE" w:rsidRDefault="00BC1BCE" w:rsidP="00805DE9">
            <w:pPr>
              <w:jc w:val="center"/>
              <w:rPr>
                <w:rFonts w:cs="Arial"/>
                <w:color w:val="000000"/>
              </w:rPr>
            </w:pPr>
            <w:r>
              <w:rPr>
                <w:rFonts w:cs="Arial"/>
                <w:color w:val="000000"/>
              </w:rPr>
              <w:t>2019</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C7AB2" w14:textId="77777777" w:rsidR="00BC1BCE" w:rsidRDefault="00BC1BCE" w:rsidP="00805DE9">
            <w:pPr>
              <w:jc w:val="center"/>
              <w:rPr>
                <w:rFonts w:cs="Arial"/>
                <w:color w:val="000000"/>
              </w:rPr>
            </w:pPr>
            <w:r>
              <w:rPr>
                <w:rFonts w:cs="Arial"/>
                <w:color w:val="000000"/>
              </w:rPr>
              <w:t>$39.44M</w:t>
            </w:r>
          </w:p>
        </w:tc>
      </w:tr>
    </w:tbl>
    <w:p w14:paraId="7C119C85" w14:textId="77777777" w:rsidR="00BC1BCE" w:rsidRDefault="00BC1BCE" w:rsidP="00BC1BCE"/>
    <w:p w14:paraId="75C29748" w14:textId="6E95FD0D" w:rsidR="00F954CE" w:rsidRDefault="00F954CE" w:rsidP="00CE338F">
      <w:pPr>
        <w:rPr>
          <w:b/>
          <w:sz w:val="26"/>
          <w:szCs w:val="26"/>
        </w:rPr>
      </w:pPr>
    </w:p>
    <w:p w14:paraId="72C63352" w14:textId="74DB9235" w:rsidR="00992684" w:rsidRDefault="00992684"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2684F564" w14:textId="77777777" w:rsidR="00A95E1D" w:rsidRPr="00F54DF8" w:rsidRDefault="00A95E1D" w:rsidP="004675A3">
      <w:pPr>
        <w:pStyle w:val="p7"/>
        <w:keepNext/>
        <w:widowControl/>
        <w:tabs>
          <w:tab w:val="clear" w:pos="1133"/>
          <w:tab w:val="left" w:pos="720"/>
          <w:tab w:val="left" w:pos="1350"/>
          <w:tab w:val="left" w:pos="1440"/>
          <w:tab w:val="left" w:pos="1530"/>
        </w:tabs>
        <w:spacing w:line="360" w:lineRule="auto"/>
        <w:rPr>
          <w:b/>
          <w:sz w:val="26"/>
          <w:szCs w:val="26"/>
        </w:rPr>
      </w:pPr>
    </w:p>
    <w:p w14:paraId="2FD430BF" w14:textId="1915D00F" w:rsidR="00992684" w:rsidRPr="00A95E1D" w:rsidRDefault="00ED7DFF" w:rsidP="00992684">
      <w:pPr>
        <w:pStyle w:val="p7"/>
        <w:widowControl/>
        <w:tabs>
          <w:tab w:val="clear" w:pos="782"/>
          <w:tab w:val="clear" w:pos="1133"/>
          <w:tab w:val="left" w:pos="0"/>
          <w:tab w:val="left" w:pos="720"/>
        </w:tabs>
        <w:spacing w:line="360" w:lineRule="auto"/>
        <w:ind w:left="0" w:firstLine="720"/>
        <w:rPr>
          <w:iCs/>
          <w:sz w:val="26"/>
          <w:szCs w:val="26"/>
        </w:rPr>
      </w:pPr>
      <w:r w:rsidRPr="00A95E1D">
        <w:rPr>
          <w:iCs/>
          <w:sz w:val="26"/>
          <w:szCs w:val="26"/>
        </w:rPr>
        <w:t xml:space="preserve"> </w:t>
      </w:r>
      <w:r w:rsidR="00992684" w:rsidRPr="00A95E1D">
        <w:rPr>
          <w:iCs/>
          <w:sz w:val="26"/>
          <w:szCs w:val="26"/>
        </w:rPr>
        <w:t xml:space="preserve">No comments were received regarding the </w:t>
      </w:r>
      <w:proofErr w:type="gramStart"/>
      <w:r w:rsidR="00992684" w:rsidRPr="00A95E1D">
        <w:rPr>
          <w:iCs/>
          <w:sz w:val="26"/>
          <w:szCs w:val="26"/>
        </w:rPr>
        <w:t>manner in which</w:t>
      </w:r>
      <w:proofErr w:type="gramEnd"/>
      <w:r w:rsidR="00992684" w:rsidRPr="00A95E1D">
        <w:rPr>
          <w:iCs/>
          <w:sz w:val="26"/>
          <w:szCs w:val="26"/>
        </w:rPr>
        <w:t xml:space="preserve"> the infrastructure replacement will be accelerated.</w:t>
      </w:r>
    </w:p>
    <w:p w14:paraId="7A5EE1F4" w14:textId="77777777" w:rsidR="00992684" w:rsidRPr="00F54DF8" w:rsidRDefault="00992684" w:rsidP="00992684">
      <w:pPr>
        <w:pStyle w:val="p7"/>
        <w:widowControl/>
        <w:tabs>
          <w:tab w:val="clear" w:pos="1133"/>
          <w:tab w:val="left" w:pos="720"/>
          <w:tab w:val="left" w:pos="1350"/>
          <w:tab w:val="left" w:pos="1440"/>
          <w:tab w:val="left" w:pos="1530"/>
        </w:tabs>
        <w:spacing w:line="360" w:lineRule="auto"/>
        <w:ind w:left="0" w:firstLine="0"/>
        <w:rPr>
          <w:sz w:val="26"/>
          <w:szCs w:val="26"/>
        </w:rPr>
      </w:pPr>
    </w:p>
    <w:p w14:paraId="250F544A" w14:textId="45498CE3" w:rsidR="00992684" w:rsidRDefault="2315FA41" w:rsidP="00992684">
      <w:pPr>
        <w:pStyle w:val="p7"/>
        <w:keepNext/>
        <w:widowControl/>
        <w:tabs>
          <w:tab w:val="clear" w:pos="1133"/>
          <w:tab w:val="left" w:pos="720"/>
          <w:tab w:val="left" w:pos="1350"/>
          <w:tab w:val="left" w:pos="1440"/>
          <w:tab w:val="left" w:pos="1530"/>
        </w:tabs>
        <w:spacing w:line="360" w:lineRule="auto"/>
        <w:ind w:left="346" w:hanging="346"/>
        <w:rPr>
          <w:b/>
          <w:bCs/>
          <w:sz w:val="26"/>
          <w:szCs w:val="26"/>
        </w:rPr>
      </w:pPr>
      <w:r w:rsidRPr="2315FA41">
        <w:rPr>
          <w:b/>
          <w:bCs/>
          <w:sz w:val="26"/>
          <w:szCs w:val="26"/>
        </w:rPr>
        <w:t>Resolution</w:t>
      </w:r>
    </w:p>
    <w:p w14:paraId="31AEC53F" w14:textId="77777777" w:rsidR="00D35276" w:rsidRPr="00F54DF8" w:rsidRDefault="00D35276" w:rsidP="00992684">
      <w:pPr>
        <w:pStyle w:val="p7"/>
        <w:keepNext/>
        <w:widowControl/>
        <w:tabs>
          <w:tab w:val="clear" w:pos="1133"/>
          <w:tab w:val="left" w:pos="720"/>
          <w:tab w:val="left" w:pos="1350"/>
          <w:tab w:val="left" w:pos="1440"/>
          <w:tab w:val="left" w:pos="1530"/>
        </w:tabs>
        <w:spacing w:line="360" w:lineRule="auto"/>
        <w:ind w:left="346" w:hanging="346"/>
        <w:rPr>
          <w:b/>
          <w:sz w:val="26"/>
          <w:szCs w:val="26"/>
        </w:rPr>
      </w:pPr>
    </w:p>
    <w:p w14:paraId="1BB647D7" w14:textId="2C88274E" w:rsidR="2315FA41" w:rsidRDefault="2315FA41" w:rsidP="00D35276">
      <w:pPr>
        <w:pStyle w:val="p2"/>
        <w:spacing w:line="360" w:lineRule="auto"/>
        <w:ind w:firstLine="720"/>
        <w:rPr>
          <w:sz w:val="26"/>
          <w:szCs w:val="26"/>
        </w:rPr>
      </w:pPr>
      <w:r w:rsidRPr="20EA62E2">
        <w:rPr>
          <w:sz w:val="26"/>
          <w:szCs w:val="26"/>
        </w:rPr>
        <w:t xml:space="preserve">As noted </w:t>
      </w:r>
      <w:r w:rsidR="004675A3">
        <w:rPr>
          <w:sz w:val="26"/>
          <w:szCs w:val="26"/>
        </w:rPr>
        <w:t xml:space="preserve">on page 21, </w:t>
      </w:r>
      <w:r w:rsidRPr="20EA62E2">
        <w:rPr>
          <w:sz w:val="26"/>
          <w:szCs w:val="26"/>
        </w:rPr>
        <w:t>above</w:t>
      </w:r>
      <w:r w:rsidR="00D35276">
        <w:rPr>
          <w:sz w:val="26"/>
          <w:szCs w:val="26"/>
        </w:rPr>
        <w:t>,</w:t>
      </w:r>
      <w:r w:rsidRPr="20EA62E2">
        <w:rPr>
          <w:sz w:val="26"/>
          <w:szCs w:val="26"/>
        </w:rPr>
        <w:t xml:space="preserve"> PAWC-</w:t>
      </w:r>
      <w:r w:rsidR="00C80D3C" w:rsidRPr="20EA62E2">
        <w:rPr>
          <w:sz w:val="26"/>
          <w:szCs w:val="26"/>
        </w:rPr>
        <w:t>WD</w:t>
      </w:r>
      <w:r w:rsidR="00D35276">
        <w:rPr>
          <w:sz w:val="26"/>
          <w:szCs w:val="26"/>
        </w:rPr>
        <w:t xml:space="preserve"> did not provide detailed information on I&amp;I by individual wastewater system, nor </w:t>
      </w:r>
      <w:r w:rsidR="00600A36">
        <w:rPr>
          <w:sz w:val="26"/>
          <w:szCs w:val="26"/>
        </w:rPr>
        <w:t xml:space="preserve">an </w:t>
      </w:r>
      <w:r w:rsidR="00D35276">
        <w:rPr>
          <w:sz w:val="26"/>
          <w:szCs w:val="26"/>
        </w:rPr>
        <w:t xml:space="preserve">overall baseline I&amp;I.  </w:t>
      </w:r>
      <w:r w:rsidR="00C80D3C" w:rsidRPr="20EA62E2">
        <w:rPr>
          <w:b/>
          <w:bCs/>
          <w:sz w:val="26"/>
          <w:szCs w:val="26"/>
        </w:rPr>
        <w:t xml:space="preserve"> </w:t>
      </w:r>
      <w:r w:rsidR="00D35276" w:rsidRPr="00D35276">
        <w:rPr>
          <w:sz w:val="26"/>
          <w:szCs w:val="26"/>
        </w:rPr>
        <w:t xml:space="preserve">It is important for Commission staff and other interested parties to understand PAWC-WD’s </w:t>
      </w:r>
      <w:r w:rsidR="00D35276">
        <w:rPr>
          <w:sz w:val="26"/>
          <w:szCs w:val="26"/>
        </w:rPr>
        <w:t xml:space="preserve">baseline I&amp;I by individual system and overall system in order to monitor progress on I&amp;I reduction.  </w:t>
      </w:r>
      <w:r w:rsidR="00D35276">
        <w:rPr>
          <w:sz w:val="26"/>
          <w:szCs w:val="26"/>
        </w:rPr>
        <w:lastRenderedPageBreak/>
        <w:t>Therefore, b</w:t>
      </w:r>
      <w:r w:rsidRPr="00D35276">
        <w:rPr>
          <w:sz w:val="26"/>
          <w:szCs w:val="26"/>
        </w:rPr>
        <w:t xml:space="preserve">eginning with its </w:t>
      </w:r>
      <w:r w:rsidR="00D0134C">
        <w:rPr>
          <w:sz w:val="26"/>
          <w:szCs w:val="26"/>
        </w:rPr>
        <w:t>AAOP</w:t>
      </w:r>
      <w:r w:rsidRPr="20EA62E2">
        <w:rPr>
          <w:sz w:val="26"/>
          <w:szCs w:val="26"/>
        </w:rPr>
        <w:t xml:space="preserve"> for calendar year 2020, </w:t>
      </w:r>
      <w:r w:rsidR="00D0134C">
        <w:rPr>
          <w:sz w:val="26"/>
          <w:szCs w:val="26"/>
        </w:rPr>
        <w:t xml:space="preserve">PAWC-WD </w:t>
      </w:r>
      <w:r w:rsidR="4604DDD0" w:rsidRPr="20EA62E2">
        <w:rPr>
          <w:sz w:val="26"/>
          <w:szCs w:val="26"/>
        </w:rPr>
        <w:t xml:space="preserve">shall </w:t>
      </w:r>
      <w:r w:rsidRPr="20EA62E2">
        <w:rPr>
          <w:sz w:val="26"/>
          <w:szCs w:val="26"/>
        </w:rPr>
        <w:t xml:space="preserve">include </w:t>
      </w:r>
      <w:r w:rsidR="00D0134C">
        <w:rPr>
          <w:sz w:val="26"/>
          <w:szCs w:val="26"/>
        </w:rPr>
        <w:t>a baseline I&amp;I for each system and an overall I&amp;I baseline as of year-end 2019.  PAWC-WD shall also provide a</w:t>
      </w:r>
      <w:r w:rsidRPr="20EA62E2">
        <w:rPr>
          <w:sz w:val="26"/>
          <w:szCs w:val="26"/>
        </w:rPr>
        <w:t xml:space="preserve">n update on the progress of the </w:t>
      </w:r>
      <w:r w:rsidR="00D0134C">
        <w:rPr>
          <w:sz w:val="26"/>
          <w:szCs w:val="26"/>
        </w:rPr>
        <w:t>I&amp;I</w:t>
      </w:r>
      <w:r w:rsidRPr="20EA62E2">
        <w:rPr>
          <w:sz w:val="26"/>
          <w:szCs w:val="26"/>
        </w:rPr>
        <w:t xml:space="preserve"> reduction for each of its wastewater systems.</w:t>
      </w:r>
      <w:r w:rsidR="00D0134C">
        <w:rPr>
          <w:rStyle w:val="FootnoteReference"/>
          <w:sz w:val="26"/>
          <w:szCs w:val="26"/>
        </w:rPr>
        <w:footnoteReference w:id="6"/>
      </w:r>
    </w:p>
    <w:p w14:paraId="5727704E" w14:textId="7A5FA82F" w:rsidR="20EA62E2" w:rsidRDefault="20EA62E2" w:rsidP="20EA62E2">
      <w:pPr>
        <w:pStyle w:val="p2"/>
        <w:spacing w:line="360" w:lineRule="auto"/>
        <w:rPr>
          <w:sz w:val="26"/>
          <w:szCs w:val="26"/>
        </w:rPr>
      </w:pPr>
    </w:p>
    <w:p w14:paraId="46D7B6DB" w14:textId="6DB5DDEA" w:rsidR="00472A8F" w:rsidRDefault="2315FA41" w:rsidP="00BF7057">
      <w:pPr>
        <w:pStyle w:val="p2"/>
        <w:widowControl/>
        <w:spacing w:line="360" w:lineRule="auto"/>
        <w:ind w:firstLine="720"/>
        <w:rPr>
          <w:sz w:val="26"/>
          <w:szCs w:val="26"/>
        </w:rPr>
      </w:pPr>
      <w:r w:rsidRPr="2315FA41">
        <w:rPr>
          <w:sz w:val="26"/>
          <w:szCs w:val="26"/>
        </w:rPr>
        <w:t xml:space="preserve">Upon review of PAWC-WD’s Modified LTIIP, as amended, and any supplemental information filed, the Commission finds that PAWC-WD’s Modified LTIIP fulfills the requirements of 52 Pa. Code §§ 121.3(a)(6) by providing a description of the manner in which infrastructure replacement will be accelerated and how repair, improvement, or replacement will ensure and maintain adequate, efficient, safe, reliable, and reasonable service to customers.  </w:t>
      </w:r>
    </w:p>
    <w:p w14:paraId="052B891D" w14:textId="77777777" w:rsidR="00AB66AE" w:rsidRPr="00F54DF8" w:rsidRDefault="00AB66AE" w:rsidP="00BF7057">
      <w:pPr>
        <w:pStyle w:val="p2"/>
        <w:widowControl/>
        <w:spacing w:line="360" w:lineRule="auto"/>
        <w:ind w:firstLine="720"/>
        <w:rPr>
          <w:sz w:val="26"/>
          <w:szCs w:val="26"/>
        </w:rPr>
      </w:pPr>
    </w:p>
    <w:p w14:paraId="70BEABAD" w14:textId="77777777" w:rsidR="0077455C" w:rsidRPr="00F54DF8" w:rsidRDefault="00135912" w:rsidP="00597F51">
      <w:pPr>
        <w:pStyle w:val="p2"/>
        <w:keepNext/>
        <w:widowControl/>
        <w:spacing w:line="360" w:lineRule="auto"/>
        <w:ind w:left="720" w:firstLine="0"/>
        <w:rPr>
          <w:b/>
          <w:sz w:val="26"/>
          <w:szCs w:val="26"/>
        </w:rPr>
      </w:pPr>
      <w:r w:rsidRPr="00F54DF8">
        <w:rPr>
          <w:b/>
          <w:sz w:val="26"/>
          <w:szCs w:val="26"/>
        </w:rPr>
        <w:t xml:space="preserve">(7) </w:t>
      </w:r>
      <w:r w:rsidR="0077455C" w:rsidRPr="00F54DF8">
        <w:rPr>
          <w:b/>
          <w:sz w:val="26"/>
          <w:szCs w:val="26"/>
        </w:rPr>
        <w:t>WORKFORCE MANAGEMENT AND TRAINING PROGRAM</w:t>
      </w:r>
    </w:p>
    <w:p w14:paraId="0767FE32" w14:textId="77777777" w:rsidR="00F954CE" w:rsidRPr="00F54DF8" w:rsidRDefault="00F954CE" w:rsidP="00597F51">
      <w:pPr>
        <w:pStyle w:val="p2"/>
        <w:keepNext/>
        <w:widowControl/>
        <w:spacing w:line="360" w:lineRule="auto"/>
        <w:ind w:firstLine="0"/>
        <w:rPr>
          <w:sz w:val="26"/>
          <w:szCs w:val="26"/>
        </w:rPr>
      </w:pPr>
    </w:p>
    <w:p w14:paraId="1CFE0FC9" w14:textId="68454C72" w:rsidR="0077455C" w:rsidRPr="00F54DF8" w:rsidRDefault="2315FA41" w:rsidP="2315FA41">
      <w:pPr>
        <w:pStyle w:val="p2"/>
        <w:keepNext/>
        <w:widowControl/>
        <w:tabs>
          <w:tab w:val="left" w:pos="720"/>
          <w:tab w:val="left" w:pos="810"/>
        </w:tabs>
        <w:spacing w:line="360" w:lineRule="auto"/>
        <w:ind w:firstLine="0"/>
        <w:rPr>
          <w:b/>
          <w:bCs/>
          <w:sz w:val="26"/>
          <w:szCs w:val="26"/>
        </w:rPr>
      </w:pPr>
      <w:r w:rsidRPr="2315FA41">
        <w:rPr>
          <w:b/>
          <w:bCs/>
          <w:sz w:val="26"/>
          <w:szCs w:val="26"/>
        </w:rPr>
        <w:t>PAWC-WD’s Position</w:t>
      </w:r>
    </w:p>
    <w:p w14:paraId="09FD37DC" w14:textId="77777777" w:rsidR="00E774C7" w:rsidRDefault="00E774C7" w:rsidP="00597F51">
      <w:pPr>
        <w:pStyle w:val="p2"/>
        <w:keepNext/>
        <w:widowControl/>
        <w:tabs>
          <w:tab w:val="left" w:pos="720"/>
        </w:tabs>
        <w:spacing w:line="360" w:lineRule="auto"/>
        <w:ind w:firstLine="0"/>
        <w:rPr>
          <w:b/>
          <w:sz w:val="26"/>
          <w:szCs w:val="26"/>
        </w:rPr>
      </w:pPr>
    </w:p>
    <w:p w14:paraId="08861CC9" w14:textId="0A98AF91" w:rsidR="004B0309" w:rsidRDefault="2315FA41" w:rsidP="2315FA41">
      <w:pPr>
        <w:pStyle w:val="p2"/>
        <w:keepNext/>
        <w:tabs>
          <w:tab w:val="left" w:pos="720"/>
        </w:tabs>
        <w:spacing w:line="360" w:lineRule="auto"/>
        <w:ind w:firstLine="720"/>
        <w:rPr>
          <w:sz w:val="26"/>
          <w:szCs w:val="26"/>
        </w:rPr>
      </w:pPr>
      <w:r w:rsidRPr="2315FA41">
        <w:rPr>
          <w:sz w:val="26"/>
          <w:szCs w:val="26"/>
        </w:rPr>
        <w:t xml:space="preserve">PAWC-WD states that to help ensure system reliability and public safety, all its wastewater DSIC eligible projects will be constructed by trained PAWC-WD staff or by pre- qualified contractors.  PAWC-WD reports that for some of its wastewater systems, its staff completes investigative work, spot repairs or lift station repairs which may be DSIC eligible.  PAWC-WD notes that its DSIC eligible projects are typically bundled together for competitive bidding to prequalified contractors in order to achieve economies of scale.  </w:t>
      </w:r>
    </w:p>
    <w:p w14:paraId="74DB00FB" w14:textId="77777777" w:rsidR="004B0309" w:rsidRPr="004B0309" w:rsidRDefault="004B0309" w:rsidP="008D1737">
      <w:pPr>
        <w:pStyle w:val="p2"/>
        <w:keepNext/>
        <w:tabs>
          <w:tab w:val="left" w:pos="720"/>
        </w:tabs>
        <w:spacing w:line="360" w:lineRule="auto"/>
        <w:ind w:firstLine="0"/>
        <w:rPr>
          <w:bCs/>
          <w:sz w:val="26"/>
          <w:szCs w:val="26"/>
        </w:rPr>
      </w:pPr>
    </w:p>
    <w:p w14:paraId="1FD356EB" w14:textId="3DACEFCF" w:rsidR="008D1737" w:rsidRDefault="2315FA41" w:rsidP="2315FA41">
      <w:pPr>
        <w:pStyle w:val="p2"/>
        <w:keepNext/>
        <w:tabs>
          <w:tab w:val="left" w:pos="720"/>
        </w:tabs>
        <w:spacing w:line="360" w:lineRule="auto"/>
        <w:ind w:firstLine="720"/>
        <w:rPr>
          <w:sz w:val="26"/>
          <w:szCs w:val="26"/>
        </w:rPr>
      </w:pPr>
      <w:r w:rsidRPr="2315FA41">
        <w:rPr>
          <w:sz w:val="26"/>
          <w:szCs w:val="26"/>
        </w:rPr>
        <w:t xml:space="preserve">PAWC-WD notes that it utilizes a pre-qualification process to ensure all contractors are qualified to perform work in a cost-effective, safe, and reliable manner.  PAWC-WD states that it utilizes Avetta as a third-party entity to monitor contractor </w:t>
      </w:r>
      <w:r w:rsidRPr="2315FA41">
        <w:rPr>
          <w:sz w:val="26"/>
          <w:szCs w:val="26"/>
        </w:rPr>
        <w:lastRenderedPageBreak/>
        <w:t xml:space="preserve">safety performance.  PAWC-WD maintains that the Avetta contractor prequalification process helps them certify and centralize contractor data, perform pre-project screening, and contractor pre-qualifications.  PAWC-WD states that by utilizing Avetta, it allows them to more effectively manage its risk and contractor’s performance.  </w:t>
      </w:r>
    </w:p>
    <w:p w14:paraId="48DFDA6C" w14:textId="77777777" w:rsidR="008D1737" w:rsidRDefault="008D1737" w:rsidP="00066CC1">
      <w:pPr>
        <w:pStyle w:val="p2"/>
        <w:keepNext/>
        <w:tabs>
          <w:tab w:val="left" w:pos="720"/>
        </w:tabs>
        <w:spacing w:line="360" w:lineRule="auto"/>
        <w:ind w:firstLine="720"/>
        <w:rPr>
          <w:bCs/>
          <w:sz w:val="26"/>
          <w:szCs w:val="26"/>
        </w:rPr>
      </w:pPr>
    </w:p>
    <w:p w14:paraId="1C0B05B1" w14:textId="7189A8AC" w:rsidR="004B0309" w:rsidRDefault="2315FA41" w:rsidP="2315FA41">
      <w:pPr>
        <w:pStyle w:val="p2"/>
        <w:keepNext/>
        <w:tabs>
          <w:tab w:val="left" w:pos="720"/>
        </w:tabs>
        <w:spacing w:line="360" w:lineRule="auto"/>
        <w:ind w:firstLine="720"/>
        <w:rPr>
          <w:sz w:val="26"/>
          <w:szCs w:val="26"/>
        </w:rPr>
      </w:pPr>
      <w:r w:rsidRPr="2315FA41">
        <w:rPr>
          <w:sz w:val="26"/>
          <w:szCs w:val="26"/>
        </w:rPr>
        <w:t>PAWC-WD states that during the pre-qualification screening process, contractors are required to submit pertinent documentation, such as:</w:t>
      </w:r>
    </w:p>
    <w:p w14:paraId="6AD75DB7" w14:textId="77777777" w:rsidR="004B0309" w:rsidRPr="004B0309" w:rsidRDefault="004B0309" w:rsidP="004B0309">
      <w:pPr>
        <w:pStyle w:val="p2"/>
        <w:keepNext/>
        <w:tabs>
          <w:tab w:val="left" w:pos="720"/>
        </w:tabs>
        <w:spacing w:line="360" w:lineRule="auto"/>
        <w:rPr>
          <w:bCs/>
          <w:sz w:val="26"/>
          <w:szCs w:val="26"/>
        </w:rPr>
      </w:pPr>
    </w:p>
    <w:p w14:paraId="6DE61364" w14:textId="79E80078" w:rsidR="004B0309" w:rsidRPr="004B0309" w:rsidRDefault="004B0309" w:rsidP="00C827E9">
      <w:pPr>
        <w:pStyle w:val="p2"/>
        <w:keepNext/>
        <w:numPr>
          <w:ilvl w:val="0"/>
          <w:numId w:val="39"/>
        </w:numPr>
        <w:tabs>
          <w:tab w:val="left" w:pos="720"/>
        </w:tabs>
        <w:spacing w:line="360" w:lineRule="auto"/>
        <w:rPr>
          <w:bCs/>
          <w:sz w:val="26"/>
          <w:szCs w:val="26"/>
        </w:rPr>
      </w:pPr>
      <w:r w:rsidRPr="004B0309">
        <w:rPr>
          <w:bCs/>
          <w:sz w:val="26"/>
          <w:szCs w:val="26"/>
        </w:rPr>
        <w:t>Safety:  company policy, designated safety inspector, OSHA lost workdays and recordable incidents, OSHA violations</w:t>
      </w:r>
    </w:p>
    <w:p w14:paraId="2E82D718" w14:textId="77777777"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Worker’s Compensation Experience Ratings (Experience Modifier)</w:t>
      </w:r>
    </w:p>
    <w:p w14:paraId="6C827F9E" w14:textId="66DD9F64"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Staffing information</w:t>
      </w:r>
    </w:p>
    <w:p w14:paraId="6566D0AC" w14:textId="5466EA69"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Annual value of work and percentage of work relevant to bid project</w:t>
      </w:r>
    </w:p>
    <w:p w14:paraId="3460557D" w14:textId="77777777"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Work experience schedule</w:t>
      </w:r>
    </w:p>
    <w:p w14:paraId="6EBC71AD" w14:textId="77777777"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Bonding capacity</w:t>
      </w:r>
    </w:p>
    <w:p w14:paraId="4E61EECF" w14:textId="77777777" w:rsidR="004B0309" w:rsidRP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Liability Insurance coverage</w:t>
      </w:r>
    </w:p>
    <w:p w14:paraId="1E1369DF" w14:textId="63332486" w:rsidR="004B0309" w:rsidRDefault="004B0309" w:rsidP="004B0309">
      <w:pPr>
        <w:pStyle w:val="p2"/>
        <w:keepNext/>
        <w:numPr>
          <w:ilvl w:val="0"/>
          <w:numId w:val="39"/>
        </w:numPr>
        <w:tabs>
          <w:tab w:val="left" w:pos="720"/>
        </w:tabs>
        <w:spacing w:line="360" w:lineRule="auto"/>
        <w:rPr>
          <w:bCs/>
          <w:sz w:val="26"/>
          <w:szCs w:val="26"/>
        </w:rPr>
      </w:pPr>
      <w:r w:rsidRPr="004B0309">
        <w:rPr>
          <w:bCs/>
          <w:sz w:val="26"/>
          <w:szCs w:val="26"/>
        </w:rPr>
        <w:t>References</w:t>
      </w:r>
    </w:p>
    <w:p w14:paraId="3C0D0A03" w14:textId="0B3BB0DD" w:rsidR="004B0309" w:rsidRDefault="004B0309" w:rsidP="004B0309">
      <w:pPr>
        <w:pStyle w:val="p2"/>
        <w:keepNext/>
        <w:tabs>
          <w:tab w:val="left" w:pos="720"/>
        </w:tabs>
        <w:ind w:left="720" w:firstLine="0"/>
        <w:rPr>
          <w:bCs/>
          <w:sz w:val="26"/>
          <w:szCs w:val="26"/>
        </w:rPr>
      </w:pPr>
    </w:p>
    <w:p w14:paraId="1179FB1C" w14:textId="07F841C1" w:rsidR="008D1737" w:rsidRDefault="2315FA41" w:rsidP="2315FA41">
      <w:pPr>
        <w:pStyle w:val="p2"/>
        <w:keepNext/>
        <w:tabs>
          <w:tab w:val="left" w:pos="720"/>
        </w:tabs>
        <w:spacing w:line="360" w:lineRule="auto"/>
        <w:ind w:firstLine="720"/>
        <w:rPr>
          <w:sz w:val="26"/>
          <w:szCs w:val="26"/>
        </w:rPr>
      </w:pPr>
      <w:r w:rsidRPr="2315FA41">
        <w:rPr>
          <w:sz w:val="26"/>
          <w:szCs w:val="26"/>
        </w:rPr>
        <w:t xml:space="preserve">PAWC-WD maintains that all its construction projects performed by independent contractors are properly inspected.  PAWC-WD notes that its employees are actively engaged in the direct supervision of project inspections.  PAWC-WD adverts that the project close-out process includes a punch-list to ensure all work is completed according to contract documents.  </w:t>
      </w:r>
    </w:p>
    <w:p w14:paraId="0BFCC549" w14:textId="77777777" w:rsidR="00E454F6" w:rsidRPr="004B0309" w:rsidRDefault="00E454F6" w:rsidP="004B0309">
      <w:pPr>
        <w:pStyle w:val="p2"/>
        <w:keepNext/>
        <w:tabs>
          <w:tab w:val="left" w:pos="720"/>
        </w:tabs>
        <w:ind w:left="720" w:firstLine="0"/>
        <w:rPr>
          <w:bCs/>
          <w:sz w:val="26"/>
          <w:szCs w:val="26"/>
        </w:rPr>
      </w:pPr>
    </w:p>
    <w:p w14:paraId="5BB8F495" w14:textId="618BD497" w:rsidR="004B0309" w:rsidRDefault="004B0309" w:rsidP="00597F51">
      <w:pPr>
        <w:pStyle w:val="p2"/>
        <w:keepNext/>
        <w:widowControl/>
        <w:tabs>
          <w:tab w:val="left" w:pos="720"/>
        </w:tabs>
        <w:spacing w:line="360" w:lineRule="auto"/>
        <w:ind w:firstLine="0"/>
        <w:rPr>
          <w:b/>
          <w:sz w:val="26"/>
          <w:szCs w:val="26"/>
        </w:rPr>
      </w:pPr>
    </w:p>
    <w:p w14:paraId="4D7D32D7" w14:textId="68AA9362" w:rsidR="00E774C7" w:rsidRDefault="00E774C7" w:rsidP="00E774C7">
      <w:pPr>
        <w:pStyle w:val="p2"/>
        <w:keepNext/>
        <w:widowControl/>
        <w:tabs>
          <w:tab w:val="clear" w:pos="1445"/>
          <w:tab w:val="left" w:pos="0"/>
        </w:tabs>
        <w:spacing w:line="360" w:lineRule="auto"/>
        <w:ind w:firstLine="0"/>
        <w:rPr>
          <w:b/>
          <w:sz w:val="26"/>
          <w:szCs w:val="26"/>
        </w:rPr>
      </w:pPr>
      <w:r w:rsidRPr="00F54DF8">
        <w:rPr>
          <w:b/>
          <w:sz w:val="26"/>
          <w:szCs w:val="26"/>
        </w:rPr>
        <w:t>Comments</w:t>
      </w:r>
    </w:p>
    <w:p w14:paraId="0A10003F" w14:textId="57143AF8" w:rsidR="00A95E1D" w:rsidRPr="00F54DF8" w:rsidRDefault="00A95E1D" w:rsidP="00597F51">
      <w:pPr>
        <w:pStyle w:val="p2"/>
        <w:keepNext/>
        <w:widowControl/>
        <w:tabs>
          <w:tab w:val="left" w:pos="720"/>
        </w:tabs>
        <w:spacing w:line="360" w:lineRule="auto"/>
        <w:ind w:firstLine="0"/>
        <w:rPr>
          <w:b/>
          <w:sz w:val="26"/>
          <w:szCs w:val="26"/>
        </w:rPr>
      </w:pPr>
    </w:p>
    <w:p w14:paraId="33199B5A" w14:textId="55C6B3CD" w:rsidR="0077455C" w:rsidRPr="00A95E1D" w:rsidRDefault="0077455C" w:rsidP="005115BD">
      <w:pPr>
        <w:pStyle w:val="p7"/>
        <w:widowControl/>
        <w:tabs>
          <w:tab w:val="clear" w:pos="782"/>
          <w:tab w:val="clear" w:pos="1133"/>
          <w:tab w:val="left" w:pos="0"/>
          <w:tab w:val="left" w:pos="720"/>
        </w:tabs>
        <w:spacing w:line="360" w:lineRule="auto"/>
        <w:ind w:left="0" w:firstLine="720"/>
        <w:rPr>
          <w:iCs/>
          <w:sz w:val="26"/>
          <w:szCs w:val="26"/>
        </w:rPr>
      </w:pPr>
      <w:r w:rsidRPr="00A95E1D">
        <w:rPr>
          <w:iCs/>
          <w:sz w:val="26"/>
          <w:szCs w:val="26"/>
        </w:rPr>
        <w:t>No comments were received regarding the workforce management and</w:t>
      </w:r>
      <w:r w:rsidR="00006A83" w:rsidRPr="00A95E1D">
        <w:rPr>
          <w:iCs/>
          <w:sz w:val="26"/>
          <w:szCs w:val="26"/>
        </w:rPr>
        <w:t xml:space="preserve"> </w:t>
      </w:r>
      <w:r w:rsidRPr="00A95E1D">
        <w:rPr>
          <w:iCs/>
          <w:sz w:val="26"/>
          <w:szCs w:val="26"/>
        </w:rPr>
        <w:t>training program.</w:t>
      </w:r>
    </w:p>
    <w:p w14:paraId="7869987E" w14:textId="77777777" w:rsidR="0077455C" w:rsidRPr="00F54DF8" w:rsidRDefault="0077455C" w:rsidP="00773D87">
      <w:pPr>
        <w:pStyle w:val="p2"/>
        <w:widowControl/>
        <w:spacing w:line="360" w:lineRule="auto"/>
        <w:ind w:firstLine="0"/>
        <w:rPr>
          <w:sz w:val="26"/>
          <w:szCs w:val="26"/>
        </w:rPr>
      </w:pPr>
    </w:p>
    <w:p w14:paraId="060C20F3" w14:textId="77777777" w:rsidR="0077455C" w:rsidRPr="00F54DF8" w:rsidRDefault="0077455C" w:rsidP="00F939FA">
      <w:pPr>
        <w:pStyle w:val="p2"/>
        <w:keepNext/>
        <w:widowControl/>
        <w:tabs>
          <w:tab w:val="left" w:pos="720"/>
        </w:tabs>
        <w:spacing w:line="360" w:lineRule="auto"/>
        <w:ind w:firstLine="0"/>
        <w:rPr>
          <w:b/>
          <w:sz w:val="26"/>
          <w:szCs w:val="26"/>
        </w:rPr>
      </w:pPr>
      <w:r w:rsidRPr="00F54DF8">
        <w:rPr>
          <w:b/>
          <w:sz w:val="26"/>
          <w:szCs w:val="26"/>
        </w:rPr>
        <w:t>Resolution</w:t>
      </w:r>
    </w:p>
    <w:p w14:paraId="1A58B178" w14:textId="77777777" w:rsidR="0077455C" w:rsidRPr="00F54DF8" w:rsidRDefault="0077455C" w:rsidP="00F939FA">
      <w:pPr>
        <w:pStyle w:val="p2"/>
        <w:keepNext/>
        <w:widowControl/>
        <w:spacing w:line="360" w:lineRule="auto"/>
        <w:ind w:firstLine="0"/>
        <w:rPr>
          <w:sz w:val="26"/>
          <w:szCs w:val="26"/>
        </w:rPr>
      </w:pPr>
    </w:p>
    <w:p w14:paraId="579CFBFE" w14:textId="6EB88F2C" w:rsidR="0077455C" w:rsidRPr="00F54DF8" w:rsidRDefault="2315FA41" w:rsidP="005864D0">
      <w:pPr>
        <w:pStyle w:val="p7"/>
        <w:widowControl/>
        <w:tabs>
          <w:tab w:val="clear" w:pos="782"/>
          <w:tab w:val="clear" w:pos="1133"/>
          <w:tab w:val="left" w:pos="0"/>
          <w:tab w:val="left" w:pos="720"/>
        </w:tabs>
        <w:spacing w:line="360" w:lineRule="auto"/>
        <w:ind w:left="0" w:firstLine="720"/>
        <w:rPr>
          <w:sz w:val="26"/>
          <w:szCs w:val="26"/>
        </w:rPr>
      </w:pPr>
      <w:r w:rsidRPr="20EA62E2">
        <w:rPr>
          <w:sz w:val="26"/>
          <w:szCs w:val="26"/>
        </w:rPr>
        <w:t>Upon review of the PAWC-WD’s Modified LTIIP, as amended, the Commission finds that PAWC-WD’s Modified LTIIP fulfills the requirements of 52 Pa. Code §</w:t>
      </w:r>
      <w:r w:rsidR="00D0134C">
        <w:rPr>
          <w:sz w:val="26"/>
          <w:szCs w:val="26"/>
        </w:rPr>
        <w:t> </w:t>
      </w:r>
      <w:r w:rsidRPr="20EA62E2">
        <w:rPr>
          <w:sz w:val="26"/>
          <w:szCs w:val="26"/>
        </w:rPr>
        <w:t>121.3(a)(7) by providing a workforce management and training program that is designed to ensure that PAWC-WD will have access to a qualified workforce to perform the work in a cost</w:t>
      </w:r>
      <w:r w:rsidR="4A6BAC8E" w:rsidRPr="20EA62E2">
        <w:rPr>
          <w:sz w:val="26"/>
          <w:szCs w:val="26"/>
        </w:rPr>
        <w:t xml:space="preserve"> </w:t>
      </w:r>
      <w:r w:rsidRPr="20EA62E2">
        <w:rPr>
          <w:sz w:val="26"/>
          <w:szCs w:val="26"/>
        </w:rPr>
        <w:t>effective, sa</w:t>
      </w:r>
      <w:r w:rsidR="00D0134C">
        <w:rPr>
          <w:sz w:val="26"/>
          <w:szCs w:val="26"/>
        </w:rPr>
        <w:t>f</w:t>
      </w:r>
      <w:r w:rsidRPr="20EA62E2">
        <w:rPr>
          <w:sz w:val="26"/>
          <w:szCs w:val="26"/>
        </w:rPr>
        <w:t xml:space="preserve">e and reliable manner.  </w:t>
      </w:r>
    </w:p>
    <w:p w14:paraId="3C7C3057" w14:textId="77777777" w:rsidR="00E441C9" w:rsidRPr="00F54DF8" w:rsidRDefault="00E441C9" w:rsidP="001810DE">
      <w:pPr>
        <w:pStyle w:val="p7"/>
        <w:widowControl/>
        <w:tabs>
          <w:tab w:val="clear" w:pos="782"/>
          <w:tab w:val="clear" w:pos="1133"/>
          <w:tab w:val="left" w:pos="0"/>
          <w:tab w:val="left" w:pos="720"/>
        </w:tabs>
        <w:spacing w:line="360" w:lineRule="auto"/>
        <w:ind w:left="0" w:firstLine="0"/>
        <w:rPr>
          <w:sz w:val="26"/>
          <w:szCs w:val="26"/>
        </w:rPr>
      </w:pPr>
    </w:p>
    <w:p w14:paraId="0357571F" w14:textId="77777777" w:rsidR="001810DE" w:rsidRPr="00F54DF8" w:rsidRDefault="001810DE" w:rsidP="001810DE">
      <w:pPr>
        <w:pStyle w:val="p2"/>
        <w:tabs>
          <w:tab w:val="clear" w:pos="1445"/>
        </w:tabs>
        <w:spacing w:line="360" w:lineRule="auto"/>
        <w:ind w:left="720" w:firstLine="0"/>
        <w:rPr>
          <w:b/>
          <w:sz w:val="26"/>
          <w:szCs w:val="26"/>
        </w:rPr>
      </w:pPr>
      <w:r w:rsidRPr="00F54DF8">
        <w:rPr>
          <w:b/>
          <w:sz w:val="26"/>
          <w:szCs w:val="26"/>
        </w:rPr>
        <w:t>(8) DESCRIPTION OF OUTREACH AND COORDINATION ACTIVITIES WITH OTHER UTILITIES, PENNDOT AND LOCAL GOVERNMENTS ON PLANNED PROJECTS</w:t>
      </w:r>
    </w:p>
    <w:p w14:paraId="48B5E7C0" w14:textId="77777777" w:rsidR="001810DE" w:rsidRPr="00F54DF8" w:rsidRDefault="001810DE" w:rsidP="001810DE">
      <w:pPr>
        <w:pStyle w:val="p2"/>
        <w:keepNext/>
        <w:widowControl/>
        <w:spacing w:line="360" w:lineRule="auto"/>
        <w:ind w:firstLine="0"/>
        <w:rPr>
          <w:b/>
          <w:sz w:val="26"/>
          <w:szCs w:val="26"/>
        </w:rPr>
      </w:pPr>
    </w:p>
    <w:p w14:paraId="05888007" w14:textId="130C08B1" w:rsidR="001810DE" w:rsidRDefault="2315FA41" w:rsidP="2315FA41">
      <w:pPr>
        <w:pStyle w:val="p2"/>
        <w:keepNext/>
        <w:widowControl/>
        <w:tabs>
          <w:tab w:val="left" w:pos="720"/>
          <w:tab w:val="left" w:pos="810"/>
        </w:tabs>
        <w:spacing w:line="360" w:lineRule="auto"/>
        <w:ind w:firstLine="0"/>
        <w:rPr>
          <w:b/>
          <w:bCs/>
          <w:sz w:val="26"/>
          <w:szCs w:val="26"/>
        </w:rPr>
      </w:pPr>
      <w:r w:rsidRPr="2315FA41">
        <w:rPr>
          <w:b/>
          <w:bCs/>
          <w:sz w:val="26"/>
          <w:szCs w:val="26"/>
        </w:rPr>
        <w:t>PAWC-WD’s Position</w:t>
      </w:r>
    </w:p>
    <w:p w14:paraId="625B501D" w14:textId="77777777" w:rsidR="0073318A" w:rsidRPr="00F54DF8" w:rsidRDefault="0073318A" w:rsidP="001810DE">
      <w:pPr>
        <w:pStyle w:val="p2"/>
        <w:keepNext/>
        <w:widowControl/>
        <w:tabs>
          <w:tab w:val="left" w:pos="720"/>
          <w:tab w:val="left" w:pos="810"/>
        </w:tabs>
        <w:spacing w:line="360" w:lineRule="auto"/>
        <w:ind w:firstLine="0"/>
        <w:rPr>
          <w:b/>
          <w:sz w:val="26"/>
          <w:szCs w:val="26"/>
        </w:rPr>
      </w:pPr>
    </w:p>
    <w:p w14:paraId="1B76F3E2" w14:textId="7B5BEF4E" w:rsidR="00066CC1" w:rsidRDefault="2315FA41" w:rsidP="00066CC1">
      <w:pPr>
        <w:spacing w:line="360" w:lineRule="auto"/>
        <w:ind w:firstLine="720"/>
        <w:rPr>
          <w:sz w:val="26"/>
          <w:szCs w:val="26"/>
        </w:rPr>
      </w:pPr>
      <w:r w:rsidRPr="2315FA41">
        <w:rPr>
          <w:sz w:val="26"/>
          <w:szCs w:val="26"/>
        </w:rPr>
        <w:t xml:space="preserve">PAWC-WD states that the acceleration of aging infrastructure proposed in this LTIIP will lead to </w:t>
      </w:r>
      <w:r w:rsidR="00D0134C">
        <w:rPr>
          <w:sz w:val="26"/>
          <w:szCs w:val="26"/>
        </w:rPr>
        <w:t xml:space="preserve">travel </w:t>
      </w:r>
      <w:r w:rsidRPr="2315FA41">
        <w:rPr>
          <w:sz w:val="26"/>
          <w:szCs w:val="26"/>
        </w:rPr>
        <w:t xml:space="preserve">disruptions as work is performed in the right of ways of the roadways and streets across its service area.  PAWC-WD notes that local municipalities and other utilities/agencies may be planning paving projects or underground infrastructure replacement projects located in the same right-of-way as PAWC-WD’s wastewater infrastructure.  PAWC-WD notes that it recognizes that coordination with other utilities minimizes disruption and ensures that infrastructure replacement is efficient and cost effective. </w:t>
      </w:r>
    </w:p>
    <w:p w14:paraId="164AD5D1" w14:textId="77777777" w:rsidR="00066CC1" w:rsidRDefault="00066CC1" w:rsidP="0073318A">
      <w:pPr>
        <w:spacing w:line="360" w:lineRule="auto"/>
        <w:ind w:firstLine="360"/>
        <w:rPr>
          <w:sz w:val="26"/>
          <w:szCs w:val="26"/>
        </w:rPr>
      </w:pPr>
    </w:p>
    <w:p w14:paraId="58C932E6" w14:textId="16F6FFFF" w:rsidR="0073318A" w:rsidRPr="0073318A" w:rsidRDefault="2315FA41" w:rsidP="00066CC1">
      <w:pPr>
        <w:spacing w:line="360" w:lineRule="auto"/>
        <w:ind w:firstLine="720"/>
        <w:rPr>
          <w:sz w:val="26"/>
          <w:szCs w:val="26"/>
        </w:rPr>
      </w:pPr>
      <w:r w:rsidRPr="2315FA41">
        <w:rPr>
          <w:sz w:val="26"/>
          <w:szCs w:val="26"/>
        </w:rPr>
        <w:t xml:space="preserve"> PAWC-WD plans to take the following steps to reach out to customers about disturbances, and to coordinate with other utilities and the Pennsylvania Department of Transportation (PennDOT) located within the PAWC-WD service areas:  </w:t>
      </w:r>
    </w:p>
    <w:p w14:paraId="1DDC97DB" w14:textId="77777777" w:rsidR="0073318A" w:rsidRDefault="0073318A" w:rsidP="0073318A"/>
    <w:p w14:paraId="5036C1F6" w14:textId="0BEDA925" w:rsidR="0073318A" w:rsidRPr="0073318A" w:rsidRDefault="0073318A" w:rsidP="0073318A">
      <w:pPr>
        <w:widowControl/>
        <w:numPr>
          <w:ilvl w:val="0"/>
          <w:numId w:val="39"/>
        </w:numPr>
        <w:autoSpaceDE/>
        <w:autoSpaceDN/>
        <w:adjustRightInd/>
        <w:spacing w:line="360" w:lineRule="auto"/>
        <w:rPr>
          <w:sz w:val="26"/>
          <w:szCs w:val="26"/>
        </w:rPr>
      </w:pPr>
      <w:r w:rsidRPr="0073318A">
        <w:rPr>
          <w:sz w:val="26"/>
          <w:szCs w:val="26"/>
        </w:rPr>
        <w:lastRenderedPageBreak/>
        <w:t>Utilize Pennsylvania’s one-call system for design notifications, to coordinate design work with other utilities and municipalities and Coordinate PA to identify targeted areas of anticipated work planned over a two-year look ahead period</w:t>
      </w:r>
      <w:r>
        <w:rPr>
          <w:sz w:val="26"/>
          <w:szCs w:val="26"/>
        </w:rPr>
        <w:t>.</w:t>
      </w:r>
    </w:p>
    <w:p w14:paraId="10991354" w14:textId="132AF19D" w:rsidR="0073318A" w:rsidRPr="0073318A" w:rsidRDefault="0073318A" w:rsidP="0073318A">
      <w:pPr>
        <w:widowControl/>
        <w:numPr>
          <w:ilvl w:val="0"/>
          <w:numId w:val="39"/>
        </w:numPr>
        <w:autoSpaceDE/>
        <w:autoSpaceDN/>
        <w:adjustRightInd/>
        <w:spacing w:line="360" w:lineRule="auto"/>
        <w:rPr>
          <w:sz w:val="26"/>
          <w:szCs w:val="26"/>
        </w:rPr>
      </w:pPr>
      <w:r w:rsidRPr="0073318A">
        <w:rPr>
          <w:sz w:val="26"/>
          <w:szCs w:val="26"/>
        </w:rPr>
        <w:t>Maintain open communication with local municipalities to stay informed about planned utility and paving projects</w:t>
      </w:r>
      <w:r>
        <w:rPr>
          <w:sz w:val="26"/>
          <w:szCs w:val="26"/>
        </w:rPr>
        <w:t>.</w:t>
      </w:r>
      <w:r w:rsidRPr="0073318A">
        <w:rPr>
          <w:sz w:val="26"/>
          <w:szCs w:val="26"/>
        </w:rPr>
        <w:t xml:space="preserve"> </w:t>
      </w:r>
    </w:p>
    <w:p w14:paraId="5B874A9E" w14:textId="0E387902" w:rsidR="0073318A" w:rsidRPr="0073318A" w:rsidRDefault="0073318A" w:rsidP="0073318A">
      <w:pPr>
        <w:widowControl/>
        <w:numPr>
          <w:ilvl w:val="0"/>
          <w:numId w:val="39"/>
        </w:numPr>
        <w:autoSpaceDE/>
        <w:autoSpaceDN/>
        <w:adjustRightInd/>
        <w:spacing w:line="360" w:lineRule="auto"/>
        <w:rPr>
          <w:sz w:val="26"/>
          <w:szCs w:val="26"/>
        </w:rPr>
      </w:pPr>
      <w:r w:rsidRPr="0073318A">
        <w:rPr>
          <w:sz w:val="26"/>
          <w:szCs w:val="26"/>
        </w:rPr>
        <w:t>Maintain communication with PennDOT Utility Administrators and review the letting schedule</w:t>
      </w:r>
      <w:r>
        <w:rPr>
          <w:sz w:val="26"/>
          <w:szCs w:val="26"/>
        </w:rPr>
        <w:t>.</w:t>
      </w:r>
    </w:p>
    <w:p w14:paraId="704665B7" w14:textId="68B790AE" w:rsidR="0073318A" w:rsidRPr="0073318A" w:rsidRDefault="0073318A" w:rsidP="0073318A">
      <w:pPr>
        <w:widowControl/>
        <w:numPr>
          <w:ilvl w:val="0"/>
          <w:numId w:val="39"/>
        </w:numPr>
        <w:autoSpaceDE/>
        <w:autoSpaceDN/>
        <w:adjustRightInd/>
        <w:spacing w:line="360" w:lineRule="auto"/>
        <w:rPr>
          <w:sz w:val="26"/>
          <w:szCs w:val="26"/>
        </w:rPr>
      </w:pPr>
      <w:r w:rsidRPr="0073318A">
        <w:rPr>
          <w:sz w:val="26"/>
          <w:szCs w:val="26"/>
        </w:rPr>
        <w:t>Maintain communication / working relationships with other utilities operating in our service area</w:t>
      </w:r>
      <w:r>
        <w:rPr>
          <w:sz w:val="26"/>
          <w:szCs w:val="26"/>
        </w:rPr>
        <w:t>.</w:t>
      </w:r>
      <w:r w:rsidRPr="0073318A">
        <w:rPr>
          <w:sz w:val="26"/>
          <w:szCs w:val="26"/>
        </w:rPr>
        <w:t xml:space="preserve"> </w:t>
      </w:r>
    </w:p>
    <w:p w14:paraId="57B900E9" w14:textId="65365852" w:rsidR="0073318A" w:rsidRPr="0073318A" w:rsidRDefault="0073318A" w:rsidP="0073318A">
      <w:pPr>
        <w:widowControl/>
        <w:numPr>
          <w:ilvl w:val="0"/>
          <w:numId w:val="39"/>
        </w:numPr>
        <w:autoSpaceDE/>
        <w:autoSpaceDN/>
        <w:adjustRightInd/>
        <w:spacing w:line="360" w:lineRule="auto"/>
        <w:rPr>
          <w:sz w:val="26"/>
          <w:szCs w:val="26"/>
        </w:rPr>
      </w:pPr>
      <w:r w:rsidRPr="0073318A">
        <w:rPr>
          <w:sz w:val="26"/>
          <w:szCs w:val="26"/>
        </w:rPr>
        <w:t>Where applicable and cost-effective, use trenchless technologies to minimize roadway disturbance</w:t>
      </w:r>
      <w:r>
        <w:rPr>
          <w:sz w:val="26"/>
          <w:szCs w:val="26"/>
        </w:rPr>
        <w:t>.</w:t>
      </w:r>
    </w:p>
    <w:p w14:paraId="6F64C5FB" w14:textId="77777777" w:rsidR="0073318A" w:rsidRPr="0073318A" w:rsidRDefault="0073318A" w:rsidP="0073318A">
      <w:pPr>
        <w:keepLines/>
        <w:widowControl/>
        <w:numPr>
          <w:ilvl w:val="0"/>
          <w:numId w:val="39"/>
        </w:numPr>
        <w:autoSpaceDE/>
        <w:autoSpaceDN/>
        <w:adjustRightInd/>
        <w:spacing w:line="360" w:lineRule="auto"/>
        <w:rPr>
          <w:sz w:val="26"/>
          <w:szCs w:val="26"/>
        </w:rPr>
      </w:pPr>
      <w:r w:rsidRPr="0073318A">
        <w:rPr>
          <w:sz w:val="26"/>
          <w:szCs w:val="26"/>
        </w:rPr>
        <w:t xml:space="preserve">Prior to working within a community, issue door-to-door notifications, press releases, and / or information letters to notify those customers / community associations affected by the work.  </w:t>
      </w:r>
    </w:p>
    <w:p w14:paraId="080C1823" w14:textId="2F7E9BF0" w:rsidR="0073318A" w:rsidRPr="0073318A" w:rsidRDefault="2315FA41" w:rsidP="0073318A">
      <w:pPr>
        <w:keepLines/>
        <w:widowControl/>
        <w:numPr>
          <w:ilvl w:val="0"/>
          <w:numId w:val="39"/>
        </w:numPr>
        <w:autoSpaceDE/>
        <w:autoSpaceDN/>
        <w:adjustRightInd/>
        <w:spacing w:line="360" w:lineRule="auto"/>
        <w:rPr>
          <w:sz w:val="26"/>
          <w:szCs w:val="26"/>
        </w:rPr>
      </w:pPr>
      <w:r w:rsidRPr="2315FA41">
        <w:rPr>
          <w:sz w:val="26"/>
          <w:szCs w:val="26"/>
        </w:rPr>
        <w:t>PAWC-WD notes that it has launched its CodeRED system, which delivers high-speed notifications to customers when water emergencies occur.  Customers enrolling in CodeRED can be contacted quickly by text, email, telephone, and the CodeRED mobile app depending on their personal preferences.  CodeRED rapidly contacts large numbers of customers about emergency situations, which include boil water advisories, main breaks, water conservation requirements and other major events impacting water service.  The system will also be used for non-urgent notification, such as planned service outages, local hydrant flushing, low-pressure events and major traffic impacts.</w:t>
      </w:r>
    </w:p>
    <w:p w14:paraId="3C7B193D" w14:textId="29103B69" w:rsidR="00027B47" w:rsidRDefault="2315FA41" w:rsidP="00027B47">
      <w:pPr>
        <w:keepLines/>
        <w:widowControl/>
        <w:numPr>
          <w:ilvl w:val="0"/>
          <w:numId w:val="39"/>
        </w:numPr>
        <w:autoSpaceDE/>
        <w:autoSpaceDN/>
        <w:adjustRightInd/>
        <w:spacing w:line="360" w:lineRule="auto"/>
        <w:rPr>
          <w:sz w:val="26"/>
          <w:szCs w:val="26"/>
        </w:rPr>
      </w:pPr>
      <w:r w:rsidRPr="2315FA41">
        <w:rPr>
          <w:sz w:val="26"/>
          <w:szCs w:val="26"/>
        </w:rPr>
        <w:t>Leverage areas where PAWC-WD owns both sewer and water lines to replace both simultaneously as appropriate.</w:t>
      </w:r>
    </w:p>
    <w:p w14:paraId="0D3CE055" w14:textId="10F8820B" w:rsidR="002F6E4C" w:rsidRDefault="002F6E4C" w:rsidP="002F6E4C">
      <w:pPr>
        <w:keepLines/>
        <w:widowControl/>
        <w:autoSpaceDE/>
        <w:autoSpaceDN/>
        <w:adjustRightInd/>
        <w:spacing w:line="360" w:lineRule="auto"/>
        <w:ind w:left="720"/>
        <w:rPr>
          <w:sz w:val="26"/>
          <w:szCs w:val="26"/>
        </w:rPr>
      </w:pPr>
    </w:p>
    <w:p w14:paraId="28A19978" w14:textId="5A895048" w:rsidR="00D0134C" w:rsidRDefault="00D0134C" w:rsidP="002F6E4C">
      <w:pPr>
        <w:keepLines/>
        <w:widowControl/>
        <w:autoSpaceDE/>
        <w:autoSpaceDN/>
        <w:adjustRightInd/>
        <w:spacing w:line="360" w:lineRule="auto"/>
        <w:ind w:left="720"/>
        <w:rPr>
          <w:sz w:val="26"/>
          <w:szCs w:val="26"/>
        </w:rPr>
      </w:pPr>
    </w:p>
    <w:p w14:paraId="60D9C321" w14:textId="77777777" w:rsidR="00D0134C" w:rsidRDefault="00D0134C" w:rsidP="002F6E4C">
      <w:pPr>
        <w:keepLines/>
        <w:widowControl/>
        <w:autoSpaceDE/>
        <w:autoSpaceDN/>
        <w:adjustRightInd/>
        <w:spacing w:line="360" w:lineRule="auto"/>
        <w:ind w:left="720"/>
        <w:rPr>
          <w:sz w:val="26"/>
          <w:szCs w:val="26"/>
        </w:rPr>
      </w:pPr>
    </w:p>
    <w:p w14:paraId="2A2DC3E6" w14:textId="622EE7AF" w:rsidR="00DF5750" w:rsidRPr="00027B47" w:rsidRDefault="00DF5750" w:rsidP="00027B47">
      <w:pPr>
        <w:keepLines/>
        <w:widowControl/>
        <w:autoSpaceDE/>
        <w:autoSpaceDN/>
        <w:adjustRightInd/>
        <w:spacing w:line="360" w:lineRule="auto"/>
        <w:ind w:left="720" w:hanging="720"/>
        <w:rPr>
          <w:sz w:val="26"/>
          <w:szCs w:val="26"/>
        </w:rPr>
      </w:pPr>
      <w:r w:rsidRPr="00027B47">
        <w:rPr>
          <w:b/>
          <w:sz w:val="26"/>
          <w:szCs w:val="26"/>
        </w:rPr>
        <w:lastRenderedPageBreak/>
        <w:t>Comments</w:t>
      </w:r>
    </w:p>
    <w:p w14:paraId="3A25B2B1" w14:textId="77777777" w:rsidR="00A95E1D" w:rsidRPr="00F54DF8" w:rsidRDefault="00A95E1D" w:rsidP="00DF5750">
      <w:pPr>
        <w:pStyle w:val="p2"/>
        <w:keepNext/>
        <w:widowControl/>
        <w:tabs>
          <w:tab w:val="left" w:pos="720"/>
        </w:tabs>
        <w:spacing w:line="360" w:lineRule="auto"/>
        <w:ind w:firstLine="0"/>
        <w:rPr>
          <w:b/>
          <w:sz w:val="26"/>
          <w:szCs w:val="26"/>
        </w:rPr>
      </w:pPr>
    </w:p>
    <w:p w14:paraId="0B5739A2" w14:textId="074B1404" w:rsidR="00DF5750" w:rsidRDefault="00ED7DFF" w:rsidP="00DD24D2">
      <w:pPr>
        <w:pStyle w:val="p2"/>
        <w:tabs>
          <w:tab w:val="clear" w:pos="1445"/>
        </w:tabs>
        <w:spacing w:line="360" w:lineRule="auto"/>
        <w:ind w:firstLine="720"/>
        <w:rPr>
          <w:iCs/>
          <w:sz w:val="26"/>
          <w:szCs w:val="26"/>
        </w:rPr>
      </w:pPr>
      <w:r w:rsidRPr="00A95E1D">
        <w:rPr>
          <w:iCs/>
          <w:sz w:val="26"/>
          <w:szCs w:val="26"/>
        </w:rPr>
        <w:t xml:space="preserve"> </w:t>
      </w:r>
      <w:r w:rsidR="00DF5750" w:rsidRPr="00A95E1D">
        <w:rPr>
          <w:iCs/>
          <w:sz w:val="26"/>
          <w:szCs w:val="26"/>
        </w:rPr>
        <w:t>No comments were received regarding the description of outreach and</w:t>
      </w:r>
      <w:r w:rsidRPr="00A95E1D">
        <w:rPr>
          <w:iCs/>
          <w:sz w:val="26"/>
          <w:szCs w:val="26"/>
        </w:rPr>
        <w:t xml:space="preserve"> </w:t>
      </w:r>
      <w:r w:rsidR="00DF5750" w:rsidRPr="00A95E1D">
        <w:rPr>
          <w:iCs/>
          <w:sz w:val="26"/>
          <w:szCs w:val="26"/>
        </w:rPr>
        <w:t>coordination activities with other utilities, PennD</w:t>
      </w:r>
      <w:r w:rsidR="00C91609" w:rsidRPr="00A95E1D">
        <w:rPr>
          <w:iCs/>
          <w:sz w:val="26"/>
          <w:szCs w:val="26"/>
        </w:rPr>
        <w:t>O</w:t>
      </w:r>
      <w:r w:rsidR="00DF5750" w:rsidRPr="00A95E1D">
        <w:rPr>
          <w:iCs/>
          <w:sz w:val="26"/>
          <w:szCs w:val="26"/>
        </w:rPr>
        <w:t>T and local governments on planned projects.</w:t>
      </w:r>
    </w:p>
    <w:p w14:paraId="664B8384" w14:textId="77777777" w:rsidR="00604EE2" w:rsidRPr="00DD24D2" w:rsidRDefault="00604EE2" w:rsidP="00DD24D2">
      <w:pPr>
        <w:pStyle w:val="p2"/>
        <w:tabs>
          <w:tab w:val="clear" w:pos="1445"/>
        </w:tabs>
        <w:spacing w:line="360" w:lineRule="auto"/>
        <w:ind w:firstLine="720"/>
        <w:rPr>
          <w:iCs/>
          <w:sz w:val="26"/>
          <w:szCs w:val="26"/>
        </w:rPr>
      </w:pPr>
    </w:p>
    <w:p w14:paraId="2C4AA164"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t>Resolution</w:t>
      </w:r>
    </w:p>
    <w:p w14:paraId="461E533E" w14:textId="77777777" w:rsidR="00DF5750" w:rsidRPr="00F54DF8" w:rsidRDefault="00DF5750" w:rsidP="00DF5750">
      <w:pPr>
        <w:pStyle w:val="p2"/>
        <w:keepNext/>
        <w:widowControl/>
        <w:spacing w:line="360" w:lineRule="auto"/>
        <w:ind w:firstLine="0"/>
        <w:rPr>
          <w:sz w:val="26"/>
          <w:szCs w:val="26"/>
        </w:rPr>
      </w:pPr>
    </w:p>
    <w:p w14:paraId="449CDD2C" w14:textId="1E19A72F" w:rsidR="00DB6175" w:rsidRDefault="2315FA41" w:rsidP="00DB6175">
      <w:pPr>
        <w:pStyle w:val="p7"/>
        <w:widowControl/>
        <w:tabs>
          <w:tab w:val="clear" w:pos="782"/>
          <w:tab w:val="clear" w:pos="1133"/>
          <w:tab w:val="left" w:pos="0"/>
          <w:tab w:val="left" w:pos="720"/>
        </w:tabs>
        <w:spacing w:line="360" w:lineRule="auto"/>
        <w:ind w:left="0" w:firstLine="720"/>
        <w:rPr>
          <w:sz w:val="26"/>
          <w:szCs w:val="26"/>
        </w:rPr>
      </w:pPr>
      <w:r w:rsidRPr="2315FA41">
        <w:rPr>
          <w:sz w:val="26"/>
          <w:szCs w:val="26"/>
        </w:rPr>
        <w:t>Upon review</w:t>
      </w:r>
      <w:r w:rsidR="00D0134C">
        <w:rPr>
          <w:sz w:val="26"/>
          <w:szCs w:val="26"/>
        </w:rPr>
        <w:t xml:space="preserve"> of</w:t>
      </w:r>
      <w:r w:rsidRPr="2315FA41">
        <w:rPr>
          <w:sz w:val="26"/>
          <w:szCs w:val="26"/>
        </w:rPr>
        <w:t xml:space="preserve"> PAWC-WD’s Modified LTIIP, as amended, the Commission finds that PAWC-WD’s Modified LTIIP fulfills the requirements of 52 Pa. Code §</w:t>
      </w:r>
      <w:r w:rsidR="00D0134C">
        <w:rPr>
          <w:sz w:val="26"/>
          <w:szCs w:val="26"/>
        </w:rPr>
        <w:t> </w:t>
      </w:r>
      <w:r w:rsidRPr="2315FA41">
        <w:rPr>
          <w:sz w:val="26"/>
          <w:szCs w:val="26"/>
        </w:rPr>
        <w:t xml:space="preserve">121.3(a)(8) by providing a description of PAWC-WD’s outreach and coordination activities with other utilities, PennDOT and local governments on planned projects and roadways that may be impacted by the Modified LTIIP.  </w:t>
      </w:r>
    </w:p>
    <w:p w14:paraId="13EC1D08" w14:textId="008BA428" w:rsidR="00DB6175" w:rsidRDefault="00DB6175" w:rsidP="00DB6175">
      <w:pPr>
        <w:pStyle w:val="p7"/>
        <w:widowControl/>
        <w:tabs>
          <w:tab w:val="clear" w:pos="782"/>
          <w:tab w:val="clear" w:pos="1133"/>
          <w:tab w:val="left" w:pos="0"/>
          <w:tab w:val="left" w:pos="720"/>
        </w:tabs>
        <w:spacing w:line="360" w:lineRule="auto"/>
        <w:ind w:left="0" w:firstLine="720"/>
        <w:rPr>
          <w:sz w:val="26"/>
          <w:szCs w:val="26"/>
        </w:rPr>
      </w:pPr>
    </w:p>
    <w:p w14:paraId="31737C00" w14:textId="4A10FB27" w:rsidR="00C33225" w:rsidRDefault="00DB6175" w:rsidP="00C33225">
      <w:pPr>
        <w:pStyle w:val="p7"/>
        <w:widowControl/>
        <w:tabs>
          <w:tab w:val="clear" w:pos="782"/>
          <w:tab w:val="clear" w:pos="1133"/>
          <w:tab w:val="left" w:pos="0"/>
          <w:tab w:val="left" w:pos="720"/>
        </w:tabs>
        <w:spacing w:line="360" w:lineRule="auto"/>
        <w:ind w:left="0" w:firstLine="0"/>
        <w:jc w:val="center"/>
        <w:rPr>
          <w:b/>
          <w:sz w:val="26"/>
          <w:szCs w:val="26"/>
        </w:rPr>
      </w:pPr>
      <w:r w:rsidRPr="00DB6175">
        <w:rPr>
          <w:b/>
          <w:sz w:val="26"/>
          <w:szCs w:val="26"/>
        </w:rPr>
        <w:t>LT</w:t>
      </w:r>
      <w:r w:rsidR="00222C04" w:rsidRPr="00DB6175">
        <w:rPr>
          <w:b/>
          <w:sz w:val="26"/>
          <w:szCs w:val="26"/>
        </w:rPr>
        <w:t>IIP</w:t>
      </w:r>
      <w:r w:rsidR="00F37ED8" w:rsidRPr="00DB6175">
        <w:rPr>
          <w:b/>
          <w:sz w:val="26"/>
          <w:szCs w:val="26"/>
        </w:rPr>
        <w:t xml:space="preserve"> </w:t>
      </w:r>
      <w:r w:rsidR="00F37ED8" w:rsidRPr="00F54DF8">
        <w:rPr>
          <w:b/>
          <w:sz w:val="26"/>
          <w:szCs w:val="26"/>
        </w:rPr>
        <w:t>SUMMARY</w:t>
      </w:r>
    </w:p>
    <w:p w14:paraId="087FE85B" w14:textId="77777777" w:rsidR="00DD24D2" w:rsidRDefault="00DD24D2" w:rsidP="00C33225">
      <w:pPr>
        <w:pStyle w:val="p7"/>
        <w:widowControl/>
        <w:tabs>
          <w:tab w:val="clear" w:pos="782"/>
          <w:tab w:val="clear" w:pos="1133"/>
          <w:tab w:val="left" w:pos="0"/>
          <w:tab w:val="left" w:pos="720"/>
        </w:tabs>
        <w:spacing w:line="360" w:lineRule="auto"/>
        <w:ind w:left="0" w:firstLine="0"/>
        <w:jc w:val="center"/>
        <w:rPr>
          <w:b/>
          <w:sz w:val="26"/>
          <w:szCs w:val="26"/>
        </w:rPr>
      </w:pPr>
    </w:p>
    <w:p w14:paraId="17C5869C" w14:textId="77777777" w:rsidR="00DB6175" w:rsidRDefault="00AB54F0" w:rsidP="00DB6175">
      <w:pPr>
        <w:pStyle w:val="p7"/>
        <w:widowControl/>
        <w:tabs>
          <w:tab w:val="clear" w:pos="782"/>
          <w:tab w:val="clear" w:pos="1133"/>
          <w:tab w:val="left" w:pos="0"/>
          <w:tab w:val="left" w:pos="720"/>
        </w:tabs>
        <w:spacing w:line="360" w:lineRule="auto"/>
        <w:ind w:left="0" w:firstLine="0"/>
        <w:rPr>
          <w:sz w:val="26"/>
          <w:szCs w:val="26"/>
        </w:rPr>
      </w:pPr>
      <w:r>
        <w:rPr>
          <w:sz w:val="26"/>
          <w:szCs w:val="26"/>
        </w:rPr>
        <w:tab/>
        <w:t>The Commission’s review of an LTIIP must determine if the LTIIP:</w:t>
      </w:r>
      <w:r>
        <w:rPr>
          <w:rStyle w:val="FootnoteReference"/>
          <w:sz w:val="26"/>
          <w:szCs w:val="26"/>
        </w:rPr>
        <w:footnoteReference w:id="7"/>
      </w:r>
    </w:p>
    <w:p w14:paraId="7559A8C3" w14:textId="77777777"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Contains measures to ensure that the projected annual expenditures are cost</w:t>
      </w:r>
      <w:r w:rsidR="001A7EAA">
        <w:rPr>
          <w:sz w:val="26"/>
          <w:szCs w:val="26"/>
        </w:rPr>
        <w:noBreakHyphen/>
      </w:r>
      <w:r w:rsidRPr="00AB54F0">
        <w:rPr>
          <w:sz w:val="26"/>
          <w:szCs w:val="26"/>
        </w:rPr>
        <w:t>effective</w:t>
      </w:r>
      <w:r w:rsidR="001A7EAA">
        <w:rPr>
          <w:sz w:val="26"/>
          <w:szCs w:val="26"/>
        </w:rPr>
        <w:t>.</w:t>
      </w:r>
    </w:p>
    <w:p w14:paraId="74932F9A" w14:textId="77777777"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Specifies the </w:t>
      </w:r>
      <w:proofErr w:type="gramStart"/>
      <w:r w:rsidRPr="00AB54F0">
        <w:rPr>
          <w:sz w:val="26"/>
          <w:szCs w:val="26"/>
        </w:rPr>
        <w:t>manner in which</w:t>
      </w:r>
      <w:proofErr w:type="gramEnd"/>
      <w:r w:rsidRPr="00AB54F0">
        <w:rPr>
          <w:sz w:val="26"/>
          <w:szCs w:val="26"/>
        </w:rPr>
        <w:t xml:space="preserve"> it accelerates or maintains an accelerated rate of infrastructure repair, improvement or replacement</w:t>
      </w:r>
      <w:r w:rsidR="001A7EAA">
        <w:rPr>
          <w:sz w:val="26"/>
          <w:szCs w:val="26"/>
        </w:rPr>
        <w:t>.</w:t>
      </w:r>
      <w:r w:rsidR="00DB6175">
        <w:rPr>
          <w:sz w:val="26"/>
          <w:szCs w:val="26"/>
        </w:rPr>
        <w:t xml:space="preserve">  </w:t>
      </w:r>
    </w:p>
    <w:p w14:paraId="177D8B5D" w14:textId="77777777"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Is sufficient to ensure and maintain adequate, efficient, safe, </w:t>
      </w:r>
      <w:r>
        <w:rPr>
          <w:sz w:val="26"/>
          <w:szCs w:val="26"/>
        </w:rPr>
        <w:t>reliable and reasonable service</w:t>
      </w:r>
      <w:r w:rsidR="001A7EAA">
        <w:rPr>
          <w:sz w:val="26"/>
          <w:szCs w:val="26"/>
        </w:rPr>
        <w:t>.</w:t>
      </w:r>
      <w:r w:rsidR="00DB6175">
        <w:rPr>
          <w:sz w:val="26"/>
          <w:szCs w:val="26"/>
        </w:rPr>
        <w:t xml:space="preserve">  </w:t>
      </w:r>
    </w:p>
    <w:p w14:paraId="4D477597" w14:textId="658AC391" w:rsidR="00DB6175" w:rsidRDefault="00AB54F0" w:rsidP="00DB6175">
      <w:pPr>
        <w:pStyle w:val="p7"/>
        <w:widowControl/>
        <w:numPr>
          <w:ilvl w:val="0"/>
          <w:numId w:val="38"/>
        </w:numPr>
        <w:tabs>
          <w:tab w:val="clear" w:pos="782"/>
          <w:tab w:val="clear" w:pos="1133"/>
          <w:tab w:val="left" w:pos="0"/>
          <w:tab w:val="left" w:pos="720"/>
        </w:tabs>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sidR="001A7EAA">
        <w:rPr>
          <w:sz w:val="26"/>
          <w:szCs w:val="26"/>
        </w:rPr>
        <w:t>.</w:t>
      </w:r>
    </w:p>
    <w:p w14:paraId="1FA87036" w14:textId="77777777" w:rsidR="00DB6175" w:rsidRDefault="00DB6175" w:rsidP="00DB6175">
      <w:pPr>
        <w:pStyle w:val="p7"/>
        <w:widowControl/>
        <w:tabs>
          <w:tab w:val="clear" w:pos="782"/>
          <w:tab w:val="clear" w:pos="1133"/>
          <w:tab w:val="left" w:pos="0"/>
          <w:tab w:val="left" w:pos="720"/>
        </w:tabs>
        <w:spacing w:line="360" w:lineRule="auto"/>
        <w:ind w:left="0" w:firstLine="0"/>
        <w:jc w:val="center"/>
        <w:rPr>
          <w:sz w:val="26"/>
          <w:szCs w:val="26"/>
        </w:rPr>
      </w:pPr>
    </w:p>
    <w:p w14:paraId="7367BEBD" w14:textId="145F1B56" w:rsidR="001A7EAA" w:rsidRDefault="00472A8F" w:rsidP="00DB6175">
      <w:pPr>
        <w:pStyle w:val="p7"/>
        <w:widowControl/>
        <w:tabs>
          <w:tab w:val="clear" w:pos="782"/>
          <w:tab w:val="clear" w:pos="1133"/>
          <w:tab w:val="left" w:pos="0"/>
        </w:tabs>
        <w:spacing w:line="360" w:lineRule="auto"/>
        <w:ind w:left="0" w:firstLine="0"/>
        <w:rPr>
          <w:sz w:val="26"/>
          <w:szCs w:val="26"/>
        </w:rPr>
      </w:pPr>
      <w:r>
        <w:rPr>
          <w:sz w:val="26"/>
          <w:szCs w:val="26"/>
        </w:rPr>
        <w:lastRenderedPageBreak/>
        <w:tab/>
      </w:r>
      <w:r w:rsidR="001A7EAA">
        <w:rPr>
          <w:sz w:val="26"/>
          <w:szCs w:val="26"/>
        </w:rPr>
        <w:t>The utility has the burden of proof to demonstrate that its proposed LTIIP and associated expenditures are reasonable, cost effective and designed to ensure and maintain sufficient, safe, adequate, reliable and reasonable service to consumers.</w:t>
      </w:r>
      <w:r w:rsidR="001A7EAA" w:rsidRPr="00DB6175">
        <w:rPr>
          <w:rStyle w:val="FootnoteReference"/>
          <w:sz w:val="26"/>
          <w:szCs w:val="26"/>
        </w:rPr>
        <w:footnoteReference w:id="8"/>
      </w:r>
    </w:p>
    <w:p w14:paraId="56985388" w14:textId="77777777" w:rsidR="00AB54F0" w:rsidRPr="00F54DF8" w:rsidRDefault="00AB54F0" w:rsidP="00AB54F0">
      <w:pPr>
        <w:pStyle w:val="p2"/>
        <w:keepNext/>
        <w:widowControl/>
        <w:spacing w:line="360" w:lineRule="auto"/>
        <w:ind w:firstLine="0"/>
        <w:rPr>
          <w:sz w:val="26"/>
          <w:szCs w:val="26"/>
        </w:rPr>
      </w:pPr>
    </w:p>
    <w:p w14:paraId="1CC7D79A" w14:textId="279C4587" w:rsidR="00156FF6" w:rsidRPr="00156FF6" w:rsidRDefault="2315FA41" w:rsidP="2315FA41">
      <w:pPr>
        <w:widowControl/>
        <w:spacing w:line="360" w:lineRule="auto"/>
        <w:ind w:firstLine="720"/>
        <w:rPr>
          <w:b/>
          <w:bCs/>
          <w:sz w:val="26"/>
          <w:szCs w:val="26"/>
        </w:rPr>
      </w:pPr>
      <w:r w:rsidRPr="2315FA41">
        <w:rPr>
          <w:sz w:val="26"/>
          <w:szCs w:val="26"/>
        </w:rPr>
        <w:t xml:space="preserve">The Commission has reviewed PAWC-WD’s Modified LTIIP, as amended, and any supplemental information filed.  The Commission finds that PAWC-WD has </w:t>
      </w:r>
      <w:r w:rsidR="0015008E">
        <w:rPr>
          <w:sz w:val="26"/>
          <w:szCs w:val="26"/>
        </w:rPr>
        <w:t xml:space="preserve">met </w:t>
      </w:r>
      <w:r w:rsidRPr="2315FA41">
        <w:rPr>
          <w:sz w:val="26"/>
          <w:szCs w:val="26"/>
        </w:rPr>
        <w:t xml:space="preserve">its burden of proof by demonstrating that its Modified LTIIP contains measures to ensure that the projected annual expenditures are cost-effective, specifies the manner in which it accelerates or maintains an accelerated rate of infrastructure repair, improvement, or replacement, is sufficient to ensure and maintain adequate, safe, reliable, and reasonable service, and meets the requirements of 52 Pa. Code § 121.3(a).  Accordingly, PAWC-WD’s Modified LTIIP is approved.  </w:t>
      </w:r>
    </w:p>
    <w:p w14:paraId="39A6F1DB" w14:textId="77777777" w:rsidR="00156FF6" w:rsidRDefault="00156FF6" w:rsidP="00156FF6">
      <w:pPr>
        <w:widowControl/>
        <w:spacing w:line="360" w:lineRule="auto"/>
        <w:ind w:firstLine="1440"/>
        <w:rPr>
          <w:sz w:val="26"/>
          <w:szCs w:val="26"/>
        </w:rPr>
      </w:pPr>
    </w:p>
    <w:p w14:paraId="21E5849D" w14:textId="7051F09F" w:rsidR="00CA053A" w:rsidRPr="00F54DF8" w:rsidRDefault="2315FA41" w:rsidP="00D24EB4">
      <w:pPr>
        <w:widowControl/>
        <w:spacing w:line="360" w:lineRule="auto"/>
        <w:ind w:firstLine="720"/>
        <w:rPr>
          <w:sz w:val="26"/>
          <w:szCs w:val="26"/>
        </w:rPr>
      </w:pPr>
      <w:r w:rsidRPr="2315FA41">
        <w:rPr>
          <w:sz w:val="26"/>
          <w:szCs w:val="26"/>
        </w:rPr>
        <w:t xml:space="preserve">The Commission finds PAWC-WD’s Modified Long-Term Infrastructure Improvement Plan and </w:t>
      </w:r>
      <w:r w:rsidR="005E0FC0" w:rsidRPr="2315FA41">
        <w:rPr>
          <w:sz w:val="26"/>
          <w:szCs w:val="26"/>
        </w:rPr>
        <w:t>manner it</w:t>
      </w:r>
      <w:r w:rsidRPr="2315FA41">
        <w:rPr>
          <w:sz w:val="26"/>
          <w:szCs w:val="26"/>
        </w:rPr>
        <w:t xml:space="preserve"> was filed conforms to the requirements of Act 11 and our Regulations.  The plan, as approved herein, is designed to maintain safe, adequate and reliable service and, as such, PAWC-WD shall be required to comply with the infrastructure replacement schedule and elements of that plan; </w:t>
      </w:r>
      <w:r w:rsidRPr="2315FA41">
        <w:rPr>
          <w:b/>
          <w:bCs/>
          <w:sz w:val="26"/>
          <w:szCs w:val="26"/>
        </w:rPr>
        <w:t>THEREFORE,</w:t>
      </w:r>
    </w:p>
    <w:p w14:paraId="7D1D3A6C" w14:textId="77777777" w:rsidR="00CA053A" w:rsidRPr="00F54DF8" w:rsidRDefault="00CA053A" w:rsidP="00773D87">
      <w:pPr>
        <w:pStyle w:val="p2"/>
        <w:widowControl/>
        <w:spacing w:line="360" w:lineRule="auto"/>
        <w:rPr>
          <w:b/>
          <w:sz w:val="26"/>
          <w:szCs w:val="26"/>
        </w:rPr>
      </w:pPr>
    </w:p>
    <w:p w14:paraId="655734B2" w14:textId="77777777" w:rsidR="00CA053A" w:rsidRPr="00F54DF8" w:rsidRDefault="00CA053A" w:rsidP="00D24EB4">
      <w:pPr>
        <w:pStyle w:val="p2"/>
        <w:keepNext/>
        <w:widowControl/>
        <w:spacing w:line="360" w:lineRule="auto"/>
        <w:ind w:firstLine="720"/>
        <w:rPr>
          <w:sz w:val="26"/>
          <w:szCs w:val="26"/>
        </w:rPr>
      </w:pPr>
      <w:r w:rsidRPr="00F54DF8">
        <w:rPr>
          <w:b/>
          <w:sz w:val="26"/>
          <w:szCs w:val="26"/>
        </w:rPr>
        <w:t>IT IS ORDERED:</w:t>
      </w:r>
    </w:p>
    <w:p w14:paraId="5D8D8D6B" w14:textId="77777777" w:rsidR="00CA053A" w:rsidRPr="00F54DF8" w:rsidRDefault="00CA053A" w:rsidP="00F939FA">
      <w:pPr>
        <w:pStyle w:val="p2"/>
        <w:keepNext/>
        <w:widowControl/>
        <w:spacing w:line="360" w:lineRule="auto"/>
        <w:ind w:firstLine="1440"/>
        <w:rPr>
          <w:sz w:val="26"/>
          <w:szCs w:val="26"/>
        </w:rPr>
      </w:pPr>
    </w:p>
    <w:p w14:paraId="1A772C46" w14:textId="0C194190" w:rsidR="00F54DF8" w:rsidRDefault="004806FC" w:rsidP="004806FC">
      <w:pPr>
        <w:pStyle w:val="p2"/>
        <w:widowControl/>
        <w:tabs>
          <w:tab w:val="clear" w:pos="1445"/>
          <w:tab w:val="left" w:pos="720"/>
        </w:tabs>
        <w:spacing w:line="360" w:lineRule="auto"/>
        <w:ind w:firstLine="0"/>
        <w:rPr>
          <w:sz w:val="26"/>
          <w:szCs w:val="26"/>
        </w:rPr>
      </w:pPr>
      <w:r>
        <w:rPr>
          <w:sz w:val="26"/>
          <w:szCs w:val="26"/>
        </w:rPr>
        <w:tab/>
        <w:t>1.</w:t>
      </w:r>
      <w:r>
        <w:rPr>
          <w:sz w:val="26"/>
          <w:szCs w:val="26"/>
        </w:rPr>
        <w:tab/>
      </w:r>
      <w:r w:rsidR="00CA053A" w:rsidRPr="00F54DF8">
        <w:rPr>
          <w:sz w:val="26"/>
          <w:szCs w:val="26"/>
        </w:rPr>
        <w:t xml:space="preserve">That the Petition </w:t>
      </w:r>
      <w:r w:rsidR="00970ED2" w:rsidRPr="001A54B6">
        <w:rPr>
          <w:sz w:val="26"/>
          <w:szCs w:val="26"/>
        </w:rPr>
        <w:t>of Pennsylvania</w:t>
      </w:r>
      <w:r w:rsidR="001A54B6" w:rsidRPr="001A54B6">
        <w:rPr>
          <w:sz w:val="26"/>
          <w:szCs w:val="26"/>
        </w:rPr>
        <w:t xml:space="preserve">-American Water Company – Wastewater Division for Approval of its Modified Long-Term Infrastructure Improvement Plan </w:t>
      </w:r>
      <w:r w:rsidR="00CA053A" w:rsidRPr="00F54DF8">
        <w:rPr>
          <w:sz w:val="26"/>
          <w:szCs w:val="26"/>
        </w:rPr>
        <w:t>is approved, consistent with this Order</w:t>
      </w:r>
      <w:r w:rsidR="0026209A">
        <w:rPr>
          <w:sz w:val="26"/>
          <w:szCs w:val="26"/>
        </w:rPr>
        <w:t xml:space="preserve">.  </w:t>
      </w:r>
    </w:p>
    <w:p w14:paraId="15BF8DDC" w14:textId="77777777" w:rsidR="0026209A" w:rsidRDefault="0026209A" w:rsidP="2315FA41">
      <w:pPr>
        <w:pStyle w:val="p2"/>
        <w:widowControl/>
        <w:tabs>
          <w:tab w:val="clear" w:pos="1445"/>
          <w:tab w:val="left" w:pos="720"/>
        </w:tabs>
        <w:spacing w:line="360" w:lineRule="auto"/>
        <w:ind w:firstLine="0"/>
        <w:rPr>
          <w:sz w:val="26"/>
          <w:szCs w:val="26"/>
        </w:rPr>
      </w:pPr>
    </w:p>
    <w:p w14:paraId="0ECF29BB" w14:textId="4F8DB68E" w:rsidR="002C4797" w:rsidRDefault="0026209A" w:rsidP="2315FA41">
      <w:pPr>
        <w:pStyle w:val="p2"/>
        <w:widowControl/>
        <w:tabs>
          <w:tab w:val="clear" w:pos="1445"/>
          <w:tab w:val="left" w:pos="720"/>
        </w:tabs>
        <w:spacing w:line="360" w:lineRule="auto"/>
        <w:ind w:firstLine="0"/>
        <w:rPr>
          <w:sz w:val="26"/>
          <w:szCs w:val="26"/>
        </w:rPr>
      </w:pPr>
      <w:r>
        <w:rPr>
          <w:sz w:val="26"/>
          <w:szCs w:val="26"/>
        </w:rPr>
        <w:tab/>
        <w:t>2.</w:t>
      </w:r>
      <w:r>
        <w:rPr>
          <w:sz w:val="26"/>
          <w:szCs w:val="26"/>
        </w:rPr>
        <w:tab/>
      </w:r>
      <w:r w:rsidR="002C4797" w:rsidRPr="002C4797">
        <w:rPr>
          <w:sz w:val="26"/>
          <w:szCs w:val="26"/>
        </w:rPr>
        <w:t xml:space="preserve">That </w:t>
      </w:r>
      <w:bookmarkStart w:id="10" w:name="_Hlk34225790"/>
      <w:r w:rsidR="002C4797" w:rsidRPr="002C4797">
        <w:rPr>
          <w:sz w:val="26"/>
          <w:szCs w:val="26"/>
        </w:rPr>
        <w:t>Pennsylvania</w:t>
      </w:r>
      <w:r>
        <w:rPr>
          <w:sz w:val="26"/>
          <w:szCs w:val="26"/>
        </w:rPr>
        <w:t>-</w:t>
      </w:r>
      <w:r w:rsidR="002C4797" w:rsidRPr="002C4797">
        <w:rPr>
          <w:sz w:val="26"/>
          <w:szCs w:val="26"/>
        </w:rPr>
        <w:t>American Water Company</w:t>
      </w:r>
      <w:r>
        <w:rPr>
          <w:sz w:val="26"/>
          <w:szCs w:val="26"/>
        </w:rPr>
        <w:t xml:space="preserve"> – Wastewater </w:t>
      </w:r>
      <w:r w:rsidR="00384FA9">
        <w:rPr>
          <w:sz w:val="26"/>
          <w:szCs w:val="26"/>
        </w:rPr>
        <w:t>Division</w:t>
      </w:r>
      <w:r w:rsidR="0019282D">
        <w:rPr>
          <w:sz w:val="26"/>
          <w:szCs w:val="26"/>
        </w:rPr>
        <w:t>,</w:t>
      </w:r>
      <w:r w:rsidR="002C4797" w:rsidRPr="002C4797">
        <w:rPr>
          <w:sz w:val="26"/>
          <w:szCs w:val="26"/>
        </w:rPr>
        <w:t xml:space="preserve"> </w:t>
      </w:r>
      <w:bookmarkEnd w:id="10"/>
      <w:r w:rsidR="002C4797" w:rsidRPr="002C4797">
        <w:rPr>
          <w:sz w:val="26"/>
          <w:szCs w:val="26"/>
        </w:rPr>
        <w:t xml:space="preserve">pursuant to the directives in this Order and beginning with its Annual Asset Optimization </w:t>
      </w:r>
      <w:r w:rsidR="002C4797" w:rsidRPr="002C4797">
        <w:rPr>
          <w:sz w:val="26"/>
          <w:szCs w:val="26"/>
        </w:rPr>
        <w:lastRenderedPageBreak/>
        <w:t>Plan for calendar year 2020, shall include in its Annual Asset Optimization Plans: updated information on its pipeline materials and diameters for all of its wastewater systems;</w:t>
      </w:r>
      <w:r w:rsidR="00D35276">
        <w:rPr>
          <w:sz w:val="26"/>
          <w:szCs w:val="26"/>
        </w:rPr>
        <w:t xml:space="preserve"> detailed</w:t>
      </w:r>
      <w:r w:rsidR="002C4797" w:rsidRPr="002C4797">
        <w:rPr>
          <w:sz w:val="26"/>
          <w:szCs w:val="26"/>
        </w:rPr>
        <w:t xml:space="preserve"> information on the amount of sewer pipe that is replaced or </w:t>
      </w:r>
      <w:r w:rsidR="00D35276">
        <w:rPr>
          <w:sz w:val="26"/>
          <w:szCs w:val="26"/>
        </w:rPr>
        <w:t>rehabilitated</w:t>
      </w:r>
      <w:r w:rsidR="002C4797" w:rsidRPr="002C4797">
        <w:rPr>
          <w:sz w:val="26"/>
          <w:szCs w:val="26"/>
        </w:rPr>
        <w:t xml:space="preserve"> each year; </w:t>
      </w:r>
      <w:r w:rsidR="00D0134C">
        <w:rPr>
          <w:sz w:val="26"/>
          <w:szCs w:val="26"/>
        </w:rPr>
        <w:t xml:space="preserve">a baseline </w:t>
      </w:r>
      <w:r w:rsidR="002C4797" w:rsidRPr="002C4797">
        <w:rPr>
          <w:sz w:val="26"/>
          <w:szCs w:val="26"/>
        </w:rPr>
        <w:t>an</w:t>
      </w:r>
      <w:r w:rsidR="00D0134C">
        <w:rPr>
          <w:sz w:val="26"/>
          <w:szCs w:val="26"/>
        </w:rPr>
        <w:t>d</w:t>
      </w:r>
      <w:r w:rsidR="002C4797" w:rsidRPr="002C4797">
        <w:rPr>
          <w:sz w:val="26"/>
          <w:szCs w:val="26"/>
        </w:rPr>
        <w:t xml:space="preserve"> update on the progress of the inflow and infiltration (I&amp;I) reduction for each of its wastewater systems.</w:t>
      </w:r>
    </w:p>
    <w:p w14:paraId="29448430" w14:textId="77777777" w:rsidR="00844BEA" w:rsidRDefault="00844BEA" w:rsidP="00D24EB4">
      <w:pPr>
        <w:pStyle w:val="p2"/>
        <w:widowControl/>
        <w:spacing w:line="360" w:lineRule="auto"/>
        <w:ind w:firstLine="720"/>
        <w:rPr>
          <w:sz w:val="26"/>
          <w:szCs w:val="26"/>
        </w:rPr>
      </w:pPr>
    </w:p>
    <w:p w14:paraId="7A62169B" w14:textId="0390BFA8" w:rsidR="00077D4E" w:rsidRPr="00F54DF8" w:rsidRDefault="0026209A" w:rsidP="00844BEA">
      <w:pPr>
        <w:widowControl/>
        <w:autoSpaceDE/>
        <w:autoSpaceDN/>
        <w:adjustRightInd/>
        <w:ind w:firstLine="720"/>
        <w:rPr>
          <w:sz w:val="26"/>
          <w:szCs w:val="26"/>
        </w:rPr>
      </w:pPr>
      <w:r>
        <w:rPr>
          <w:sz w:val="26"/>
          <w:szCs w:val="26"/>
        </w:rPr>
        <w:t>3</w:t>
      </w:r>
      <w:r w:rsidR="00077D4E" w:rsidRPr="00077D4E">
        <w:rPr>
          <w:sz w:val="26"/>
          <w:szCs w:val="26"/>
        </w:rPr>
        <w:t>.</w:t>
      </w:r>
      <w:r w:rsidR="00077D4E" w:rsidRPr="00077D4E">
        <w:rPr>
          <w:sz w:val="26"/>
          <w:szCs w:val="26"/>
        </w:rPr>
        <w:tab/>
        <w:t>That the proceeding at Docket No. P-</w:t>
      </w:r>
      <w:r w:rsidR="004361AC" w:rsidRPr="004361AC">
        <w:rPr>
          <w:sz w:val="26"/>
          <w:szCs w:val="26"/>
        </w:rPr>
        <w:t>2014-2431005</w:t>
      </w:r>
      <w:r w:rsidR="004361AC">
        <w:rPr>
          <w:sz w:val="26"/>
          <w:szCs w:val="26"/>
        </w:rPr>
        <w:t xml:space="preserve"> </w:t>
      </w:r>
      <w:r w:rsidR="00077D4E" w:rsidRPr="00077D4E">
        <w:rPr>
          <w:sz w:val="26"/>
          <w:szCs w:val="26"/>
        </w:rPr>
        <w:t>be closed</w:t>
      </w:r>
      <w:r w:rsidR="00077D4E">
        <w:rPr>
          <w:sz w:val="26"/>
          <w:szCs w:val="26"/>
        </w:rPr>
        <w:t>.</w:t>
      </w:r>
    </w:p>
    <w:p w14:paraId="425214E8" w14:textId="6416F944" w:rsidR="0026228D" w:rsidRDefault="0026228D" w:rsidP="00B12DB4">
      <w:pPr>
        <w:pStyle w:val="p3"/>
        <w:keepLines/>
        <w:widowControl/>
        <w:spacing w:line="360" w:lineRule="auto"/>
        <w:ind w:left="5119"/>
        <w:rPr>
          <w:b/>
          <w:bCs/>
          <w:sz w:val="26"/>
          <w:szCs w:val="26"/>
        </w:rPr>
      </w:pPr>
    </w:p>
    <w:p w14:paraId="6065A05C" w14:textId="77777777" w:rsidR="005A6844" w:rsidRPr="00F54DF8" w:rsidRDefault="005A6844" w:rsidP="00B12DB4">
      <w:pPr>
        <w:pStyle w:val="p3"/>
        <w:keepLines/>
        <w:widowControl/>
        <w:spacing w:line="360" w:lineRule="auto"/>
        <w:ind w:left="5119"/>
        <w:rPr>
          <w:b/>
          <w:bCs/>
          <w:sz w:val="26"/>
          <w:szCs w:val="26"/>
        </w:rPr>
      </w:pPr>
    </w:p>
    <w:p w14:paraId="0E4BEB98" w14:textId="77777777" w:rsidR="008979CB" w:rsidRDefault="008979CB" w:rsidP="0026228D">
      <w:pPr>
        <w:pStyle w:val="p3"/>
        <w:keepLines/>
        <w:widowControl/>
        <w:spacing w:line="360" w:lineRule="auto"/>
        <w:ind w:left="5112"/>
        <w:rPr>
          <w:b/>
          <w:bCs/>
          <w:sz w:val="26"/>
          <w:szCs w:val="26"/>
        </w:rPr>
      </w:pPr>
    </w:p>
    <w:p w14:paraId="571EA960" w14:textId="77777777" w:rsidR="008979CB" w:rsidRDefault="008979CB" w:rsidP="0026228D">
      <w:pPr>
        <w:pStyle w:val="p3"/>
        <w:keepLines/>
        <w:widowControl/>
        <w:spacing w:line="360" w:lineRule="auto"/>
        <w:ind w:left="5112"/>
        <w:rPr>
          <w:b/>
          <w:bCs/>
          <w:sz w:val="26"/>
          <w:szCs w:val="26"/>
        </w:rPr>
      </w:pPr>
    </w:p>
    <w:p w14:paraId="61F8E6B0" w14:textId="458536E7" w:rsidR="00906A22" w:rsidRPr="00F54DF8" w:rsidRDefault="003623E7" w:rsidP="0026228D">
      <w:pPr>
        <w:pStyle w:val="p3"/>
        <w:keepLines/>
        <w:widowControl/>
        <w:spacing w:line="360" w:lineRule="auto"/>
        <w:ind w:left="5112"/>
        <w:rPr>
          <w:b/>
          <w:bCs/>
          <w:sz w:val="26"/>
          <w:szCs w:val="26"/>
        </w:rPr>
      </w:pPr>
      <w:bookmarkStart w:id="11" w:name="_GoBack"/>
      <w:r w:rsidRPr="009F01BA">
        <w:rPr>
          <w:b/>
          <w:noProof/>
          <w:sz w:val="20"/>
          <w:szCs w:val="20"/>
        </w:rPr>
        <w:drawing>
          <wp:anchor distT="0" distB="0" distL="114300" distR="114300" simplePos="0" relativeHeight="251659264" behindDoc="1" locked="0" layoutInCell="1" allowOverlap="1" wp14:anchorId="306EE999" wp14:editId="2816FF2E">
            <wp:simplePos x="0" y="0"/>
            <wp:positionH relativeFrom="column">
              <wp:posOffset>3111500</wp:posOffset>
            </wp:positionH>
            <wp:positionV relativeFrom="paragraph">
              <wp:posOffset>232410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906A22" w:rsidRPr="00F54DF8">
        <w:rPr>
          <w:b/>
          <w:bCs/>
          <w:sz w:val="26"/>
          <w:szCs w:val="26"/>
        </w:rPr>
        <w:t>BY THE COMMISSION,</w:t>
      </w:r>
    </w:p>
    <w:p w14:paraId="24B6E90C" w14:textId="1E6C7361" w:rsidR="00906A22" w:rsidRPr="00F54DF8" w:rsidRDefault="00906A22" w:rsidP="00B12DB4">
      <w:pPr>
        <w:keepLines/>
        <w:widowControl/>
        <w:tabs>
          <w:tab w:val="left" w:pos="5119"/>
        </w:tabs>
        <w:spacing w:line="360" w:lineRule="auto"/>
        <w:rPr>
          <w:bCs/>
          <w:sz w:val="26"/>
          <w:szCs w:val="26"/>
        </w:rPr>
      </w:pPr>
    </w:p>
    <w:p w14:paraId="1817358C" w14:textId="6950381A" w:rsidR="00906A22" w:rsidRDefault="00906A22" w:rsidP="00B12DB4">
      <w:pPr>
        <w:keepLines/>
        <w:widowControl/>
        <w:tabs>
          <w:tab w:val="left" w:pos="5119"/>
        </w:tabs>
        <w:spacing w:line="360" w:lineRule="auto"/>
        <w:rPr>
          <w:bCs/>
          <w:sz w:val="26"/>
          <w:szCs w:val="26"/>
        </w:rPr>
      </w:pPr>
    </w:p>
    <w:p w14:paraId="07F86B04" w14:textId="77777777" w:rsidR="00F9003F" w:rsidRPr="00F54DF8" w:rsidRDefault="00F9003F" w:rsidP="00B12DB4">
      <w:pPr>
        <w:keepLines/>
        <w:widowControl/>
        <w:tabs>
          <w:tab w:val="left" w:pos="5119"/>
        </w:tabs>
        <w:spacing w:line="360" w:lineRule="auto"/>
        <w:rPr>
          <w:bCs/>
          <w:sz w:val="26"/>
          <w:szCs w:val="26"/>
        </w:rPr>
      </w:pPr>
    </w:p>
    <w:p w14:paraId="4D6DFA93" w14:textId="602E2C01" w:rsidR="00906A22" w:rsidRPr="00F54DF8" w:rsidRDefault="00906A22" w:rsidP="00B12DB4">
      <w:pPr>
        <w:pStyle w:val="p4"/>
        <w:keepLines/>
        <w:widowControl/>
        <w:ind w:left="5130"/>
        <w:rPr>
          <w:sz w:val="26"/>
          <w:szCs w:val="26"/>
        </w:rPr>
      </w:pPr>
      <w:r w:rsidRPr="00F54DF8">
        <w:rPr>
          <w:sz w:val="26"/>
          <w:szCs w:val="26"/>
        </w:rPr>
        <w:t>Rosemary Chiavetta</w:t>
      </w:r>
    </w:p>
    <w:p w14:paraId="0F32B485" w14:textId="64F47697" w:rsidR="00906A22" w:rsidRPr="00F54DF8" w:rsidRDefault="00906A22" w:rsidP="00B12DB4">
      <w:pPr>
        <w:pStyle w:val="p4"/>
        <w:keepLines/>
        <w:widowControl/>
        <w:ind w:left="5130"/>
        <w:rPr>
          <w:sz w:val="26"/>
          <w:szCs w:val="26"/>
        </w:rPr>
      </w:pPr>
      <w:r w:rsidRPr="00F54DF8">
        <w:rPr>
          <w:sz w:val="26"/>
          <w:szCs w:val="26"/>
        </w:rPr>
        <w:t>Secretary</w:t>
      </w:r>
    </w:p>
    <w:p w14:paraId="27440100" w14:textId="77777777" w:rsidR="00906A22" w:rsidRPr="00F54DF8" w:rsidRDefault="00906A22" w:rsidP="00B12DB4">
      <w:pPr>
        <w:pStyle w:val="p4"/>
        <w:keepLines/>
        <w:widowControl/>
        <w:ind w:left="5126"/>
        <w:outlineLvl w:val="0"/>
        <w:rPr>
          <w:sz w:val="26"/>
          <w:szCs w:val="26"/>
        </w:rPr>
      </w:pPr>
    </w:p>
    <w:p w14:paraId="76E716B1" w14:textId="77777777" w:rsidR="00906A22" w:rsidRPr="00F54DF8" w:rsidRDefault="00906A22" w:rsidP="00B12DB4">
      <w:pPr>
        <w:pStyle w:val="p1"/>
        <w:keepLines/>
        <w:widowControl/>
        <w:spacing w:line="360" w:lineRule="auto"/>
        <w:ind w:hanging="1054"/>
        <w:rPr>
          <w:sz w:val="26"/>
          <w:szCs w:val="26"/>
        </w:rPr>
      </w:pPr>
    </w:p>
    <w:p w14:paraId="1A5E7F43" w14:textId="77777777" w:rsidR="00906A22" w:rsidRPr="00F54DF8" w:rsidRDefault="00906A22" w:rsidP="00B12DB4">
      <w:pPr>
        <w:pStyle w:val="p1"/>
        <w:keepLines/>
        <w:widowControl/>
        <w:spacing w:line="360" w:lineRule="auto"/>
        <w:ind w:hanging="1054"/>
        <w:rPr>
          <w:sz w:val="26"/>
          <w:szCs w:val="26"/>
        </w:rPr>
      </w:pPr>
      <w:r w:rsidRPr="00F54DF8">
        <w:rPr>
          <w:sz w:val="26"/>
          <w:szCs w:val="26"/>
        </w:rPr>
        <w:t>(SEAL)</w:t>
      </w:r>
    </w:p>
    <w:p w14:paraId="3644E3AA" w14:textId="0D07A215" w:rsidR="00906A22" w:rsidRPr="00F54DF8" w:rsidRDefault="00906A22" w:rsidP="00B12DB4">
      <w:pPr>
        <w:pStyle w:val="p1"/>
        <w:keepLines/>
        <w:widowControl/>
        <w:spacing w:line="360" w:lineRule="auto"/>
        <w:ind w:hanging="1054"/>
        <w:outlineLvl w:val="0"/>
        <w:rPr>
          <w:sz w:val="26"/>
          <w:szCs w:val="26"/>
        </w:rPr>
      </w:pPr>
      <w:r w:rsidRPr="00F54DF8">
        <w:rPr>
          <w:sz w:val="26"/>
          <w:szCs w:val="26"/>
        </w:rPr>
        <w:t>ORDER ADOPTED</w:t>
      </w:r>
      <w:r w:rsidR="008C4F1A">
        <w:rPr>
          <w:sz w:val="26"/>
          <w:szCs w:val="26"/>
        </w:rPr>
        <w:t>: April 16</w:t>
      </w:r>
      <w:r w:rsidR="00805DE9" w:rsidRPr="00805DE9">
        <w:rPr>
          <w:sz w:val="26"/>
          <w:szCs w:val="26"/>
        </w:rPr>
        <w:t>, 2020</w:t>
      </w:r>
    </w:p>
    <w:p w14:paraId="0BDEBEB0" w14:textId="1507F143" w:rsidR="005E766A" w:rsidRPr="005E766A" w:rsidRDefault="00906A22" w:rsidP="00B12DB4">
      <w:pPr>
        <w:pStyle w:val="p1"/>
        <w:keepLines/>
        <w:widowControl/>
        <w:tabs>
          <w:tab w:val="clear" w:pos="691"/>
          <w:tab w:val="clear" w:pos="1054"/>
          <w:tab w:val="left" w:pos="1440"/>
        </w:tabs>
        <w:spacing w:line="360" w:lineRule="auto"/>
        <w:ind w:hanging="1054"/>
        <w:outlineLvl w:val="0"/>
        <w:rPr>
          <w:sz w:val="26"/>
          <w:szCs w:val="26"/>
        </w:rPr>
      </w:pPr>
      <w:r w:rsidRPr="00F54DF8">
        <w:rPr>
          <w:sz w:val="26"/>
          <w:szCs w:val="26"/>
        </w:rPr>
        <w:t>ORDER ENTERED:</w:t>
      </w:r>
      <w:r>
        <w:rPr>
          <w:sz w:val="26"/>
          <w:szCs w:val="26"/>
        </w:rPr>
        <w:t xml:space="preserve">  </w:t>
      </w:r>
      <w:r w:rsidR="003623E7">
        <w:rPr>
          <w:sz w:val="26"/>
          <w:szCs w:val="26"/>
        </w:rPr>
        <w:t>April 16, 2020</w:t>
      </w:r>
    </w:p>
    <w:sectPr w:rsidR="005E766A" w:rsidRPr="005E766A" w:rsidSect="00C3609D">
      <w:footerReference w:type="even" r:id="rId12"/>
      <w:footerReference w:type="default" r:id="rId13"/>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E889" w14:textId="77777777" w:rsidR="00235650" w:rsidRDefault="00235650">
      <w:r>
        <w:separator/>
      </w:r>
    </w:p>
  </w:endnote>
  <w:endnote w:type="continuationSeparator" w:id="0">
    <w:p w14:paraId="3344E0F9" w14:textId="77777777" w:rsidR="00235650" w:rsidRDefault="002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3632" w14:textId="77777777" w:rsidR="00AD38D4" w:rsidRDefault="00AD38D4"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6F4BA" w14:textId="77777777" w:rsidR="00AD38D4" w:rsidRDefault="00AD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6885" w14:textId="411DB603" w:rsidR="00AD38D4" w:rsidRDefault="00AD38D4"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3E7">
      <w:rPr>
        <w:rStyle w:val="PageNumber"/>
        <w:noProof/>
      </w:rPr>
      <w:t>29</w:t>
    </w:r>
    <w:r>
      <w:rPr>
        <w:rStyle w:val="PageNumber"/>
      </w:rPr>
      <w:fldChar w:fldCharType="end"/>
    </w:r>
  </w:p>
  <w:p w14:paraId="5BE27E2C" w14:textId="77777777" w:rsidR="00AD38D4" w:rsidRDefault="00AD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C97DC" w14:textId="77777777" w:rsidR="00235650" w:rsidRDefault="00235650">
      <w:r>
        <w:separator/>
      </w:r>
    </w:p>
  </w:footnote>
  <w:footnote w:type="continuationSeparator" w:id="0">
    <w:p w14:paraId="5EE95E5E" w14:textId="77777777" w:rsidR="00235650" w:rsidRDefault="00235650">
      <w:r>
        <w:continuationSeparator/>
      </w:r>
    </w:p>
  </w:footnote>
  <w:footnote w:id="1">
    <w:p w14:paraId="3BA61BB8" w14:textId="2F2C4F0C" w:rsidR="00AD38D4" w:rsidRDefault="00AD38D4">
      <w:pPr>
        <w:pStyle w:val="FootnoteText"/>
      </w:pPr>
      <w:r>
        <w:rPr>
          <w:rStyle w:val="FootnoteReference"/>
        </w:rPr>
        <w:footnoteRef/>
      </w:r>
      <w:r>
        <w:t xml:space="preserve"> Docket No. R-2013-2355276.</w:t>
      </w:r>
    </w:p>
  </w:footnote>
  <w:footnote w:id="2">
    <w:p w14:paraId="1B67773C" w14:textId="4CB328D7" w:rsidR="00AD38D4" w:rsidRPr="00FF188F" w:rsidRDefault="00AD38D4" w:rsidP="008A3493">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6A4F85">
          <w:rPr>
            <w:rStyle w:val="Hyperlink"/>
            <w:sz w:val="22"/>
            <w:szCs w:val="22"/>
          </w:rPr>
          <w:t>https://www.legis.state.pa.us/cfdocs/legis/li/uconsCheck.cfm?yr=2012&amp;sessInd=0&amp;act=11</w:t>
        </w:r>
      </w:hyperlink>
      <w:r>
        <w:rPr>
          <w:sz w:val="22"/>
          <w:szCs w:val="22"/>
        </w:rPr>
        <w:t xml:space="preserve">. </w:t>
      </w:r>
    </w:p>
  </w:footnote>
  <w:footnote w:id="3">
    <w:p w14:paraId="6F205166" w14:textId="37EBD522" w:rsidR="00AD38D4" w:rsidRDefault="00AD38D4">
      <w:pPr>
        <w:pStyle w:val="FootnoteText"/>
      </w:pPr>
      <w:r>
        <w:rPr>
          <w:rStyle w:val="FootnoteReference"/>
        </w:rPr>
        <w:footnoteRef/>
      </w:r>
      <w:r>
        <w:t xml:space="preserve"> </w:t>
      </w:r>
      <w:r w:rsidRPr="00C01398">
        <w:rPr>
          <w:i/>
        </w:rPr>
        <w:t xml:space="preserve">See </w:t>
      </w:r>
      <w:r>
        <w:t>52 Pa. Code § 121.3.</w:t>
      </w:r>
    </w:p>
  </w:footnote>
  <w:footnote w:id="4">
    <w:p w14:paraId="01A22E06" w14:textId="02E0E338" w:rsidR="00AD38D4" w:rsidRDefault="00AD38D4">
      <w:pPr>
        <w:pStyle w:val="FootnoteText"/>
      </w:pPr>
      <w:r>
        <w:rPr>
          <w:rStyle w:val="FootnoteReference"/>
        </w:rPr>
        <w:footnoteRef/>
      </w:r>
      <w:r>
        <w:t xml:space="preserve"> </w:t>
      </w:r>
      <w:r w:rsidRPr="0077315B">
        <w:rPr>
          <w:i/>
          <w:iCs/>
        </w:rPr>
        <w:t>See</w:t>
      </w:r>
      <w:r>
        <w:t xml:space="preserve"> Ordering Paragraph No. 2.</w:t>
      </w:r>
    </w:p>
  </w:footnote>
  <w:footnote w:id="5">
    <w:p w14:paraId="08163730" w14:textId="78A3AE56" w:rsidR="00AD38D4" w:rsidRDefault="00AD38D4">
      <w:pPr>
        <w:pStyle w:val="FootnoteText"/>
      </w:pPr>
      <w:r>
        <w:rPr>
          <w:rStyle w:val="FootnoteReference"/>
        </w:rPr>
        <w:footnoteRef/>
      </w:r>
      <w:r>
        <w:t xml:space="preserve"> </w:t>
      </w:r>
      <w:r w:rsidRPr="0077315B">
        <w:rPr>
          <w:i/>
          <w:iCs/>
        </w:rPr>
        <w:t>See</w:t>
      </w:r>
      <w:r>
        <w:t xml:space="preserve"> Ordering Paragraph No. 2.</w:t>
      </w:r>
    </w:p>
  </w:footnote>
  <w:footnote w:id="6">
    <w:p w14:paraId="5727B68D" w14:textId="48A07462" w:rsidR="00AD38D4" w:rsidRDefault="00AD38D4">
      <w:pPr>
        <w:pStyle w:val="FootnoteText"/>
      </w:pPr>
      <w:r>
        <w:rPr>
          <w:rStyle w:val="FootnoteReference"/>
        </w:rPr>
        <w:footnoteRef/>
      </w:r>
      <w:r>
        <w:t xml:space="preserve"> </w:t>
      </w:r>
      <w:r w:rsidRPr="00D0134C">
        <w:rPr>
          <w:i/>
          <w:iCs/>
        </w:rPr>
        <w:t xml:space="preserve">See </w:t>
      </w:r>
      <w:r>
        <w:t>Ordering Paragraph No. 2.</w:t>
      </w:r>
    </w:p>
  </w:footnote>
  <w:footnote w:id="7">
    <w:p w14:paraId="6F2778A2" w14:textId="06A78674" w:rsidR="00AD38D4" w:rsidRDefault="00AD38D4">
      <w:pPr>
        <w:pStyle w:val="FootnoteText"/>
      </w:pPr>
      <w:r>
        <w:rPr>
          <w:rStyle w:val="FootnoteReference"/>
        </w:rPr>
        <w:footnoteRef/>
      </w:r>
      <w:r>
        <w:t xml:space="preserve"> </w:t>
      </w:r>
      <w:r w:rsidRPr="00AB54F0">
        <w:rPr>
          <w:i/>
        </w:rPr>
        <w:t xml:space="preserve">See </w:t>
      </w:r>
      <w:r>
        <w:t>52 Pa. Code § 121.4(e).</w:t>
      </w:r>
    </w:p>
  </w:footnote>
  <w:footnote w:id="8">
    <w:p w14:paraId="37D3F46D" w14:textId="11B9BE24" w:rsidR="00AD38D4" w:rsidRDefault="00AD38D4">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08F"/>
    <w:multiLevelType w:val="multilevel"/>
    <w:tmpl w:val="B8DC50E6"/>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15:restartNumberingAfterBreak="0">
    <w:nsid w:val="0BD76825"/>
    <w:multiLevelType w:val="hybridMultilevel"/>
    <w:tmpl w:val="424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9A3A9D"/>
    <w:multiLevelType w:val="hybridMultilevel"/>
    <w:tmpl w:val="CBAAD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15:restartNumberingAfterBreak="0">
    <w:nsid w:val="2CE929DC"/>
    <w:multiLevelType w:val="hybridMultilevel"/>
    <w:tmpl w:val="50FAD966"/>
    <w:lvl w:ilvl="0" w:tplc="04090001">
      <w:start w:val="1"/>
      <w:numFmt w:val="bullet"/>
      <w:lvlText w:val=""/>
      <w:lvlJc w:val="left"/>
      <w:pPr>
        <w:ind w:left="2070" w:hanging="360"/>
      </w:pPr>
      <w:rPr>
        <w:rFonts w:ascii="Symbol" w:hAnsi="Symbol"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3" w15:restartNumberingAfterBreak="0">
    <w:nsid w:val="2EF349D0"/>
    <w:multiLevelType w:val="hybridMultilevel"/>
    <w:tmpl w:val="D7E878B2"/>
    <w:lvl w:ilvl="0" w:tplc="08806B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A3BE0"/>
    <w:multiLevelType w:val="hybridMultilevel"/>
    <w:tmpl w:val="3208B2C8"/>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9"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5C3850"/>
    <w:multiLevelType w:val="hybridMultilevel"/>
    <w:tmpl w:val="3DFA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F508AB"/>
    <w:multiLevelType w:val="hybridMultilevel"/>
    <w:tmpl w:val="72EE8396"/>
    <w:lvl w:ilvl="0" w:tplc="04090015">
      <w:start w:val="1"/>
      <w:numFmt w:val="upp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6"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7"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9" w15:restartNumberingAfterBreak="0">
    <w:nsid w:val="543E2041"/>
    <w:multiLevelType w:val="hybridMultilevel"/>
    <w:tmpl w:val="CF4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42002"/>
    <w:multiLevelType w:val="hybridMultilevel"/>
    <w:tmpl w:val="AC2CA838"/>
    <w:lvl w:ilvl="0" w:tplc="60D079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2"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4" w15:restartNumberingAfterBreak="0">
    <w:nsid w:val="61F5391E"/>
    <w:multiLevelType w:val="hybridMultilevel"/>
    <w:tmpl w:val="D80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9" w15:restartNumberingAfterBreak="0">
    <w:nsid w:val="705E1987"/>
    <w:multiLevelType w:val="hybridMultilevel"/>
    <w:tmpl w:val="EF1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1"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40"/>
  </w:num>
  <w:num w:numId="3">
    <w:abstractNumId w:val="4"/>
  </w:num>
  <w:num w:numId="4">
    <w:abstractNumId w:val="15"/>
  </w:num>
  <w:num w:numId="5">
    <w:abstractNumId w:val="9"/>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
  </w:num>
  <w:num w:numId="10">
    <w:abstractNumId w:val="7"/>
  </w:num>
  <w:num w:numId="11">
    <w:abstractNumId w:val="33"/>
  </w:num>
  <w:num w:numId="12">
    <w:abstractNumId w:val="25"/>
  </w:num>
  <w:num w:numId="13">
    <w:abstractNumId w:val="12"/>
  </w:num>
  <w:num w:numId="14">
    <w:abstractNumId w:val="31"/>
  </w:num>
  <w:num w:numId="15">
    <w:abstractNumId w:val="28"/>
  </w:num>
  <w:num w:numId="16">
    <w:abstractNumId w:val="8"/>
  </w:num>
  <w:num w:numId="17">
    <w:abstractNumId w:val="17"/>
  </w:num>
  <w:num w:numId="18">
    <w:abstractNumId w:val="21"/>
  </w:num>
  <w:num w:numId="19">
    <w:abstractNumId w:val="38"/>
  </w:num>
  <w:num w:numId="20">
    <w:abstractNumId w:val="37"/>
  </w:num>
  <w:num w:numId="21">
    <w:abstractNumId w:val="36"/>
  </w:num>
  <w:num w:numId="22">
    <w:abstractNumId w:val="32"/>
  </w:num>
  <w:num w:numId="23">
    <w:abstractNumId w:val="16"/>
  </w:num>
  <w:num w:numId="24">
    <w:abstractNumId w:val="19"/>
  </w:num>
  <w:num w:numId="25">
    <w:abstractNumId w:val="5"/>
  </w:num>
  <w:num w:numId="26">
    <w:abstractNumId w:val="35"/>
  </w:num>
  <w:num w:numId="27">
    <w:abstractNumId w:val="24"/>
  </w:num>
  <w:num w:numId="28">
    <w:abstractNumId w:val="23"/>
  </w:num>
  <w:num w:numId="29">
    <w:abstractNumId w:val="27"/>
  </w:num>
  <w:num w:numId="30">
    <w:abstractNumId w:val="41"/>
  </w:num>
  <w:num w:numId="31">
    <w:abstractNumId w:val="18"/>
  </w:num>
  <w:num w:numId="32">
    <w:abstractNumId w:val="30"/>
  </w:num>
  <w:num w:numId="33">
    <w:abstractNumId w:val="20"/>
  </w:num>
  <w:num w:numId="34">
    <w:abstractNumId w:val="6"/>
  </w:num>
  <w:num w:numId="35">
    <w:abstractNumId w:val="11"/>
  </w:num>
  <w:num w:numId="36">
    <w:abstractNumId w:val="34"/>
  </w:num>
  <w:num w:numId="37">
    <w:abstractNumId w:val="2"/>
  </w:num>
  <w:num w:numId="38">
    <w:abstractNumId w:val="22"/>
  </w:num>
  <w:num w:numId="39">
    <w:abstractNumId w:val="14"/>
  </w:num>
  <w:num w:numId="40">
    <w:abstractNumId w:val="39"/>
  </w:num>
  <w:num w:numId="41">
    <w:abstractNumId w:val="29"/>
  </w:num>
  <w:num w:numId="42">
    <w:abstractNumId w:val="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BE"/>
    <w:rsid w:val="00001E82"/>
    <w:rsid w:val="00002AFC"/>
    <w:rsid w:val="00003918"/>
    <w:rsid w:val="00006037"/>
    <w:rsid w:val="00006A83"/>
    <w:rsid w:val="00006C68"/>
    <w:rsid w:val="00007CE4"/>
    <w:rsid w:val="00007E6E"/>
    <w:rsid w:val="00010BA9"/>
    <w:rsid w:val="00011618"/>
    <w:rsid w:val="000126E6"/>
    <w:rsid w:val="000135A8"/>
    <w:rsid w:val="00013B7C"/>
    <w:rsid w:val="00014232"/>
    <w:rsid w:val="0001467B"/>
    <w:rsid w:val="00014A54"/>
    <w:rsid w:val="00014BCA"/>
    <w:rsid w:val="00015C34"/>
    <w:rsid w:val="0001600A"/>
    <w:rsid w:val="000200D2"/>
    <w:rsid w:val="000224A8"/>
    <w:rsid w:val="00022D58"/>
    <w:rsid w:val="00023786"/>
    <w:rsid w:val="00024F31"/>
    <w:rsid w:val="0002577D"/>
    <w:rsid w:val="00025CE7"/>
    <w:rsid w:val="00027B47"/>
    <w:rsid w:val="000300FC"/>
    <w:rsid w:val="000307F7"/>
    <w:rsid w:val="00030B5C"/>
    <w:rsid w:val="00031D59"/>
    <w:rsid w:val="0003286B"/>
    <w:rsid w:val="00034014"/>
    <w:rsid w:val="00034D98"/>
    <w:rsid w:val="000352F7"/>
    <w:rsid w:val="0003572F"/>
    <w:rsid w:val="0003776F"/>
    <w:rsid w:val="0004011D"/>
    <w:rsid w:val="00040238"/>
    <w:rsid w:val="00040D0C"/>
    <w:rsid w:val="000413E9"/>
    <w:rsid w:val="00042915"/>
    <w:rsid w:val="00042B3E"/>
    <w:rsid w:val="000433F6"/>
    <w:rsid w:val="00043710"/>
    <w:rsid w:val="00044222"/>
    <w:rsid w:val="00045FA6"/>
    <w:rsid w:val="00047893"/>
    <w:rsid w:val="00047F44"/>
    <w:rsid w:val="0005014D"/>
    <w:rsid w:val="000506FF"/>
    <w:rsid w:val="000507D0"/>
    <w:rsid w:val="0005141B"/>
    <w:rsid w:val="00051D78"/>
    <w:rsid w:val="00051DC4"/>
    <w:rsid w:val="00051EF5"/>
    <w:rsid w:val="00052D94"/>
    <w:rsid w:val="000538E9"/>
    <w:rsid w:val="00054A83"/>
    <w:rsid w:val="00056414"/>
    <w:rsid w:val="00056B84"/>
    <w:rsid w:val="00057656"/>
    <w:rsid w:val="00060580"/>
    <w:rsid w:val="000612D5"/>
    <w:rsid w:val="00061E14"/>
    <w:rsid w:val="0006307D"/>
    <w:rsid w:val="00063F64"/>
    <w:rsid w:val="000644EB"/>
    <w:rsid w:val="00064B17"/>
    <w:rsid w:val="00064B8F"/>
    <w:rsid w:val="00064C8B"/>
    <w:rsid w:val="00064D01"/>
    <w:rsid w:val="00066B0C"/>
    <w:rsid w:val="00066CC1"/>
    <w:rsid w:val="00066CE3"/>
    <w:rsid w:val="000672F9"/>
    <w:rsid w:val="00067314"/>
    <w:rsid w:val="00067996"/>
    <w:rsid w:val="00067F30"/>
    <w:rsid w:val="000701DF"/>
    <w:rsid w:val="00071DD1"/>
    <w:rsid w:val="00074F36"/>
    <w:rsid w:val="000752AB"/>
    <w:rsid w:val="00077046"/>
    <w:rsid w:val="00077670"/>
    <w:rsid w:val="00077D4E"/>
    <w:rsid w:val="00081E5A"/>
    <w:rsid w:val="00083000"/>
    <w:rsid w:val="00084151"/>
    <w:rsid w:val="00085F29"/>
    <w:rsid w:val="000861C0"/>
    <w:rsid w:val="00086950"/>
    <w:rsid w:val="00086E71"/>
    <w:rsid w:val="0008735F"/>
    <w:rsid w:val="00091C48"/>
    <w:rsid w:val="00092DCA"/>
    <w:rsid w:val="00094B8C"/>
    <w:rsid w:val="00096608"/>
    <w:rsid w:val="00096728"/>
    <w:rsid w:val="00096965"/>
    <w:rsid w:val="00096BE8"/>
    <w:rsid w:val="00096F52"/>
    <w:rsid w:val="000A0817"/>
    <w:rsid w:val="000A1A09"/>
    <w:rsid w:val="000A2D1E"/>
    <w:rsid w:val="000A443C"/>
    <w:rsid w:val="000A4AF8"/>
    <w:rsid w:val="000A4F8F"/>
    <w:rsid w:val="000A59E5"/>
    <w:rsid w:val="000A7E13"/>
    <w:rsid w:val="000B1589"/>
    <w:rsid w:val="000B2021"/>
    <w:rsid w:val="000B275D"/>
    <w:rsid w:val="000B2AAE"/>
    <w:rsid w:val="000B2E85"/>
    <w:rsid w:val="000B32B3"/>
    <w:rsid w:val="000B3797"/>
    <w:rsid w:val="000B3913"/>
    <w:rsid w:val="000B3C32"/>
    <w:rsid w:val="000B455E"/>
    <w:rsid w:val="000B6632"/>
    <w:rsid w:val="000B6731"/>
    <w:rsid w:val="000C02DF"/>
    <w:rsid w:val="000C0E4B"/>
    <w:rsid w:val="000C3415"/>
    <w:rsid w:val="000C37B5"/>
    <w:rsid w:val="000C4495"/>
    <w:rsid w:val="000C6069"/>
    <w:rsid w:val="000C63F8"/>
    <w:rsid w:val="000C78D7"/>
    <w:rsid w:val="000D07D8"/>
    <w:rsid w:val="000D09A1"/>
    <w:rsid w:val="000D0D34"/>
    <w:rsid w:val="000D2138"/>
    <w:rsid w:val="000D3D30"/>
    <w:rsid w:val="000D5267"/>
    <w:rsid w:val="000D648D"/>
    <w:rsid w:val="000D65CC"/>
    <w:rsid w:val="000D65CE"/>
    <w:rsid w:val="000E0D52"/>
    <w:rsid w:val="000E1005"/>
    <w:rsid w:val="000E2808"/>
    <w:rsid w:val="000E3639"/>
    <w:rsid w:val="000E4460"/>
    <w:rsid w:val="000E4A80"/>
    <w:rsid w:val="000E4D1B"/>
    <w:rsid w:val="000E569C"/>
    <w:rsid w:val="000E6C91"/>
    <w:rsid w:val="000E73A5"/>
    <w:rsid w:val="000E7515"/>
    <w:rsid w:val="000F0E18"/>
    <w:rsid w:val="000F23A9"/>
    <w:rsid w:val="000F2AE1"/>
    <w:rsid w:val="000F3A46"/>
    <w:rsid w:val="000F3BEC"/>
    <w:rsid w:val="000F49C4"/>
    <w:rsid w:val="000F4F5D"/>
    <w:rsid w:val="000F5E3D"/>
    <w:rsid w:val="000F6B05"/>
    <w:rsid w:val="000F7388"/>
    <w:rsid w:val="000F762F"/>
    <w:rsid w:val="000F7A83"/>
    <w:rsid w:val="001013E1"/>
    <w:rsid w:val="00101493"/>
    <w:rsid w:val="001046E7"/>
    <w:rsid w:val="0010559E"/>
    <w:rsid w:val="00106645"/>
    <w:rsid w:val="0011066C"/>
    <w:rsid w:val="00110689"/>
    <w:rsid w:val="0011079C"/>
    <w:rsid w:val="0011159F"/>
    <w:rsid w:val="0011254C"/>
    <w:rsid w:val="00115A7D"/>
    <w:rsid w:val="00117195"/>
    <w:rsid w:val="001202B5"/>
    <w:rsid w:val="0012142E"/>
    <w:rsid w:val="00121D63"/>
    <w:rsid w:val="00124317"/>
    <w:rsid w:val="0012516E"/>
    <w:rsid w:val="00125234"/>
    <w:rsid w:val="00126073"/>
    <w:rsid w:val="00126ABE"/>
    <w:rsid w:val="00126D2A"/>
    <w:rsid w:val="00127A27"/>
    <w:rsid w:val="001303A1"/>
    <w:rsid w:val="00131183"/>
    <w:rsid w:val="0013233F"/>
    <w:rsid w:val="0013395B"/>
    <w:rsid w:val="00135136"/>
    <w:rsid w:val="00135501"/>
    <w:rsid w:val="00135912"/>
    <w:rsid w:val="00135AEE"/>
    <w:rsid w:val="001365B6"/>
    <w:rsid w:val="00137EE2"/>
    <w:rsid w:val="00140A11"/>
    <w:rsid w:val="001414CA"/>
    <w:rsid w:val="001432FF"/>
    <w:rsid w:val="00143E69"/>
    <w:rsid w:val="00144489"/>
    <w:rsid w:val="00146BB7"/>
    <w:rsid w:val="00147BB9"/>
    <w:rsid w:val="00147E73"/>
    <w:rsid w:val="00147EAB"/>
    <w:rsid w:val="0015008E"/>
    <w:rsid w:val="001504D3"/>
    <w:rsid w:val="001504E4"/>
    <w:rsid w:val="00152A7D"/>
    <w:rsid w:val="00153ADE"/>
    <w:rsid w:val="001541F1"/>
    <w:rsid w:val="00154A19"/>
    <w:rsid w:val="001552C3"/>
    <w:rsid w:val="00155D7B"/>
    <w:rsid w:val="00156F52"/>
    <w:rsid w:val="00156FF6"/>
    <w:rsid w:val="0015775F"/>
    <w:rsid w:val="001602E3"/>
    <w:rsid w:val="00163B04"/>
    <w:rsid w:val="00164352"/>
    <w:rsid w:val="00164BAB"/>
    <w:rsid w:val="00165F87"/>
    <w:rsid w:val="001669B4"/>
    <w:rsid w:val="00171235"/>
    <w:rsid w:val="00172B75"/>
    <w:rsid w:val="00173542"/>
    <w:rsid w:val="00173637"/>
    <w:rsid w:val="001736D6"/>
    <w:rsid w:val="00173AA7"/>
    <w:rsid w:val="00174523"/>
    <w:rsid w:val="00174685"/>
    <w:rsid w:val="00174796"/>
    <w:rsid w:val="00174DC7"/>
    <w:rsid w:val="0017598B"/>
    <w:rsid w:val="00175B38"/>
    <w:rsid w:val="0017755B"/>
    <w:rsid w:val="00177F0F"/>
    <w:rsid w:val="001810DE"/>
    <w:rsid w:val="0018150D"/>
    <w:rsid w:val="0018179E"/>
    <w:rsid w:val="001826D2"/>
    <w:rsid w:val="00183C41"/>
    <w:rsid w:val="00184DDB"/>
    <w:rsid w:val="00186077"/>
    <w:rsid w:val="001871B6"/>
    <w:rsid w:val="0018726F"/>
    <w:rsid w:val="00187BEB"/>
    <w:rsid w:val="00190883"/>
    <w:rsid w:val="00191719"/>
    <w:rsid w:val="00191CBC"/>
    <w:rsid w:val="001921A8"/>
    <w:rsid w:val="0019282D"/>
    <w:rsid w:val="00193B12"/>
    <w:rsid w:val="0019427D"/>
    <w:rsid w:val="001942AD"/>
    <w:rsid w:val="001946B8"/>
    <w:rsid w:val="00194B44"/>
    <w:rsid w:val="00194B7D"/>
    <w:rsid w:val="00194ED8"/>
    <w:rsid w:val="00195D7E"/>
    <w:rsid w:val="00196D7E"/>
    <w:rsid w:val="0019791C"/>
    <w:rsid w:val="00197A63"/>
    <w:rsid w:val="001A0061"/>
    <w:rsid w:val="001A1123"/>
    <w:rsid w:val="001A1CA6"/>
    <w:rsid w:val="001A2D51"/>
    <w:rsid w:val="001A32DA"/>
    <w:rsid w:val="001A45BB"/>
    <w:rsid w:val="001A54B6"/>
    <w:rsid w:val="001A5C27"/>
    <w:rsid w:val="001A685D"/>
    <w:rsid w:val="001A72D1"/>
    <w:rsid w:val="001A7544"/>
    <w:rsid w:val="001A7EAA"/>
    <w:rsid w:val="001B09AA"/>
    <w:rsid w:val="001B0CBA"/>
    <w:rsid w:val="001B1C51"/>
    <w:rsid w:val="001B3FF8"/>
    <w:rsid w:val="001B4406"/>
    <w:rsid w:val="001B4F2B"/>
    <w:rsid w:val="001B507B"/>
    <w:rsid w:val="001B5220"/>
    <w:rsid w:val="001B62FD"/>
    <w:rsid w:val="001B6349"/>
    <w:rsid w:val="001B6508"/>
    <w:rsid w:val="001B66E9"/>
    <w:rsid w:val="001B7A8D"/>
    <w:rsid w:val="001C0AE6"/>
    <w:rsid w:val="001C3170"/>
    <w:rsid w:val="001C51F0"/>
    <w:rsid w:val="001C5794"/>
    <w:rsid w:val="001D1754"/>
    <w:rsid w:val="001D2604"/>
    <w:rsid w:val="001D2CCA"/>
    <w:rsid w:val="001D3BA8"/>
    <w:rsid w:val="001D4686"/>
    <w:rsid w:val="001D7605"/>
    <w:rsid w:val="001D78AF"/>
    <w:rsid w:val="001E240F"/>
    <w:rsid w:val="001E2859"/>
    <w:rsid w:val="001E2B0C"/>
    <w:rsid w:val="001E4732"/>
    <w:rsid w:val="001E4B2C"/>
    <w:rsid w:val="001E5010"/>
    <w:rsid w:val="001E5C20"/>
    <w:rsid w:val="001E631F"/>
    <w:rsid w:val="001E682A"/>
    <w:rsid w:val="001F2409"/>
    <w:rsid w:val="001F2D8B"/>
    <w:rsid w:val="001F3106"/>
    <w:rsid w:val="001F37FA"/>
    <w:rsid w:val="001F3C46"/>
    <w:rsid w:val="001F5D75"/>
    <w:rsid w:val="001F6097"/>
    <w:rsid w:val="00200B10"/>
    <w:rsid w:val="002030D4"/>
    <w:rsid w:val="00204EAE"/>
    <w:rsid w:val="00204EDA"/>
    <w:rsid w:val="00206C03"/>
    <w:rsid w:val="0021082B"/>
    <w:rsid w:val="00210BF3"/>
    <w:rsid w:val="00211397"/>
    <w:rsid w:val="00211560"/>
    <w:rsid w:val="00211FAC"/>
    <w:rsid w:val="00213301"/>
    <w:rsid w:val="00213925"/>
    <w:rsid w:val="00214184"/>
    <w:rsid w:val="002145E1"/>
    <w:rsid w:val="00214DBA"/>
    <w:rsid w:val="002151F5"/>
    <w:rsid w:val="0021537D"/>
    <w:rsid w:val="002156B6"/>
    <w:rsid w:val="00216D05"/>
    <w:rsid w:val="00217F3F"/>
    <w:rsid w:val="0022007A"/>
    <w:rsid w:val="002216DA"/>
    <w:rsid w:val="00221B8F"/>
    <w:rsid w:val="00222153"/>
    <w:rsid w:val="00222C04"/>
    <w:rsid w:val="00222E8A"/>
    <w:rsid w:val="002239A4"/>
    <w:rsid w:val="00224ADE"/>
    <w:rsid w:val="00224AF9"/>
    <w:rsid w:val="00225AD3"/>
    <w:rsid w:val="00225E55"/>
    <w:rsid w:val="0022633E"/>
    <w:rsid w:val="0022673D"/>
    <w:rsid w:val="002267E9"/>
    <w:rsid w:val="00227CB5"/>
    <w:rsid w:val="002317B3"/>
    <w:rsid w:val="00232527"/>
    <w:rsid w:val="00233102"/>
    <w:rsid w:val="002337B0"/>
    <w:rsid w:val="00233DC2"/>
    <w:rsid w:val="00234942"/>
    <w:rsid w:val="00234AA2"/>
    <w:rsid w:val="002352F0"/>
    <w:rsid w:val="00235650"/>
    <w:rsid w:val="00236F9D"/>
    <w:rsid w:val="00237164"/>
    <w:rsid w:val="002372D6"/>
    <w:rsid w:val="002374A2"/>
    <w:rsid w:val="00237FF1"/>
    <w:rsid w:val="002438FE"/>
    <w:rsid w:val="00243C4B"/>
    <w:rsid w:val="002442F2"/>
    <w:rsid w:val="00244F9D"/>
    <w:rsid w:val="00246583"/>
    <w:rsid w:val="00247361"/>
    <w:rsid w:val="0025022C"/>
    <w:rsid w:val="00251027"/>
    <w:rsid w:val="00251BA0"/>
    <w:rsid w:val="00251FC4"/>
    <w:rsid w:val="00253311"/>
    <w:rsid w:val="00260327"/>
    <w:rsid w:val="0026209A"/>
    <w:rsid w:val="0026228D"/>
    <w:rsid w:val="002625D8"/>
    <w:rsid w:val="00262BA1"/>
    <w:rsid w:val="00262F96"/>
    <w:rsid w:val="0026388B"/>
    <w:rsid w:val="00265BD2"/>
    <w:rsid w:val="00266FD4"/>
    <w:rsid w:val="002672F8"/>
    <w:rsid w:val="0026742F"/>
    <w:rsid w:val="002678A1"/>
    <w:rsid w:val="002700F5"/>
    <w:rsid w:val="0027265B"/>
    <w:rsid w:val="00273563"/>
    <w:rsid w:val="00273A7F"/>
    <w:rsid w:val="00280E89"/>
    <w:rsid w:val="0028150B"/>
    <w:rsid w:val="0028332B"/>
    <w:rsid w:val="002837ED"/>
    <w:rsid w:val="002877BA"/>
    <w:rsid w:val="00287854"/>
    <w:rsid w:val="002912EF"/>
    <w:rsid w:val="002918DD"/>
    <w:rsid w:val="00291AC6"/>
    <w:rsid w:val="00292C43"/>
    <w:rsid w:val="00292DE0"/>
    <w:rsid w:val="00293009"/>
    <w:rsid w:val="00293EB9"/>
    <w:rsid w:val="00294161"/>
    <w:rsid w:val="00296196"/>
    <w:rsid w:val="002A0D0B"/>
    <w:rsid w:val="002A1280"/>
    <w:rsid w:val="002A1A2E"/>
    <w:rsid w:val="002A2AEC"/>
    <w:rsid w:val="002A3C76"/>
    <w:rsid w:val="002A46AD"/>
    <w:rsid w:val="002A48E0"/>
    <w:rsid w:val="002A498A"/>
    <w:rsid w:val="002A5630"/>
    <w:rsid w:val="002A60F1"/>
    <w:rsid w:val="002A666D"/>
    <w:rsid w:val="002B03C9"/>
    <w:rsid w:val="002B1C70"/>
    <w:rsid w:val="002B3E34"/>
    <w:rsid w:val="002B538A"/>
    <w:rsid w:val="002B5A55"/>
    <w:rsid w:val="002B5B37"/>
    <w:rsid w:val="002B6807"/>
    <w:rsid w:val="002B693D"/>
    <w:rsid w:val="002B73E6"/>
    <w:rsid w:val="002B7D95"/>
    <w:rsid w:val="002C1150"/>
    <w:rsid w:val="002C11CF"/>
    <w:rsid w:val="002C1586"/>
    <w:rsid w:val="002C15CE"/>
    <w:rsid w:val="002C1696"/>
    <w:rsid w:val="002C21AB"/>
    <w:rsid w:val="002C2983"/>
    <w:rsid w:val="002C3DB1"/>
    <w:rsid w:val="002C4797"/>
    <w:rsid w:val="002C49CF"/>
    <w:rsid w:val="002C6550"/>
    <w:rsid w:val="002C6643"/>
    <w:rsid w:val="002C6A97"/>
    <w:rsid w:val="002D0497"/>
    <w:rsid w:val="002D09FD"/>
    <w:rsid w:val="002D2ACB"/>
    <w:rsid w:val="002D4F78"/>
    <w:rsid w:val="002D58DD"/>
    <w:rsid w:val="002D6AEB"/>
    <w:rsid w:val="002D6E61"/>
    <w:rsid w:val="002D7169"/>
    <w:rsid w:val="002D79F5"/>
    <w:rsid w:val="002E1BD5"/>
    <w:rsid w:val="002E21EA"/>
    <w:rsid w:val="002E23D6"/>
    <w:rsid w:val="002E24F7"/>
    <w:rsid w:val="002E2683"/>
    <w:rsid w:val="002E27E2"/>
    <w:rsid w:val="002E2B8F"/>
    <w:rsid w:val="002E2D2F"/>
    <w:rsid w:val="002E2DF0"/>
    <w:rsid w:val="002E33D2"/>
    <w:rsid w:val="002E36EB"/>
    <w:rsid w:val="002E5469"/>
    <w:rsid w:val="002E613C"/>
    <w:rsid w:val="002E7742"/>
    <w:rsid w:val="002F1815"/>
    <w:rsid w:val="002F183E"/>
    <w:rsid w:val="002F26CE"/>
    <w:rsid w:val="002F2EA4"/>
    <w:rsid w:val="002F3739"/>
    <w:rsid w:val="002F3B7D"/>
    <w:rsid w:val="002F405B"/>
    <w:rsid w:val="002F5108"/>
    <w:rsid w:val="002F5393"/>
    <w:rsid w:val="002F53AA"/>
    <w:rsid w:val="002F6E4C"/>
    <w:rsid w:val="002F6F58"/>
    <w:rsid w:val="002F7274"/>
    <w:rsid w:val="002F7854"/>
    <w:rsid w:val="0030031B"/>
    <w:rsid w:val="003013B0"/>
    <w:rsid w:val="0030248B"/>
    <w:rsid w:val="00304E68"/>
    <w:rsid w:val="003050F6"/>
    <w:rsid w:val="00307583"/>
    <w:rsid w:val="00307814"/>
    <w:rsid w:val="003101B8"/>
    <w:rsid w:val="0031025C"/>
    <w:rsid w:val="00311DE0"/>
    <w:rsid w:val="003127AC"/>
    <w:rsid w:val="0031360A"/>
    <w:rsid w:val="00313D90"/>
    <w:rsid w:val="00316B31"/>
    <w:rsid w:val="00317589"/>
    <w:rsid w:val="00317BA3"/>
    <w:rsid w:val="00320CBF"/>
    <w:rsid w:val="00320FC7"/>
    <w:rsid w:val="00321363"/>
    <w:rsid w:val="00321937"/>
    <w:rsid w:val="00322292"/>
    <w:rsid w:val="0032489E"/>
    <w:rsid w:val="003258F6"/>
    <w:rsid w:val="003271AA"/>
    <w:rsid w:val="003272A6"/>
    <w:rsid w:val="00330D0E"/>
    <w:rsid w:val="00330D19"/>
    <w:rsid w:val="00330F60"/>
    <w:rsid w:val="00331EA4"/>
    <w:rsid w:val="00332177"/>
    <w:rsid w:val="00332470"/>
    <w:rsid w:val="00334CF9"/>
    <w:rsid w:val="003358F0"/>
    <w:rsid w:val="003361F4"/>
    <w:rsid w:val="00336FFA"/>
    <w:rsid w:val="00337E47"/>
    <w:rsid w:val="00340845"/>
    <w:rsid w:val="00341BAF"/>
    <w:rsid w:val="00341C6F"/>
    <w:rsid w:val="00342F69"/>
    <w:rsid w:val="0034366D"/>
    <w:rsid w:val="00343BDF"/>
    <w:rsid w:val="00345E4C"/>
    <w:rsid w:val="00347129"/>
    <w:rsid w:val="003505F8"/>
    <w:rsid w:val="00351902"/>
    <w:rsid w:val="003522D6"/>
    <w:rsid w:val="003533E8"/>
    <w:rsid w:val="00353EEC"/>
    <w:rsid w:val="00353FFE"/>
    <w:rsid w:val="003546E3"/>
    <w:rsid w:val="00354CD1"/>
    <w:rsid w:val="00356DC3"/>
    <w:rsid w:val="00360408"/>
    <w:rsid w:val="003608C2"/>
    <w:rsid w:val="00361E1D"/>
    <w:rsid w:val="00361F9D"/>
    <w:rsid w:val="003623E7"/>
    <w:rsid w:val="00363235"/>
    <w:rsid w:val="00363719"/>
    <w:rsid w:val="0036458B"/>
    <w:rsid w:val="00365781"/>
    <w:rsid w:val="00365FDB"/>
    <w:rsid w:val="003665BD"/>
    <w:rsid w:val="003674BD"/>
    <w:rsid w:val="00367B6A"/>
    <w:rsid w:val="00367B84"/>
    <w:rsid w:val="003700DB"/>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4FA9"/>
    <w:rsid w:val="003875A3"/>
    <w:rsid w:val="00387894"/>
    <w:rsid w:val="0038798B"/>
    <w:rsid w:val="00391502"/>
    <w:rsid w:val="0039178B"/>
    <w:rsid w:val="00391875"/>
    <w:rsid w:val="0039193D"/>
    <w:rsid w:val="00392664"/>
    <w:rsid w:val="00393154"/>
    <w:rsid w:val="003937B3"/>
    <w:rsid w:val="00393DA3"/>
    <w:rsid w:val="0039433A"/>
    <w:rsid w:val="003943A3"/>
    <w:rsid w:val="00395081"/>
    <w:rsid w:val="003960D4"/>
    <w:rsid w:val="0039749A"/>
    <w:rsid w:val="0039795F"/>
    <w:rsid w:val="00397D81"/>
    <w:rsid w:val="003A00B5"/>
    <w:rsid w:val="003A0129"/>
    <w:rsid w:val="003A10F0"/>
    <w:rsid w:val="003A16E1"/>
    <w:rsid w:val="003A2C8F"/>
    <w:rsid w:val="003A3745"/>
    <w:rsid w:val="003A4C3D"/>
    <w:rsid w:val="003A5521"/>
    <w:rsid w:val="003A5FA3"/>
    <w:rsid w:val="003A637C"/>
    <w:rsid w:val="003A685C"/>
    <w:rsid w:val="003A6F41"/>
    <w:rsid w:val="003A74B5"/>
    <w:rsid w:val="003A76D3"/>
    <w:rsid w:val="003B00C0"/>
    <w:rsid w:val="003B0964"/>
    <w:rsid w:val="003B0A1F"/>
    <w:rsid w:val="003B0ED9"/>
    <w:rsid w:val="003B1773"/>
    <w:rsid w:val="003B1F02"/>
    <w:rsid w:val="003B304C"/>
    <w:rsid w:val="003B34C9"/>
    <w:rsid w:val="003B443C"/>
    <w:rsid w:val="003B6354"/>
    <w:rsid w:val="003B7BFC"/>
    <w:rsid w:val="003C290E"/>
    <w:rsid w:val="003C4521"/>
    <w:rsid w:val="003C4EA5"/>
    <w:rsid w:val="003C623E"/>
    <w:rsid w:val="003C628D"/>
    <w:rsid w:val="003C63A1"/>
    <w:rsid w:val="003C7B76"/>
    <w:rsid w:val="003D2E7E"/>
    <w:rsid w:val="003D3C6F"/>
    <w:rsid w:val="003D55F5"/>
    <w:rsid w:val="003D5A31"/>
    <w:rsid w:val="003D5CA4"/>
    <w:rsid w:val="003D613B"/>
    <w:rsid w:val="003D617C"/>
    <w:rsid w:val="003D666E"/>
    <w:rsid w:val="003D6C53"/>
    <w:rsid w:val="003D7C02"/>
    <w:rsid w:val="003D7E1C"/>
    <w:rsid w:val="003E0579"/>
    <w:rsid w:val="003E1DD3"/>
    <w:rsid w:val="003E2848"/>
    <w:rsid w:val="003E5244"/>
    <w:rsid w:val="003E65F7"/>
    <w:rsid w:val="003E6F5D"/>
    <w:rsid w:val="003F01C3"/>
    <w:rsid w:val="003F21E6"/>
    <w:rsid w:val="003F2E82"/>
    <w:rsid w:val="003F3AC3"/>
    <w:rsid w:val="003F49A9"/>
    <w:rsid w:val="003F4D49"/>
    <w:rsid w:val="003F4D69"/>
    <w:rsid w:val="003F5248"/>
    <w:rsid w:val="003F537B"/>
    <w:rsid w:val="003F5419"/>
    <w:rsid w:val="003F7184"/>
    <w:rsid w:val="003F76D1"/>
    <w:rsid w:val="003F7BAD"/>
    <w:rsid w:val="004002FC"/>
    <w:rsid w:val="00400AF3"/>
    <w:rsid w:val="00402939"/>
    <w:rsid w:val="00404E1F"/>
    <w:rsid w:val="0040690C"/>
    <w:rsid w:val="004070A4"/>
    <w:rsid w:val="004100B8"/>
    <w:rsid w:val="00410EA4"/>
    <w:rsid w:val="004116CA"/>
    <w:rsid w:val="004119CF"/>
    <w:rsid w:val="00411BB8"/>
    <w:rsid w:val="004127E3"/>
    <w:rsid w:val="00413D73"/>
    <w:rsid w:val="00414248"/>
    <w:rsid w:val="00414881"/>
    <w:rsid w:val="004159CC"/>
    <w:rsid w:val="0041670B"/>
    <w:rsid w:val="0041705D"/>
    <w:rsid w:val="0041789B"/>
    <w:rsid w:val="0042070C"/>
    <w:rsid w:val="004224CC"/>
    <w:rsid w:val="00422A3B"/>
    <w:rsid w:val="00423EA7"/>
    <w:rsid w:val="00426798"/>
    <w:rsid w:val="00427329"/>
    <w:rsid w:val="00427530"/>
    <w:rsid w:val="004275AD"/>
    <w:rsid w:val="00430166"/>
    <w:rsid w:val="00430386"/>
    <w:rsid w:val="00433B07"/>
    <w:rsid w:val="00433D4B"/>
    <w:rsid w:val="004344EC"/>
    <w:rsid w:val="00435210"/>
    <w:rsid w:val="00435218"/>
    <w:rsid w:val="00435A4E"/>
    <w:rsid w:val="004361AC"/>
    <w:rsid w:val="00436358"/>
    <w:rsid w:val="0044050E"/>
    <w:rsid w:val="0044120F"/>
    <w:rsid w:val="0044214C"/>
    <w:rsid w:val="004427E5"/>
    <w:rsid w:val="00444BFB"/>
    <w:rsid w:val="00445700"/>
    <w:rsid w:val="004467B4"/>
    <w:rsid w:val="00447CB7"/>
    <w:rsid w:val="0045001E"/>
    <w:rsid w:val="004507A8"/>
    <w:rsid w:val="00452221"/>
    <w:rsid w:val="00453ACC"/>
    <w:rsid w:val="0045504C"/>
    <w:rsid w:val="0045592E"/>
    <w:rsid w:val="00455F55"/>
    <w:rsid w:val="00456003"/>
    <w:rsid w:val="0045656E"/>
    <w:rsid w:val="0046057E"/>
    <w:rsid w:val="00460653"/>
    <w:rsid w:val="00460BEF"/>
    <w:rsid w:val="004614F6"/>
    <w:rsid w:val="00461BAE"/>
    <w:rsid w:val="004621BD"/>
    <w:rsid w:val="00464B4E"/>
    <w:rsid w:val="00464CE0"/>
    <w:rsid w:val="00465017"/>
    <w:rsid w:val="004675A3"/>
    <w:rsid w:val="00467DA1"/>
    <w:rsid w:val="004705D1"/>
    <w:rsid w:val="00470DA9"/>
    <w:rsid w:val="00471BA8"/>
    <w:rsid w:val="00471C45"/>
    <w:rsid w:val="00472A8F"/>
    <w:rsid w:val="00472B01"/>
    <w:rsid w:val="00473A6F"/>
    <w:rsid w:val="00473E75"/>
    <w:rsid w:val="00474D21"/>
    <w:rsid w:val="0047562D"/>
    <w:rsid w:val="00475C65"/>
    <w:rsid w:val="0047614D"/>
    <w:rsid w:val="0047680B"/>
    <w:rsid w:val="00476BC3"/>
    <w:rsid w:val="00476FEF"/>
    <w:rsid w:val="00477141"/>
    <w:rsid w:val="00477367"/>
    <w:rsid w:val="0047752E"/>
    <w:rsid w:val="00477F3E"/>
    <w:rsid w:val="004806C5"/>
    <w:rsid w:val="004806FC"/>
    <w:rsid w:val="0048104D"/>
    <w:rsid w:val="004812A3"/>
    <w:rsid w:val="00481D22"/>
    <w:rsid w:val="00481ED1"/>
    <w:rsid w:val="004828FC"/>
    <w:rsid w:val="0048332F"/>
    <w:rsid w:val="004855F0"/>
    <w:rsid w:val="0048659B"/>
    <w:rsid w:val="004900D8"/>
    <w:rsid w:val="00490C99"/>
    <w:rsid w:val="00492151"/>
    <w:rsid w:val="00496F10"/>
    <w:rsid w:val="00497291"/>
    <w:rsid w:val="004A2455"/>
    <w:rsid w:val="004A3F09"/>
    <w:rsid w:val="004A443A"/>
    <w:rsid w:val="004A4ECF"/>
    <w:rsid w:val="004A7E7F"/>
    <w:rsid w:val="004B0309"/>
    <w:rsid w:val="004B07FA"/>
    <w:rsid w:val="004B09AB"/>
    <w:rsid w:val="004B17CE"/>
    <w:rsid w:val="004B2405"/>
    <w:rsid w:val="004B289D"/>
    <w:rsid w:val="004B2BAB"/>
    <w:rsid w:val="004B3073"/>
    <w:rsid w:val="004B313C"/>
    <w:rsid w:val="004B398D"/>
    <w:rsid w:val="004B49C3"/>
    <w:rsid w:val="004B5A16"/>
    <w:rsid w:val="004C054C"/>
    <w:rsid w:val="004C0C95"/>
    <w:rsid w:val="004C1209"/>
    <w:rsid w:val="004C13B6"/>
    <w:rsid w:val="004C18B7"/>
    <w:rsid w:val="004C2474"/>
    <w:rsid w:val="004C328D"/>
    <w:rsid w:val="004C33B6"/>
    <w:rsid w:val="004C5022"/>
    <w:rsid w:val="004C5A9A"/>
    <w:rsid w:val="004C64BB"/>
    <w:rsid w:val="004D0399"/>
    <w:rsid w:val="004D116A"/>
    <w:rsid w:val="004D2598"/>
    <w:rsid w:val="004D3379"/>
    <w:rsid w:val="004D33F9"/>
    <w:rsid w:val="004D5CDA"/>
    <w:rsid w:val="004D63C6"/>
    <w:rsid w:val="004D6C11"/>
    <w:rsid w:val="004D6FA0"/>
    <w:rsid w:val="004D722F"/>
    <w:rsid w:val="004E4BD6"/>
    <w:rsid w:val="004E703A"/>
    <w:rsid w:val="004E7476"/>
    <w:rsid w:val="004E7BD6"/>
    <w:rsid w:val="004E7C4F"/>
    <w:rsid w:val="004F25E8"/>
    <w:rsid w:val="004F31F2"/>
    <w:rsid w:val="004F3BE3"/>
    <w:rsid w:val="004F3CE9"/>
    <w:rsid w:val="004F4AE2"/>
    <w:rsid w:val="004F5FAD"/>
    <w:rsid w:val="004F6291"/>
    <w:rsid w:val="004F682E"/>
    <w:rsid w:val="004F77F1"/>
    <w:rsid w:val="004F7EDD"/>
    <w:rsid w:val="0050028D"/>
    <w:rsid w:val="005004FE"/>
    <w:rsid w:val="005007DF"/>
    <w:rsid w:val="00501334"/>
    <w:rsid w:val="00502A16"/>
    <w:rsid w:val="00502E0D"/>
    <w:rsid w:val="005030A8"/>
    <w:rsid w:val="00503113"/>
    <w:rsid w:val="00503AAA"/>
    <w:rsid w:val="005048C7"/>
    <w:rsid w:val="0051089E"/>
    <w:rsid w:val="00511449"/>
    <w:rsid w:val="005115BD"/>
    <w:rsid w:val="00513E7B"/>
    <w:rsid w:val="00514D6C"/>
    <w:rsid w:val="005152EF"/>
    <w:rsid w:val="00516390"/>
    <w:rsid w:val="00516709"/>
    <w:rsid w:val="00517304"/>
    <w:rsid w:val="00517518"/>
    <w:rsid w:val="00521275"/>
    <w:rsid w:val="00521309"/>
    <w:rsid w:val="00521E11"/>
    <w:rsid w:val="005236E0"/>
    <w:rsid w:val="00524032"/>
    <w:rsid w:val="0052664E"/>
    <w:rsid w:val="00527F5A"/>
    <w:rsid w:val="00530279"/>
    <w:rsid w:val="0053130E"/>
    <w:rsid w:val="0053246E"/>
    <w:rsid w:val="00532515"/>
    <w:rsid w:val="00532EEF"/>
    <w:rsid w:val="005333A5"/>
    <w:rsid w:val="005334DD"/>
    <w:rsid w:val="00534B69"/>
    <w:rsid w:val="005359CB"/>
    <w:rsid w:val="005366F5"/>
    <w:rsid w:val="00536ED0"/>
    <w:rsid w:val="0053778E"/>
    <w:rsid w:val="00537A25"/>
    <w:rsid w:val="00537D4B"/>
    <w:rsid w:val="0054035A"/>
    <w:rsid w:val="00540D81"/>
    <w:rsid w:val="00541752"/>
    <w:rsid w:val="005419E9"/>
    <w:rsid w:val="0054293C"/>
    <w:rsid w:val="00543830"/>
    <w:rsid w:val="00544100"/>
    <w:rsid w:val="0054435F"/>
    <w:rsid w:val="00545B82"/>
    <w:rsid w:val="00545E72"/>
    <w:rsid w:val="005475E7"/>
    <w:rsid w:val="00551169"/>
    <w:rsid w:val="00552081"/>
    <w:rsid w:val="00552283"/>
    <w:rsid w:val="00552B18"/>
    <w:rsid w:val="00552E5E"/>
    <w:rsid w:val="005545D5"/>
    <w:rsid w:val="00555B95"/>
    <w:rsid w:val="0056082B"/>
    <w:rsid w:val="00561910"/>
    <w:rsid w:val="005619AB"/>
    <w:rsid w:val="00561F59"/>
    <w:rsid w:val="00562D21"/>
    <w:rsid w:val="005630E7"/>
    <w:rsid w:val="00563924"/>
    <w:rsid w:val="00563FF8"/>
    <w:rsid w:val="00564010"/>
    <w:rsid w:val="00565019"/>
    <w:rsid w:val="0056562F"/>
    <w:rsid w:val="0056567F"/>
    <w:rsid w:val="0056589A"/>
    <w:rsid w:val="00565F56"/>
    <w:rsid w:val="00566450"/>
    <w:rsid w:val="005703BE"/>
    <w:rsid w:val="00570556"/>
    <w:rsid w:val="00570CCE"/>
    <w:rsid w:val="005710FB"/>
    <w:rsid w:val="005719FD"/>
    <w:rsid w:val="00571A14"/>
    <w:rsid w:val="0057217A"/>
    <w:rsid w:val="00574865"/>
    <w:rsid w:val="00574BE1"/>
    <w:rsid w:val="00574DE8"/>
    <w:rsid w:val="00574ED4"/>
    <w:rsid w:val="005753CD"/>
    <w:rsid w:val="0057542E"/>
    <w:rsid w:val="00576090"/>
    <w:rsid w:val="005806C9"/>
    <w:rsid w:val="005825B3"/>
    <w:rsid w:val="00583191"/>
    <w:rsid w:val="00584403"/>
    <w:rsid w:val="0058461D"/>
    <w:rsid w:val="0058540D"/>
    <w:rsid w:val="00585E84"/>
    <w:rsid w:val="00585F8E"/>
    <w:rsid w:val="00586031"/>
    <w:rsid w:val="005864D0"/>
    <w:rsid w:val="0058730E"/>
    <w:rsid w:val="005878E1"/>
    <w:rsid w:val="00587A9C"/>
    <w:rsid w:val="00587ADC"/>
    <w:rsid w:val="00587C7D"/>
    <w:rsid w:val="00590013"/>
    <w:rsid w:val="005917FD"/>
    <w:rsid w:val="005921EE"/>
    <w:rsid w:val="005946A6"/>
    <w:rsid w:val="00595415"/>
    <w:rsid w:val="00595D1C"/>
    <w:rsid w:val="00596F29"/>
    <w:rsid w:val="00597F51"/>
    <w:rsid w:val="005A077A"/>
    <w:rsid w:val="005A0820"/>
    <w:rsid w:val="005A11C7"/>
    <w:rsid w:val="005A2071"/>
    <w:rsid w:val="005A2A34"/>
    <w:rsid w:val="005A3559"/>
    <w:rsid w:val="005A412E"/>
    <w:rsid w:val="005A4886"/>
    <w:rsid w:val="005A4D78"/>
    <w:rsid w:val="005A584D"/>
    <w:rsid w:val="005A6844"/>
    <w:rsid w:val="005A6D02"/>
    <w:rsid w:val="005A6E44"/>
    <w:rsid w:val="005A73B4"/>
    <w:rsid w:val="005B185E"/>
    <w:rsid w:val="005B1B4F"/>
    <w:rsid w:val="005B3497"/>
    <w:rsid w:val="005B370D"/>
    <w:rsid w:val="005B3B0B"/>
    <w:rsid w:val="005B3BE6"/>
    <w:rsid w:val="005B4F12"/>
    <w:rsid w:val="005B572F"/>
    <w:rsid w:val="005B7FE0"/>
    <w:rsid w:val="005C0905"/>
    <w:rsid w:val="005C10A3"/>
    <w:rsid w:val="005C15A0"/>
    <w:rsid w:val="005C15E8"/>
    <w:rsid w:val="005C169E"/>
    <w:rsid w:val="005C17C4"/>
    <w:rsid w:val="005C2845"/>
    <w:rsid w:val="005C2F50"/>
    <w:rsid w:val="005C38B1"/>
    <w:rsid w:val="005C39FD"/>
    <w:rsid w:val="005C3CD9"/>
    <w:rsid w:val="005C4FE9"/>
    <w:rsid w:val="005C591E"/>
    <w:rsid w:val="005C64D9"/>
    <w:rsid w:val="005C70CD"/>
    <w:rsid w:val="005C7327"/>
    <w:rsid w:val="005D14BA"/>
    <w:rsid w:val="005D1A56"/>
    <w:rsid w:val="005D2312"/>
    <w:rsid w:val="005D2A9E"/>
    <w:rsid w:val="005D6542"/>
    <w:rsid w:val="005D6B3E"/>
    <w:rsid w:val="005D7CE6"/>
    <w:rsid w:val="005E0FC0"/>
    <w:rsid w:val="005E1797"/>
    <w:rsid w:val="005E2411"/>
    <w:rsid w:val="005E38AD"/>
    <w:rsid w:val="005E48A1"/>
    <w:rsid w:val="005E4BDA"/>
    <w:rsid w:val="005E5BE8"/>
    <w:rsid w:val="005E5DBE"/>
    <w:rsid w:val="005E62F6"/>
    <w:rsid w:val="005E766A"/>
    <w:rsid w:val="005E7AB2"/>
    <w:rsid w:val="005E7B1F"/>
    <w:rsid w:val="005E7D37"/>
    <w:rsid w:val="005F09BD"/>
    <w:rsid w:val="005F1058"/>
    <w:rsid w:val="005F1325"/>
    <w:rsid w:val="005F153C"/>
    <w:rsid w:val="005F44AF"/>
    <w:rsid w:val="005F4962"/>
    <w:rsid w:val="005F57A3"/>
    <w:rsid w:val="005F5EB7"/>
    <w:rsid w:val="005F5F57"/>
    <w:rsid w:val="005F636E"/>
    <w:rsid w:val="005F6509"/>
    <w:rsid w:val="005F77C2"/>
    <w:rsid w:val="006003F1"/>
    <w:rsid w:val="00600A36"/>
    <w:rsid w:val="00601142"/>
    <w:rsid w:val="00601411"/>
    <w:rsid w:val="00602415"/>
    <w:rsid w:val="00602768"/>
    <w:rsid w:val="00603D7A"/>
    <w:rsid w:val="00604635"/>
    <w:rsid w:val="00604781"/>
    <w:rsid w:val="00604EE2"/>
    <w:rsid w:val="00605278"/>
    <w:rsid w:val="00605FE1"/>
    <w:rsid w:val="006061DB"/>
    <w:rsid w:val="006066D6"/>
    <w:rsid w:val="00606F24"/>
    <w:rsid w:val="006104DD"/>
    <w:rsid w:val="00612694"/>
    <w:rsid w:val="0061359F"/>
    <w:rsid w:val="00613F51"/>
    <w:rsid w:val="006144CE"/>
    <w:rsid w:val="00615F79"/>
    <w:rsid w:val="0062040D"/>
    <w:rsid w:val="006212E1"/>
    <w:rsid w:val="00621610"/>
    <w:rsid w:val="006217C1"/>
    <w:rsid w:val="006219EF"/>
    <w:rsid w:val="006220E7"/>
    <w:rsid w:val="00623463"/>
    <w:rsid w:val="0062392C"/>
    <w:rsid w:val="00623F50"/>
    <w:rsid w:val="00624878"/>
    <w:rsid w:val="00625951"/>
    <w:rsid w:val="006259A4"/>
    <w:rsid w:val="00626395"/>
    <w:rsid w:val="00627017"/>
    <w:rsid w:val="00632033"/>
    <w:rsid w:val="00632397"/>
    <w:rsid w:val="00633108"/>
    <w:rsid w:val="00633BC2"/>
    <w:rsid w:val="006349C7"/>
    <w:rsid w:val="00634DC4"/>
    <w:rsid w:val="0063564C"/>
    <w:rsid w:val="00636271"/>
    <w:rsid w:val="00637635"/>
    <w:rsid w:val="006409D1"/>
    <w:rsid w:val="00640EE8"/>
    <w:rsid w:val="006414EA"/>
    <w:rsid w:val="00644256"/>
    <w:rsid w:val="00644718"/>
    <w:rsid w:val="006451C5"/>
    <w:rsid w:val="00645FC2"/>
    <w:rsid w:val="006475E0"/>
    <w:rsid w:val="00652362"/>
    <w:rsid w:val="00652B1B"/>
    <w:rsid w:val="006535AD"/>
    <w:rsid w:val="006537BA"/>
    <w:rsid w:val="0065448C"/>
    <w:rsid w:val="006557FC"/>
    <w:rsid w:val="0065580E"/>
    <w:rsid w:val="0066120D"/>
    <w:rsid w:val="006615C5"/>
    <w:rsid w:val="00661A09"/>
    <w:rsid w:val="00661EBC"/>
    <w:rsid w:val="00662B85"/>
    <w:rsid w:val="00663C7F"/>
    <w:rsid w:val="00664174"/>
    <w:rsid w:val="0066452E"/>
    <w:rsid w:val="006659BE"/>
    <w:rsid w:val="006664D3"/>
    <w:rsid w:val="006665A5"/>
    <w:rsid w:val="00666CFD"/>
    <w:rsid w:val="00667303"/>
    <w:rsid w:val="00670330"/>
    <w:rsid w:val="006705CA"/>
    <w:rsid w:val="006708C1"/>
    <w:rsid w:val="00670FB6"/>
    <w:rsid w:val="0067162B"/>
    <w:rsid w:val="00672443"/>
    <w:rsid w:val="006730ED"/>
    <w:rsid w:val="006735A3"/>
    <w:rsid w:val="00673764"/>
    <w:rsid w:val="0067420B"/>
    <w:rsid w:val="006744A4"/>
    <w:rsid w:val="006755CE"/>
    <w:rsid w:val="006768E1"/>
    <w:rsid w:val="00676F8F"/>
    <w:rsid w:val="0067771D"/>
    <w:rsid w:val="00681DE4"/>
    <w:rsid w:val="00682D90"/>
    <w:rsid w:val="00683CB2"/>
    <w:rsid w:val="0069151C"/>
    <w:rsid w:val="00691551"/>
    <w:rsid w:val="006920D5"/>
    <w:rsid w:val="006924B6"/>
    <w:rsid w:val="006936C1"/>
    <w:rsid w:val="00694EAA"/>
    <w:rsid w:val="00695715"/>
    <w:rsid w:val="00696520"/>
    <w:rsid w:val="0069668C"/>
    <w:rsid w:val="006A1BFF"/>
    <w:rsid w:val="006A1F53"/>
    <w:rsid w:val="006A1FB1"/>
    <w:rsid w:val="006A2064"/>
    <w:rsid w:val="006A21E6"/>
    <w:rsid w:val="006A2683"/>
    <w:rsid w:val="006A2C30"/>
    <w:rsid w:val="006A3DC2"/>
    <w:rsid w:val="006A5BD5"/>
    <w:rsid w:val="006A5F2A"/>
    <w:rsid w:val="006A64A9"/>
    <w:rsid w:val="006A72DE"/>
    <w:rsid w:val="006A7DC9"/>
    <w:rsid w:val="006B0185"/>
    <w:rsid w:val="006B04C2"/>
    <w:rsid w:val="006B31C5"/>
    <w:rsid w:val="006B3475"/>
    <w:rsid w:val="006B44A5"/>
    <w:rsid w:val="006B53C5"/>
    <w:rsid w:val="006B5B19"/>
    <w:rsid w:val="006B6152"/>
    <w:rsid w:val="006B7782"/>
    <w:rsid w:val="006C0CB3"/>
    <w:rsid w:val="006C1A6B"/>
    <w:rsid w:val="006C3310"/>
    <w:rsid w:val="006C5124"/>
    <w:rsid w:val="006C560D"/>
    <w:rsid w:val="006C5E5E"/>
    <w:rsid w:val="006C6391"/>
    <w:rsid w:val="006C7491"/>
    <w:rsid w:val="006D087C"/>
    <w:rsid w:val="006D1529"/>
    <w:rsid w:val="006D2CE4"/>
    <w:rsid w:val="006D6D50"/>
    <w:rsid w:val="006D78BA"/>
    <w:rsid w:val="006E189A"/>
    <w:rsid w:val="006E1D49"/>
    <w:rsid w:val="006E1F38"/>
    <w:rsid w:val="006E2205"/>
    <w:rsid w:val="006E296A"/>
    <w:rsid w:val="006E29EE"/>
    <w:rsid w:val="006E2EBB"/>
    <w:rsid w:val="006E32A5"/>
    <w:rsid w:val="006E37E5"/>
    <w:rsid w:val="006E42C2"/>
    <w:rsid w:val="006E4BB3"/>
    <w:rsid w:val="006E4E1D"/>
    <w:rsid w:val="006E5201"/>
    <w:rsid w:val="006E5B2C"/>
    <w:rsid w:val="006E6B76"/>
    <w:rsid w:val="006E724F"/>
    <w:rsid w:val="006E7628"/>
    <w:rsid w:val="006F10B8"/>
    <w:rsid w:val="006F1399"/>
    <w:rsid w:val="006F2260"/>
    <w:rsid w:val="006F26F8"/>
    <w:rsid w:val="006F2A9B"/>
    <w:rsid w:val="006F3165"/>
    <w:rsid w:val="006F31AD"/>
    <w:rsid w:val="006F33A2"/>
    <w:rsid w:val="006F37E2"/>
    <w:rsid w:val="006F3C24"/>
    <w:rsid w:val="006F425A"/>
    <w:rsid w:val="006F566B"/>
    <w:rsid w:val="006F6158"/>
    <w:rsid w:val="006F6503"/>
    <w:rsid w:val="006F6D53"/>
    <w:rsid w:val="006F72AA"/>
    <w:rsid w:val="006F7B75"/>
    <w:rsid w:val="00700882"/>
    <w:rsid w:val="00701071"/>
    <w:rsid w:val="0070169E"/>
    <w:rsid w:val="00703CA8"/>
    <w:rsid w:val="00704008"/>
    <w:rsid w:val="0070457E"/>
    <w:rsid w:val="00706B48"/>
    <w:rsid w:val="00711F4D"/>
    <w:rsid w:val="007122F2"/>
    <w:rsid w:val="0071268F"/>
    <w:rsid w:val="00717093"/>
    <w:rsid w:val="00717301"/>
    <w:rsid w:val="00721179"/>
    <w:rsid w:val="007212A4"/>
    <w:rsid w:val="00721F53"/>
    <w:rsid w:val="00724CF9"/>
    <w:rsid w:val="00724D9A"/>
    <w:rsid w:val="0072592A"/>
    <w:rsid w:val="00725BE4"/>
    <w:rsid w:val="00727DE3"/>
    <w:rsid w:val="0073085C"/>
    <w:rsid w:val="00731021"/>
    <w:rsid w:val="0073134E"/>
    <w:rsid w:val="00731FD4"/>
    <w:rsid w:val="00732EBA"/>
    <w:rsid w:val="0073318A"/>
    <w:rsid w:val="00733B4F"/>
    <w:rsid w:val="00734E56"/>
    <w:rsid w:val="00735F76"/>
    <w:rsid w:val="007360E1"/>
    <w:rsid w:val="007363E3"/>
    <w:rsid w:val="007368A0"/>
    <w:rsid w:val="00736914"/>
    <w:rsid w:val="00736A3F"/>
    <w:rsid w:val="00737032"/>
    <w:rsid w:val="0073779A"/>
    <w:rsid w:val="00737FEF"/>
    <w:rsid w:val="0074197A"/>
    <w:rsid w:val="007428A4"/>
    <w:rsid w:val="0074370A"/>
    <w:rsid w:val="00744D4E"/>
    <w:rsid w:val="00746374"/>
    <w:rsid w:val="0074659B"/>
    <w:rsid w:val="007513CE"/>
    <w:rsid w:val="0075181C"/>
    <w:rsid w:val="0075185C"/>
    <w:rsid w:val="00751BC8"/>
    <w:rsid w:val="0075367A"/>
    <w:rsid w:val="00753821"/>
    <w:rsid w:val="007540C5"/>
    <w:rsid w:val="007542AE"/>
    <w:rsid w:val="0075572C"/>
    <w:rsid w:val="007563ED"/>
    <w:rsid w:val="007569ED"/>
    <w:rsid w:val="00757034"/>
    <w:rsid w:val="00760326"/>
    <w:rsid w:val="007607D8"/>
    <w:rsid w:val="00760AA2"/>
    <w:rsid w:val="00760E0A"/>
    <w:rsid w:val="00761B8B"/>
    <w:rsid w:val="007633AE"/>
    <w:rsid w:val="007638D1"/>
    <w:rsid w:val="0076446F"/>
    <w:rsid w:val="007653DD"/>
    <w:rsid w:val="0076554F"/>
    <w:rsid w:val="007657D2"/>
    <w:rsid w:val="007658FE"/>
    <w:rsid w:val="00765982"/>
    <w:rsid w:val="00765C0F"/>
    <w:rsid w:val="00766B68"/>
    <w:rsid w:val="00767065"/>
    <w:rsid w:val="007700D3"/>
    <w:rsid w:val="0077022C"/>
    <w:rsid w:val="00772110"/>
    <w:rsid w:val="007722DB"/>
    <w:rsid w:val="0077243E"/>
    <w:rsid w:val="0077315B"/>
    <w:rsid w:val="00773D87"/>
    <w:rsid w:val="0077405A"/>
    <w:rsid w:val="007742B8"/>
    <w:rsid w:val="0077455C"/>
    <w:rsid w:val="007748ED"/>
    <w:rsid w:val="00775DD7"/>
    <w:rsid w:val="00775DE5"/>
    <w:rsid w:val="00776048"/>
    <w:rsid w:val="00781885"/>
    <w:rsid w:val="00781CFB"/>
    <w:rsid w:val="00782F51"/>
    <w:rsid w:val="00783537"/>
    <w:rsid w:val="007835D4"/>
    <w:rsid w:val="007844D1"/>
    <w:rsid w:val="00784A79"/>
    <w:rsid w:val="00786003"/>
    <w:rsid w:val="00786256"/>
    <w:rsid w:val="00786E4A"/>
    <w:rsid w:val="00787C74"/>
    <w:rsid w:val="00787E44"/>
    <w:rsid w:val="00790C4E"/>
    <w:rsid w:val="007912A0"/>
    <w:rsid w:val="00792635"/>
    <w:rsid w:val="00792C49"/>
    <w:rsid w:val="007935CE"/>
    <w:rsid w:val="00793B95"/>
    <w:rsid w:val="00793BC5"/>
    <w:rsid w:val="00793DBC"/>
    <w:rsid w:val="007944FC"/>
    <w:rsid w:val="00794FB9"/>
    <w:rsid w:val="00795C62"/>
    <w:rsid w:val="00796297"/>
    <w:rsid w:val="0079689F"/>
    <w:rsid w:val="00796D9F"/>
    <w:rsid w:val="0079711E"/>
    <w:rsid w:val="007A0307"/>
    <w:rsid w:val="007A0551"/>
    <w:rsid w:val="007A0F05"/>
    <w:rsid w:val="007A106D"/>
    <w:rsid w:val="007A175F"/>
    <w:rsid w:val="007A1E73"/>
    <w:rsid w:val="007A261F"/>
    <w:rsid w:val="007A5D3E"/>
    <w:rsid w:val="007A6D59"/>
    <w:rsid w:val="007A76F5"/>
    <w:rsid w:val="007A7F17"/>
    <w:rsid w:val="007B0C2A"/>
    <w:rsid w:val="007B173B"/>
    <w:rsid w:val="007B17D6"/>
    <w:rsid w:val="007B1A6C"/>
    <w:rsid w:val="007B2C7B"/>
    <w:rsid w:val="007B2EB7"/>
    <w:rsid w:val="007B30A1"/>
    <w:rsid w:val="007B39E4"/>
    <w:rsid w:val="007B3BB4"/>
    <w:rsid w:val="007B3F40"/>
    <w:rsid w:val="007B42CD"/>
    <w:rsid w:val="007B5B84"/>
    <w:rsid w:val="007B636A"/>
    <w:rsid w:val="007B73F3"/>
    <w:rsid w:val="007C0E8C"/>
    <w:rsid w:val="007C1223"/>
    <w:rsid w:val="007C20C7"/>
    <w:rsid w:val="007C2DE4"/>
    <w:rsid w:val="007C304E"/>
    <w:rsid w:val="007C31A4"/>
    <w:rsid w:val="007C5993"/>
    <w:rsid w:val="007C65DF"/>
    <w:rsid w:val="007C6ECF"/>
    <w:rsid w:val="007C766F"/>
    <w:rsid w:val="007D0B6D"/>
    <w:rsid w:val="007D0D93"/>
    <w:rsid w:val="007D0F7F"/>
    <w:rsid w:val="007D1CF9"/>
    <w:rsid w:val="007D1E0D"/>
    <w:rsid w:val="007D25BF"/>
    <w:rsid w:val="007D3A29"/>
    <w:rsid w:val="007D3C98"/>
    <w:rsid w:val="007D3D7B"/>
    <w:rsid w:val="007D3E6F"/>
    <w:rsid w:val="007D425E"/>
    <w:rsid w:val="007D609D"/>
    <w:rsid w:val="007D60D1"/>
    <w:rsid w:val="007D6D35"/>
    <w:rsid w:val="007D7368"/>
    <w:rsid w:val="007D7730"/>
    <w:rsid w:val="007E3017"/>
    <w:rsid w:val="007E3039"/>
    <w:rsid w:val="007E3AF2"/>
    <w:rsid w:val="007E46C5"/>
    <w:rsid w:val="007E4858"/>
    <w:rsid w:val="007E5FE2"/>
    <w:rsid w:val="007E685A"/>
    <w:rsid w:val="007E6A06"/>
    <w:rsid w:val="007E71F7"/>
    <w:rsid w:val="007F0307"/>
    <w:rsid w:val="007F07C7"/>
    <w:rsid w:val="007F32FF"/>
    <w:rsid w:val="007F3A69"/>
    <w:rsid w:val="007F52A3"/>
    <w:rsid w:val="007F59C0"/>
    <w:rsid w:val="007F5A7B"/>
    <w:rsid w:val="007F7183"/>
    <w:rsid w:val="007F72BA"/>
    <w:rsid w:val="00803A5F"/>
    <w:rsid w:val="0080411B"/>
    <w:rsid w:val="00804F5F"/>
    <w:rsid w:val="008055CF"/>
    <w:rsid w:val="00805DE9"/>
    <w:rsid w:val="00807D82"/>
    <w:rsid w:val="00807F67"/>
    <w:rsid w:val="00810AE1"/>
    <w:rsid w:val="008119AA"/>
    <w:rsid w:val="00812B87"/>
    <w:rsid w:val="0081396F"/>
    <w:rsid w:val="008147F8"/>
    <w:rsid w:val="00814B6D"/>
    <w:rsid w:val="0081549B"/>
    <w:rsid w:val="0081551A"/>
    <w:rsid w:val="0081660E"/>
    <w:rsid w:val="00817538"/>
    <w:rsid w:val="008177BA"/>
    <w:rsid w:val="00817A38"/>
    <w:rsid w:val="0082122C"/>
    <w:rsid w:val="00821A34"/>
    <w:rsid w:val="008226AA"/>
    <w:rsid w:val="0082347C"/>
    <w:rsid w:val="00823774"/>
    <w:rsid w:val="0082455F"/>
    <w:rsid w:val="00824663"/>
    <w:rsid w:val="008251E7"/>
    <w:rsid w:val="00825C58"/>
    <w:rsid w:val="0082666C"/>
    <w:rsid w:val="0083095C"/>
    <w:rsid w:val="00830BCE"/>
    <w:rsid w:val="0083172C"/>
    <w:rsid w:val="00831D51"/>
    <w:rsid w:val="00831F20"/>
    <w:rsid w:val="008324BE"/>
    <w:rsid w:val="008337EE"/>
    <w:rsid w:val="008355F6"/>
    <w:rsid w:val="0083630E"/>
    <w:rsid w:val="008363A5"/>
    <w:rsid w:val="008366D4"/>
    <w:rsid w:val="00836DE2"/>
    <w:rsid w:val="008371FF"/>
    <w:rsid w:val="00837585"/>
    <w:rsid w:val="00837837"/>
    <w:rsid w:val="0084169A"/>
    <w:rsid w:val="00841D64"/>
    <w:rsid w:val="00842962"/>
    <w:rsid w:val="00843DD1"/>
    <w:rsid w:val="00844640"/>
    <w:rsid w:val="00844793"/>
    <w:rsid w:val="00844BEA"/>
    <w:rsid w:val="00846E67"/>
    <w:rsid w:val="00847795"/>
    <w:rsid w:val="00847B88"/>
    <w:rsid w:val="00847E62"/>
    <w:rsid w:val="00851091"/>
    <w:rsid w:val="008513D1"/>
    <w:rsid w:val="008519E4"/>
    <w:rsid w:val="00852003"/>
    <w:rsid w:val="00853A9D"/>
    <w:rsid w:val="00854B82"/>
    <w:rsid w:val="00854D56"/>
    <w:rsid w:val="00855D61"/>
    <w:rsid w:val="008612CD"/>
    <w:rsid w:val="008612F0"/>
    <w:rsid w:val="00861974"/>
    <w:rsid w:val="008622FC"/>
    <w:rsid w:val="00862C74"/>
    <w:rsid w:val="00862ED7"/>
    <w:rsid w:val="008631E5"/>
    <w:rsid w:val="00864007"/>
    <w:rsid w:val="00865859"/>
    <w:rsid w:val="00866678"/>
    <w:rsid w:val="00867680"/>
    <w:rsid w:val="00867C67"/>
    <w:rsid w:val="00867D4E"/>
    <w:rsid w:val="008708DA"/>
    <w:rsid w:val="0087223F"/>
    <w:rsid w:val="00872B42"/>
    <w:rsid w:val="00873177"/>
    <w:rsid w:val="00873680"/>
    <w:rsid w:val="0087489F"/>
    <w:rsid w:val="00875505"/>
    <w:rsid w:val="00876263"/>
    <w:rsid w:val="0087763C"/>
    <w:rsid w:val="00877FAE"/>
    <w:rsid w:val="00880825"/>
    <w:rsid w:val="0088138A"/>
    <w:rsid w:val="00881438"/>
    <w:rsid w:val="00881AFA"/>
    <w:rsid w:val="00883D7C"/>
    <w:rsid w:val="00885167"/>
    <w:rsid w:val="008852EB"/>
    <w:rsid w:val="00885CF2"/>
    <w:rsid w:val="008869E0"/>
    <w:rsid w:val="00886BCC"/>
    <w:rsid w:val="00886FA8"/>
    <w:rsid w:val="008902F4"/>
    <w:rsid w:val="00890D94"/>
    <w:rsid w:val="00892226"/>
    <w:rsid w:val="00892959"/>
    <w:rsid w:val="00893F41"/>
    <w:rsid w:val="008959A6"/>
    <w:rsid w:val="0089620D"/>
    <w:rsid w:val="008963C3"/>
    <w:rsid w:val="00897505"/>
    <w:rsid w:val="0089782B"/>
    <w:rsid w:val="008979CB"/>
    <w:rsid w:val="008A081B"/>
    <w:rsid w:val="008A100C"/>
    <w:rsid w:val="008A1742"/>
    <w:rsid w:val="008A27F2"/>
    <w:rsid w:val="008A320B"/>
    <w:rsid w:val="008A3493"/>
    <w:rsid w:val="008A3A96"/>
    <w:rsid w:val="008A5BF4"/>
    <w:rsid w:val="008A748D"/>
    <w:rsid w:val="008A7843"/>
    <w:rsid w:val="008B0158"/>
    <w:rsid w:val="008B16C8"/>
    <w:rsid w:val="008B271E"/>
    <w:rsid w:val="008B2D49"/>
    <w:rsid w:val="008B6314"/>
    <w:rsid w:val="008B6B2F"/>
    <w:rsid w:val="008C0012"/>
    <w:rsid w:val="008C0CEE"/>
    <w:rsid w:val="008C1075"/>
    <w:rsid w:val="008C39FA"/>
    <w:rsid w:val="008C4292"/>
    <w:rsid w:val="008C4F1A"/>
    <w:rsid w:val="008C6863"/>
    <w:rsid w:val="008D0511"/>
    <w:rsid w:val="008D116A"/>
    <w:rsid w:val="008D1737"/>
    <w:rsid w:val="008D1F31"/>
    <w:rsid w:val="008D32DC"/>
    <w:rsid w:val="008D377E"/>
    <w:rsid w:val="008D3AB2"/>
    <w:rsid w:val="008D52A6"/>
    <w:rsid w:val="008D540B"/>
    <w:rsid w:val="008D599C"/>
    <w:rsid w:val="008D61F6"/>
    <w:rsid w:val="008D64B9"/>
    <w:rsid w:val="008D6FED"/>
    <w:rsid w:val="008E022C"/>
    <w:rsid w:val="008E2785"/>
    <w:rsid w:val="008E300D"/>
    <w:rsid w:val="008E37BC"/>
    <w:rsid w:val="008E3887"/>
    <w:rsid w:val="008E4247"/>
    <w:rsid w:val="008E53D8"/>
    <w:rsid w:val="008E61BE"/>
    <w:rsid w:val="008E64E4"/>
    <w:rsid w:val="008E6D55"/>
    <w:rsid w:val="008F0A1E"/>
    <w:rsid w:val="008F0C3B"/>
    <w:rsid w:val="008F1C57"/>
    <w:rsid w:val="008F21C9"/>
    <w:rsid w:val="008F28A6"/>
    <w:rsid w:val="008F50BF"/>
    <w:rsid w:val="008F5264"/>
    <w:rsid w:val="008F53A5"/>
    <w:rsid w:val="008F5CC3"/>
    <w:rsid w:val="008F6D56"/>
    <w:rsid w:val="0090017F"/>
    <w:rsid w:val="00903561"/>
    <w:rsid w:val="0090428A"/>
    <w:rsid w:val="00905027"/>
    <w:rsid w:val="00906324"/>
    <w:rsid w:val="00906A22"/>
    <w:rsid w:val="009079A5"/>
    <w:rsid w:val="009106F7"/>
    <w:rsid w:val="0091082E"/>
    <w:rsid w:val="00910E97"/>
    <w:rsid w:val="00911423"/>
    <w:rsid w:val="00911697"/>
    <w:rsid w:val="00911D85"/>
    <w:rsid w:val="00912B23"/>
    <w:rsid w:val="0091357E"/>
    <w:rsid w:val="00914376"/>
    <w:rsid w:val="0091444E"/>
    <w:rsid w:val="00914451"/>
    <w:rsid w:val="009159BB"/>
    <w:rsid w:val="00916A17"/>
    <w:rsid w:val="00917679"/>
    <w:rsid w:val="00917EA9"/>
    <w:rsid w:val="00920902"/>
    <w:rsid w:val="00921303"/>
    <w:rsid w:val="009221AC"/>
    <w:rsid w:val="0092225D"/>
    <w:rsid w:val="00922F7F"/>
    <w:rsid w:val="00924A42"/>
    <w:rsid w:val="00925773"/>
    <w:rsid w:val="00925851"/>
    <w:rsid w:val="00927109"/>
    <w:rsid w:val="00927554"/>
    <w:rsid w:val="009278BB"/>
    <w:rsid w:val="009279D7"/>
    <w:rsid w:val="009300EE"/>
    <w:rsid w:val="00930B17"/>
    <w:rsid w:val="00931FFA"/>
    <w:rsid w:val="00932C1D"/>
    <w:rsid w:val="00932F45"/>
    <w:rsid w:val="0093447C"/>
    <w:rsid w:val="00935B3A"/>
    <w:rsid w:val="009361AF"/>
    <w:rsid w:val="0093661C"/>
    <w:rsid w:val="00936C43"/>
    <w:rsid w:val="00940F7D"/>
    <w:rsid w:val="00941594"/>
    <w:rsid w:val="00941A43"/>
    <w:rsid w:val="00941D93"/>
    <w:rsid w:val="00941EDA"/>
    <w:rsid w:val="00941FB9"/>
    <w:rsid w:val="00942ECA"/>
    <w:rsid w:val="009433CC"/>
    <w:rsid w:val="0094395A"/>
    <w:rsid w:val="009450B4"/>
    <w:rsid w:val="009452B5"/>
    <w:rsid w:val="0094549B"/>
    <w:rsid w:val="009459C8"/>
    <w:rsid w:val="0094608E"/>
    <w:rsid w:val="00946E5A"/>
    <w:rsid w:val="00947651"/>
    <w:rsid w:val="00947CCA"/>
    <w:rsid w:val="009503F5"/>
    <w:rsid w:val="00951C85"/>
    <w:rsid w:val="009527F7"/>
    <w:rsid w:val="00953DD9"/>
    <w:rsid w:val="00954862"/>
    <w:rsid w:val="009549C2"/>
    <w:rsid w:val="00954A3C"/>
    <w:rsid w:val="00955808"/>
    <w:rsid w:val="009607E6"/>
    <w:rsid w:val="00961484"/>
    <w:rsid w:val="00961E9D"/>
    <w:rsid w:val="009625EB"/>
    <w:rsid w:val="009647E3"/>
    <w:rsid w:val="009648A0"/>
    <w:rsid w:val="00965628"/>
    <w:rsid w:val="00965767"/>
    <w:rsid w:val="00965B10"/>
    <w:rsid w:val="00967B4C"/>
    <w:rsid w:val="00970B75"/>
    <w:rsid w:val="00970ED2"/>
    <w:rsid w:val="00971B4C"/>
    <w:rsid w:val="00971D09"/>
    <w:rsid w:val="009728A7"/>
    <w:rsid w:val="00972B4E"/>
    <w:rsid w:val="00973682"/>
    <w:rsid w:val="009744CE"/>
    <w:rsid w:val="009746C6"/>
    <w:rsid w:val="00974CE9"/>
    <w:rsid w:val="009752DF"/>
    <w:rsid w:val="00975F75"/>
    <w:rsid w:val="0097644B"/>
    <w:rsid w:val="00976B06"/>
    <w:rsid w:val="00980C10"/>
    <w:rsid w:val="0098149C"/>
    <w:rsid w:val="009815A5"/>
    <w:rsid w:val="00983D63"/>
    <w:rsid w:val="00984878"/>
    <w:rsid w:val="009852B6"/>
    <w:rsid w:val="009874B8"/>
    <w:rsid w:val="009874BB"/>
    <w:rsid w:val="0099049A"/>
    <w:rsid w:val="0099081A"/>
    <w:rsid w:val="00990C45"/>
    <w:rsid w:val="00990CC3"/>
    <w:rsid w:val="00991179"/>
    <w:rsid w:val="00991B7E"/>
    <w:rsid w:val="00991D2F"/>
    <w:rsid w:val="00992684"/>
    <w:rsid w:val="00993BC4"/>
    <w:rsid w:val="00993D60"/>
    <w:rsid w:val="0099487F"/>
    <w:rsid w:val="00994C8A"/>
    <w:rsid w:val="00994E93"/>
    <w:rsid w:val="009957A4"/>
    <w:rsid w:val="00995956"/>
    <w:rsid w:val="00995C82"/>
    <w:rsid w:val="00996E95"/>
    <w:rsid w:val="0099744E"/>
    <w:rsid w:val="00997FDF"/>
    <w:rsid w:val="009A1354"/>
    <w:rsid w:val="009A349A"/>
    <w:rsid w:val="009A3E4F"/>
    <w:rsid w:val="009A4C9C"/>
    <w:rsid w:val="009A6A74"/>
    <w:rsid w:val="009A6D25"/>
    <w:rsid w:val="009B0379"/>
    <w:rsid w:val="009B0C73"/>
    <w:rsid w:val="009B1E94"/>
    <w:rsid w:val="009B3022"/>
    <w:rsid w:val="009B5451"/>
    <w:rsid w:val="009B5672"/>
    <w:rsid w:val="009B746F"/>
    <w:rsid w:val="009C103D"/>
    <w:rsid w:val="009C14FF"/>
    <w:rsid w:val="009C1BA3"/>
    <w:rsid w:val="009C249A"/>
    <w:rsid w:val="009C2537"/>
    <w:rsid w:val="009C3442"/>
    <w:rsid w:val="009C4DFB"/>
    <w:rsid w:val="009C562F"/>
    <w:rsid w:val="009C5F76"/>
    <w:rsid w:val="009C748B"/>
    <w:rsid w:val="009C7CBB"/>
    <w:rsid w:val="009D259C"/>
    <w:rsid w:val="009D2689"/>
    <w:rsid w:val="009D2F2D"/>
    <w:rsid w:val="009D3AF4"/>
    <w:rsid w:val="009D4179"/>
    <w:rsid w:val="009D5195"/>
    <w:rsid w:val="009D51A7"/>
    <w:rsid w:val="009D579D"/>
    <w:rsid w:val="009D6533"/>
    <w:rsid w:val="009E0125"/>
    <w:rsid w:val="009E0FEB"/>
    <w:rsid w:val="009E1470"/>
    <w:rsid w:val="009E1DD6"/>
    <w:rsid w:val="009E23BD"/>
    <w:rsid w:val="009E3014"/>
    <w:rsid w:val="009E6781"/>
    <w:rsid w:val="009E72FE"/>
    <w:rsid w:val="009F0C7E"/>
    <w:rsid w:val="009F0F4B"/>
    <w:rsid w:val="009F2A3B"/>
    <w:rsid w:val="009F2B33"/>
    <w:rsid w:val="009F57C5"/>
    <w:rsid w:val="009F68DE"/>
    <w:rsid w:val="00A007FA"/>
    <w:rsid w:val="00A03346"/>
    <w:rsid w:val="00A038A1"/>
    <w:rsid w:val="00A041AA"/>
    <w:rsid w:val="00A047E5"/>
    <w:rsid w:val="00A04967"/>
    <w:rsid w:val="00A0570C"/>
    <w:rsid w:val="00A059AE"/>
    <w:rsid w:val="00A06107"/>
    <w:rsid w:val="00A07276"/>
    <w:rsid w:val="00A102D9"/>
    <w:rsid w:val="00A107CC"/>
    <w:rsid w:val="00A11039"/>
    <w:rsid w:val="00A12EED"/>
    <w:rsid w:val="00A13B0F"/>
    <w:rsid w:val="00A14A9A"/>
    <w:rsid w:val="00A14E1D"/>
    <w:rsid w:val="00A15F27"/>
    <w:rsid w:val="00A1631B"/>
    <w:rsid w:val="00A165A3"/>
    <w:rsid w:val="00A174B5"/>
    <w:rsid w:val="00A20952"/>
    <w:rsid w:val="00A21617"/>
    <w:rsid w:val="00A22B8B"/>
    <w:rsid w:val="00A251B7"/>
    <w:rsid w:val="00A251DE"/>
    <w:rsid w:val="00A25484"/>
    <w:rsid w:val="00A25B2B"/>
    <w:rsid w:val="00A25E3C"/>
    <w:rsid w:val="00A271BD"/>
    <w:rsid w:val="00A276C6"/>
    <w:rsid w:val="00A27E9B"/>
    <w:rsid w:val="00A3131C"/>
    <w:rsid w:val="00A33495"/>
    <w:rsid w:val="00A345A0"/>
    <w:rsid w:val="00A35FA6"/>
    <w:rsid w:val="00A36A7A"/>
    <w:rsid w:val="00A37C35"/>
    <w:rsid w:val="00A37E4D"/>
    <w:rsid w:val="00A41059"/>
    <w:rsid w:val="00A41275"/>
    <w:rsid w:val="00A41C60"/>
    <w:rsid w:val="00A43182"/>
    <w:rsid w:val="00A43298"/>
    <w:rsid w:val="00A44EB6"/>
    <w:rsid w:val="00A46F84"/>
    <w:rsid w:val="00A46F9A"/>
    <w:rsid w:val="00A470DB"/>
    <w:rsid w:val="00A4791C"/>
    <w:rsid w:val="00A47B44"/>
    <w:rsid w:val="00A53C8D"/>
    <w:rsid w:val="00A54D42"/>
    <w:rsid w:val="00A5515A"/>
    <w:rsid w:val="00A5589D"/>
    <w:rsid w:val="00A55B34"/>
    <w:rsid w:val="00A56A0A"/>
    <w:rsid w:val="00A57446"/>
    <w:rsid w:val="00A5746B"/>
    <w:rsid w:val="00A612A9"/>
    <w:rsid w:val="00A6173F"/>
    <w:rsid w:val="00A61C54"/>
    <w:rsid w:val="00A61D64"/>
    <w:rsid w:val="00A62899"/>
    <w:rsid w:val="00A62F0C"/>
    <w:rsid w:val="00A632DB"/>
    <w:rsid w:val="00A64077"/>
    <w:rsid w:val="00A64927"/>
    <w:rsid w:val="00A662B5"/>
    <w:rsid w:val="00A666BE"/>
    <w:rsid w:val="00A7105A"/>
    <w:rsid w:val="00A71230"/>
    <w:rsid w:val="00A71A0E"/>
    <w:rsid w:val="00A729A4"/>
    <w:rsid w:val="00A73C46"/>
    <w:rsid w:val="00A73E71"/>
    <w:rsid w:val="00A740E6"/>
    <w:rsid w:val="00A74718"/>
    <w:rsid w:val="00A764E3"/>
    <w:rsid w:val="00A76E40"/>
    <w:rsid w:val="00A8070F"/>
    <w:rsid w:val="00A80953"/>
    <w:rsid w:val="00A811D4"/>
    <w:rsid w:val="00A8343F"/>
    <w:rsid w:val="00A8376F"/>
    <w:rsid w:val="00A845D3"/>
    <w:rsid w:val="00A86315"/>
    <w:rsid w:val="00A8756F"/>
    <w:rsid w:val="00A87C30"/>
    <w:rsid w:val="00A909D6"/>
    <w:rsid w:val="00A91ACF"/>
    <w:rsid w:val="00A92B01"/>
    <w:rsid w:val="00A9433C"/>
    <w:rsid w:val="00A958A4"/>
    <w:rsid w:val="00A95E1D"/>
    <w:rsid w:val="00A96009"/>
    <w:rsid w:val="00A9606A"/>
    <w:rsid w:val="00A97911"/>
    <w:rsid w:val="00AA097A"/>
    <w:rsid w:val="00AA12AC"/>
    <w:rsid w:val="00AA15BC"/>
    <w:rsid w:val="00AA188C"/>
    <w:rsid w:val="00AA18BA"/>
    <w:rsid w:val="00AA2F43"/>
    <w:rsid w:val="00AA3B28"/>
    <w:rsid w:val="00AA4660"/>
    <w:rsid w:val="00AA480B"/>
    <w:rsid w:val="00AA4867"/>
    <w:rsid w:val="00AA4D21"/>
    <w:rsid w:val="00AA4DEB"/>
    <w:rsid w:val="00AA69EA"/>
    <w:rsid w:val="00AA6E45"/>
    <w:rsid w:val="00AB0E0D"/>
    <w:rsid w:val="00AB198A"/>
    <w:rsid w:val="00AB46E4"/>
    <w:rsid w:val="00AB47B8"/>
    <w:rsid w:val="00AB54F0"/>
    <w:rsid w:val="00AB66AE"/>
    <w:rsid w:val="00AB66B6"/>
    <w:rsid w:val="00AC04BE"/>
    <w:rsid w:val="00AC08A1"/>
    <w:rsid w:val="00AC1040"/>
    <w:rsid w:val="00AC2669"/>
    <w:rsid w:val="00AC2AC0"/>
    <w:rsid w:val="00AC2CD0"/>
    <w:rsid w:val="00AC3A9B"/>
    <w:rsid w:val="00AC3E88"/>
    <w:rsid w:val="00AC440C"/>
    <w:rsid w:val="00AC4CFE"/>
    <w:rsid w:val="00AC4E06"/>
    <w:rsid w:val="00AC4F1D"/>
    <w:rsid w:val="00AC5228"/>
    <w:rsid w:val="00AC52D9"/>
    <w:rsid w:val="00AC5439"/>
    <w:rsid w:val="00AC5997"/>
    <w:rsid w:val="00AC7CE6"/>
    <w:rsid w:val="00AD049E"/>
    <w:rsid w:val="00AD130C"/>
    <w:rsid w:val="00AD22E2"/>
    <w:rsid w:val="00AD2485"/>
    <w:rsid w:val="00AD34BA"/>
    <w:rsid w:val="00AD38D4"/>
    <w:rsid w:val="00AD5027"/>
    <w:rsid w:val="00AD672C"/>
    <w:rsid w:val="00AD6E65"/>
    <w:rsid w:val="00AD713D"/>
    <w:rsid w:val="00AD7686"/>
    <w:rsid w:val="00AE0ECE"/>
    <w:rsid w:val="00AE1F68"/>
    <w:rsid w:val="00AE6090"/>
    <w:rsid w:val="00AE7375"/>
    <w:rsid w:val="00AF169F"/>
    <w:rsid w:val="00AF2028"/>
    <w:rsid w:val="00AF21D7"/>
    <w:rsid w:val="00AF220A"/>
    <w:rsid w:val="00AF3990"/>
    <w:rsid w:val="00AF404B"/>
    <w:rsid w:val="00B0013A"/>
    <w:rsid w:val="00B0133D"/>
    <w:rsid w:val="00B01B3D"/>
    <w:rsid w:val="00B02729"/>
    <w:rsid w:val="00B03746"/>
    <w:rsid w:val="00B04946"/>
    <w:rsid w:val="00B052F8"/>
    <w:rsid w:val="00B05D0F"/>
    <w:rsid w:val="00B0615C"/>
    <w:rsid w:val="00B065E6"/>
    <w:rsid w:val="00B070A5"/>
    <w:rsid w:val="00B10556"/>
    <w:rsid w:val="00B1071D"/>
    <w:rsid w:val="00B10E6E"/>
    <w:rsid w:val="00B12117"/>
    <w:rsid w:val="00B1250D"/>
    <w:rsid w:val="00B12897"/>
    <w:rsid w:val="00B12DB4"/>
    <w:rsid w:val="00B1469A"/>
    <w:rsid w:val="00B14EEE"/>
    <w:rsid w:val="00B153CC"/>
    <w:rsid w:val="00B166CD"/>
    <w:rsid w:val="00B1740C"/>
    <w:rsid w:val="00B20310"/>
    <w:rsid w:val="00B204F6"/>
    <w:rsid w:val="00B20E2D"/>
    <w:rsid w:val="00B20EB4"/>
    <w:rsid w:val="00B20FB5"/>
    <w:rsid w:val="00B23054"/>
    <w:rsid w:val="00B23D0B"/>
    <w:rsid w:val="00B243BA"/>
    <w:rsid w:val="00B24911"/>
    <w:rsid w:val="00B25310"/>
    <w:rsid w:val="00B256A7"/>
    <w:rsid w:val="00B26994"/>
    <w:rsid w:val="00B30B2D"/>
    <w:rsid w:val="00B31101"/>
    <w:rsid w:val="00B315F6"/>
    <w:rsid w:val="00B3173B"/>
    <w:rsid w:val="00B31E84"/>
    <w:rsid w:val="00B32C77"/>
    <w:rsid w:val="00B3341A"/>
    <w:rsid w:val="00B3360E"/>
    <w:rsid w:val="00B33721"/>
    <w:rsid w:val="00B350FE"/>
    <w:rsid w:val="00B351ED"/>
    <w:rsid w:val="00B35BC5"/>
    <w:rsid w:val="00B3603D"/>
    <w:rsid w:val="00B401A9"/>
    <w:rsid w:val="00B4065E"/>
    <w:rsid w:val="00B41702"/>
    <w:rsid w:val="00B41DEA"/>
    <w:rsid w:val="00B42418"/>
    <w:rsid w:val="00B424D7"/>
    <w:rsid w:val="00B427C9"/>
    <w:rsid w:val="00B43978"/>
    <w:rsid w:val="00B43F10"/>
    <w:rsid w:val="00B46BD3"/>
    <w:rsid w:val="00B47710"/>
    <w:rsid w:val="00B479DE"/>
    <w:rsid w:val="00B52789"/>
    <w:rsid w:val="00B52B8B"/>
    <w:rsid w:val="00B52FDE"/>
    <w:rsid w:val="00B53445"/>
    <w:rsid w:val="00B53543"/>
    <w:rsid w:val="00B548EA"/>
    <w:rsid w:val="00B55F3C"/>
    <w:rsid w:val="00B573FD"/>
    <w:rsid w:val="00B574CE"/>
    <w:rsid w:val="00B575D9"/>
    <w:rsid w:val="00B607A9"/>
    <w:rsid w:val="00B608BA"/>
    <w:rsid w:val="00B61C6B"/>
    <w:rsid w:val="00B6215A"/>
    <w:rsid w:val="00B64D4C"/>
    <w:rsid w:val="00B65C05"/>
    <w:rsid w:val="00B66655"/>
    <w:rsid w:val="00B70CB8"/>
    <w:rsid w:val="00B723E9"/>
    <w:rsid w:val="00B7267A"/>
    <w:rsid w:val="00B727A0"/>
    <w:rsid w:val="00B739FE"/>
    <w:rsid w:val="00B74936"/>
    <w:rsid w:val="00B75AE4"/>
    <w:rsid w:val="00B7721F"/>
    <w:rsid w:val="00B801B5"/>
    <w:rsid w:val="00B80699"/>
    <w:rsid w:val="00B80D9B"/>
    <w:rsid w:val="00B81381"/>
    <w:rsid w:val="00B81C77"/>
    <w:rsid w:val="00B826C1"/>
    <w:rsid w:val="00B82957"/>
    <w:rsid w:val="00B82F3E"/>
    <w:rsid w:val="00B835C9"/>
    <w:rsid w:val="00B83D9D"/>
    <w:rsid w:val="00B84735"/>
    <w:rsid w:val="00B85336"/>
    <w:rsid w:val="00B85E25"/>
    <w:rsid w:val="00B8620E"/>
    <w:rsid w:val="00B8642E"/>
    <w:rsid w:val="00B864EC"/>
    <w:rsid w:val="00B869C9"/>
    <w:rsid w:val="00B87979"/>
    <w:rsid w:val="00B87C4C"/>
    <w:rsid w:val="00B90D45"/>
    <w:rsid w:val="00B90D59"/>
    <w:rsid w:val="00B9216A"/>
    <w:rsid w:val="00B93E90"/>
    <w:rsid w:val="00B94146"/>
    <w:rsid w:val="00B96A25"/>
    <w:rsid w:val="00B97068"/>
    <w:rsid w:val="00B971C5"/>
    <w:rsid w:val="00B97A0A"/>
    <w:rsid w:val="00B97C2A"/>
    <w:rsid w:val="00BA00EA"/>
    <w:rsid w:val="00BA02BB"/>
    <w:rsid w:val="00BA05EA"/>
    <w:rsid w:val="00BA0A10"/>
    <w:rsid w:val="00BA5940"/>
    <w:rsid w:val="00BA5FA6"/>
    <w:rsid w:val="00BA6CF6"/>
    <w:rsid w:val="00BA7716"/>
    <w:rsid w:val="00BA7C44"/>
    <w:rsid w:val="00BA7D60"/>
    <w:rsid w:val="00BA7E3E"/>
    <w:rsid w:val="00BB062E"/>
    <w:rsid w:val="00BB2E5B"/>
    <w:rsid w:val="00BB322C"/>
    <w:rsid w:val="00BB3B12"/>
    <w:rsid w:val="00BB48F2"/>
    <w:rsid w:val="00BB4F5E"/>
    <w:rsid w:val="00BB533A"/>
    <w:rsid w:val="00BB562E"/>
    <w:rsid w:val="00BB6328"/>
    <w:rsid w:val="00BB64A0"/>
    <w:rsid w:val="00BB6728"/>
    <w:rsid w:val="00BB6B9D"/>
    <w:rsid w:val="00BB6DC0"/>
    <w:rsid w:val="00BC0213"/>
    <w:rsid w:val="00BC0283"/>
    <w:rsid w:val="00BC04FC"/>
    <w:rsid w:val="00BC17F5"/>
    <w:rsid w:val="00BC1BCE"/>
    <w:rsid w:val="00BC1C9D"/>
    <w:rsid w:val="00BC36C6"/>
    <w:rsid w:val="00BC5590"/>
    <w:rsid w:val="00BC6416"/>
    <w:rsid w:val="00BC675C"/>
    <w:rsid w:val="00BC735A"/>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231B"/>
    <w:rsid w:val="00BE3D63"/>
    <w:rsid w:val="00BE44A9"/>
    <w:rsid w:val="00BE4AC3"/>
    <w:rsid w:val="00BE61F6"/>
    <w:rsid w:val="00BE7388"/>
    <w:rsid w:val="00BF0481"/>
    <w:rsid w:val="00BF0560"/>
    <w:rsid w:val="00BF0C63"/>
    <w:rsid w:val="00BF182A"/>
    <w:rsid w:val="00BF1C88"/>
    <w:rsid w:val="00BF2677"/>
    <w:rsid w:val="00BF2B7B"/>
    <w:rsid w:val="00BF3ABC"/>
    <w:rsid w:val="00BF471B"/>
    <w:rsid w:val="00BF58A4"/>
    <w:rsid w:val="00BF5EC9"/>
    <w:rsid w:val="00BF60E5"/>
    <w:rsid w:val="00BF7057"/>
    <w:rsid w:val="00C00109"/>
    <w:rsid w:val="00C009E0"/>
    <w:rsid w:val="00C01115"/>
    <w:rsid w:val="00C01398"/>
    <w:rsid w:val="00C0180C"/>
    <w:rsid w:val="00C02A58"/>
    <w:rsid w:val="00C034AE"/>
    <w:rsid w:val="00C03966"/>
    <w:rsid w:val="00C04C57"/>
    <w:rsid w:val="00C05723"/>
    <w:rsid w:val="00C06088"/>
    <w:rsid w:val="00C062AD"/>
    <w:rsid w:val="00C06F69"/>
    <w:rsid w:val="00C102F8"/>
    <w:rsid w:val="00C10F04"/>
    <w:rsid w:val="00C13A59"/>
    <w:rsid w:val="00C13C08"/>
    <w:rsid w:val="00C13FA9"/>
    <w:rsid w:val="00C1522F"/>
    <w:rsid w:val="00C15BE6"/>
    <w:rsid w:val="00C15D57"/>
    <w:rsid w:val="00C15E44"/>
    <w:rsid w:val="00C1721F"/>
    <w:rsid w:val="00C17816"/>
    <w:rsid w:val="00C17EEC"/>
    <w:rsid w:val="00C20626"/>
    <w:rsid w:val="00C20C7A"/>
    <w:rsid w:val="00C23585"/>
    <w:rsid w:val="00C23ECE"/>
    <w:rsid w:val="00C2404D"/>
    <w:rsid w:val="00C246C5"/>
    <w:rsid w:val="00C266ED"/>
    <w:rsid w:val="00C26CF1"/>
    <w:rsid w:val="00C26D76"/>
    <w:rsid w:val="00C2761D"/>
    <w:rsid w:val="00C276B6"/>
    <w:rsid w:val="00C27B32"/>
    <w:rsid w:val="00C27CB3"/>
    <w:rsid w:val="00C32049"/>
    <w:rsid w:val="00C322B7"/>
    <w:rsid w:val="00C33225"/>
    <w:rsid w:val="00C34934"/>
    <w:rsid w:val="00C34D64"/>
    <w:rsid w:val="00C3609D"/>
    <w:rsid w:val="00C373F2"/>
    <w:rsid w:val="00C42E98"/>
    <w:rsid w:val="00C47109"/>
    <w:rsid w:val="00C473A7"/>
    <w:rsid w:val="00C5023E"/>
    <w:rsid w:val="00C5058D"/>
    <w:rsid w:val="00C50E0E"/>
    <w:rsid w:val="00C5294C"/>
    <w:rsid w:val="00C52A8C"/>
    <w:rsid w:val="00C52E3B"/>
    <w:rsid w:val="00C534FA"/>
    <w:rsid w:val="00C53D7E"/>
    <w:rsid w:val="00C54A05"/>
    <w:rsid w:val="00C561F2"/>
    <w:rsid w:val="00C607A6"/>
    <w:rsid w:val="00C6309B"/>
    <w:rsid w:val="00C6351F"/>
    <w:rsid w:val="00C64E79"/>
    <w:rsid w:val="00C67A40"/>
    <w:rsid w:val="00C700B4"/>
    <w:rsid w:val="00C700E5"/>
    <w:rsid w:val="00C70CFA"/>
    <w:rsid w:val="00C728B1"/>
    <w:rsid w:val="00C73973"/>
    <w:rsid w:val="00C73AE3"/>
    <w:rsid w:val="00C73C9B"/>
    <w:rsid w:val="00C745DA"/>
    <w:rsid w:val="00C750E9"/>
    <w:rsid w:val="00C751F2"/>
    <w:rsid w:val="00C75552"/>
    <w:rsid w:val="00C775DE"/>
    <w:rsid w:val="00C80D3C"/>
    <w:rsid w:val="00C81286"/>
    <w:rsid w:val="00C827E9"/>
    <w:rsid w:val="00C8512F"/>
    <w:rsid w:val="00C91609"/>
    <w:rsid w:val="00C929FF"/>
    <w:rsid w:val="00C92F55"/>
    <w:rsid w:val="00C95DCA"/>
    <w:rsid w:val="00C97026"/>
    <w:rsid w:val="00C97931"/>
    <w:rsid w:val="00C97FC7"/>
    <w:rsid w:val="00CA053A"/>
    <w:rsid w:val="00CA0616"/>
    <w:rsid w:val="00CA073D"/>
    <w:rsid w:val="00CA09B1"/>
    <w:rsid w:val="00CA0C10"/>
    <w:rsid w:val="00CA1F2A"/>
    <w:rsid w:val="00CA2531"/>
    <w:rsid w:val="00CA2AA6"/>
    <w:rsid w:val="00CA2CF7"/>
    <w:rsid w:val="00CA391D"/>
    <w:rsid w:val="00CA4686"/>
    <w:rsid w:val="00CA4EAE"/>
    <w:rsid w:val="00CA73CA"/>
    <w:rsid w:val="00CB010A"/>
    <w:rsid w:val="00CB0FCC"/>
    <w:rsid w:val="00CB125B"/>
    <w:rsid w:val="00CB2E60"/>
    <w:rsid w:val="00CB45C7"/>
    <w:rsid w:val="00CB56D8"/>
    <w:rsid w:val="00CB5DDD"/>
    <w:rsid w:val="00CB6A5F"/>
    <w:rsid w:val="00CB7923"/>
    <w:rsid w:val="00CC0239"/>
    <w:rsid w:val="00CC1632"/>
    <w:rsid w:val="00CC18F4"/>
    <w:rsid w:val="00CC192B"/>
    <w:rsid w:val="00CC392D"/>
    <w:rsid w:val="00CC3DFF"/>
    <w:rsid w:val="00CC45D7"/>
    <w:rsid w:val="00CC476D"/>
    <w:rsid w:val="00CC4BDE"/>
    <w:rsid w:val="00CC594F"/>
    <w:rsid w:val="00CC59DA"/>
    <w:rsid w:val="00CC654C"/>
    <w:rsid w:val="00CC68F5"/>
    <w:rsid w:val="00CC6B2F"/>
    <w:rsid w:val="00CC7FE3"/>
    <w:rsid w:val="00CD03AF"/>
    <w:rsid w:val="00CD0AE2"/>
    <w:rsid w:val="00CD180E"/>
    <w:rsid w:val="00CD2678"/>
    <w:rsid w:val="00CD2B8A"/>
    <w:rsid w:val="00CD3342"/>
    <w:rsid w:val="00CD639F"/>
    <w:rsid w:val="00CD7D26"/>
    <w:rsid w:val="00CE205D"/>
    <w:rsid w:val="00CE2793"/>
    <w:rsid w:val="00CE338F"/>
    <w:rsid w:val="00CE3553"/>
    <w:rsid w:val="00CE4330"/>
    <w:rsid w:val="00CE6362"/>
    <w:rsid w:val="00CE640E"/>
    <w:rsid w:val="00CE648E"/>
    <w:rsid w:val="00CE6523"/>
    <w:rsid w:val="00CE6B5A"/>
    <w:rsid w:val="00CE6EE3"/>
    <w:rsid w:val="00CE7836"/>
    <w:rsid w:val="00CF0317"/>
    <w:rsid w:val="00CF086F"/>
    <w:rsid w:val="00CF19AD"/>
    <w:rsid w:val="00CF24F1"/>
    <w:rsid w:val="00CF2517"/>
    <w:rsid w:val="00CF2F8F"/>
    <w:rsid w:val="00CF301E"/>
    <w:rsid w:val="00CF36E3"/>
    <w:rsid w:val="00CF5E7B"/>
    <w:rsid w:val="00CF6C55"/>
    <w:rsid w:val="00D0134C"/>
    <w:rsid w:val="00D0230B"/>
    <w:rsid w:val="00D027B2"/>
    <w:rsid w:val="00D027FE"/>
    <w:rsid w:val="00D03D65"/>
    <w:rsid w:val="00D03F08"/>
    <w:rsid w:val="00D05043"/>
    <w:rsid w:val="00D050C0"/>
    <w:rsid w:val="00D05274"/>
    <w:rsid w:val="00D05CEE"/>
    <w:rsid w:val="00D06C5E"/>
    <w:rsid w:val="00D06CBC"/>
    <w:rsid w:val="00D078D9"/>
    <w:rsid w:val="00D079CB"/>
    <w:rsid w:val="00D10772"/>
    <w:rsid w:val="00D108F2"/>
    <w:rsid w:val="00D10D0A"/>
    <w:rsid w:val="00D110B2"/>
    <w:rsid w:val="00D1167B"/>
    <w:rsid w:val="00D126A3"/>
    <w:rsid w:val="00D1283B"/>
    <w:rsid w:val="00D12F62"/>
    <w:rsid w:val="00D13E0F"/>
    <w:rsid w:val="00D14101"/>
    <w:rsid w:val="00D1427B"/>
    <w:rsid w:val="00D172B7"/>
    <w:rsid w:val="00D17AFA"/>
    <w:rsid w:val="00D20270"/>
    <w:rsid w:val="00D2084F"/>
    <w:rsid w:val="00D22793"/>
    <w:rsid w:val="00D22B21"/>
    <w:rsid w:val="00D2331A"/>
    <w:rsid w:val="00D23933"/>
    <w:rsid w:val="00D24EB4"/>
    <w:rsid w:val="00D25050"/>
    <w:rsid w:val="00D2551B"/>
    <w:rsid w:val="00D25DE5"/>
    <w:rsid w:val="00D26D1C"/>
    <w:rsid w:val="00D270B0"/>
    <w:rsid w:val="00D3001C"/>
    <w:rsid w:val="00D310C9"/>
    <w:rsid w:val="00D328E2"/>
    <w:rsid w:val="00D33AF6"/>
    <w:rsid w:val="00D33BC7"/>
    <w:rsid w:val="00D33D6B"/>
    <w:rsid w:val="00D342DC"/>
    <w:rsid w:val="00D35276"/>
    <w:rsid w:val="00D3618D"/>
    <w:rsid w:val="00D364C3"/>
    <w:rsid w:val="00D36671"/>
    <w:rsid w:val="00D36B4F"/>
    <w:rsid w:val="00D3788E"/>
    <w:rsid w:val="00D415AE"/>
    <w:rsid w:val="00D426C6"/>
    <w:rsid w:val="00D4326F"/>
    <w:rsid w:val="00D44B21"/>
    <w:rsid w:val="00D46BD0"/>
    <w:rsid w:val="00D472A6"/>
    <w:rsid w:val="00D50BE0"/>
    <w:rsid w:val="00D50FC3"/>
    <w:rsid w:val="00D5236C"/>
    <w:rsid w:val="00D5321D"/>
    <w:rsid w:val="00D53937"/>
    <w:rsid w:val="00D53CEA"/>
    <w:rsid w:val="00D54D22"/>
    <w:rsid w:val="00D567F0"/>
    <w:rsid w:val="00D56844"/>
    <w:rsid w:val="00D56CF6"/>
    <w:rsid w:val="00D570FD"/>
    <w:rsid w:val="00D577D1"/>
    <w:rsid w:val="00D57F9B"/>
    <w:rsid w:val="00D6047F"/>
    <w:rsid w:val="00D612F2"/>
    <w:rsid w:val="00D63173"/>
    <w:rsid w:val="00D64608"/>
    <w:rsid w:val="00D64C12"/>
    <w:rsid w:val="00D6637D"/>
    <w:rsid w:val="00D67133"/>
    <w:rsid w:val="00D70103"/>
    <w:rsid w:val="00D704D0"/>
    <w:rsid w:val="00D71D7B"/>
    <w:rsid w:val="00D71F77"/>
    <w:rsid w:val="00D722E8"/>
    <w:rsid w:val="00D72888"/>
    <w:rsid w:val="00D72D38"/>
    <w:rsid w:val="00D739E2"/>
    <w:rsid w:val="00D73D61"/>
    <w:rsid w:val="00D7472A"/>
    <w:rsid w:val="00D75147"/>
    <w:rsid w:val="00D75FCA"/>
    <w:rsid w:val="00D77BBF"/>
    <w:rsid w:val="00D80D59"/>
    <w:rsid w:val="00D81055"/>
    <w:rsid w:val="00D81460"/>
    <w:rsid w:val="00D8343B"/>
    <w:rsid w:val="00D840DC"/>
    <w:rsid w:val="00D8539B"/>
    <w:rsid w:val="00D85941"/>
    <w:rsid w:val="00D85C2F"/>
    <w:rsid w:val="00D87D11"/>
    <w:rsid w:val="00D90121"/>
    <w:rsid w:val="00D91D17"/>
    <w:rsid w:val="00D91F34"/>
    <w:rsid w:val="00D9257C"/>
    <w:rsid w:val="00D9291B"/>
    <w:rsid w:val="00D93433"/>
    <w:rsid w:val="00D96A7F"/>
    <w:rsid w:val="00D96C62"/>
    <w:rsid w:val="00D96E47"/>
    <w:rsid w:val="00D96F48"/>
    <w:rsid w:val="00DA02FA"/>
    <w:rsid w:val="00DA089B"/>
    <w:rsid w:val="00DA0FE8"/>
    <w:rsid w:val="00DA1E44"/>
    <w:rsid w:val="00DA1FC0"/>
    <w:rsid w:val="00DA20C1"/>
    <w:rsid w:val="00DA21D0"/>
    <w:rsid w:val="00DA2B8B"/>
    <w:rsid w:val="00DA4F95"/>
    <w:rsid w:val="00DA5EE9"/>
    <w:rsid w:val="00DA68D2"/>
    <w:rsid w:val="00DA7BA7"/>
    <w:rsid w:val="00DA7D92"/>
    <w:rsid w:val="00DB0160"/>
    <w:rsid w:val="00DB0519"/>
    <w:rsid w:val="00DB229B"/>
    <w:rsid w:val="00DB2EBA"/>
    <w:rsid w:val="00DB344E"/>
    <w:rsid w:val="00DB3495"/>
    <w:rsid w:val="00DB3B07"/>
    <w:rsid w:val="00DB3EFD"/>
    <w:rsid w:val="00DB4207"/>
    <w:rsid w:val="00DB6175"/>
    <w:rsid w:val="00DB6220"/>
    <w:rsid w:val="00DB76D2"/>
    <w:rsid w:val="00DB7916"/>
    <w:rsid w:val="00DC3EE4"/>
    <w:rsid w:val="00DC7CE8"/>
    <w:rsid w:val="00DC7CEE"/>
    <w:rsid w:val="00DD14E5"/>
    <w:rsid w:val="00DD1837"/>
    <w:rsid w:val="00DD24D2"/>
    <w:rsid w:val="00DD3B9F"/>
    <w:rsid w:val="00DD477A"/>
    <w:rsid w:val="00DD51E3"/>
    <w:rsid w:val="00DD6A5B"/>
    <w:rsid w:val="00DD79B5"/>
    <w:rsid w:val="00DE4B48"/>
    <w:rsid w:val="00DE4C7C"/>
    <w:rsid w:val="00DE4DBE"/>
    <w:rsid w:val="00DE4E3B"/>
    <w:rsid w:val="00DE4F41"/>
    <w:rsid w:val="00DE51B1"/>
    <w:rsid w:val="00DE5BAB"/>
    <w:rsid w:val="00DE5C83"/>
    <w:rsid w:val="00DE5E3D"/>
    <w:rsid w:val="00DE6954"/>
    <w:rsid w:val="00DE79D5"/>
    <w:rsid w:val="00DF2B90"/>
    <w:rsid w:val="00DF3677"/>
    <w:rsid w:val="00DF4201"/>
    <w:rsid w:val="00DF55C7"/>
    <w:rsid w:val="00DF5750"/>
    <w:rsid w:val="00DF66D3"/>
    <w:rsid w:val="00DF72C6"/>
    <w:rsid w:val="00E00294"/>
    <w:rsid w:val="00E00863"/>
    <w:rsid w:val="00E00C08"/>
    <w:rsid w:val="00E012FA"/>
    <w:rsid w:val="00E02045"/>
    <w:rsid w:val="00E02B28"/>
    <w:rsid w:val="00E040F0"/>
    <w:rsid w:val="00E064E1"/>
    <w:rsid w:val="00E079F9"/>
    <w:rsid w:val="00E10685"/>
    <w:rsid w:val="00E1194E"/>
    <w:rsid w:val="00E11A27"/>
    <w:rsid w:val="00E12B1E"/>
    <w:rsid w:val="00E134A3"/>
    <w:rsid w:val="00E13DC0"/>
    <w:rsid w:val="00E14090"/>
    <w:rsid w:val="00E15496"/>
    <w:rsid w:val="00E162F5"/>
    <w:rsid w:val="00E16E26"/>
    <w:rsid w:val="00E1794E"/>
    <w:rsid w:val="00E20802"/>
    <w:rsid w:val="00E224C0"/>
    <w:rsid w:val="00E22696"/>
    <w:rsid w:val="00E233B0"/>
    <w:rsid w:val="00E23C39"/>
    <w:rsid w:val="00E24746"/>
    <w:rsid w:val="00E26CA1"/>
    <w:rsid w:val="00E27536"/>
    <w:rsid w:val="00E27877"/>
    <w:rsid w:val="00E32C25"/>
    <w:rsid w:val="00E34AD5"/>
    <w:rsid w:val="00E35327"/>
    <w:rsid w:val="00E36007"/>
    <w:rsid w:val="00E3776C"/>
    <w:rsid w:val="00E377E0"/>
    <w:rsid w:val="00E401A7"/>
    <w:rsid w:val="00E41984"/>
    <w:rsid w:val="00E422C5"/>
    <w:rsid w:val="00E43365"/>
    <w:rsid w:val="00E4392B"/>
    <w:rsid w:val="00E43BBC"/>
    <w:rsid w:val="00E441C9"/>
    <w:rsid w:val="00E45462"/>
    <w:rsid w:val="00E454F6"/>
    <w:rsid w:val="00E45545"/>
    <w:rsid w:val="00E4784B"/>
    <w:rsid w:val="00E50316"/>
    <w:rsid w:val="00E51146"/>
    <w:rsid w:val="00E51ECC"/>
    <w:rsid w:val="00E52717"/>
    <w:rsid w:val="00E52872"/>
    <w:rsid w:val="00E54B5C"/>
    <w:rsid w:val="00E5667E"/>
    <w:rsid w:val="00E56B59"/>
    <w:rsid w:val="00E578A0"/>
    <w:rsid w:val="00E6140C"/>
    <w:rsid w:val="00E6149D"/>
    <w:rsid w:val="00E6194F"/>
    <w:rsid w:val="00E65062"/>
    <w:rsid w:val="00E654E4"/>
    <w:rsid w:val="00E6632E"/>
    <w:rsid w:val="00E66EB5"/>
    <w:rsid w:val="00E67C8E"/>
    <w:rsid w:val="00E7241C"/>
    <w:rsid w:val="00E7276D"/>
    <w:rsid w:val="00E72A43"/>
    <w:rsid w:val="00E72F67"/>
    <w:rsid w:val="00E7365D"/>
    <w:rsid w:val="00E76D2D"/>
    <w:rsid w:val="00E76D45"/>
    <w:rsid w:val="00E774C7"/>
    <w:rsid w:val="00E77CFE"/>
    <w:rsid w:val="00E8046A"/>
    <w:rsid w:val="00E806B6"/>
    <w:rsid w:val="00E80742"/>
    <w:rsid w:val="00E80FD1"/>
    <w:rsid w:val="00E81214"/>
    <w:rsid w:val="00E816C8"/>
    <w:rsid w:val="00E81D1B"/>
    <w:rsid w:val="00E82CBF"/>
    <w:rsid w:val="00E85623"/>
    <w:rsid w:val="00E86135"/>
    <w:rsid w:val="00E878E9"/>
    <w:rsid w:val="00E9051E"/>
    <w:rsid w:val="00E90DB3"/>
    <w:rsid w:val="00E92C5F"/>
    <w:rsid w:val="00E94337"/>
    <w:rsid w:val="00E946E9"/>
    <w:rsid w:val="00E9585B"/>
    <w:rsid w:val="00E9692C"/>
    <w:rsid w:val="00E971A0"/>
    <w:rsid w:val="00E9745C"/>
    <w:rsid w:val="00E97D23"/>
    <w:rsid w:val="00EA0D0D"/>
    <w:rsid w:val="00EA1719"/>
    <w:rsid w:val="00EA192D"/>
    <w:rsid w:val="00EA2E19"/>
    <w:rsid w:val="00EA345D"/>
    <w:rsid w:val="00EA3FDA"/>
    <w:rsid w:val="00EA44CC"/>
    <w:rsid w:val="00EA5421"/>
    <w:rsid w:val="00EA5CE8"/>
    <w:rsid w:val="00EA5D91"/>
    <w:rsid w:val="00EA772B"/>
    <w:rsid w:val="00EB227F"/>
    <w:rsid w:val="00EB2387"/>
    <w:rsid w:val="00EB37FE"/>
    <w:rsid w:val="00EB385D"/>
    <w:rsid w:val="00EB4539"/>
    <w:rsid w:val="00EB5100"/>
    <w:rsid w:val="00EB6513"/>
    <w:rsid w:val="00EB6DC7"/>
    <w:rsid w:val="00EB7112"/>
    <w:rsid w:val="00EB7D93"/>
    <w:rsid w:val="00EB7F89"/>
    <w:rsid w:val="00EC01C4"/>
    <w:rsid w:val="00EC21E8"/>
    <w:rsid w:val="00EC32E6"/>
    <w:rsid w:val="00EC3333"/>
    <w:rsid w:val="00EC4D15"/>
    <w:rsid w:val="00EC500B"/>
    <w:rsid w:val="00ED3861"/>
    <w:rsid w:val="00ED4010"/>
    <w:rsid w:val="00ED54FE"/>
    <w:rsid w:val="00ED566C"/>
    <w:rsid w:val="00ED57BB"/>
    <w:rsid w:val="00ED627B"/>
    <w:rsid w:val="00ED7054"/>
    <w:rsid w:val="00ED7DFF"/>
    <w:rsid w:val="00EE06F8"/>
    <w:rsid w:val="00EE0F6D"/>
    <w:rsid w:val="00EE21CF"/>
    <w:rsid w:val="00EE3E8E"/>
    <w:rsid w:val="00EE48EE"/>
    <w:rsid w:val="00EE4BB8"/>
    <w:rsid w:val="00EE51C7"/>
    <w:rsid w:val="00EE576B"/>
    <w:rsid w:val="00EE7451"/>
    <w:rsid w:val="00EE7BD5"/>
    <w:rsid w:val="00EE7E5D"/>
    <w:rsid w:val="00EE7F86"/>
    <w:rsid w:val="00EF0760"/>
    <w:rsid w:val="00EF1415"/>
    <w:rsid w:val="00EF1775"/>
    <w:rsid w:val="00EF1B73"/>
    <w:rsid w:val="00EF1DA2"/>
    <w:rsid w:val="00EF38AF"/>
    <w:rsid w:val="00EF5727"/>
    <w:rsid w:val="00EF5D2D"/>
    <w:rsid w:val="00EF60DF"/>
    <w:rsid w:val="00EF65DB"/>
    <w:rsid w:val="00EF6F88"/>
    <w:rsid w:val="00EF71CA"/>
    <w:rsid w:val="00EF75ED"/>
    <w:rsid w:val="00F007AA"/>
    <w:rsid w:val="00F0283C"/>
    <w:rsid w:val="00F0544A"/>
    <w:rsid w:val="00F05770"/>
    <w:rsid w:val="00F05B10"/>
    <w:rsid w:val="00F05F9A"/>
    <w:rsid w:val="00F06F66"/>
    <w:rsid w:val="00F07898"/>
    <w:rsid w:val="00F10315"/>
    <w:rsid w:val="00F1104F"/>
    <w:rsid w:val="00F12E73"/>
    <w:rsid w:val="00F152B6"/>
    <w:rsid w:val="00F1530C"/>
    <w:rsid w:val="00F15FD8"/>
    <w:rsid w:val="00F16A9C"/>
    <w:rsid w:val="00F177CD"/>
    <w:rsid w:val="00F2017B"/>
    <w:rsid w:val="00F202DE"/>
    <w:rsid w:val="00F207BE"/>
    <w:rsid w:val="00F21337"/>
    <w:rsid w:val="00F22C91"/>
    <w:rsid w:val="00F23616"/>
    <w:rsid w:val="00F254AA"/>
    <w:rsid w:val="00F25BC8"/>
    <w:rsid w:val="00F25D8C"/>
    <w:rsid w:val="00F270E9"/>
    <w:rsid w:val="00F30D2A"/>
    <w:rsid w:val="00F30F8F"/>
    <w:rsid w:val="00F312DC"/>
    <w:rsid w:val="00F32662"/>
    <w:rsid w:val="00F32B26"/>
    <w:rsid w:val="00F334C5"/>
    <w:rsid w:val="00F33EF7"/>
    <w:rsid w:val="00F34744"/>
    <w:rsid w:val="00F35535"/>
    <w:rsid w:val="00F3586B"/>
    <w:rsid w:val="00F368E1"/>
    <w:rsid w:val="00F379E7"/>
    <w:rsid w:val="00F37BA5"/>
    <w:rsid w:val="00F37CDB"/>
    <w:rsid w:val="00F37ED8"/>
    <w:rsid w:val="00F4013D"/>
    <w:rsid w:val="00F40317"/>
    <w:rsid w:val="00F40F2C"/>
    <w:rsid w:val="00F41A3E"/>
    <w:rsid w:val="00F41D0C"/>
    <w:rsid w:val="00F41FF7"/>
    <w:rsid w:val="00F42567"/>
    <w:rsid w:val="00F42AE2"/>
    <w:rsid w:val="00F43B67"/>
    <w:rsid w:val="00F44353"/>
    <w:rsid w:val="00F469C3"/>
    <w:rsid w:val="00F47667"/>
    <w:rsid w:val="00F47E24"/>
    <w:rsid w:val="00F5052A"/>
    <w:rsid w:val="00F50B84"/>
    <w:rsid w:val="00F51807"/>
    <w:rsid w:val="00F5194F"/>
    <w:rsid w:val="00F51AE0"/>
    <w:rsid w:val="00F520E8"/>
    <w:rsid w:val="00F53B4D"/>
    <w:rsid w:val="00F53D04"/>
    <w:rsid w:val="00F53DCA"/>
    <w:rsid w:val="00F541F8"/>
    <w:rsid w:val="00F5448D"/>
    <w:rsid w:val="00F54DF8"/>
    <w:rsid w:val="00F5550B"/>
    <w:rsid w:val="00F55BDE"/>
    <w:rsid w:val="00F56B1C"/>
    <w:rsid w:val="00F56CC9"/>
    <w:rsid w:val="00F5707A"/>
    <w:rsid w:val="00F60F6B"/>
    <w:rsid w:val="00F61F9B"/>
    <w:rsid w:val="00F62B89"/>
    <w:rsid w:val="00F63094"/>
    <w:rsid w:val="00F65084"/>
    <w:rsid w:val="00F65826"/>
    <w:rsid w:val="00F669E3"/>
    <w:rsid w:val="00F6708F"/>
    <w:rsid w:val="00F679D2"/>
    <w:rsid w:val="00F71FE1"/>
    <w:rsid w:val="00F73DF5"/>
    <w:rsid w:val="00F742E1"/>
    <w:rsid w:val="00F74BD2"/>
    <w:rsid w:val="00F74CC1"/>
    <w:rsid w:val="00F74E12"/>
    <w:rsid w:val="00F76080"/>
    <w:rsid w:val="00F805EB"/>
    <w:rsid w:val="00F80671"/>
    <w:rsid w:val="00F80885"/>
    <w:rsid w:val="00F8092C"/>
    <w:rsid w:val="00F81211"/>
    <w:rsid w:val="00F8245F"/>
    <w:rsid w:val="00F8291D"/>
    <w:rsid w:val="00F839B8"/>
    <w:rsid w:val="00F84A9F"/>
    <w:rsid w:val="00F854D2"/>
    <w:rsid w:val="00F87EE2"/>
    <w:rsid w:val="00F9003F"/>
    <w:rsid w:val="00F9102E"/>
    <w:rsid w:val="00F9149E"/>
    <w:rsid w:val="00F915C9"/>
    <w:rsid w:val="00F919D7"/>
    <w:rsid w:val="00F91F94"/>
    <w:rsid w:val="00F92AC8"/>
    <w:rsid w:val="00F92D48"/>
    <w:rsid w:val="00F92E2A"/>
    <w:rsid w:val="00F93095"/>
    <w:rsid w:val="00F931ED"/>
    <w:rsid w:val="00F939FA"/>
    <w:rsid w:val="00F94228"/>
    <w:rsid w:val="00F954CE"/>
    <w:rsid w:val="00F956F0"/>
    <w:rsid w:val="00F9635B"/>
    <w:rsid w:val="00F96482"/>
    <w:rsid w:val="00F966CC"/>
    <w:rsid w:val="00F96D73"/>
    <w:rsid w:val="00F96E5E"/>
    <w:rsid w:val="00F97574"/>
    <w:rsid w:val="00F975FE"/>
    <w:rsid w:val="00FA02F8"/>
    <w:rsid w:val="00FA32FA"/>
    <w:rsid w:val="00FA3471"/>
    <w:rsid w:val="00FA697D"/>
    <w:rsid w:val="00FA7608"/>
    <w:rsid w:val="00FA77F3"/>
    <w:rsid w:val="00FA79D8"/>
    <w:rsid w:val="00FB0E60"/>
    <w:rsid w:val="00FB1D18"/>
    <w:rsid w:val="00FB22D0"/>
    <w:rsid w:val="00FB317A"/>
    <w:rsid w:val="00FB4266"/>
    <w:rsid w:val="00FB4282"/>
    <w:rsid w:val="00FB50B2"/>
    <w:rsid w:val="00FB643B"/>
    <w:rsid w:val="00FB6731"/>
    <w:rsid w:val="00FB6D09"/>
    <w:rsid w:val="00FC1413"/>
    <w:rsid w:val="00FC192D"/>
    <w:rsid w:val="00FC27D0"/>
    <w:rsid w:val="00FC4645"/>
    <w:rsid w:val="00FC57A8"/>
    <w:rsid w:val="00FC5ED9"/>
    <w:rsid w:val="00FC6765"/>
    <w:rsid w:val="00FC723A"/>
    <w:rsid w:val="00FD0204"/>
    <w:rsid w:val="00FD0840"/>
    <w:rsid w:val="00FD48B6"/>
    <w:rsid w:val="00FD4A49"/>
    <w:rsid w:val="00FD4CEE"/>
    <w:rsid w:val="00FD6384"/>
    <w:rsid w:val="00FD6677"/>
    <w:rsid w:val="00FD71CF"/>
    <w:rsid w:val="00FE09F2"/>
    <w:rsid w:val="00FE0B94"/>
    <w:rsid w:val="00FE0DFF"/>
    <w:rsid w:val="00FE13AD"/>
    <w:rsid w:val="00FE1FA6"/>
    <w:rsid w:val="00FE1FB9"/>
    <w:rsid w:val="00FE26F1"/>
    <w:rsid w:val="00FE2C3F"/>
    <w:rsid w:val="00FE4560"/>
    <w:rsid w:val="00FE5038"/>
    <w:rsid w:val="00FE5883"/>
    <w:rsid w:val="00FE6B2C"/>
    <w:rsid w:val="00FE73CF"/>
    <w:rsid w:val="00FE77EB"/>
    <w:rsid w:val="00FE7FAB"/>
    <w:rsid w:val="00FF0132"/>
    <w:rsid w:val="00FF038E"/>
    <w:rsid w:val="00FF1A74"/>
    <w:rsid w:val="00FF2C26"/>
    <w:rsid w:val="00FF2EDD"/>
    <w:rsid w:val="00FF31F8"/>
    <w:rsid w:val="00FF3BE8"/>
    <w:rsid w:val="00FF4B32"/>
    <w:rsid w:val="00FF571A"/>
    <w:rsid w:val="00FF5822"/>
    <w:rsid w:val="00FF5889"/>
    <w:rsid w:val="00FF59AD"/>
    <w:rsid w:val="00FF7E15"/>
    <w:rsid w:val="20EA62E2"/>
    <w:rsid w:val="2315FA41"/>
    <w:rsid w:val="24B5EC76"/>
    <w:rsid w:val="2579F9B5"/>
    <w:rsid w:val="36FFE228"/>
    <w:rsid w:val="4604DDD0"/>
    <w:rsid w:val="4605F374"/>
    <w:rsid w:val="48F30309"/>
    <w:rsid w:val="4A6BAC8E"/>
    <w:rsid w:val="4B0A8661"/>
    <w:rsid w:val="55F256D2"/>
    <w:rsid w:val="58A304B7"/>
    <w:rsid w:val="758A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BE1DCB"/>
  <w15:docId w15:val="{DB25C1B3-D8B6-4B93-84A3-18E1824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uiPriority w:val="39"/>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 w:type="paragraph" w:styleId="Revision">
    <w:name w:val="Revision"/>
    <w:hidden/>
    <w:uiPriority w:val="99"/>
    <w:semiHidden/>
    <w:rsid w:val="00C73AE3"/>
    <w:rPr>
      <w:sz w:val="24"/>
      <w:szCs w:val="24"/>
    </w:rPr>
  </w:style>
  <w:style w:type="paragraph" w:styleId="Caption">
    <w:name w:val="caption"/>
    <w:basedOn w:val="Normal"/>
    <w:next w:val="Normal"/>
    <w:uiPriority w:val="35"/>
    <w:unhideWhenUsed/>
    <w:qFormat/>
    <w:rsid w:val="00B12117"/>
    <w:pPr>
      <w:widowControl/>
      <w:autoSpaceDE/>
      <w:autoSpaceDN/>
      <w:adjustRightInd/>
      <w:spacing w:after="200"/>
    </w:pPr>
    <w:rPr>
      <w:rFonts w:ascii="Arial" w:eastAsiaTheme="minorHAnsi" w:hAnsi="Arial" w:cstheme="minorBidi"/>
      <w:i/>
      <w:iCs/>
      <w:color w:val="1F497D" w:themeColor="text2"/>
      <w:sz w:val="18"/>
      <w:szCs w:val="18"/>
    </w:rPr>
  </w:style>
  <w:style w:type="character" w:customStyle="1" w:styleId="UnresolvedMention">
    <w:name w:val="Unresolved Mention"/>
    <w:basedOn w:val="DefaultParagraphFont"/>
    <w:uiPriority w:val="99"/>
    <w:semiHidden/>
    <w:unhideWhenUsed/>
    <w:rsid w:val="00194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10967518">
      <w:bodyDiv w:val="1"/>
      <w:marLeft w:val="0"/>
      <w:marRight w:val="0"/>
      <w:marTop w:val="0"/>
      <w:marBottom w:val="0"/>
      <w:divBdr>
        <w:top w:val="none" w:sz="0" w:space="0" w:color="auto"/>
        <w:left w:val="none" w:sz="0" w:space="0" w:color="auto"/>
        <w:bottom w:val="none" w:sz="0" w:space="0" w:color="auto"/>
        <w:right w:val="none" w:sz="0" w:space="0" w:color="auto"/>
      </w:divBdr>
    </w:div>
    <w:div w:id="29283607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747076437">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83976195">
      <w:bodyDiv w:val="1"/>
      <w:marLeft w:val="0"/>
      <w:marRight w:val="0"/>
      <w:marTop w:val="0"/>
      <w:marBottom w:val="0"/>
      <w:divBdr>
        <w:top w:val="none" w:sz="0" w:space="0" w:color="auto"/>
        <w:left w:val="none" w:sz="0" w:space="0" w:color="auto"/>
        <w:bottom w:val="none" w:sz="0" w:space="0" w:color="auto"/>
        <w:right w:val="none" w:sz="0" w:space="0" w:color="auto"/>
      </w:divBdr>
    </w:div>
    <w:div w:id="204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state.pa.us/cfdocs/legis/li/uconsCheck.cfm?yr=2012&amp;sessInd=0&amp;act=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5" ma:contentTypeDescription="Create a new document." ma:contentTypeScope="" ma:versionID="8b42b278652a9023d2275803dec2695d">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dfc088d6f324c9da777ce29a1bbba0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EC45-EF41-4B83-8C02-CEC17B52DD86}">
  <ds:schemaRefs>
    <ds:schemaRef ds:uri="http://schemas.microsoft.com/sharepoint/v3/contenttype/forms"/>
  </ds:schemaRefs>
</ds:datastoreItem>
</file>

<file path=customXml/itemProps2.xml><?xml version="1.0" encoding="utf-8"?>
<ds:datastoreItem xmlns:ds="http://schemas.openxmlformats.org/officeDocument/2006/customXml" ds:itemID="{2E308C21-4BE4-4271-95F0-13181BD4A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EEE317-366E-472B-9F42-E0AD84377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D5D81-6EAC-4D86-87C5-6D3418BD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6348</Words>
  <Characters>36187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Sheffer, Ryan</cp:lastModifiedBy>
  <cp:revision>6</cp:revision>
  <cp:lastPrinted>2017-08-31T11:48:00Z</cp:lastPrinted>
  <dcterms:created xsi:type="dcterms:W3CDTF">2020-04-02T17:06:00Z</dcterms:created>
  <dcterms:modified xsi:type="dcterms:W3CDTF">2020-04-16T17:00:00Z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