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B7FCE" w14:textId="77777777" w:rsidR="00F14E4C" w:rsidRPr="00F41401" w:rsidRDefault="00F14E4C" w:rsidP="0057717E">
      <w:pPr>
        <w:suppressAutoHyphens/>
        <w:spacing w:line="240" w:lineRule="auto"/>
        <w:ind w:firstLine="0"/>
        <w:jc w:val="center"/>
        <w:rPr>
          <w:b/>
          <w:sz w:val="26"/>
          <w:szCs w:val="26"/>
        </w:rPr>
      </w:pPr>
      <w:r w:rsidRPr="00F41401">
        <w:rPr>
          <w:b/>
          <w:sz w:val="26"/>
          <w:szCs w:val="26"/>
        </w:rPr>
        <w:t>PENNSYLVANIA</w:t>
      </w:r>
    </w:p>
    <w:p w14:paraId="0D02F035" w14:textId="77777777" w:rsidR="00F14E4C" w:rsidRPr="00F41401" w:rsidRDefault="00F14E4C" w:rsidP="0057717E">
      <w:pPr>
        <w:suppressAutoHyphens/>
        <w:spacing w:line="240" w:lineRule="auto"/>
        <w:ind w:firstLine="0"/>
        <w:jc w:val="center"/>
        <w:rPr>
          <w:sz w:val="26"/>
          <w:szCs w:val="26"/>
        </w:rPr>
      </w:pPr>
      <w:r w:rsidRPr="00F41401">
        <w:rPr>
          <w:b/>
          <w:sz w:val="26"/>
          <w:szCs w:val="26"/>
        </w:rPr>
        <w:t>PUBLIC UTILITY COMMISSION</w:t>
      </w:r>
    </w:p>
    <w:p w14:paraId="44C5EA29" w14:textId="4AE29EAC" w:rsidR="00F14E4C" w:rsidRPr="00F41401" w:rsidRDefault="00F14E4C" w:rsidP="0057717E">
      <w:pPr>
        <w:suppressAutoHyphens/>
        <w:spacing w:line="240" w:lineRule="auto"/>
        <w:ind w:firstLine="0"/>
        <w:jc w:val="center"/>
        <w:rPr>
          <w:b/>
          <w:sz w:val="26"/>
          <w:szCs w:val="26"/>
        </w:rPr>
      </w:pPr>
      <w:r w:rsidRPr="00F41401">
        <w:rPr>
          <w:b/>
          <w:sz w:val="26"/>
          <w:szCs w:val="26"/>
        </w:rPr>
        <w:t>Harrisburg, PA 171</w:t>
      </w:r>
      <w:r w:rsidR="00C77A9B">
        <w:rPr>
          <w:b/>
          <w:sz w:val="26"/>
          <w:szCs w:val="26"/>
        </w:rPr>
        <w:t>20</w:t>
      </w:r>
    </w:p>
    <w:p w14:paraId="059F1553" w14:textId="223266B6" w:rsidR="00F14E4C" w:rsidRPr="00F41401" w:rsidRDefault="00F14E4C" w:rsidP="0057717E">
      <w:pPr>
        <w:suppressAutoHyphens/>
        <w:spacing w:line="240" w:lineRule="auto"/>
        <w:ind w:firstLine="0"/>
        <w:rPr>
          <w:sz w:val="26"/>
          <w:szCs w:val="26"/>
        </w:rPr>
      </w:pPr>
    </w:p>
    <w:p w14:paraId="029B26C4" w14:textId="77777777" w:rsidR="007A0985" w:rsidRPr="00F41401" w:rsidRDefault="007A0985" w:rsidP="0057717E">
      <w:pPr>
        <w:suppressAutoHyphens/>
        <w:spacing w:line="240" w:lineRule="auto"/>
        <w:ind w:firstLine="0"/>
        <w:rPr>
          <w:sz w:val="26"/>
          <w:szCs w:val="26"/>
        </w:rPr>
      </w:pPr>
    </w:p>
    <w:p w14:paraId="335D4321" w14:textId="44EAEBEE" w:rsidR="00F14E4C" w:rsidRPr="00F41401" w:rsidRDefault="00F14E4C" w:rsidP="0057717E">
      <w:pPr>
        <w:suppressAutoHyphens/>
        <w:spacing w:line="240" w:lineRule="auto"/>
        <w:ind w:firstLine="0"/>
        <w:jc w:val="right"/>
        <w:rPr>
          <w:sz w:val="26"/>
          <w:szCs w:val="26"/>
        </w:rPr>
      </w:pPr>
      <w:r w:rsidRPr="00F41401">
        <w:rPr>
          <w:sz w:val="26"/>
          <w:szCs w:val="26"/>
        </w:rPr>
        <w:t>Public Meeting held</w:t>
      </w:r>
      <w:r w:rsidR="00E51CCA">
        <w:rPr>
          <w:sz w:val="26"/>
          <w:szCs w:val="26"/>
        </w:rPr>
        <w:t xml:space="preserve"> </w:t>
      </w:r>
      <w:r w:rsidR="00AC275B">
        <w:rPr>
          <w:sz w:val="26"/>
          <w:szCs w:val="26"/>
        </w:rPr>
        <w:t>March 26</w:t>
      </w:r>
      <w:r w:rsidRPr="00F41401">
        <w:rPr>
          <w:sz w:val="26"/>
          <w:szCs w:val="26"/>
        </w:rPr>
        <w:t>, 20</w:t>
      </w:r>
      <w:r w:rsidR="00AC275B">
        <w:rPr>
          <w:sz w:val="26"/>
          <w:szCs w:val="26"/>
        </w:rPr>
        <w:t>20</w:t>
      </w:r>
    </w:p>
    <w:p w14:paraId="16A38EE7" w14:textId="152AEE18" w:rsidR="00F14E4C" w:rsidRPr="00F41401" w:rsidRDefault="00F14E4C" w:rsidP="0057717E">
      <w:pPr>
        <w:suppressAutoHyphens/>
        <w:spacing w:line="240" w:lineRule="auto"/>
        <w:ind w:firstLine="0"/>
        <w:jc w:val="right"/>
        <w:rPr>
          <w:sz w:val="26"/>
          <w:szCs w:val="26"/>
        </w:rPr>
      </w:pPr>
    </w:p>
    <w:p w14:paraId="2AFCCDBD" w14:textId="77777777" w:rsidR="007A0985" w:rsidRPr="00F41401" w:rsidRDefault="007A0985" w:rsidP="0057717E">
      <w:pPr>
        <w:suppressAutoHyphens/>
        <w:spacing w:line="240" w:lineRule="auto"/>
        <w:ind w:firstLine="0"/>
        <w:jc w:val="right"/>
        <w:rPr>
          <w:sz w:val="26"/>
          <w:szCs w:val="26"/>
        </w:rPr>
      </w:pPr>
    </w:p>
    <w:p w14:paraId="7DEE2D2E" w14:textId="354849C1" w:rsidR="00F14E4C" w:rsidRPr="00F41401" w:rsidRDefault="00F14E4C" w:rsidP="0057717E">
      <w:pPr>
        <w:suppressAutoHyphens/>
        <w:spacing w:line="240" w:lineRule="auto"/>
        <w:ind w:firstLine="0"/>
        <w:jc w:val="right"/>
        <w:rPr>
          <w:sz w:val="26"/>
          <w:szCs w:val="26"/>
        </w:rPr>
      </w:pPr>
    </w:p>
    <w:p w14:paraId="54512632" w14:textId="77777777" w:rsidR="00F14E4C" w:rsidRPr="00F41401" w:rsidRDefault="00F14E4C" w:rsidP="0057717E">
      <w:pPr>
        <w:suppressAutoHyphens/>
        <w:spacing w:line="240" w:lineRule="auto"/>
        <w:ind w:firstLine="0"/>
        <w:rPr>
          <w:sz w:val="26"/>
          <w:szCs w:val="26"/>
        </w:rPr>
      </w:pPr>
      <w:r w:rsidRPr="00F41401">
        <w:rPr>
          <w:sz w:val="26"/>
          <w:szCs w:val="26"/>
        </w:rPr>
        <w:t>Commissioners Present:</w:t>
      </w:r>
    </w:p>
    <w:p w14:paraId="48332B19" w14:textId="77777777" w:rsidR="00F14E4C" w:rsidRPr="00F41401" w:rsidRDefault="00F14E4C" w:rsidP="0057717E">
      <w:pPr>
        <w:suppressAutoHyphens/>
        <w:spacing w:line="240" w:lineRule="auto"/>
        <w:ind w:firstLine="0"/>
        <w:rPr>
          <w:sz w:val="26"/>
          <w:szCs w:val="26"/>
        </w:rPr>
      </w:pPr>
    </w:p>
    <w:p w14:paraId="6E093D3D" w14:textId="0FF3998D" w:rsidR="00F14E4C" w:rsidRPr="00F41401" w:rsidRDefault="00F14E4C" w:rsidP="0057717E">
      <w:pPr>
        <w:spacing w:line="240" w:lineRule="auto"/>
        <w:ind w:firstLine="720"/>
        <w:rPr>
          <w:sz w:val="26"/>
          <w:szCs w:val="26"/>
        </w:rPr>
      </w:pPr>
      <w:r w:rsidRPr="00F41401">
        <w:rPr>
          <w:sz w:val="26"/>
          <w:szCs w:val="26"/>
        </w:rPr>
        <w:t>Gladys Brown</w:t>
      </w:r>
      <w:r w:rsidR="00C5754A" w:rsidRPr="00F41401">
        <w:rPr>
          <w:sz w:val="26"/>
          <w:szCs w:val="26"/>
        </w:rPr>
        <w:t xml:space="preserve"> Dutrie</w:t>
      </w:r>
      <w:r w:rsidR="00B523A4" w:rsidRPr="00F41401">
        <w:rPr>
          <w:sz w:val="26"/>
          <w:szCs w:val="26"/>
        </w:rPr>
        <w:t>uille</w:t>
      </w:r>
      <w:r w:rsidRPr="00F41401">
        <w:rPr>
          <w:sz w:val="26"/>
          <w:szCs w:val="26"/>
        </w:rPr>
        <w:t>, Chairman</w:t>
      </w:r>
    </w:p>
    <w:p w14:paraId="73F60F7B" w14:textId="65652460" w:rsidR="00F14E4C" w:rsidRPr="00F41401" w:rsidRDefault="00F14E4C" w:rsidP="00DE7A66">
      <w:pPr>
        <w:spacing w:line="240" w:lineRule="auto"/>
        <w:ind w:firstLine="720"/>
        <w:rPr>
          <w:sz w:val="26"/>
          <w:szCs w:val="26"/>
        </w:rPr>
      </w:pPr>
      <w:r w:rsidRPr="00F41401">
        <w:rPr>
          <w:sz w:val="26"/>
          <w:szCs w:val="26"/>
        </w:rPr>
        <w:t>David W. Sweet, Vice Chairman</w:t>
      </w:r>
    </w:p>
    <w:p w14:paraId="41BCD18D" w14:textId="77777777" w:rsidR="00F14E4C" w:rsidRPr="00F41401" w:rsidRDefault="00F14E4C" w:rsidP="0057717E">
      <w:pPr>
        <w:spacing w:line="240" w:lineRule="auto"/>
        <w:ind w:firstLine="720"/>
        <w:rPr>
          <w:sz w:val="26"/>
          <w:szCs w:val="26"/>
        </w:rPr>
      </w:pPr>
      <w:r w:rsidRPr="00F41401">
        <w:rPr>
          <w:sz w:val="26"/>
          <w:szCs w:val="26"/>
        </w:rPr>
        <w:t>Andrew G. Place</w:t>
      </w:r>
    </w:p>
    <w:p w14:paraId="03BFEF69" w14:textId="1B7B72AB" w:rsidR="00F14E4C" w:rsidRDefault="00F14E4C" w:rsidP="0057717E">
      <w:pPr>
        <w:spacing w:line="240" w:lineRule="auto"/>
        <w:ind w:firstLine="720"/>
        <w:rPr>
          <w:sz w:val="26"/>
          <w:szCs w:val="26"/>
        </w:rPr>
      </w:pPr>
      <w:r w:rsidRPr="00F41401">
        <w:rPr>
          <w:sz w:val="26"/>
          <w:szCs w:val="26"/>
        </w:rPr>
        <w:t>John F. Coleman, Jr.</w:t>
      </w:r>
    </w:p>
    <w:p w14:paraId="69EAC5FD" w14:textId="0BFBAD24" w:rsidR="00AC275B" w:rsidRPr="00F41401" w:rsidRDefault="00AC275B" w:rsidP="0057717E">
      <w:pPr>
        <w:spacing w:line="240" w:lineRule="auto"/>
        <w:ind w:firstLine="720"/>
        <w:rPr>
          <w:sz w:val="26"/>
          <w:szCs w:val="26"/>
        </w:rPr>
      </w:pPr>
      <w:r>
        <w:rPr>
          <w:sz w:val="26"/>
          <w:szCs w:val="26"/>
        </w:rPr>
        <w:t>Ralph V. Yanora</w:t>
      </w:r>
    </w:p>
    <w:p w14:paraId="2EDE95B8" w14:textId="3F6D8CEC" w:rsidR="00F14E4C" w:rsidRPr="00F41401" w:rsidRDefault="00F14E4C" w:rsidP="0057717E">
      <w:pPr>
        <w:suppressAutoHyphens/>
        <w:spacing w:line="240" w:lineRule="auto"/>
        <w:ind w:firstLine="0"/>
        <w:rPr>
          <w:sz w:val="26"/>
          <w:szCs w:val="26"/>
        </w:rPr>
      </w:pPr>
    </w:p>
    <w:p w14:paraId="43BC4E98" w14:textId="77777777" w:rsidR="00F14E4C" w:rsidRPr="00F41401" w:rsidRDefault="00F14E4C" w:rsidP="0057717E">
      <w:pPr>
        <w:suppressAutoHyphens/>
        <w:spacing w:line="240" w:lineRule="auto"/>
        <w:ind w:firstLine="0"/>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0"/>
      </w:tblGrid>
      <w:tr w:rsidR="009832CC" w:rsidRPr="00F41401" w14:paraId="5E27F881" w14:textId="77777777" w:rsidTr="00F16C96">
        <w:tc>
          <w:tcPr>
            <w:tcW w:w="4680" w:type="dxa"/>
          </w:tcPr>
          <w:p w14:paraId="5024EBDF" w14:textId="3972E350" w:rsidR="009832CC" w:rsidRPr="00F41401" w:rsidRDefault="00E618CE" w:rsidP="0057717E">
            <w:pPr>
              <w:ind w:firstLine="0"/>
              <w:rPr>
                <w:sz w:val="26"/>
                <w:szCs w:val="26"/>
              </w:rPr>
            </w:pPr>
            <w:r w:rsidRPr="00F41401">
              <w:rPr>
                <w:bCs/>
                <w:spacing w:val="-1"/>
                <w:sz w:val="26"/>
                <w:szCs w:val="26"/>
              </w:rPr>
              <w:t>Investigation Instituted per Section 529</w:t>
            </w:r>
            <w:r w:rsidRPr="00F41401">
              <w:rPr>
                <w:bCs/>
                <w:spacing w:val="-2"/>
                <w:sz w:val="26"/>
                <w:szCs w:val="26"/>
              </w:rPr>
              <w:t xml:space="preserve"> Into Whether the Commission Shall </w:t>
            </w:r>
            <w:r w:rsidRPr="00F41401">
              <w:rPr>
                <w:bCs/>
                <w:sz w:val="26"/>
                <w:szCs w:val="26"/>
              </w:rPr>
              <w:t>Order a Capable Public Utility to Acquire Delaware Sewer Company</w:t>
            </w:r>
          </w:p>
        </w:tc>
        <w:tc>
          <w:tcPr>
            <w:tcW w:w="4670" w:type="dxa"/>
          </w:tcPr>
          <w:p w14:paraId="3379AE7E" w14:textId="22E34503" w:rsidR="009832CC" w:rsidRPr="00F41401" w:rsidRDefault="00E618CE" w:rsidP="0057717E">
            <w:pPr>
              <w:ind w:firstLine="0"/>
              <w:jc w:val="right"/>
              <w:rPr>
                <w:sz w:val="26"/>
                <w:szCs w:val="26"/>
              </w:rPr>
            </w:pPr>
            <w:r w:rsidRPr="00F41401">
              <w:rPr>
                <w:bCs/>
                <w:sz w:val="26"/>
                <w:szCs w:val="26"/>
              </w:rPr>
              <w:t>I-2016-2526085</w:t>
            </w:r>
          </w:p>
        </w:tc>
      </w:tr>
    </w:tbl>
    <w:p w14:paraId="48FFBFBB" w14:textId="4663523C" w:rsidR="00F14E4C" w:rsidRPr="00F41401" w:rsidRDefault="00F14E4C" w:rsidP="0057717E">
      <w:pPr>
        <w:spacing w:line="240" w:lineRule="auto"/>
        <w:ind w:firstLine="0"/>
        <w:rPr>
          <w:b/>
          <w:sz w:val="26"/>
          <w:szCs w:val="26"/>
        </w:rPr>
      </w:pPr>
    </w:p>
    <w:p w14:paraId="355D5678" w14:textId="77777777" w:rsidR="005251C8" w:rsidRDefault="005251C8" w:rsidP="0057717E">
      <w:pPr>
        <w:ind w:firstLine="720"/>
        <w:rPr>
          <w:b/>
          <w:sz w:val="26"/>
          <w:szCs w:val="26"/>
        </w:rPr>
      </w:pPr>
    </w:p>
    <w:p w14:paraId="31209FF6" w14:textId="77777777" w:rsidR="005251C8" w:rsidRPr="00844E4B" w:rsidRDefault="005251C8" w:rsidP="005251C8">
      <w:pPr>
        <w:ind w:firstLine="0"/>
        <w:jc w:val="center"/>
        <w:rPr>
          <w:sz w:val="26"/>
          <w:szCs w:val="26"/>
        </w:rPr>
      </w:pPr>
      <w:r w:rsidRPr="00844E4B">
        <w:rPr>
          <w:b/>
          <w:bCs/>
          <w:sz w:val="26"/>
          <w:szCs w:val="26"/>
          <w:u w:val="single"/>
        </w:rPr>
        <w:t xml:space="preserve">ERRATA NOTICE </w:t>
      </w:r>
    </w:p>
    <w:p w14:paraId="4BA55C16" w14:textId="099D9929" w:rsidR="005251C8" w:rsidRDefault="005251C8" w:rsidP="005251C8">
      <w:pPr>
        <w:rPr>
          <w:sz w:val="26"/>
          <w:szCs w:val="26"/>
        </w:rPr>
      </w:pPr>
    </w:p>
    <w:p w14:paraId="7E097010" w14:textId="77777777" w:rsidR="00844E4B" w:rsidRPr="00844E4B" w:rsidRDefault="00844E4B" w:rsidP="00844E4B">
      <w:pPr>
        <w:spacing w:line="240" w:lineRule="auto"/>
        <w:rPr>
          <w:sz w:val="26"/>
          <w:szCs w:val="26"/>
        </w:rPr>
      </w:pPr>
    </w:p>
    <w:p w14:paraId="71F35970" w14:textId="199A79A1" w:rsidR="005251C8" w:rsidRPr="0030352E" w:rsidRDefault="005251C8" w:rsidP="0030352E">
      <w:pPr>
        <w:jc w:val="both"/>
        <w:rPr>
          <w:sz w:val="26"/>
          <w:szCs w:val="26"/>
        </w:rPr>
      </w:pPr>
      <w:r w:rsidRPr="0030352E">
        <w:rPr>
          <w:sz w:val="26"/>
          <w:szCs w:val="26"/>
        </w:rPr>
        <w:t xml:space="preserve">This is to advise all parties of record that the Opinion and Order entered on March 26, 2020, in the above-captioned proceeding, contains an </w:t>
      </w:r>
      <w:r w:rsidR="00C270DA" w:rsidRPr="0030352E">
        <w:rPr>
          <w:sz w:val="26"/>
          <w:szCs w:val="26"/>
        </w:rPr>
        <w:t xml:space="preserve">administrative </w:t>
      </w:r>
      <w:r w:rsidRPr="0030352E">
        <w:rPr>
          <w:sz w:val="26"/>
          <w:szCs w:val="26"/>
        </w:rPr>
        <w:t xml:space="preserve">error in Ordering Paragraph No. 2 on page 24. </w:t>
      </w:r>
    </w:p>
    <w:p w14:paraId="1FBB1520" w14:textId="77777777" w:rsidR="005251C8" w:rsidRPr="0030352E" w:rsidRDefault="005251C8" w:rsidP="0030352E">
      <w:pPr>
        <w:rPr>
          <w:sz w:val="26"/>
          <w:szCs w:val="26"/>
        </w:rPr>
      </w:pPr>
    </w:p>
    <w:p w14:paraId="672634C7" w14:textId="73A5AC45" w:rsidR="005251C8" w:rsidRPr="0030352E" w:rsidRDefault="005251C8" w:rsidP="0030352E">
      <w:pPr>
        <w:jc w:val="both"/>
        <w:rPr>
          <w:sz w:val="26"/>
          <w:szCs w:val="26"/>
        </w:rPr>
      </w:pPr>
      <w:r w:rsidRPr="0030352E">
        <w:rPr>
          <w:sz w:val="26"/>
          <w:szCs w:val="26"/>
        </w:rPr>
        <w:tab/>
      </w:r>
      <w:r w:rsidRPr="0030352E">
        <w:rPr>
          <w:sz w:val="26"/>
          <w:szCs w:val="26"/>
        </w:rPr>
        <w:tab/>
        <w:t xml:space="preserve">Ordering Paragraph No. </w:t>
      </w:r>
      <w:r w:rsidR="00844E4B" w:rsidRPr="0030352E">
        <w:rPr>
          <w:sz w:val="26"/>
          <w:szCs w:val="26"/>
        </w:rPr>
        <w:t>2</w:t>
      </w:r>
      <w:r w:rsidRPr="0030352E">
        <w:rPr>
          <w:sz w:val="26"/>
          <w:szCs w:val="26"/>
        </w:rPr>
        <w:t xml:space="preserve"> reads as follows:</w:t>
      </w:r>
    </w:p>
    <w:p w14:paraId="3DF655BD" w14:textId="2E4418BD" w:rsidR="005251C8" w:rsidRPr="0030352E" w:rsidRDefault="005251C8" w:rsidP="0030352E">
      <w:pPr>
        <w:rPr>
          <w:sz w:val="26"/>
          <w:szCs w:val="26"/>
        </w:rPr>
      </w:pPr>
    </w:p>
    <w:p w14:paraId="0575E5C7" w14:textId="512DECC2" w:rsidR="005251C8" w:rsidRDefault="005251C8" w:rsidP="0030352E">
      <w:pPr>
        <w:ind w:left="1440" w:right="1440"/>
        <w:rPr>
          <w:sz w:val="26"/>
          <w:szCs w:val="26"/>
        </w:rPr>
      </w:pPr>
      <w:r w:rsidRPr="0030352E">
        <w:rPr>
          <w:sz w:val="26"/>
          <w:szCs w:val="26"/>
        </w:rPr>
        <w:t>2.</w:t>
      </w:r>
      <w:r w:rsidRPr="0030352E">
        <w:rPr>
          <w:sz w:val="26"/>
          <w:szCs w:val="26"/>
        </w:rPr>
        <w:tab/>
        <w:t>That the Final Opinion and Order entered at Docket</w:t>
      </w:r>
      <w:r>
        <w:rPr>
          <w:sz w:val="26"/>
          <w:szCs w:val="26"/>
        </w:rPr>
        <w:t xml:space="preserve"> No. I-2016-2526085 on June 28, 2019, is hereby made final, consistent with the discussion in this Opinion and Order.</w:t>
      </w:r>
    </w:p>
    <w:p w14:paraId="5526E740" w14:textId="47B3AF78" w:rsidR="005251C8" w:rsidRDefault="005251C8" w:rsidP="00844E4B">
      <w:pPr>
        <w:keepNext/>
        <w:rPr>
          <w:sz w:val="26"/>
          <w:szCs w:val="26"/>
        </w:rPr>
      </w:pPr>
      <w:r>
        <w:rPr>
          <w:sz w:val="26"/>
          <w:szCs w:val="26"/>
        </w:rPr>
        <w:lastRenderedPageBreak/>
        <w:t>The corrected language in Ordering Paragraph No. 2 should read:</w:t>
      </w:r>
    </w:p>
    <w:p w14:paraId="5082756A" w14:textId="77777777" w:rsidR="005251C8" w:rsidRDefault="005251C8" w:rsidP="00844E4B">
      <w:pPr>
        <w:keepNext/>
        <w:ind w:left="720" w:firstLine="720"/>
        <w:rPr>
          <w:sz w:val="26"/>
          <w:szCs w:val="26"/>
        </w:rPr>
      </w:pPr>
    </w:p>
    <w:p w14:paraId="37DF4451" w14:textId="6D24A201" w:rsidR="005251C8" w:rsidRDefault="005251C8" w:rsidP="00844E4B">
      <w:pPr>
        <w:keepNext/>
        <w:ind w:left="1440" w:right="1440"/>
        <w:rPr>
          <w:sz w:val="26"/>
          <w:szCs w:val="26"/>
        </w:rPr>
      </w:pPr>
      <w:r>
        <w:rPr>
          <w:sz w:val="26"/>
          <w:szCs w:val="26"/>
        </w:rPr>
        <w:t>2.</w:t>
      </w:r>
      <w:r>
        <w:rPr>
          <w:sz w:val="26"/>
          <w:szCs w:val="26"/>
        </w:rPr>
        <w:tab/>
        <w:t>That the Final Opinion and Order entered at Docket No. I-2016-2526085 on June 13, 2019, is hereby made final, consistent with the discussion in this Opinion and Order.</w:t>
      </w:r>
    </w:p>
    <w:p w14:paraId="0B4CA4FB" w14:textId="77777777" w:rsidR="005251C8" w:rsidRDefault="005251C8" w:rsidP="005251C8">
      <w:pPr>
        <w:ind w:left="1440"/>
        <w:rPr>
          <w:sz w:val="26"/>
          <w:szCs w:val="26"/>
        </w:rPr>
      </w:pPr>
    </w:p>
    <w:p w14:paraId="448B1932" w14:textId="2346857D" w:rsidR="005251C8" w:rsidRDefault="005251C8" w:rsidP="005251C8">
      <w:pPr>
        <w:jc w:val="both"/>
        <w:rPr>
          <w:sz w:val="26"/>
          <w:szCs w:val="26"/>
        </w:rPr>
      </w:pPr>
      <w:r>
        <w:rPr>
          <w:sz w:val="26"/>
          <w:szCs w:val="26"/>
        </w:rPr>
        <w:t xml:space="preserve">The corrected page of the Opinion and Order </w:t>
      </w:r>
      <w:r w:rsidR="00AC275B">
        <w:rPr>
          <w:sz w:val="26"/>
          <w:szCs w:val="26"/>
        </w:rPr>
        <w:t>is</w:t>
      </w:r>
      <w:r>
        <w:rPr>
          <w:sz w:val="26"/>
          <w:szCs w:val="26"/>
        </w:rPr>
        <w:t xml:space="preserve"> attached to this notice.  Please replace the incorrect page in your copy of the Opinion and Order.</w:t>
      </w:r>
    </w:p>
    <w:p w14:paraId="275270AD" w14:textId="77777777" w:rsidR="005251C8" w:rsidRDefault="005251C8" w:rsidP="005251C8">
      <w:pPr>
        <w:ind w:left="1440" w:right="1440" w:firstLine="720"/>
      </w:pPr>
    </w:p>
    <w:p w14:paraId="20B96AB3" w14:textId="77777777" w:rsidR="005251C8" w:rsidRDefault="005251C8" w:rsidP="005251C8">
      <w:pPr>
        <w:jc w:val="both"/>
        <w:rPr>
          <w:sz w:val="26"/>
          <w:szCs w:val="26"/>
        </w:rPr>
      </w:pPr>
      <w:r>
        <w:rPr>
          <w:sz w:val="26"/>
          <w:szCs w:val="26"/>
        </w:rPr>
        <w:t xml:space="preserve">The Opinion and Order on the PA PUC website will be corrected as indicated above.  Please accept our apologies for any inconvenience this may have caused you.  </w:t>
      </w:r>
    </w:p>
    <w:p w14:paraId="043F244E" w14:textId="77777777" w:rsidR="005251C8" w:rsidRDefault="005251C8" w:rsidP="005251C8">
      <w:pPr>
        <w:jc w:val="both"/>
        <w:rPr>
          <w:sz w:val="26"/>
          <w:szCs w:val="26"/>
        </w:rPr>
      </w:pPr>
    </w:p>
    <w:p w14:paraId="4CF9A247" w14:textId="77777777" w:rsidR="005251C8" w:rsidRDefault="005251C8" w:rsidP="005251C8">
      <w:pPr>
        <w:ind w:firstLine="720"/>
        <w:rPr>
          <w:sz w:val="26"/>
          <w:szCs w:val="26"/>
        </w:rPr>
        <w:sectPr w:rsidR="005251C8" w:rsidSect="00BF49FD">
          <w:footerReference w:type="default" r:id="rId8"/>
          <w:pgSz w:w="12240" w:h="15840" w:code="1"/>
          <w:pgMar w:top="1440" w:right="1440" w:bottom="1440" w:left="1440" w:header="720" w:footer="720" w:gutter="0"/>
          <w:cols w:space="720"/>
          <w:titlePg/>
          <w:docGrid w:linePitch="360"/>
        </w:sectPr>
      </w:pPr>
      <w:r>
        <w:rPr>
          <w:sz w:val="26"/>
          <w:szCs w:val="26"/>
        </w:rPr>
        <w:t>Thank you.</w:t>
      </w:r>
    </w:p>
    <w:p w14:paraId="33EF16A2" w14:textId="77777777" w:rsidR="005251C8" w:rsidRPr="005251C8" w:rsidRDefault="005251C8" w:rsidP="005251C8">
      <w:pPr>
        <w:ind w:firstLine="0"/>
        <w:jc w:val="center"/>
        <w:rPr>
          <w:b/>
          <w:sz w:val="26"/>
          <w:szCs w:val="26"/>
        </w:rPr>
      </w:pPr>
      <w:r w:rsidRPr="005251C8">
        <w:rPr>
          <w:b/>
          <w:sz w:val="26"/>
          <w:szCs w:val="26"/>
        </w:rPr>
        <w:lastRenderedPageBreak/>
        <w:t>Conclusion</w:t>
      </w:r>
    </w:p>
    <w:p w14:paraId="764418D8" w14:textId="77777777" w:rsidR="005251C8" w:rsidRPr="005251C8" w:rsidRDefault="005251C8" w:rsidP="005251C8">
      <w:pPr>
        <w:rPr>
          <w:sz w:val="26"/>
          <w:szCs w:val="26"/>
        </w:rPr>
      </w:pPr>
    </w:p>
    <w:p w14:paraId="2D7A0810" w14:textId="77777777" w:rsidR="005251C8" w:rsidRPr="005251C8" w:rsidRDefault="005251C8" w:rsidP="005251C8">
      <w:pPr>
        <w:rPr>
          <w:b/>
          <w:sz w:val="26"/>
          <w:szCs w:val="26"/>
        </w:rPr>
      </w:pPr>
      <w:r w:rsidRPr="005251C8">
        <w:rPr>
          <w:sz w:val="26"/>
          <w:szCs w:val="26"/>
        </w:rPr>
        <w:t xml:space="preserve">The OCA’s Petition for Reconsideration is denied.  We decline to exercise our discretion to modify the Final Opinion and Order; </w:t>
      </w:r>
      <w:r w:rsidRPr="005251C8">
        <w:rPr>
          <w:b/>
          <w:sz w:val="26"/>
          <w:szCs w:val="26"/>
        </w:rPr>
        <w:t>THEREFORE,</w:t>
      </w:r>
    </w:p>
    <w:p w14:paraId="3D940F60" w14:textId="77777777" w:rsidR="005251C8" w:rsidRPr="005251C8" w:rsidRDefault="005251C8" w:rsidP="005251C8">
      <w:pPr>
        <w:rPr>
          <w:sz w:val="26"/>
          <w:szCs w:val="26"/>
        </w:rPr>
      </w:pPr>
    </w:p>
    <w:p w14:paraId="741EAD3D" w14:textId="0527E0C0" w:rsidR="005251C8" w:rsidRPr="005251C8" w:rsidRDefault="005251C8" w:rsidP="00051531">
      <w:pPr>
        <w:ind w:left="720" w:firstLine="720"/>
        <w:rPr>
          <w:b/>
          <w:sz w:val="26"/>
          <w:szCs w:val="26"/>
        </w:rPr>
      </w:pPr>
      <w:r w:rsidRPr="005251C8">
        <w:rPr>
          <w:b/>
          <w:sz w:val="26"/>
          <w:szCs w:val="26"/>
        </w:rPr>
        <w:t>IT IS ORDERED:</w:t>
      </w:r>
    </w:p>
    <w:p w14:paraId="57E8F56B" w14:textId="77777777" w:rsidR="005251C8" w:rsidRPr="005251C8" w:rsidRDefault="005251C8" w:rsidP="005251C8">
      <w:pPr>
        <w:rPr>
          <w:sz w:val="26"/>
          <w:szCs w:val="26"/>
        </w:rPr>
      </w:pPr>
    </w:p>
    <w:p w14:paraId="1F1BF83E" w14:textId="77777777" w:rsidR="005251C8" w:rsidRPr="005251C8" w:rsidRDefault="005251C8" w:rsidP="005251C8">
      <w:pPr>
        <w:pStyle w:val="ListParagraph"/>
        <w:numPr>
          <w:ilvl w:val="0"/>
          <w:numId w:val="2"/>
        </w:numPr>
        <w:tabs>
          <w:tab w:val="left" w:pos="-720"/>
          <w:tab w:val="left" w:pos="1440"/>
        </w:tabs>
        <w:suppressAutoHyphens/>
        <w:spacing w:line="360" w:lineRule="auto"/>
        <w:ind w:left="0" w:firstLine="1440"/>
        <w:rPr>
          <w:sz w:val="26"/>
          <w:szCs w:val="26"/>
        </w:rPr>
      </w:pPr>
      <w:r w:rsidRPr="005251C8">
        <w:rPr>
          <w:sz w:val="26"/>
          <w:szCs w:val="26"/>
        </w:rPr>
        <w:t xml:space="preserve">That the Petition for Reconsideration of the Office of Consumer Advocate, filed June 28, 2019, is denied, consistent with the discussion contained in this Opinion and Order. </w:t>
      </w:r>
    </w:p>
    <w:p w14:paraId="0F0F2B5B" w14:textId="77777777" w:rsidR="005251C8" w:rsidRPr="005251C8" w:rsidRDefault="005251C8" w:rsidP="005251C8">
      <w:pPr>
        <w:tabs>
          <w:tab w:val="left" w:pos="-720"/>
          <w:tab w:val="left" w:pos="1440"/>
        </w:tabs>
        <w:suppressAutoHyphens/>
        <w:rPr>
          <w:sz w:val="26"/>
          <w:szCs w:val="26"/>
        </w:rPr>
      </w:pPr>
    </w:p>
    <w:p w14:paraId="53FF0AD0" w14:textId="57C58ECE" w:rsidR="005251C8" w:rsidRPr="005251C8" w:rsidRDefault="005251C8" w:rsidP="005251C8">
      <w:pPr>
        <w:pStyle w:val="ListParagraph"/>
        <w:numPr>
          <w:ilvl w:val="0"/>
          <w:numId w:val="2"/>
        </w:numPr>
        <w:tabs>
          <w:tab w:val="left" w:pos="-720"/>
          <w:tab w:val="left" w:pos="1440"/>
        </w:tabs>
        <w:suppressAutoHyphens/>
        <w:spacing w:line="360" w:lineRule="auto"/>
        <w:ind w:left="0" w:firstLine="1440"/>
        <w:rPr>
          <w:sz w:val="26"/>
          <w:szCs w:val="26"/>
        </w:rPr>
      </w:pPr>
      <w:r w:rsidRPr="005251C8">
        <w:rPr>
          <w:sz w:val="26"/>
          <w:szCs w:val="26"/>
        </w:rPr>
        <w:t>That the Final Opinion and Order entered at Docket No. I</w:t>
      </w:r>
      <w:r w:rsidRPr="005251C8">
        <w:rPr>
          <w:sz w:val="26"/>
          <w:szCs w:val="26"/>
        </w:rPr>
        <w:noBreakHyphen/>
        <w:t>2016</w:t>
      </w:r>
      <w:r w:rsidRPr="005251C8">
        <w:rPr>
          <w:sz w:val="26"/>
          <w:szCs w:val="26"/>
        </w:rPr>
        <w:noBreakHyphen/>
        <w:t xml:space="preserve">2526085 on June </w:t>
      </w:r>
      <w:r w:rsidR="00844E4B">
        <w:rPr>
          <w:sz w:val="26"/>
          <w:szCs w:val="26"/>
        </w:rPr>
        <w:t>13</w:t>
      </w:r>
      <w:r w:rsidRPr="005251C8">
        <w:rPr>
          <w:sz w:val="26"/>
          <w:szCs w:val="26"/>
        </w:rPr>
        <w:t>, 2019, is hereby made final, consistent with the discussion in this Opinion and Order.</w:t>
      </w:r>
    </w:p>
    <w:p w14:paraId="7A4EB5B6" w14:textId="77777777" w:rsidR="005251C8" w:rsidRPr="005251C8" w:rsidRDefault="005251C8" w:rsidP="005251C8">
      <w:pPr>
        <w:pStyle w:val="ListParagraph"/>
        <w:spacing w:line="360" w:lineRule="auto"/>
        <w:rPr>
          <w:sz w:val="26"/>
          <w:szCs w:val="26"/>
        </w:rPr>
      </w:pPr>
    </w:p>
    <w:p w14:paraId="389DF364" w14:textId="77777777" w:rsidR="005251C8" w:rsidRPr="005251C8" w:rsidRDefault="005251C8" w:rsidP="005251C8">
      <w:pPr>
        <w:numPr>
          <w:ilvl w:val="0"/>
          <w:numId w:val="2"/>
        </w:numPr>
        <w:ind w:left="0" w:firstLine="1440"/>
        <w:rPr>
          <w:sz w:val="26"/>
          <w:szCs w:val="26"/>
        </w:rPr>
      </w:pPr>
      <w:r w:rsidRPr="005251C8">
        <w:rPr>
          <w:sz w:val="26"/>
          <w:szCs w:val="26"/>
        </w:rPr>
        <w:t>That, pursuant to the terms of the Settlement, the Joint Petitioners may withdraw from the Settlement Agreement within five (5) days from the date of entry of this Opinion and Order.  If any Party to the Settlement withdraws from the Settlement, the Settlement shall be disapproved without further action of the Commission and this matter shall be assigned to the Office of Administrative Law Judge for such further action as may be warranted.</w:t>
      </w:r>
    </w:p>
    <w:p w14:paraId="1E8F08F0" w14:textId="77777777" w:rsidR="005251C8" w:rsidRPr="005251C8" w:rsidRDefault="005251C8" w:rsidP="005251C8">
      <w:pPr>
        <w:pStyle w:val="ListParagraph"/>
        <w:spacing w:line="360" w:lineRule="auto"/>
        <w:rPr>
          <w:sz w:val="26"/>
          <w:szCs w:val="26"/>
        </w:rPr>
      </w:pPr>
    </w:p>
    <w:p w14:paraId="7056AF35" w14:textId="77777777" w:rsidR="005251C8" w:rsidRPr="005251C8" w:rsidRDefault="005251C8" w:rsidP="005251C8">
      <w:pPr>
        <w:pStyle w:val="ListParagraph"/>
        <w:numPr>
          <w:ilvl w:val="0"/>
          <w:numId w:val="2"/>
        </w:numPr>
        <w:tabs>
          <w:tab w:val="left" w:pos="-720"/>
          <w:tab w:val="left" w:pos="1440"/>
        </w:tabs>
        <w:suppressAutoHyphens/>
        <w:spacing w:line="360" w:lineRule="auto"/>
        <w:ind w:left="0" w:firstLine="1440"/>
        <w:rPr>
          <w:sz w:val="26"/>
          <w:szCs w:val="26"/>
        </w:rPr>
      </w:pPr>
      <w:r w:rsidRPr="005251C8">
        <w:rPr>
          <w:sz w:val="26"/>
          <w:szCs w:val="26"/>
        </w:rPr>
        <w:t>That, if no Party withdraws from the Settlement pursuant to Ordering Paragraph No. 3, this Opinion and Order shall be become final without further action of the Commission, and it is further ordered that:</w:t>
      </w:r>
    </w:p>
    <w:p w14:paraId="488C8428" w14:textId="77777777" w:rsidR="005251C8" w:rsidRPr="005251C8" w:rsidRDefault="005251C8" w:rsidP="005251C8">
      <w:pPr>
        <w:pStyle w:val="ListParagraph"/>
        <w:tabs>
          <w:tab w:val="left" w:pos="-720"/>
        </w:tabs>
        <w:suppressAutoHyphens/>
        <w:spacing w:line="360" w:lineRule="auto"/>
        <w:ind w:left="0"/>
        <w:rPr>
          <w:sz w:val="26"/>
          <w:szCs w:val="26"/>
        </w:rPr>
      </w:pPr>
    </w:p>
    <w:p w14:paraId="62E3B58E" w14:textId="4673017B" w:rsidR="00176E39" w:rsidRPr="00F41401" w:rsidRDefault="005251C8" w:rsidP="00844E4B">
      <w:pPr>
        <w:spacing w:line="240" w:lineRule="auto"/>
        <w:ind w:left="2880" w:hanging="720"/>
        <w:rPr>
          <w:sz w:val="26"/>
          <w:szCs w:val="26"/>
        </w:rPr>
      </w:pPr>
      <w:r w:rsidRPr="005251C8">
        <w:rPr>
          <w:sz w:val="26"/>
          <w:szCs w:val="26"/>
        </w:rPr>
        <w:t>a.</w:t>
      </w:r>
      <w:r w:rsidRPr="005251C8">
        <w:rPr>
          <w:sz w:val="26"/>
          <w:szCs w:val="26"/>
        </w:rPr>
        <w:tab/>
        <w:t xml:space="preserve">That the Joint Petition for Approval of Settlement of All Issues by Pennsylvania-American Water Company, Delaware Sewer Company, the Office of Consumer Advocate, and the Pennsylvania Public Utility Commission’s Bureau of </w:t>
      </w:r>
    </w:p>
    <w:sectPr w:rsidR="00176E39" w:rsidRPr="00F41401" w:rsidSect="00BF49FD">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E4B56" w14:textId="77777777" w:rsidR="005427D2" w:rsidRDefault="005427D2" w:rsidP="00F14E4C">
      <w:pPr>
        <w:spacing w:line="240" w:lineRule="auto"/>
      </w:pPr>
      <w:r>
        <w:separator/>
      </w:r>
    </w:p>
  </w:endnote>
  <w:endnote w:type="continuationSeparator" w:id="0">
    <w:p w14:paraId="082279E1" w14:textId="77777777" w:rsidR="005427D2" w:rsidRDefault="005427D2" w:rsidP="00F14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019325"/>
      <w:docPartObj>
        <w:docPartGallery w:val="Page Numbers (Bottom of Page)"/>
        <w:docPartUnique/>
      </w:docPartObj>
    </w:sdtPr>
    <w:sdtEndPr>
      <w:rPr>
        <w:noProof/>
      </w:rPr>
    </w:sdtEndPr>
    <w:sdtContent>
      <w:p w14:paraId="24CE84DD" w14:textId="1BE228FA" w:rsidR="005838D8" w:rsidRDefault="005838D8" w:rsidP="00FD2344">
        <w:pPr>
          <w:pStyle w:val="Footer"/>
          <w:ind w:firstLine="0"/>
          <w:jc w:val="center"/>
        </w:pPr>
        <w:r>
          <w:fldChar w:fldCharType="begin"/>
        </w:r>
        <w:r>
          <w:instrText xml:space="preserve"> PAGE   \* MERGEFORMAT </w:instrText>
        </w:r>
        <w:r>
          <w:fldChar w:fldCharType="separate"/>
        </w:r>
        <w:r w:rsidR="00C270DA">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F1D72" w14:textId="481B6363" w:rsidR="00844E4B" w:rsidRDefault="00844E4B" w:rsidP="00844E4B">
    <w:pPr>
      <w:pStyle w:val="Footer"/>
      <w:ind w:firstLine="0"/>
      <w:jc w:val="center"/>
    </w:pPr>
    <w: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9E51D" w14:textId="77777777" w:rsidR="005427D2" w:rsidRDefault="005427D2" w:rsidP="00176E39">
      <w:pPr>
        <w:spacing w:line="240" w:lineRule="auto"/>
        <w:ind w:firstLine="0"/>
      </w:pPr>
      <w:r>
        <w:separator/>
      </w:r>
    </w:p>
  </w:footnote>
  <w:footnote w:type="continuationSeparator" w:id="0">
    <w:p w14:paraId="33D74375" w14:textId="77777777" w:rsidR="005427D2" w:rsidRDefault="005427D2" w:rsidP="00F14E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11926"/>
    <w:multiLevelType w:val="hybridMultilevel"/>
    <w:tmpl w:val="6308AE30"/>
    <w:lvl w:ilvl="0" w:tplc="8A160AD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64567F"/>
    <w:multiLevelType w:val="hybridMultilevel"/>
    <w:tmpl w:val="B5CCCF16"/>
    <w:lvl w:ilvl="0" w:tplc="D572EE0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7756022F"/>
    <w:multiLevelType w:val="hybridMultilevel"/>
    <w:tmpl w:val="C8F61812"/>
    <w:lvl w:ilvl="0" w:tplc="096CC3CC">
      <w:start w:val="1"/>
      <w:numFmt w:val="decimal"/>
      <w:lvlText w:val="%1."/>
      <w:lvlJc w:val="left"/>
      <w:pPr>
        <w:ind w:left="198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C"/>
    <w:rsid w:val="00001C6E"/>
    <w:rsid w:val="00003BFB"/>
    <w:rsid w:val="00011622"/>
    <w:rsid w:val="000120B6"/>
    <w:rsid w:val="00017593"/>
    <w:rsid w:val="0002269A"/>
    <w:rsid w:val="00023A9C"/>
    <w:rsid w:val="0002589C"/>
    <w:rsid w:val="00026CAE"/>
    <w:rsid w:val="00043781"/>
    <w:rsid w:val="00047494"/>
    <w:rsid w:val="00051531"/>
    <w:rsid w:val="000541FA"/>
    <w:rsid w:val="000554C6"/>
    <w:rsid w:val="00060B37"/>
    <w:rsid w:val="00061DD4"/>
    <w:rsid w:val="00063D3A"/>
    <w:rsid w:val="00065482"/>
    <w:rsid w:val="00065F48"/>
    <w:rsid w:val="0007112F"/>
    <w:rsid w:val="000728A4"/>
    <w:rsid w:val="00077ADD"/>
    <w:rsid w:val="0009149D"/>
    <w:rsid w:val="000950A8"/>
    <w:rsid w:val="000A23D3"/>
    <w:rsid w:val="000A2A6C"/>
    <w:rsid w:val="000A4A2B"/>
    <w:rsid w:val="000A7FDD"/>
    <w:rsid w:val="000B4B4B"/>
    <w:rsid w:val="000B7A6D"/>
    <w:rsid w:val="000C1437"/>
    <w:rsid w:val="000C2FB9"/>
    <w:rsid w:val="000C3DAF"/>
    <w:rsid w:val="000C5182"/>
    <w:rsid w:val="000C7AF1"/>
    <w:rsid w:val="000D7E09"/>
    <w:rsid w:val="000E0934"/>
    <w:rsid w:val="000E343A"/>
    <w:rsid w:val="000E426A"/>
    <w:rsid w:val="000E4780"/>
    <w:rsid w:val="001049D3"/>
    <w:rsid w:val="00107AD7"/>
    <w:rsid w:val="00110D53"/>
    <w:rsid w:val="00121651"/>
    <w:rsid w:val="001256F4"/>
    <w:rsid w:val="00147276"/>
    <w:rsid w:val="00150AE3"/>
    <w:rsid w:val="00151272"/>
    <w:rsid w:val="00152387"/>
    <w:rsid w:val="0016146B"/>
    <w:rsid w:val="001648D1"/>
    <w:rsid w:val="00176E39"/>
    <w:rsid w:val="001833EC"/>
    <w:rsid w:val="0019072A"/>
    <w:rsid w:val="0019143E"/>
    <w:rsid w:val="001961B7"/>
    <w:rsid w:val="00196582"/>
    <w:rsid w:val="001B1A89"/>
    <w:rsid w:val="001B4219"/>
    <w:rsid w:val="001D015D"/>
    <w:rsid w:val="001D799F"/>
    <w:rsid w:val="001D7F9F"/>
    <w:rsid w:val="001E24D5"/>
    <w:rsid w:val="001E40A2"/>
    <w:rsid w:val="001F32AF"/>
    <w:rsid w:val="001F48F4"/>
    <w:rsid w:val="001F4E80"/>
    <w:rsid w:val="001F5C45"/>
    <w:rsid w:val="002018B1"/>
    <w:rsid w:val="002060A6"/>
    <w:rsid w:val="00224F81"/>
    <w:rsid w:val="00226599"/>
    <w:rsid w:val="0023103B"/>
    <w:rsid w:val="0023715C"/>
    <w:rsid w:val="00237EC0"/>
    <w:rsid w:val="002404D5"/>
    <w:rsid w:val="002413FC"/>
    <w:rsid w:val="00242A17"/>
    <w:rsid w:val="00245A51"/>
    <w:rsid w:val="002475F6"/>
    <w:rsid w:val="002566F4"/>
    <w:rsid w:val="00262D21"/>
    <w:rsid w:val="002634B1"/>
    <w:rsid w:val="00263CEF"/>
    <w:rsid w:val="00264652"/>
    <w:rsid w:val="00283380"/>
    <w:rsid w:val="002948C4"/>
    <w:rsid w:val="002964AE"/>
    <w:rsid w:val="002A005A"/>
    <w:rsid w:val="002A0411"/>
    <w:rsid w:val="002A1749"/>
    <w:rsid w:val="002A28C6"/>
    <w:rsid w:val="002A4DE2"/>
    <w:rsid w:val="002A5DD8"/>
    <w:rsid w:val="002B422E"/>
    <w:rsid w:val="002B59B7"/>
    <w:rsid w:val="002B75D9"/>
    <w:rsid w:val="002B79EF"/>
    <w:rsid w:val="002C10EA"/>
    <w:rsid w:val="002C3D15"/>
    <w:rsid w:val="002C47CB"/>
    <w:rsid w:val="002C799F"/>
    <w:rsid w:val="002D6BEF"/>
    <w:rsid w:val="002E41E0"/>
    <w:rsid w:val="002E50B4"/>
    <w:rsid w:val="002E6C13"/>
    <w:rsid w:val="002E71F1"/>
    <w:rsid w:val="002F11CA"/>
    <w:rsid w:val="002F1CBD"/>
    <w:rsid w:val="002F4D8D"/>
    <w:rsid w:val="002F6ABD"/>
    <w:rsid w:val="003032AE"/>
    <w:rsid w:val="0030352E"/>
    <w:rsid w:val="00303DD5"/>
    <w:rsid w:val="0031470C"/>
    <w:rsid w:val="00315D26"/>
    <w:rsid w:val="0031672F"/>
    <w:rsid w:val="00332D3E"/>
    <w:rsid w:val="00334BE0"/>
    <w:rsid w:val="00335238"/>
    <w:rsid w:val="0033541C"/>
    <w:rsid w:val="00335A77"/>
    <w:rsid w:val="0034166B"/>
    <w:rsid w:val="003453D4"/>
    <w:rsid w:val="00346E7F"/>
    <w:rsid w:val="0034741F"/>
    <w:rsid w:val="00350E87"/>
    <w:rsid w:val="00355A51"/>
    <w:rsid w:val="00356F05"/>
    <w:rsid w:val="00360219"/>
    <w:rsid w:val="00365895"/>
    <w:rsid w:val="00373B12"/>
    <w:rsid w:val="00376955"/>
    <w:rsid w:val="003835FD"/>
    <w:rsid w:val="00387007"/>
    <w:rsid w:val="00387177"/>
    <w:rsid w:val="0039205E"/>
    <w:rsid w:val="003A2C8B"/>
    <w:rsid w:val="003A39C5"/>
    <w:rsid w:val="003B116D"/>
    <w:rsid w:val="003B204D"/>
    <w:rsid w:val="003B3E1D"/>
    <w:rsid w:val="003B516F"/>
    <w:rsid w:val="003B7A43"/>
    <w:rsid w:val="003C2063"/>
    <w:rsid w:val="003D7156"/>
    <w:rsid w:val="003E0772"/>
    <w:rsid w:val="003E16D2"/>
    <w:rsid w:val="003E1F2F"/>
    <w:rsid w:val="003E2F95"/>
    <w:rsid w:val="003E7F81"/>
    <w:rsid w:val="003F7D8A"/>
    <w:rsid w:val="00401971"/>
    <w:rsid w:val="004035B4"/>
    <w:rsid w:val="00405203"/>
    <w:rsid w:val="0040788D"/>
    <w:rsid w:val="00411A05"/>
    <w:rsid w:val="00412749"/>
    <w:rsid w:val="0041304A"/>
    <w:rsid w:val="0041724D"/>
    <w:rsid w:val="004212EA"/>
    <w:rsid w:val="0042406D"/>
    <w:rsid w:val="00430263"/>
    <w:rsid w:val="0043058A"/>
    <w:rsid w:val="00431FAD"/>
    <w:rsid w:val="00433DA1"/>
    <w:rsid w:val="0043501C"/>
    <w:rsid w:val="004372AB"/>
    <w:rsid w:val="00437447"/>
    <w:rsid w:val="00440B43"/>
    <w:rsid w:val="0044300F"/>
    <w:rsid w:val="00447DBF"/>
    <w:rsid w:val="00453151"/>
    <w:rsid w:val="00454DC3"/>
    <w:rsid w:val="004559BD"/>
    <w:rsid w:val="004614BD"/>
    <w:rsid w:val="00462705"/>
    <w:rsid w:val="00463964"/>
    <w:rsid w:val="00466278"/>
    <w:rsid w:val="00467EB8"/>
    <w:rsid w:val="004713F8"/>
    <w:rsid w:val="00471E7A"/>
    <w:rsid w:val="00472440"/>
    <w:rsid w:val="00472E23"/>
    <w:rsid w:val="004777E4"/>
    <w:rsid w:val="004855E9"/>
    <w:rsid w:val="00492C82"/>
    <w:rsid w:val="00496F86"/>
    <w:rsid w:val="004A1204"/>
    <w:rsid w:val="004A3659"/>
    <w:rsid w:val="004B34D6"/>
    <w:rsid w:val="004B665E"/>
    <w:rsid w:val="004B6D32"/>
    <w:rsid w:val="004C034D"/>
    <w:rsid w:val="004C76F9"/>
    <w:rsid w:val="004D23E2"/>
    <w:rsid w:val="004D3F3B"/>
    <w:rsid w:val="004D54A0"/>
    <w:rsid w:val="004F0189"/>
    <w:rsid w:val="004F2335"/>
    <w:rsid w:val="004F57D7"/>
    <w:rsid w:val="005006BD"/>
    <w:rsid w:val="005011AA"/>
    <w:rsid w:val="005043D1"/>
    <w:rsid w:val="00510625"/>
    <w:rsid w:val="00513706"/>
    <w:rsid w:val="005140AF"/>
    <w:rsid w:val="00516A56"/>
    <w:rsid w:val="005216D5"/>
    <w:rsid w:val="005227F7"/>
    <w:rsid w:val="0052318A"/>
    <w:rsid w:val="005251C8"/>
    <w:rsid w:val="0052577D"/>
    <w:rsid w:val="00526F58"/>
    <w:rsid w:val="00527774"/>
    <w:rsid w:val="00531643"/>
    <w:rsid w:val="00531B08"/>
    <w:rsid w:val="00533F55"/>
    <w:rsid w:val="00535DCE"/>
    <w:rsid w:val="00537F3F"/>
    <w:rsid w:val="00540AE2"/>
    <w:rsid w:val="00541EC4"/>
    <w:rsid w:val="005427D2"/>
    <w:rsid w:val="00544026"/>
    <w:rsid w:val="0055010A"/>
    <w:rsid w:val="005504FE"/>
    <w:rsid w:val="005510E9"/>
    <w:rsid w:val="00553B4D"/>
    <w:rsid w:val="005549B8"/>
    <w:rsid w:val="00564D5C"/>
    <w:rsid w:val="00574AFD"/>
    <w:rsid w:val="0057717E"/>
    <w:rsid w:val="00582FF4"/>
    <w:rsid w:val="005838D8"/>
    <w:rsid w:val="005838EE"/>
    <w:rsid w:val="005904B8"/>
    <w:rsid w:val="00590A37"/>
    <w:rsid w:val="0059194B"/>
    <w:rsid w:val="005923D2"/>
    <w:rsid w:val="00597A5C"/>
    <w:rsid w:val="005A1A21"/>
    <w:rsid w:val="005A200A"/>
    <w:rsid w:val="005A252E"/>
    <w:rsid w:val="005B02E9"/>
    <w:rsid w:val="005B091E"/>
    <w:rsid w:val="005B19FF"/>
    <w:rsid w:val="005B2159"/>
    <w:rsid w:val="005B61C3"/>
    <w:rsid w:val="005B7964"/>
    <w:rsid w:val="005B7A3C"/>
    <w:rsid w:val="005C472D"/>
    <w:rsid w:val="005D431D"/>
    <w:rsid w:val="005E270B"/>
    <w:rsid w:val="005E2728"/>
    <w:rsid w:val="005E4AB2"/>
    <w:rsid w:val="005E57A1"/>
    <w:rsid w:val="00600B49"/>
    <w:rsid w:val="006030E1"/>
    <w:rsid w:val="0060487A"/>
    <w:rsid w:val="00605BE1"/>
    <w:rsid w:val="00606DD1"/>
    <w:rsid w:val="00607834"/>
    <w:rsid w:val="006143E9"/>
    <w:rsid w:val="00624415"/>
    <w:rsid w:val="00631EDE"/>
    <w:rsid w:val="00633A53"/>
    <w:rsid w:val="00635E72"/>
    <w:rsid w:val="0065195E"/>
    <w:rsid w:val="00651BC5"/>
    <w:rsid w:val="00652910"/>
    <w:rsid w:val="00661B6B"/>
    <w:rsid w:val="006636F0"/>
    <w:rsid w:val="006643BC"/>
    <w:rsid w:val="0067062B"/>
    <w:rsid w:val="006712C7"/>
    <w:rsid w:val="00671CDD"/>
    <w:rsid w:val="00671DC3"/>
    <w:rsid w:val="00674C2A"/>
    <w:rsid w:val="0068115B"/>
    <w:rsid w:val="00681CC2"/>
    <w:rsid w:val="00683BDB"/>
    <w:rsid w:val="00693D1A"/>
    <w:rsid w:val="00694597"/>
    <w:rsid w:val="006A2876"/>
    <w:rsid w:val="006A7729"/>
    <w:rsid w:val="006B0C3B"/>
    <w:rsid w:val="006B1E55"/>
    <w:rsid w:val="006B4A76"/>
    <w:rsid w:val="006B56EB"/>
    <w:rsid w:val="006C06A6"/>
    <w:rsid w:val="006C0C0B"/>
    <w:rsid w:val="006C18C0"/>
    <w:rsid w:val="006D0A28"/>
    <w:rsid w:val="006D3F5D"/>
    <w:rsid w:val="006E0E64"/>
    <w:rsid w:val="006E2381"/>
    <w:rsid w:val="006E2ACA"/>
    <w:rsid w:val="006E4904"/>
    <w:rsid w:val="006E498C"/>
    <w:rsid w:val="006E73B1"/>
    <w:rsid w:val="006F1567"/>
    <w:rsid w:val="006F2412"/>
    <w:rsid w:val="00703E4F"/>
    <w:rsid w:val="007051DF"/>
    <w:rsid w:val="007053DA"/>
    <w:rsid w:val="007064C2"/>
    <w:rsid w:val="00707BAF"/>
    <w:rsid w:val="00711387"/>
    <w:rsid w:val="007116E7"/>
    <w:rsid w:val="00714E79"/>
    <w:rsid w:val="00714EE1"/>
    <w:rsid w:val="007178A0"/>
    <w:rsid w:val="00723130"/>
    <w:rsid w:val="00724073"/>
    <w:rsid w:val="00726E34"/>
    <w:rsid w:val="0073298D"/>
    <w:rsid w:val="00736BE0"/>
    <w:rsid w:val="00737FBD"/>
    <w:rsid w:val="0074436A"/>
    <w:rsid w:val="00746574"/>
    <w:rsid w:val="00753205"/>
    <w:rsid w:val="0076182D"/>
    <w:rsid w:val="00764709"/>
    <w:rsid w:val="00764EE1"/>
    <w:rsid w:val="0076552D"/>
    <w:rsid w:val="00767BC2"/>
    <w:rsid w:val="00767D3E"/>
    <w:rsid w:val="00772AF7"/>
    <w:rsid w:val="007934F2"/>
    <w:rsid w:val="00793759"/>
    <w:rsid w:val="007A0985"/>
    <w:rsid w:val="007A0C08"/>
    <w:rsid w:val="007A6D83"/>
    <w:rsid w:val="007B120D"/>
    <w:rsid w:val="007B13EF"/>
    <w:rsid w:val="007B1607"/>
    <w:rsid w:val="007B3ADA"/>
    <w:rsid w:val="007B7309"/>
    <w:rsid w:val="007C2631"/>
    <w:rsid w:val="007C464C"/>
    <w:rsid w:val="007D2B41"/>
    <w:rsid w:val="007F0D42"/>
    <w:rsid w:val="00807C26"/>
    <w:rsid w:val="008109B1"/>
    <w:rsid w:val="00810F78"/>
    <w:rsid w:val="00813001"/>
    <w:rsid w:val="00814C56"/>
    <w:rsid w:val="00817573"/>
    <w:rsid w:val="00817606"/>
    <w:rsid w:val="00817FCB"/>
    <w:rsid w:val="00822051"/>
    <w:rsid w:val="0083169E"/>
    <w:rsid w:val="008321ED"/>
    <w:rsid w:val="0083783F"/>
    <w:rsid w:val="00840229"/>
    <w:rsid w:val="008403C3"/>
    <w:rsid w:val="008412DB"/>
    <w:rsid w:val="0084233E"/>
    <w:rsid w:val="00844E4B"/>
    <w:rsid w:val="0084599F"/>
    <w:rsid w:val="00846D83"/>
    <w:rsid w:val="00851A75"/>
    <w:rsid w:val="00851D70"/>
    <w:rsid w:val="00853934"/>
    <w:rsid w:val="008550D9"/>
    <w:rsid w:val="00855F07"/>
    <w:rsid w:val="0085607E"/>
    <w:rsid w:val="008574AE"/>
    <w:rsid w:val="00860459"/>
    <w:rsid w:val="00863F98"/>
    <w:rsid w:val="00866712"/>
    <w:rsid w:val="00866CD1"/>
    <w:rsid w:val="00870A52"/>
    <w:rsid w:val="00877687"/>
    <w:rsid w:val="00880778"/>
    <w:rsid w:val="00882707"/>
    <w:rsid w:val="00884469"/>
    <w:rsid w:val="008862DF"/>
    <w:rsid w:val="00890EB0"/>
    <w:rsid w:val="00893EB9"/>
    <w:rsid w:val="00894560"/>
    <w:rsid w:val="008954B1"/>
    <w:rsid w:val="00896FA9"/>
    <w:rsid w:val="0089755E"/>
    <w:rsid w:val="008B1083"/>
    <w:rsid w:val="008B2E17"/>
    <w:rsid w:val="008B2FFE"/>
    <w:rsid w:val="008C21D3"/>
    <w:rsid w:val="008C4E9F"/>
    <w:rsid w:val="008C5DF6"/>
    <w:rsid w:val="008C5FA4"/>
    <w:rsid w:val="008D4B19"/>
    <w:rsid w:val="008D764E"/>
    <w:rsid w:val="008D77EE"/>
    <w:rsid w:val="008E092D"/>
    <w:rsid w:val="008E255F"/>
    <w:rsid w:val="008E6DA0"/>
    <w:rsid w:val="008F2FDB"/>
    <w:rsid w:val="008F3E33"/>
    <w:rsid w:val="008F76DC"/>
    <w:rsid w:val="009020B2"/>
    <w:rsid w:val="00902613"/>
    <w:rsid w:val="009119B6"/>
    <w:rsid w:val="009119E5"/>
    <w:rsid w:val="00916D19"/>
    <w:rsid w:val="0091720F"/>
    <w:rsid w:val="0092112E"/>
    <w:rsid w:val="0092139A"/>
    <w:rsid w:val="0092166C"/>
    <w:rsid w:val="00924262"/>
    <w:rsid w:val="00925EB7"/>
    <w:rsid w:val="0093183F"/>
    <w:rsid w:val="0093483D"/>
    <w:rsid w:val="00935AF5"/>
    <w:rsid w:val="00936F5C"/>
    <w:rsid w:val="00941ED4"/>
    <w:rsid w:val="00952DCF"/>
    <w:rsid w:val="00953ED7"/>
    <w:rsid w:val="00961DCF"/>
    <w:rsid w:val="0096374B"/>
    <w:rsid w:val="009651B3"/>
    <w:rsid w:val="00971174"/>
    <w:rsid w:val="00974A3C"/>
    <w:rsid w:val="00975B8C"/>
    <w:rsid w:val="00977270"/>
    <w:rsid w:val="00981C05"/>
    <w:rsid w:val="009832CC"/>
    <w:rsid w:val="009843C4"/>
    <w:rsid w:val="009855D5"/>
    <w:rsid w:val="00985DF0"/>
    <w:rsid w:val="00990AB8"/>
    <w:rsid w:val="00990F5C"/>
    <w:rsid w:val="00991D6C"/>
    <w:rsid w:val="009933D6"/>
    <w:rsid w:val="00993C94"/>
    <w:rsid w:val="009A18A0"/>
    <w:rsid w:val="009A6F90"/>
    <w:rsid w:val="009C189A"/>
    <w:rsid w:val="009C2CA1"/>
    <w:rsid w:val="009C68FC"/>
    <w:rsid w:val="009C7EEA"/>
    <w:rsid w:val="009D1AF3"/>
    <w:rsid w:val="009D35AA"/>
    <w:rsid w:val="009E0002"/>
    <w:rsid w:val="009E1BAB"/>
    <w:rsid w:val="009E2F61"/>
    <w:rsid w:val="009E5DB3"/>
    <w:rsid w:val="009E733C"/>
    <w:rsid w:val="009F22AF"/>
    <w:rsid w:val="009F2B10"/>
    <w:rsid w:val="009F48B9"/>
    <w:rsid w:val="009F4A15"/>
    <w:rsid w:val="009F7E8A"/>
    <w:rsid w:val="00A065D3"/>
    <w:rsid w:val="00A10AD5"/>
    <w:rsid w:val="00A12608"/>
    <w:rsid w:val="00A12DD1"/>
    <w:rsid w:val="00A15E23"/>
    <w:rsid w:val="00A20323"/>
    <w:rsid w:val="00A229D3"/>
    <w:rsid w:val="00A26690"/>
    <w:rsid w:val="00A27C98"/>
    <w:rsid w:val="00A31A8A"/>
    <w:rsid w:val="00A36516"/>
    <w:rsid w:val="00A427C0"/>
    <w:rsid w:val="00A42891"/>
    <w:rsid w:val="00A42DA4"/>
    <w:rsid w:val="00A4598A"/>
    <w:rsid w:val="00A537CE"/>
    <w:rsid w:val="00A62A07"/>
    <w:rsid w:val="00A73D28"/>
    <w:rsid w:val="00A7403F"/>
    <w:rsid w:val="00A94783"/>
    <w:rsid w:val="00A965DA"/>
    <w:rsid w:val="00A9701B"/>
    <w:rsid w:val="00AA5345"/>
    <w:rsid w:val="00AB047B"/>
    <w:rsid w:val="00AB0977"/>
    <w:rsid w:val="00AB1C35"/>
    <w:rsid w:val="00AB5860"/>
    <w:rsid w:val="00AB6588"/>
    <w:rsid w:val="00AC0E46"/>
    <w:rsid w:val="00AC1E7A"/>
    <w:rsid w:val="00AC2150"/>
    <w:rsid w:val="00AC275B"/>
    <w:rsid w:val="00AC4B79"/>
    <w:rsid w:val="00AC53DE"/>
    <w:rsid w:val="00AC5D0C"/>
    <w:rsid w:val="00AC637F"/>
    <w:rsid w:val="00AD09C1"/>
    <w:rsid w:val="00AD6349"/>
    <w:rsid w:val="00AE00C7"/>
    <w:rsid w:val="00AE1543"/>
    <w:rsid w:val="00AE5906"/>
    <w:rsid w:val="00AF125D"/>
    <w:rsid w:val="00AF4638"/>
    <w:rsid w:val="00B01027"/>
    <w:rsid w:val="00B05429"/>
    <w:rsid w:val="00B064CA"/>
    <w:rsid w:val="00B1485B"/>
    <w:rsid w:val="00B16B0A"/>
    <w:rsid w:val="00B2287C"/>
    <w:rsid w:val="00B23C67"/>
    <w:rsid w:val="00B27B92"/>
    <w:rsid w:val="00B3382C"/>
    <w:rsid w:val="00B34E15"/>
    <w:rsid w:val="00B35CAA"/>
    <w:rsid w:val="00B368E0"/>
    <w:rsid w:val="00B413A1"/>
    <w:rsid w:val="00B523A4"/>
    <w:rsid w:val="00B56E82"/>
    <w:rsid w:val="00B60EE9"/>
    <w:rsid w:val="00B64EBF"/>
    <w:rsid w:val="00B66E42"/>
    <w:rsid w:val="00B7217B"/>
    <w:rsid w:val="00B7323A"/>
    <w:rsid w:val="00B746E8"/>
    <w:rsid w:val="00B750DE"/>
    <w:rsid w:val="00B81BF0"/>
    <w:rsid w:val="00B840D0"/>
    <w:rsid w:val="00B85022"/>
    <w:rsid w:val="00B85853"/>
    <w:rsid w:val="00B8756E"/>
    <w:rsid w:val="00B9093E"/>
    <w:rsid w:val="00B92010"/>
    <w:rsid w:val="00B92919"/>
    <w:rsid w:val="00B958F6"/>
    <w:rsid w:val="00B9632A"/>
    <w:rsid w:val="00BA07AE"/>
    <w:rsid w:val="00BA0FED"/>
    <w:rsid w:val="00BA406A"/>
    <w:rsid w:val="00BA6B37"/>
    <w:rsid w:val="00BB5361"/>
    <w:rsid w:val="00BB53D9"/>
    <w:rsid w:val="00BB6494"/>
    <w:rsid w:val="00BC0D4D"/>
    <w:rsid w:val="00BC1E75"/>
    <w:rsid w:val="00BC4E14"/>
    <w:rsid w:val="00BC6F7A"/>
    <w:rsid w:val="00BD361B"/>
    <w:rsid w:val="00BD3A64"/>
    <w:rsid w:val="00BD3B16"/>
    <w:rsid w:val="00BD672C"/>
    <w:rsid w:val="00BD783F"/>
    <w:rsid w:val="00BE02CF"/>
    <w:rsid w:val="00BE23CE"/>
    <w:rsid w:val="00BE2471"/>
    <w:rsid w:val="00BF2016"/>
    <w:rsid w:val="00BF49FD"/>
    <w:rsid w:val="00C01144"/>
    <w:rsid w:val="00C02673"/>
    <w:rsid w:val="00C113E6"/>
    <w:rsid w:val="00C12994"/>
    <w:rsid w:val="00C15387"/>
    <w:rsid w:val="00C15AAF"/>
    <w:rsid w:val="00C16CA2"/>
    <w:rsid w:val="00C21CD8"/>
    <w:rsid w:val="00C23862"/>
    <w:rsid w:val="00C24AA3"/>
    <w:rsid w:val="00C270DA"/>
    <w:rsid w:val="00C333D8"/>
    <w:rsid w:val="00C35C5A"/>
    <w:rsid w:val="00C41062"/>
    <w:rsid w:val="00C41BD6"/>
    <w:rsid w:val="00C468F8"/>
    <w:rsid w:val="00C50710"/>
    <w:rsid w:val="00C50C22"/>
    <w:rsid w:val="00C5754A"/>
    <w:rsid w:val="00C614F7"/>
    <w:rsid w:val="00C6154F"/>
    <w:rsid w:val="00C628DF"/>
    <w:rsid w:val="00C636AC"/>
    <w:rsid w:val="00C64C65"/>
    <w:rsid w:val="00C700FB"/>
    <w:rsid w:val="00C70166"/>
    <w:rsid w:val="00C71D2D"/>
    <w:rsid w:val="00C72A2D"/>
    <w:rsid w:val="00C76A3C"/>
    <w:rsid w:val="00C77A9B"/>
    <w:rsid w:val="00C8122D"/>
    <w:rsid w:val="00C816FF"/>
    <w:rsid w:val="00C944BA"/>
    <w:rsid w:val="00C95B01"/>
    <w:rsid w:val="00CA7B9B"/>
    <w:rsid w:val="00CB66B0"/>
    <w:rsid w:val="00CB7C06"/>
    <w:rsid w:val="00CC031C"/>
    <w:rsid w:val="00CC3347"/>
    <w:rsid w:val="00CC3816"/>
    <w:rsid w:val="00CC3A34"/>
    <w:rsid w:val="00CC71AD"/>
    <w:rsid w:val="00CC7864"/>
    <w:rsid w:val="00CD145B"/>
    <w:rsid w:val="00CD5CE7"/>
    <w:rsid w:val="00CD6ACA"/>
    <w:rsid w:val="00CE1DCE"/>
    <w:rsid w:val="00CE2428"/>
    <w:rsid w:val="00CE572A"/>
    <w:rsid w:val="00CE5825"/>
    <w:rsid w:val="00CF6359"/>
    <w:rsid w:val="00CF79B3"/>
    <w:rsid w:val="00D026AF"/>
    <w:rsid w:val="00D042CE"/>
    <w:rsid w:val="00D046D5"/>
    <w:rsid w:val="00D0659E"/>
    <w:rsid w:val="00D13BC3"/>
    <w:rsid w:val="00D21008"/>
    <w:rsid w:val="00D23D80"/>
    <w:rsid w:val="00D30C11"/>
    <w:rsid w:val="00D31E98"/>
    <w:rsid w:val="00D3374A"/>
    <w:rsid w:val="00D35AD3"/>
    <w:rsid w:val="00D41EEE"/>
    <w:rsid w:val="00D60AD4"/>
    <w:rsid w:val="00D677D9"/>
    <w:rsid w:val="00D741FD"/>
    <w:rsid w:val="00D751F7"/>
    <w:rsid w:val="00D824E2"/>
    <w:rsid w:val="00D86285"/>
    <w:rsid w:val="00D94343"/>
    <w:rsid w:val="00D9681C"/>
    <w:rsid w:val="00D97979"/>
    <w:rsid w:val="00DA1760"/>
    <w:rsid w:val="00DA2D62"/>
    <w:rsid w:val="00DA3D75"/>
    <w:rsid w:val="00DA5CB5"/>
    <w:rsid w:val="00DA6408"/>
    <w:rsid w:val="00DA792A"/>
    <w:rsid w:val="00DB0314"/>
    <w:rsid w:val="00DB08C4"/>
    <w:rsid w:val="00DB5D6C"/>
    <w:rsid w:val="00DC3BB2"/>
    <w:rsid w:val="00DC4570"/>
    <w:rsid w:val="00DC5BAF"/>
    <w:rsid w:val="00DE1956"/>
    <w:rsid w:val="00DE3018"/>
    <w:rsid w:val="00DE33C3"/>
    <w:rsid w:val="00DE6E71"/>
    <w:rsid w:val="00DE7A66"/>
    <w:rsid w:val="00DF2C57"/>
    <w:rsid w:val="00DF4899"/>
    <w:rsid w:val="00DF5872"/>
    <w:rsid w:val="00DF5DE6"/>
    <w:rsid w:val="00E04557"/>
    <w:rsid w:val="00E07A7E"/>
    <w:rsid w:val="00E156E5"/>
    <w:rsid w:val="00E248C6"/>
    <w:rsid w:val="00E27FF8"/>
    <w:rsid w:val="00E3578E"/>
    <w:rsid w:val="00E4061C"/>
    <w:rsid w:val="00E40637"/>
    <w:rsid w:val="00E432D6"/>
    <w:rsid w:val="00E456BC"/>
    <w:rsid w:val="00E45F79"/>
    <w:rsid w:val="00E51CCA"/>
    <w:rsid w:val="00E533E0"/>
    <w:rsid w:val="00E559EC"/>
    <w:rsid w:val="00E61002"/>
    <w:rsid w:val="00E618CE"/>
    <w:rsid w:val="00E639EA"/>
    <w:rsid w:val="00E66932"/>
    <w:rsid w:val="00E72A70"/>
    <w:rsid w:val="00E7485A"/>
    <w:rsid w:val="00E74C91"/>
    <w:rsid w:val="00E856A9"/>
    <w:rsid w:val="00E8663E"/>
    <w:rsid w:val="00E97B11"/>
    <w:rsid w:val="00EA3CF2"/>
    <w:rsid w:val="00EA6636"/>
    <w:rsid w:val="00EB54A8"/>
    <w:rsid w:val="00EB6B8F"/>
    <w:rsid w:val="00EB6E1F"/>
    <w:rsid w:val="00EC22AD"/>
    <w:rsid w:val="00EC2AC3"/>
    <w:rsid w:val="00EC3BD2"/>
    <w:rsid w:val="00EC6223"/>
    <w:rsid w:val="00ED2C8C"/>
    <w:rsid w:val="00EE4167"/>
    <w:rsid w:val="00EE7E21"/>
    <w:rsid w:val="00EF13D9"/>
    <w:rsid w:val="00EF241A"/>
    <w:rsid w:val="00EF5BBB"/>
    <w:rsid w:val="00F05D3A"/>
    <w:rsid w:val="00F06E87"/>
    <w:rsid w:val="00F10E03"/>
    <w:rsid w:val="00F11962"/>
    <w:rsid w:val="00F14DED"/>
    <w:rsid w:val="00F14E4C"/>
    <w:rsid w:val="00F16C96"/>
    <w:rsid w:val="00F21DE4"/>
    <w:rsid w:val="00F21F35"/>
    <w:rsid w:val="00F26C57"/>
    <w:rsid w:val="00F327DB"/>
    <w:rsid w:val="00F40885"/>
    <w:rsid w:val="00F41401"/>
    <w:rsid w:val="00F50A12"/>
    <w:rsid w:val="00F54C37"/>
    <w:rsid w:val="00F600E5"/>
    <w:rsid w:val="00F623F7"/>
    <w:rsid w:val="00F6345B"/>
    <w:rsid w:val="00F6516A"/>
    <w:rsid w:val="00F71AF3"/>
    <w:rsid w:val="00F7726E"/>
    <w:rsid w:val="00F824E9"/>
    <w:rsid w:val="00F91667"/>
    <w:rsid w:val="00F969EB"/>
    <w:rsid w:val="00FA2B71"/>
    <w:rsid w:val="00FA3655"/>
    <w:rsid w:val="00FA4A9B"/>
    <w:rsid w:val="00FA795F"/>
    <w:rsid w:val="00FB0EA8"/>
    <w:rsid w:val="00FB14D9"/>
    <w:rsid w:val="00FB2872"/>
    <w:rsid w:val="00FB4FF9"/>
    <w:rsid w:val="00FC1F0E"/>
    <w:rsid w:val="00FC735F"/>
    <w:rsid w:val="00FC7C7F"/>
    <w:rsid w:val="00FD158D"/>
    <w:rsid w:val="00FD2344"/>
    <w:rsid w:val="00FD2A4E"/>
    <w:rsid w:val="00FD4770"/>
    <w:rsid w:val="00FE4625"/>
    <w:rsid w:val="00FF24E3"/>
    <w:rsid w:val="00FF3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3CC3"/>
  <w15:chartTrackingRefBased/>
  <w15:docId w15:val="{44D43BAB-80A9-40F4-A252-A1ED519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6"/>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E4C"/>
    <w:pPr>
      <w:ind w:firstLine="1440"/>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941ED4"/>
  </w:style>
  <w:style w:type="paragraph" w:styleId="FootnoteText">
    <w:name w:val="footnote text"/>
    <w:basedOn w:val="Normal"/>
    <w:link w:val="FootnoteTextChar"/>
    <w:uiPriority w:val="99"/>
    <w:qFormat/>
    <w:rsid w:val="00941ED4"/>
    <w:pPr>
      <w:ind w:left="720"/>
    </w:pPr>
  </w:style>
  <w:style w:type="character" w:customStyle="1" w:styleId="FootnoteTextChar1">
    <w:name w:val="Footnote Text Char1"/>
    <w:aliases w:val="fn Char1,ALTS FOOTNOTE Char1,Footnote Text 2 Char,Footnote text Char,FOOTNOTE Char,ALTS FOOTNOTE Char Char,fn Char Char,Footnote Text Char1 Char Char,Footnote Text Char Char Char Char,ALTS FOOTNOTE Char Char Char Char,f Char"/>
    <w:uiPriority w:val="99"/>
    <w:rsid w:val="00C64C65"/>
    <w:rPr>
      <w:rFonts w:eastAsia="SimSun" w:cs="Times New Roman"/>
      <w:szCs w:val="20"/>
    </w:rPr>
  </w:style>
  <w:style w:type="character" w:customStyle="1" w:styleId="StandardFootnote">
    <w:name w:val="Standard Footnote"/>
    <w:basedOn w:val="DefaultParagraphFont"/>
    <w:uiPriority w:val="99"/>
    <w:rsid w:val="00BD361B"/>
    <w:rPr>
      <w:rFonts w:ascii="Times New Roman" w:hAnsi="Times New Roman" w:cs="Times New Roman"/>
      <w:sz w:val="26"/>
      <w:szCs w:val="20"/>
    </w:rPr>
  </w:style>
  <w:style w:type="paragraph" w:styleId="BodyText">
    <w:name w:val="Body Text"/>
    <w:basedOn w:val="Normal"/>
    <w:link w:val="BodyTextChar"/>
    <w:autoRedefine/>
    <w:uiPriority w:val="99"/>
    <w:unhideWhenUsed/>
    <w:rsid w:val="00BD361B"/>
    <w:pPr>
      <w:spacing w:after="120"/>
    </w:pPr>
  </w:style>
  <w:style w:type="character" w:customStyle="1" w:styleId="BodyTextChar">
    <w:name w:val="Body Text Char"/>
    <w:basedOn w:val="DefaultParagraphFont"/>
    <w:link w:val="BodyText"/>
    <w:uiPriority w:val="99"/>
    <w:rsid w:val="00BD361B"/>
    <w:rPr>
      <w:rFonts w:ascii="Times New Roman" w:hAnsi="Times New Roman"/>
      <w:sz w:val="26"/>
    </w:rPr>
  </w:style>
  <w:style w:type="paragraph" w:customStyle="1" w:styleId="Default">
    <w:name w:val="Default"/>
    <w:rsid w:val="006A2876"/>
    <w:pPr>
      <w:autoSpaceDE w:val="0"/>
      <w:autoSpaceDN w:val="0"/>
      <w:adjustRightInd w:val="0"/>
      <w:spacing w:after="120" w:line="240" w:lineRule="auto"/>
      <w:ind w:firstLine="720"/>
    </w:pPr>
    <w:rPr>
      <w:rFonts w:ascii="Arial Bold" w:eastAsia="Calibri" w:hAnsi="Arial Bold" w:cs="Calibri"/>
      <w:color w:val="000000"/>
      <w:szCs w:val="24"/>
    </w:rPr>
  </w:style>
  <w:style w:type="character" w:styleId="FootnoteReference">
    <w:name w:val="footnote reference"/>
    <w:aliases w:val="o,fr,Style 13,Style 12,Style 28,(NECG) Footnote Reference,Style 11,Style 9,Style 16,Style 15,Style 17,Style 20,o1,fr1,o2,fr2,o3,fr3,Style 8,Style 7,Style 19,Appel note de bas de p,Style 124,Style 3,FR,Footnote Reference/,Style 6"/>
    <w:basedOn w:val="DefaultParagraphFont"/>
    <w:rsid w:val="00941ED4"/>
    <w:rPr>
      <w:sz w:val="26"/>
      <w:vertAlign w:val="superscript"/>
    </w:rPr>
  </w:style>
  <w:style w:type="paragraph" w:styleId="ListParagraph">
    <w:name w:val="List Paragraph"/>
    <w:basedOn w:val="Normal"/>
    <w:uiPriority w:val="34"/>
    <w:qFormat/>
    <w:rsid w:val="00C12994"/>
    <w:pPr>
      <w:spacing w:line="240" w:lineRule="auto"/>
      <w:ind w:left="720" w:firstLine="0"/>
      <w:contextualSpacing/>
    </w:pPr>
  </w:style>
  <w:style w:type="table" w:styleId="TableGrid">
    <w:name w:val="Table Grid"/>
    <w:basedOn w:val="TableNormal"/>
    <w:uiPriority w:val="59"/>
    <w:rsid w:val="009832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8D8"/>
    <w:pPr>
      <w:tabs>
        <w:tab w:val="center" w:pos="4680"/>
        <w:tab w:val="right" w:pos="9360"/>
      </w:tabs>
      <w:spacing w:line="240" w:lineRule="auto"/>
    </w:pPr>
  </w:style>
  <w:style w:type="character" w:customStyle="1" w:styleId="HeaderChar">
    <w:name w:val="Header Char"/>
    <w:basedOn w:val="DefaultParagraphFont"/>
    <w:link w:val="Header"/>
    <w:uiPriority w:val="99"/>
    <w:rsid w:val="005838D8"/>
    <w:rPr>
      <w:rFonts w:eastAsia="Times New Roman" w:cs="Times New Roman"/>
      <w:sz w:val="24"/>
      <w:szCs w:val="24"/>
    </w:rPr>
  </w:style>
  <w:style w:type="paragraph" w:styleId="Footer">
    <w:name w:val="footer"/>
    <w:basedOn w:val="Normal"/>
    <w:link w:val="FooterChar"/>
    <w:uiPriority w:val="99"/>
    <w:unhideWhenUsed/>
    <w:rsid w:val="005838D8"/>
    <w:pPr>
      <w:tabs>
        <w:tab w:val="center" w:pos="4680"/>
        <w:tab w:val="right" w:pos="9360"/>
      </w:tabs>
      <w:spacing w:line="240" w:lineRule="auto"/>
    </w:pPr>
  </w:style>
  <w:style w:type="character" w:customStyle="1" w:styleId="FooterChar">
    <w:name w:val="Footer Char"/>
    <w:basedOn w:val="DefaultParagraphFont"/>
    <w:link w:val="Footer"/>
    <w:uiPriority w:val="99"/>
    <w:rsid w:val="005838D8"/>
    <w:rPr>
      <w:rFonts w:eastAsia="Times New Roman" w:cs="Times New Roman"/>
      <w:sz w:val="24"/>
      <w:szCs w:val="24"/>
    </w:rPr>
  </w:style>
  <w:style w:type="paragraph" w:styleId="BalloonText">
    <w:name w:val="Balloon Text"/>
    <w:basedOn w:val="Normal"/>
    <w:link w:val="BalloonTextChar"/>
    <w:uiPriority w:val="99"/>
    <w:semiHidden/>
    <w:unhideWhenUsed/>
    <w:rsid w:val="008604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459"/>
    <w:rPr>
      <w:rFonts w:ascii="Segoe UI" w:eastAsia="Times New Roman" w:hAnsi="Segoe UI" w:cs="Segoe UI"/>
      <w:sz w:val="18"/>
      <w:szCs w:val="18"/>
    </w:rPr>
  </w:style>
  <w:style w:type="paragraph" w:styleId="BodyText3">
    <w:name w:val="Body Text 3"/>
    <w:basedOn w:val="Normal"/>
    <w:link w:val="BodyText3Char"/>
    <w:uiPriority w:val="99"/>
    <w:unhideWhenUsed/>
    <w:rsid w:val="00121651"/>
    <w:pPr>
      <w:spacing w:after="120"/>
    </w:pPr>
    <w:rPr>
      <w:sz w:val="16"/>
      <w:szCs w:val="16"/>
    </w:rPr>
  </w:style>
  <w:style w:type="character" w:customStyle="1" w:styleId="BodyText3Char">
    <w:name w:val="Body Text 3 Char"/>
    <w:basedOn w:val="DefaultParagraphFont"/>
    <w:link w:val="BodyText3"/>
    <w:uiPriority w:val="99"/>
    <w:rsid w:val="00121651"/>
    <w:rPr>
      <w:rFonts w:eastAsia="Times New Roman" w:cs="Times New Roman"/>
      <w:sz w:val="16"/>
      <w:szCs w:val="16"/>
    </w:rPr>
  </w:style>
  <w:style w:type="character" w:styleId="CommentReference">
    <w:name w:val="annotation reference"/>
    <w:basedOn w:val="DefaultParagraphFont"/>
    <w:uiPriority w:val="99"/>
    <w:semiHidden/>
    <w:unhideWhenUsed/>
    <w:rsid w:val="009E1BAB"/>
    <w:rPr>
      <w:sz w:val="16"/>
      <w:szCs w:val="16"/>
    </w:rPr>
  </w:style>
  <w:style w:type="paragraph" w:styleId="CommentText">
    <w:name w:val="annotation text"/>
    <w:basedOn w:val="Normal"/>
    <w:link w:val="CommentTextChar"/>
    <w:uiPriority w:val="99"/>
    <w:semiHidden/>
    <w:unhideWhenUsed/>
    <w:rsid w:val="009E1BAB"/>
    <w:pPr>
      <w:spacing w:line="240" w:lineRule="auto"/>
    </w:pPr>
    <w:rPr>
      <w:sz w:val="20"/>
      <w:szCs w:val="20"/>
    </w:rPr>
  </w:style>
  <w:style w:type="character" w:customStyle="1" w:styleId="CommentTextChar">
    <w:name w:val="Comment Text Char"/>
    <w:basedOn w:val="DefaultParagraphFont"/>
    <w:link w:val="CommentText"/>
    <w:uiPriority w:val="99"/>
    <w:semiHidden/>
    <w:rsid w:val="009E1B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E1BAB"/>
    <w:rPr>
      <w:b/>
      <w:bCs/>
    </w:rPr>
  </w:style>
  <w:style w:type="character" w:customStyle="1" w:styleId="CommentSubjectChar">
    <w:name w:val="Comment Subject Char"/>
    <w:basedOn w:val="CommentTextChar"/>
    <w:link w:val="CommentSubject"/>
    <w:uiPriority w:val="99"/>
    <w:semiHidden/>
    <w:rsid w:val="009E1BAB"/>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264539">
      <w:bodyDiv w:val="1"/>
      <w:marLeft w:val="0"/>
      <w:marRight w:val="0"/>
      <w:marTop w:val="0"/>
      <w:marBottom w:val="0"/>
      <w:divBdr>
        <w:top w:val="none" w:sz="0" w:space="0" w:color="auto"/>
        <w:left w:val="none" w:sz="0" w:space="0" w:color="auto"/>
        <w:bottom w:val="none" w:sz="0" w:space="0" w:color="auto"/>
        <w:right w:val="none" w:sz="0" w:space="0" w:color="auto"/>
      </w:divBdr>
    </w:div>
    <w:div w:id="14593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5303F-071B-41AE-B306-5E2F4BF1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Marinko, Robert</dc:creator>
  <cp:keywords/>
  <dc:description/>
  <cp:lastModifiedBy>Scheiber, LeAnn</cp:lastModifiedBy>
  <cp:revision>3</cp:revision>
  <cp:lastPrinted>2019-05-23T14:10:00Z</cp:lastPrinted>
  <dcterms:created xsi:type="dcterms:W3CDTF">2020-04-17T14:56:00Z</dcterms:created>
  <dcterms:modified xsi:type="dcterms:W3CDTF">2020-04-17T17:17:00Z</dcterms:modified>
</cp:coreProperties>
</file>